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drawings/drawing1.xml" ContentType="application/vnd.openxmlformats-officedocument.drawingml.chartshap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media/image5.webp" ContentType="image/webp"/>
  <Override PartName="/word/media/image6.webp" ContentType="image/webp"/>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95F2BD">
      <w:pPr>
        <w:spacing w:after="0" w:line="360" w:lineRule="auto"/>
        <w:jc w:val="center"/>
        <w:rPr>
          <w:rFonts w:eastAsia="Times New Roman"/>
          <w:bCs/>
          <w:color w:val="auto"/>
          <w:szCs w:val="28"/>
          <w:lang w:val="kk-KZ" w:eastAsia="ko-KR"/>
        </w:rPr>
      </w:pPr>
      <w:r>
        <w:rPr>
          <w:rFonts w:eastAsia="Times New Roman"/>
          <w:bCs/>
          <w:color w:val="auto"/>
          <w:szCs w:val="28"/>
          <w:lang w:eastAsia="ko-KR"/>
        </w:rPr>
        <w:t>Ш.ЕСЕНОВ АТЫНДА</w:t>
      </w:r>
      <w:r>
        <w:rPr>
          <w:rFonts w:eastAsia="Times New Roman"/>
          <w:bCs/>
          <w:color w:val="auto"/>
          <w:szCs w:val="28"/>
          <w:lang w:val="kk-KZ" w:eastAsia="ko-KR"/>
        </w:rPr>
        <w:t>ҒЫ КАСПИЙ ТЕХНОЛОГИЯЛАР</w:t>
      </w:r>
    </w:p>
    <w:p w14:paraId="727F1E17">
      <w:pPr>
        <w:spacing w:after="0" w:line="360" w:lineRule="auto"/>
        <w:jc w:val="center"/>
        <w:rPr>
          <w:bCs/>
          <w:color w:val="auto"/>
          <w:szCs w:val="28"/>
        </w:rPr>
      </w:pPr>
      <w:r>
        <w:rPr>
          <w:rFonts w:eastAsia="Times New Roman"/>
          <w:bCs/>
          <w:color w:val="auto"/>
          <w:szCs w:val="28"/>
          <w:lang w:val="kk-KZ" w:eastAsia="ko-KR"/>
        </w:rPr>
        <w:t xml:space="preserve"> ЖӘНЕ ИНЖИНИРИНГ УНИВЕРСИТЕТІ </w:t>
      </w:r>
    </w:p>
    <w:p w14:paraId="714961F6">
      <w:pPr>
        <w:pStyle w:val="301"/>
        <w:spacing w:before="0" w:after="0"/>
        <w:ind w:right="182"/>
        <w:jc w:val="center"/>
        <w:rPr>
          <w:bCs/>
          <w:color w:val="auto"/>
          <w:sz w:val="28"/>
          <w:szCs w:val="28"/>
        </w:rPr>
      </w:pPr>
    </w:p>
    <w:p w14:paraId="139B9128">
      <w:pPr>
        <w:pStyle w:val="301"/>
        <w:spacing w:before="0" w:after="0"/>
        <w:rPr>
          <w:color w:val="auto"/>
          <w:sz w:val="28"/>
          <w:szCs w:val="28"/>
        </w:rPr>
      </w:pPr>
      <w:r>
        <w:rPr>
          <w:color w:val="auto"/>
          <w:spacing w:val="-6"/>
          <w:sz w:val="28"/>
          <w:szCs w:val="28"/>
        </w:rPr>
        <w:t>ӘОЖ</w:t>
      </w:r>
      <w:r>
        <w:rPr>
          <w:color w:val="auto"/>
          <w:spacing w:val="-6"/>
          <w:sz w:val="28"/>
          <w:szCs w:val="28"/>
          <w:lang w:val="kk-KZ"/>
        </w:rPr>
        <w:t xml:space="preserve"> </w:t>
      </w:r>
      <w:r>
        <w:rPr>
          <w:color w:val="auto"/>
          <w:sz w:val="28"/>
          <w:szCs w:val="28"/>
        </w:rPr>
        <w:t>504.054/504.064.47                                                       Қолжазба құқығында</w:t>
      </w:r>
    </w:p>
    <w:p w14:paraId="0D6844A7">
      <w:pPr>
        <w:pStyle w:val="301"/>
        <w:spacing w:before="0" w:after="0"/>
        <w:ind w:right="182"/>
        <w:jc w:val="center"/>
        <w:rPr>
          <w:color w:val="auto"/>
          <w:sz w:val="28"/>
          <w:szCs w:val="28"/>
        </w:rPr>
      </w:pPr>
    </w:p>
    <w:p w14:paraId="65DF5AC5">
      <w:pPr>
        <w:pStyle w:val="301"/>
        <w:spacing w:before="0" w:after="0"/>
        <w:ind w:right="182"/>
        <w:jc w:val="center"/>
        <w:rPr>
          <w:color w:val="auto"/>
          <w:sz w:val="28"/>
          <w:szCs w:val="28"/>
        </w:rPr>
      </w:pPr>
    </w:p>
    <w:p w14:paraId="3CCA09FE">
      <w:pPr>
        <w:pStyle w:val="301"/>
        <w:spacing w:before="0" w:after="0"/>
        <w:ind w:right="182"/>
        <w:jc w:val="center"/>
        <w:rPr>
          <w:color w:val="auto"/>
          <w:sz w:val="28"/>
          <w:szCs w:val="28"/>
        </w:rPr>
      </w:pPr>
    </w:p>
    <w:p w14:paraId="6B6FC601">
      <w:pPr>
        <w:pStyle w:val="301"/>
        <w:spacing w:before="0" w:after="0"/>
        <w:ind w:right="182"/>
        <w:jc w:val="center"/>
        <w:rPr>
          <w:rFonts w:hint="default"/>
          <w:color w:val="auto"/>
          <w:sz w:val="28"/>
          <w:szCs w:val="28"/>
          <w:lang w:val="kk-KZ"/>
        </w:rPr>
      </w:pPr>
    </w:p>
    <w:p w14:paraId="6D08DC77">
      <w:pPr>
        <w:pStyle w:val="301"/>
        <w:spacing w:before="0" w:after="0"/>
        <w:ind w:right="182"/>
        <w:jc w:val="center"/>
        <w:rPr>
          <w:color w:val="auto"/>
          <w:sz w:val="28"/>
          <w:szCs w:val="28"/>
        </w:rPr>
      </w:pPr>
    </w:p>
    <w:p w14:paraId="4E0F4860">
      <w:pPr>
        <w:pStyle w:val="301"/>
        <w:spacing w:before="0" w:after="0"/>
        <w:ind w:right="182"/>
        <w:jc w:val="center"/>
        <w:rPr>
          <w:b/>
          <w:color w:val="auto"/>
          <w:spacing w:val="7"/>
          <w:sz w:val="28"/>
          <w:szCs w:val="28"/>
          <w:lang w:val="kk-KZ"/>
        </w:rPr>
      </w:pPr>
      <w:r>
        <w:rPr>
          <w:b/>
          <w:color w:val="auto"/>
          <w:spacing w:val="7"/>
          <w:sz w:val="28"/>
          <w:szCs w:val="28"/>
          <w:lang w:val="kk-KZ"/>
        </w:rPr>
        <w:t>Х</w:t>
      </w:r>
      <w:r>
        <w:rPr>
          <w:b/>
          <w:color w:val="auto"/>
          <w:spacing w:val="7"/>
          <w:sz w:val="28"/>
          <w:szCs w:val="28"/>
        </w:rPr>
        <w:t>ОЖАНЕПЕСОВА ФАРИЗА М</w:t>
      </w:r>
      <w:r>
        <w:rPr>
          <w:b/>
          <w:color w:val="auto"/>
          <w:spacing w:val="7"/>
          <w:sz w:val="28"/>
          <w:szCs w:val="28"/>
          <w:lang w:val="kk-KZ"/>
        </w:rPr>
        <w:t>У</w:t>
      </w:r>
      <w:r>
        <w:rPr>
          <w:b/>
          <w:color w:val="auto"/>
          <w:spacing w:val="7"/>
          <w:sz w:val="28"/>
          <w:szCs w:val="28"/>
        </w:rPr>
        <w:t>САБЕК</w:t>
      </w:r>
      <w:r>
        <w:rPr>
          <w:b/>
          <w:color w:val="auto"/>
          <w:spacing w:val="7"/>
          <w:sz w:val="28"/>
          <w:szCs w:val="28"/>
          <w:lang w:val="kk-KZ"/>
        </w:rPr>
        <w:t>ОВНА</w:t>
      </w:r>
    </w:p>
    <w:p w14:paraId="06F20464">
      <w:pPr>
        <w:pStyle w:val="301"/>
        <w:spacing w:before="0" w:after="0"/>
        <w:ind w:right="182"/>
        <w:jc w:val="center"/>
        <w:rPr>
          <w:b/>
          <w:color w:val="auto"/>
          <w:spacing w:val="7"/>
          <w:sz w:val="28"/>
          <w:szCs w:val="28"/>
        </w:rPr>
      </w:pPr>
    </w:p>
    <w:p w14:paraId="425E13E9">
      <w:pPr>
        <w:pStyle w:val="301"/>
        <w:spacing w:before="0" w:after="0"/>
        <w:ind w:right="182"/>
        <w:jc w:val="center"/>
        <w:rPr>
          <w:b/>
          <w:color w:val="auto"/>
          <w:sz w:val="28"/>
          <w:szCs w:val="28"/>
        </w:rPr>
      </w:pPr>
      <w:r>
        <w:rPr>
          <w:b/>
          <w:color w:val="auto"/>
          <w:sz w:val="28"/>
          <w:szCs w:val="28"/>
        </w:rPr>
        <w:t>Мұнаймен ластанған топырақты адсорбциялық-иммобилизацияланған микроорганизм</w:t>
      </w:r>
      <w:r>
        <w:rPr>
          <w:b/>
          <w:color w:val="auto"/>
          <w:sz w:val="28"/>
          <w:szCs w:val="28"/>
          <w:lang w:val="kk-KZ"/>
        </w:rPr>
        <w:t xml:space="preserve"> -</w:t>
      </w:r>
      <w:r>
        <w:rPr>
          <w:b/>
          <w:color w:val="auto"/>
          <w:sz w:val="28"/>
          <w:szCs w:val="28"/>
        </w:rPr>
        <w:t xml:space="preserve"> деструкторлармен тазарту әдісін әзірлеу</w:t>
      </w:r>
    </w:p>
    <w:p w14:paraId="05A99836">
      <w:pPr>
        <w:pStyle w:val="301"/>
        <w:spacing w:before="0" w:after="0"/>
        <w:ind w:right="182"/>
        <w:jc w:val="center"/>
        <w:rPr>
          <w:color w:val="auto"/>
          <w:sz w:val="28"/>
          <w:szCs w:val="28"/>
        </w:rPr>
      </w:pPr>
    </w:p>
    <w:p w14:paraId="1B9C2C58">
      <w:pPr>
        <w:pStyle w:val="301"/>
        <w:spacing w:before="0" w:after="0"/>
        <w:ind w:right="182"/>
        <w:jc w:val="center"/>
        <w:rPr>
          <w:color w:val="auto"/>
          <w:sz w:val="28"/>
          <w:szCs w:val="28"/>
        </w:rPr>
      </w:pPr>
    </w:p>
    <w:p w14:paraId="156D2AA2">
      <w:pPr>
        <w:spacing w:after="0" w:line="360" w:lineRule="auto"/>
        <w:jc w:val="center"/>
        <w:rPr>
          <w:rFonts w:eastAsia="Times New Roman"/>
          <w:bCs/>
          <w:color w:val="auto"/>
          <w:szCs w:val="28"/>
          <w:lang w:eastAsia="ko-KR"/>
        </w:rPr>
      </w:pPr>
      <w:r>
        <w:rPr>
          <w:rFonts w:hint="default" w:eastAsia="Times New Roman"/>
          <w:bCs/>
          <w:color w:val="auto"/>
          <w:szCs w:val="28"/>
          <w:lang w:val="ru-RU" w:eastAsia="ko-KR"/>
        </w:rPr>
        <w:t>8</w:t>
      </w:r>
      <w:r>
        <w:rPr>
          <w:rFonts w:hint="default" w:eastAsia="Times New Roman"/>
          <w:bCs/>
          <w:color w:val="auto"/>
          <w:szCs w:val="28"/>
          <w:lang w:val="en-US" w:eastAsia="ko-KR"/>
        </w:rPr>
        <w:t>D05251</w:t>
      </w:r>
      <w:r>
        <w:rPr>
          <w:rFonts w:hint="default" w:eastAsia="Times New Roman"/>
          <w:bCs/>
          <w:color w:val="auto"/>
          <w:szCs w:val="28"/>
          <w:lang w:val="ru-RU" w:eastAsia="ko-KR"/>
        </w:rPr>
        <w:t xml:space="preserve"> (</w:t>
      </w:r>
      <w:r>
        <w:rPr>
          <w:rFonts w:eastAsia="Times New Roman"/>
          <w:bCs/>
          <w:color w:val="auto"/>
          <w:szCs w:val="28"/>
          <w:lang w:eastAsia="ko-KR"/>
        </w:rPr>
        <w:t>6D060800</w:t>
      </w:r>
      <w:r>
        <w:rPr>
          <w:rFonts w:hint="default" w:eastAsia="Times New Roman"/>
          <w:bCs/>
          <w:color w:val="auto"/>
          <w:szCs w:val="28"/>
          <w:lang w:val="ru-RU" w:eastAsia="ko-KR"/>
        </w:rPr>
        <w:t>)</w:t>
      </w:r>
      <w:r>
        <w:rPr>
          <w:rFonts w:eastAsia="Times New Roman"/>
          <w:bCs/>
          <w:color w:val="auto"/>
          <w:szCs w:val="28"/>
          <w:lang w:eastAsia="ko-KR"/>
        </w:rPr>
        <w:t xml:space="preserve"> -</w:t>
      </w:r>
      <w:r>
        <w:rPr>
          <w:rFonts w:eastAsia="Times New Roman"/>
          <w:bCs/>
          <w:color w:val="auto"/>
          <w:szCs w:val="28"/>
          <w:lang w:val="kk-KZ" w:eastAsia="ko-KR"/>
        </w:rPr>
        <w:t>Экология</w:t>
      </w:r>
      <w:r>
        <w:rPr>
          <w:rFonts w:eastAsia="Times New Roman"/>
          <w:bCs/>
          <w:color w:val="auto"/>
          <w:szCs w:val="28"/>
          <w:lang w:eastAsia="ko-KR"/>
        </w:rPr>
        <w:t xml:space="preserve"> </w:t>
      </w:r>
    </w:p>
    <w:p w14:paraId="3DA0EBAA">
      <w:pPr>
        <w:spacing w:after="0" w:line="360" w:lineRule="auto"/>
        <w:jc w:val="center"/>
        <w:rPr>
          <w:rFonts w:eastAsia="Times New Roman"/>
          <w:bCs/>
          <w:color w:val="auto"/>
          <w:szCs w:val="28"/>
          <w:lang w:eastAsia="ko-KR"/>
        </w:rPr>
      </w:pPr>
    </w:p>
    <w:p w14:paraId="16821AAE">
      <w:pPr>
        <w:pStyle w:val="301"/>
        <w:spacing w:before="0" w:after="0"/>
        <w:jc w:val="center"/>
        <w:rPr>
          <w:color w:val="auto"/>
          <w:spacing w:val="4"/>
          <w:sz w:val="28"/>
          <w:szCs w:val="28"/>
        </w:rPr>
      </w:pPr>
      <w:r>
        <w:rPr>
          <w:color w:val="auto"/>
          <w:spacing w:val="4"/>
          <w:sz w:val="28"/>
          <w:szCs w:val="28"/>
          <w:lang w:val="kk-KZ"/>
        </w:rPr>
        <w:t>Ф</w:t>
      </w:r>
      <w:r>
        <w:rPr>
          <w:color w:val="auto"/>
          <w:spacing w:val="4"/>
          <w:sz w:val="28"/>
          <w:szCs w:val="28"/>
        </w:rPr>
        <w:t>илософия докторы (</w:t>
      </w:r>
      <w:r>
        <w:rPr>
          <w:color w:val="auto"/>
          <w:spacing w:val="4"/>
          <w:sz w:val="28"/>
          <w:szCs w:val="28"/>
          <w:lang w:val="kk-KZ"/>
        </w:rPr>
        <w:t>Р</w:t>
      </w:r>
      <w:r>
        <w:rPr>
          <w:color w:val="auto"/>
          <w:spacing w:val="4"/>
          <w:sz w:val="28"/>
          <w:szCs w:val="28"/>
        </w:rPr>
        <w:t>hD)</w:t>
      </w:r>
    </w:p>
    <w:p w14:paraId="678D7A8F">
      <w:pPr>
        <w:pStyle w:val="301"/>
        <w:spacing w:before="0" w:after="0"/>
        <w:jc w:val="center"/>
        <w:rPr>
          <w:color w:val="auto"/>
          <w:spacing w:val="4"/>
          <w:sz w:val="28"/>
          <w:szCs w:val="28"/>
          <w:lang w:val="kk-KZ"/>
        </w:rPr>
      </w:pPr>
      <w:r>
        <w:rPr>
          <w:color w:val="auto"/>
          <w:spacing w:val="4"/>
          <w:sz w:val="28"/>
          <w:szCs w:val="28"/>
          <w:lang w:val="kk-KZ"/>
        </w:rPr>
        <w:t>дәрежесін алу үшін дайындалған диссертация</w:t>
      </w:r>
    </w:p>
    <w:p w14:paraId="11332E36">
      <w:pPr>
        <w:pStyle w:val="301"/>
        <w:spacing w:before="0" w:after="0"/>
        <w:ind w:left="38"/>
        <w:jc w:val="center"/>
        <w:rPr>
          <w:color w:val="auto"/>
          <w:sz w:val="28"/>
          <w:szCs w:val="28"/>
        </w:rPr>
      </w:pPr>
    </w:p>
    <w:p w14:paraId="2300ED51">
      <w:pPr>
        <w:pStyle w:val="301"/>
        <w:spacing w:before="0" w:after="0"/>
        <w:jc w:val="center"/>
        <w:rPr>
          <w:color w:val="auto"/>
          <w:sz w:val="28"/>
          <w:szCs w:val="28"/>
        </w:rPr>
      </w:pPr>
    </w:p>
    <w:p w14:paraId="600C06FD">
      <w:pPr>
        <w:pStyle w:val="301"/>
        <w:spacing w:before="0" w:after="0"/>
        <w:jc w:val="center"/>
        <w:rPr>
          <w:color w:val="auto"/>
          <w:sz w:val="28"/>
          <w:szCs w:val="28"/>
        </w:rPr>
      </w:pPr>
    </w:p>
    <w:p w14:paraId="69039AE7">
      <w:pPr>
        <w:pStyle w:val="301"/>
        <w:spacing w:before="0" w:after="0"/>
        <w:jc w:val="center"/>
        <w:rPr>
          <w:color w:val="auto"/>
          <w:sz w:val="28"/>
          <w:szCs w:val="28"/>
        </w:rPr>
      </w:pPr>
    </w:p>
    <w:tbl>
      <w:tblPr>
        <w:tblStyle w:val="12"/>
        <w:tblW w:w="9344" w:type="dxa"/>
        <w:tblInd w:w="-108" w:type="dxa"/>
        <w:tblLayout w:type="fixed"/>
        <w:tblCellMar>
          <w:top w:w="0" w:type="dxa"/>
          <w:left w:w="108" w:type="dxa"/>
          <w:bottom w:w="0" w:type="dxa"/>
          <w:right w:w="108" w:type="dxa"/>
        </w:tblCellMar>
      </w:tblPr>
      <w:tblGrid>
        <w:gridCol w:w="5245"/>
        <w:gridCol w:w="4099"/>
      </w:tblGrid>
      <w:tr w14:paraId="20714215">
        <w:tblPrEx>
          <w:tblCellMar>
            <w:top w:w="0" w:type="dxa"/>
            <w:left w:w="108" w:type="dxa"/>
            <w:bottom w:w="0" w:type="dxa"/>
            <w:right w:w="108" w:type="dxa"/>
          </w:tblCellMar>
        </w:tblPrEx>
        <w:tc>
          <w:tcPr>
            <w:tcW w:w="5245" w:type="dxa"/>
          </w:tcPr>
          <w:p w14:paraId="6543589F">
            <w:pPr>
              <w:pStyle w:val="301"/>
              <w:tabs>
                <w:tab w:val="left" w:pos="7088"/>
              </w:tabs>
              <w:snapToGrid w:val="0"/>
              <w:spacing w:before="0" w:after="0"/>
              <w:rPr>
                <w:color w:val="auto"/>
                <w:sz w:val="28"/>
                <w:szCs w:val="28"/>
              </w:rPr>
            </w:pPr>
          </w:p>
        </w:tc>
        <w:tc>
          <w:tcPr>
            <w:tcW w:w="4099" w:type="dxa"/>
          </w:tcPr>
          <w:p w14:paraId="65A726DB">
            <w:pPr>
              <w:pStyle w:val="301"/>
              <w:snapToGrid w:val="0"/>
              <w:spacing w:before="0" w:after="0"/>
              <w:rPr>
                <w:color w:val="auto"/>
                <w:sz w:val="28"/>
                <w:szCs w:val="28"/>
              </w:rPr>
            </w:pPr>
            <w:r>
              <w:rPr>
                <w:color w:val="auto"/>
                <w:sz w:val="28"/>
                <w:szCs w:val="28"/>
              </w:rPr>
              <w:t>Ғылыми кеңесшілер:</w:t>
            </w:r>
          </w:p>
        </w:tc>
      </w:tr>
      <w:tr w14:paraId="780565CC">
        <w:tblPrEx>
          <w:tblCellMar>
            <w:top w:w="0" w:type="dxa"/>
            <w:left w:w="108" w:type="dxa"/>
            <w:bottom w:w="0" w:type="dxa"/>
            <w:right w:w="108" w:type="dxa"/>
          </w:tblCellMar>
        </w:tblPrEx>
        <w:tc>
          <w:tcPr>
            <w:tcW w:w="5245" w:type="dxa"/>
          </w:tcPr>
          <w:p w14:paraId="5F1048EE">
            <w:pPr>
              <w:pStyle w:val="301"/>
              <w:tabs>
                <w:tab w:val="left" w:pos="7088"/>
              </w:tabs>
              <w:snapToGrid w:val="0"/>
              <w:spacing w:before="0" w:after="0"/>
              <w:rPr>
                <w:color w:val="auto"/>
                <w:sz w:val="28"/>
                <w:szCs w:val="28"/>
              </w:rPr>
            </w:pPr>
          </w:p>
        </w:tc>
        <w:tc>
          <w:tcPr>
            <w:tcW w:w="4099" w:type="dxa"/>
          </w:tcPr>
          <w:p w14:paraId="0EC48102">
            <w:pPr>
              <w:pStyle w:val="301"/>
              <w:snapToGrid w:val="0"/>
              <w:spacing w:before="0" w:after="0"/>
              <w:rPr>
                <w:rFonts w:hint="default"/>
                <w:color w:val="auto"/>
                <w:sz w:val="28"/>
                <w:szCs w:val="28"/>
                <w:lang w:val="ru-RU"/>
              </w:rPr>
            </w:pPr>
            <w:r>
              <w:rPr>
                <w:rFonts w:eastAsia="Calibri"/>
                <w:color w:val="auto"/>
                <w:sz w:val="28"/>
                <w:szCs w:val="28"/>
                <w:lang w:val="kk-KZ"/>
              </w:rPr>
              <w:t xml:space="preserve">Техника ғылымдарының кандидаты </w:t>
            </w:r>
            <w:r>
              <w:rPr>
                <w:color w:val="auto"/>
                <w:sz w:val="28"/>
                <w:szCs w:val="28"/>
              </w:rPr>
              <w:t>профессор</w:t>
            </w:r>
            <w:r>
              <w:rPr>
                <w:color w:val="auto"/>
                <w:sz w:val="28"/>
                <w:szCs w:val="28"/>
                <w:lang w:val="kk-KZ"/>
              </w:rPr>
              <w:t xml:space="preserve"> </w:t>
            </w:r>
            <w:r>
              <w:rPr>
                <w:rFonts w:eastAsia="Calibri"/>
                <w:color w:val="auto"/>
                <w:sz w:val="28"/>
                <w:szCs w:val="28"/>
              </w:rPr>
              <w:t>Сер</w:t>
            </w:r>
            <w:r>
              <w:rPr>
                <w:rFonts w:eastAsia="Calibri"/>
                <w:color w:val="auto"/>
                <w:sz w:val="28"/>
                <w:szCs w:val="28"/>
                <w:lang w:val="ru-RU"/>
              </w:rPr>
              <w:t>и</w:t>
            </w:r>
            <w:r>
              <w:rPr>
                <w:rFonts w:eastAsia="Calibri"/>
                <w:color w:val="auto"/>
                <w:sz w:val="28"/>
                <w:szCs w:val="28"/>
              </w:rPr>
              <w:t>кбаева А.</w:t>
            </w:r>
            <w:r>
              <w:rPr>
                <w:rFonts w:eastAsia="Calibri"/>
                <w:color w:val="auto"/>
                <w:sz w:val="28"/>
                <w:szCs w:val="28"/>
                <w:lang w:val="kk-KZ"/>
              </w:rPr>
              <w:t>К</w:t>
            </w:r>
            <w:r>
              <w:rPr>
                <w:rFonts w:hint="default" w:eastAsia="Calibri"/>
                <w:color w:val="auto"/>
                <w:sz w:val="28"/>
                <w:szCs w:val="28"/>
                <w:lang w:val="ru-RU"/>
              </w:rPr>
              <w:t>.</w:t>
            </w:r>
          </w:p>
        </w:tc>
      </w:tr>
      <w:tr w14:paraId="7415DDA9">
        <w:tblPrEx>
          <w:tblCellMar>
            <w:top w:w="0" w:type="dxa"/>
            <w:left w:w="108" w:type="dxa"/>
            <w:bottom w:w="0" w:type="dxa"/>
            <w:right w:w="108" w:type="dxa"/>
          </w:tblCellMar>
        </w:tblPrEx>
        <w:tc>
          <w:tcPr>
            <w:tcW w:w="5245" w:type="dxa"/>
          </w:tcPr>
          <w:p w14:paraId="5AFCE6A8">
            <w:pPr>
              <w:pStyle w:val="301"/>
              <w:tabs>
                <w:tab w:val="left" w:pos="7088"/>
              </w:tabs>
              <w:snapToGrid w:val="0"/>
              <w:spacing w:before="0" w:after="0"/>
              <w:rPr>
                <w:color w:val="auto"/>
                <w:sz w:val="28"/>
                <w:szCs w:val="28"/>
              </w:rPr>
            </w:pPr>
          </w:p>
        </w:tc>
        <w:tc>
          <w:tcPr>
            <w:tcW w:w="4099" w:type="dxa"/>
          </w:tcPr>
          <w:p w14:paraId="0B6222C8">
            <w:pPr>
              <w:pStyle w:val="301"/>
              <w:snapToGrid w:val="0"/>
              <w:spacing w:before="0" w:after="0"/>
              <w:rPr>
                <w:color w:val="auto"/>
                <w:sz w:val="28"/>
                <w:szCs w:val="28"/>
              </w:rPr>
            </w:pPr>
            <w:r>
              <w:rPr>
                <w:color w:val="auto"/>
                <w:sz w:val="28"/>
                <w:szCs w:val="28"/>
              </w:rPr>
              <w:t>Шетелдік ғылыми кеңесші:</w:t>
            </w:r>
          </w:p>
        </w:tc>
      </w:tr>
      <w:tr w14:paraId="47340010">
        <w:tblPrEx>
          <w:tblCellMar>
            <w:top w:w="0" w:type="dxa"/>
            <w:left w:w="108" w:type="dxa"/>
            <w:bottom w:w="0" w:type="dxa"/>
            <w:right w:w="108" w:type="dxa"/>
          </w:tblCellMar>
        </w:tblPrEx>
        <w:tc>
          <w:tcPr>
            <w:tcW w:w="5245" w:type="dxa"/>
          </w:tcPr>
          <w:p w14:paraId="263927B4">
            <w:pPr>
              <w:pStyle w:val="301"/>
              <w:tabs>
                <w:tab w:val="left" w:pos="7088"/>
              </w:tabs>
              <w:snapToGrid w:val="0"/>
              <w:spacing w:before="0" w:after="0"/>
              <w:rPr>
                <w:color w:val="auto"/>
                <w:sz w:val="28"/>
                <w:szCs w:val="28"/>
              </w:rPr>
            </w:pPr>
          </w:p>
        </w:tc>
        <w:tc>
          <w:tcPr>
            <w:tcW w:w="4099" w:type="dxa"/>
          </w:tcPr>
          <w:p w14:paraId="3695A984">
            <w:pPr>
              <w:keepNext w:val="0"/>
              <w:keepLines w:val="0"/>
              <w:pageBreakBefore w:val="0"/>
              <w:widowControl/>
              <w:numPr>
                <w:ilvl w:val="0"/>
                <w:numId w:val="0"/>
              </w:numPr>
              <w:suppressLineNumbers w:val="0"/>
              <w:pBdr>
                <w:top w:val="none" w:color="192F59" w:sz="0" w:space="0"/>
                <w:left w:val="none" w:color="192F59" w:sz="0" w:space="0"/>
                <w:bottom w:val="none" w:color="192F59" w:sz="0" w:space="0"/>
                <w:right w:val="none" w:color="192F59" w:sz="0" w:space="0"/>
              </w:pBdr>
              <w:kinsoku/>
              <w:wordWrap/>
              <w:overflowPunct/>
              <w:topLinePunct w:val="0"/>
              <w:autoSpaceDE/>
              <w:autoSpaceDN/>
              <w:bidi w:val="0"/>
              <w:adjustRightInd/>
              <w:snapToGrid/>
              <w:spacing w:before="0" w:beforeAutospacing="0" w:afterAutospacing="0"/>
              <w:ind w:right="0" w:rightChars="0"/>
              <w:jc w:val="both"/>
              <w:textAlignment w:val="baseline"/>
              <w:rPr>
                <w:color w:val="auto"/>
                <w:sz w:val="28"/>
                <w:szCs w:val="28"/>
              </w:rPr>
            </w:pPr>
            <w:r>
              <w:rPr>
                <w:color w:val="auto"/>
                <w:sz w:val="28"/>
                <w:szCs w:val="28"/>
                <w:lang w:val="en-US"/>
              </w:rPr>
              <w:t>PhD</w:t>
            </w:r>
            <w:r>
              <w:rPr>
                <w:color w:val="auto"/>
                <w:sz w:val="28"/>
                <w:szCs w:val="28"/>
                <w:lang w:val="kk-KZ"/>
              </w:rPr>
              <w:t xml:space="preserve"> доктор, </w:t>
            </w:r>
            <w:r>
              <w:rPr>
                <w:rStyle w:val="19"/>
                <w:rFonts w:hint="default" w:ascii="Times New Roman" w:hAnsi="Times New Roman" w:cs="Times New Roman"/>
                <w:b w:val="0"/>
                <w:bCs w:val="0"/>
                <w:color w:val="auto"/>
                <w:sz w:val="28"/>
                <w:szCs w:val="28"/>
              </w:rPr>
              <w:t>Arezoo Dadrasnia</w:t>
            </w:r>
            <w:r>
              <w:rPr>
                <w:rStyle w:val="19"/>
                <w:rFonts w:hint="default" w:cs="Times New Roman"/>
                <w:b w:val="0"/>
                <w:bCs w:val="0"/>
                <w:color w:val="auto"/>
                <w:sz w:val="28"/>
                <w:szCs w:val="28"/>
                <w:lang w:val="kk-KZ"/>
              </w:rPr>
              <w:t>,</w:t>
            </w:r>
            <w:r>
              <w:rPr>
                <w:rStyle w:val="19"/>
                <w:rFonts w:hint="default" w:ascii="Times New Roman" w:hAnsi="Times New Roman" w:cs="Times New Roman"/>
                <w:b w:val="0"/>
                <w:bCs w:val="0"/>
                <w:color w:val="auto"/>
                <w:sz w:val="28"/>
                <w:szCs w:val="28"/>
                <w:lang w:val="ru-RU"/>
              </w:rPr>
              <w:t xml:space="preserve"> </w:t>
            </w:r>
            <w:r>
              <w:rPr>
                <w:rFonts w:hint="default" w:ascii="Times New Roman" w:hAnsi="Times New Roman" w:eastAsia="sans-serif" w:cs="Times New Roman"/>
                <w:i w:val="0"/>
                <w:iCs w:val="0"/>
                <w:caps w:val="0"/>
                <w:color w:val="auto"/>
                <w:spacing w:val="0"/>
                <w:sz w:val="28"/>
                <w:szCs w:val="28"/>
                <w:shd w:val="clear" w:color="auto" w:fill="FFFFFF"/>
                <w:vertAlign w:val="baseline"/>
                <w:lang w:val="ru-RU"/>
              </w:rPr>
              <w:t xml:space="preserve"> </w:t>
            </w:r>
            <w:r>
              <w:rPr>
                <w:rFonts w:hint="default" w:ascii="Times New Roman" w:hAnsi="Times New Roman" w:cs="Times New Roman"/>
                <w:b w:val="0"/>
                <w:bCs w:val="0"/>
                <w:color w:val="auto"/>
                <w:sz w:val="28"/>
                <w:szCs w:val="28"/>
              </w:rPr>
              <w:t>BETA Tech Center, University of Vic-Central University of Catalonia</w:t>
            </w:r>
            <w:r>
              <w:rPr>
                <w:rFonts w:hint="default" w:ascii="Times New Roman" w:hAnsi="Times New Roman" w:cs="Times New Roman"/>
                <w:b w:val="0"/>
                <w:bCs w:val="0"/>
                <w:color w:val="auto"/>
                <w:sz w:val="28"/>
                <w:szCs w:val="28"/>
                <w:lang w:val="ru-RU"/>
              </w:rPr>
              <w:t xml:space="preserve"> ( Вик, Испания ).</w:t>
            </w:r>
          </w:p>
        </w:tc>
      </w:tr>
    </w:tbl>
    <w:p w14:paraId="1A31F0DC">
      <w:pPr>
        <w:pStyle w:val="301"/>
        <w:spacing w:before="0" w:after="0"/>
        <w:jc w:val="center"/>
        <w:rPr>
          <w:color w:val="auto"/>
          <w:sz w:val="28"/>
          <w:szCs w:val="28"/>
          <w:lang w:val="en-US"/>
        </w:rPr>
      </w:pPr>
    </w:p>
    <w:p w14:paraId="16069A9A">
      <w:pPr>
        <w:pStyle w:val="301"/>
        <w:spacing w:before="0" w:after="0"/>
        <w:jc w:val="center"/>
        <w:rPr>
          <w:color w:val="auto"/>
          <w:sz w:val="28"/>
          <w:szCs w:val="28"/>
          <w:lang w:val="en-US"/>
        </w:rPr>
      </w:pPr>
    </w:p>
    <w:p w14:paraId="3A868D5E">
      <w:pPr>
        <w:pStyle w:val="301"/>
        <w:spacing w:before="0" w:after="0"/>
        <w:jc w:val="center"/>
        <w:rPr>
          <w:color w:val="auto"/>
          <w:sz w:val="28"/>
          <w:szCs w:val="28"/>
          <w:lang w:val="en-US"/>
        </w:rPr>
      </w:pPr>
    </w:p>
    <w:p w14:paraId="4B96C473">
      <w:pPr>
        <w:pStyle w:val="301"/>
        <w:spacing w:before="0" w:after="0"/>
        <w:jc w:val="center"/>
        <w:rPr>
          <w:color w:val="auto"/>
          <w:sz w:val="28"/>
          <w:szCs w:val="28"/>
          <w:lang w:val="en-US"/>
        </w:rPr>
      </w:pPr>
    </w:p>
    <w:p w14:paraId="0CFE1258">
      <w:pPr>
        <w:pStyle w:val="301"/>
        <w:spacing w:before="0" w:after="0"/>
        <w:jc w:val="both"/>
        <w:rPr>
          <w:color w:val="auto"/>
          <w:sz w:val="28"/>
          <w:szCs w:val="28"/>
          <w:lang w:val="en-US"/>
        </w:rPr>
      </w:pPr>
    </w:p>
    <w:p w14:paraId="18E6DFC5">
      <w:pPr>
        <w:pStyle w:val="301"/>
        <w:spacing w:before="0" w:after="0"/>
        <w:rPr>
          <w:color w:val="auto"/>
          <w:sz w:val="28"/>
          <w:szCs w:val="28"/>
          <w:lang w:val="en-US"/>
        </w:rPr>
      </w:pPr>
    </w:p>
    <w:p w14:paraId="088D2005">
      <w:pPr>
        <w:pStyle w:val="301"/>
        <w:spacing w:before="0" w:after="0"/>
        <w:jc w:val="center"/>
        <w:rPr>
          <w:color w:val="auto"/>
          <w:sz w:val="28"/>
          <w:szCs w:val="28"/>
        </w:rPr>
      </w:pPr>
      <w:r>
        <w:rPr>
          <w:color w:val="auto"/>
          <w:sz w:val="28"/>
          <w:szCs w:val="28"/>
        </w:rPr>
        <w:t>Қазақстан Республикасы</w:t>
      </w:r>
    </w:p>
    <w:p w14:paraId="5B01ECAA">
      <w:pPr>
        <w:pStyle w:val="301"/>
        <w:spacing w:before="0" w:after="0"/>
        <w:jc w:val="center"/>
        <w:rPr>
          <w:color w:val="auto"/>
          <w:sz w:val="28"/>
          <w:szCs w:val="28"/>
          <w:lang w:val="kk-KZ"/>
        </w:rPr>
      </w:pPr>
      <w:r>
        <w:rPr>
          <w:color w:val="auto"/>
          <w:sz w:val="28"/>
          <w:szCs w:val="28"/>
        </w:rPr>
        <w:t>Ақтау, 202</w:t>
      </w:r>
      <w:r>
        <w:rPr>
          <w:color w:val="auto"/>
          <w:sz w:val="28"/>
          <w:szCs w:val="28"/>
          <w:lang w:val="kk-KZ"/>
        </w:rPr>
        <w:t>6</w:t>
      </w:r>
    </w:p>
    <w:p w14:paraId="2BF79A4D">
      <w:pPr>
        <w:rPr>
          <w:color w:val="auto"/>
        </w:rPr>
      </w:pPr>
      <w:r>
        <w:rPr>
          <w:color w:val="auto"/>
        </w:rPr>
        <w:br w:type="page"/>
      </w:r>
    </w:p>
    <w:p w14:paraId="39395A36">
      <w:pPr>
        <w:pStyle w:val="308"/>
        <w:spacing w:before="0"/>
        <w:rPr>
          <w:color w:val="auto"/>
        </w:rPr>
        <w:sectPr>
          <w:pgSz w:w="11906" w:h="16838"/>
          <w:pgMar w:top="1134" w:right="850" w:bottom="1134" w:left="1701" w:header="0" w:footer="0" w:gutter="0"/>
          <w:pgBorders>
            <w:top w:val="none" w:sz="0" w:space="0"/>
            <w:left w:val="none" w:sz="0" w:space="0"/>
            <w:bottom w:val="none" w:sz="0" w:space="0"/>
            <w:right w:val="none" w:sz="0" w:space="0"/>
          </w:pgBorders>
          <w:pgNumType w:start="2"/>
          <w:cols w:space="0" w:num="1"/>
          <w:formProt w:val="0"/>
          <w:rtlGutter w:val="0"/>
          <w:docGrid w:linePitch="360" w:charSpace="0"/>
        </w:sectPr>
      </w:pPr>
    </w:p>
    <w:p w14:paraId="64AD444D">
      <w:pPr>
        <w:pStyle w:val="308"/>
        <w:spacing w:before="0"/>
        <w:rPr>
          <w:color w:val="auto"/>
        </w:rPr>
      </w:pPr>
      <w:r>
        <w:rPr>
          <w:color w:val="auto"/>
        </w:rPr>
        <w:t>МАЗМҰНЫ</w:t>
      </w:r>
    </w:p>
    <w:p w14:paraId="17CCF4D1">
      <w:pPr>
        <w:pStyle w:val="308"/>
        <w:spacing w:before="0"/>
        <w:rPr>
          <w:color w:val="auto"/>
        </w:rPr>
      </w:pPr>
    </w:p>
    <w:tbl>
      <w:tblPr>
        <w:tblStyle w:val="12"/>
        <w:tblW w:w="10106" w:type="dxa"/>
        <w:tblInd w:w="-108" w:type="dxa"/>
        <w:tblLayout w:type="fixed"/>
        <w:tblCellMar>
          <w:top w:w="0" w:type="dxa"/>
          <w:left w:w="108" w:type="dxa"/>
          <w:bottom w:w="0" w:type="dxa"/>
          <w:right w:w="108" w:type="dxa"/>
        </w:tblCellMar>
      </w:tblPr>
      <w:tblGrid>
        <w:gridCol w:w="974"/>
        <w:gridCol w:w="8400"/>
        <w:gridCol w:w="732"/>
      </w:tblGrid>
      <w:tr w14:paraId="0C19C405">
        <w:tblPrEx>
          <w:tblCellMar>
            <w:top w:w="0" w:type="dxa"/>
            <w:left w:w="108" w:type="dxa"/>
            <w:bottom w:w="0" w:type="dxa"/>
            <w:right w:w="108" w:type="dxa"/>
          </w:tblCellMar>
        </w:tblPrEx>
        <w:tc>
          <w:tcPr>
            <w:tcW w:w="9374" w:type="dxa"/>
            <w:gridSpan w:val="2"/>
          </w:tcPr>
          <w:p w14:paraId="330B06F6">
            <w:pPr>
              <w:snapToGrid w:val="0"/>
              <w:spacing w:after="0"/>
              <w:rPr>
                <w:b/>
                <w:color w:val="auto"/>
                <w:szCs w:val="28"/>
              </w:rPr>
            </w:pPr>
            <w:r>
              <w:rPr>
                <w:b/>
                <w:color w:val="auto"/>
                <w:szCs w:val="28"/>
              </w:rPr>
              <w:t>НОРМАТИВТІК СІЛТЕМЕЛЕР</w:t>
            </w:r>
          </w:p>
        </w:tc>
        <w:tc>
          <w:tcPr>
            <w:tcW w:w="732" w:type="dxa"/>
          </w:tcPr>
          <w:p w14:paraId="7A6256F0">
            <w:pPr>
              <w:snapToGrid w:val="0"/>
              <w:spacing w:after="0"/>
              <w:jc w:val="center"/>
              <w:rPr>
                <w:rFonts w:hint="default"/>
                <w:b/>
                <w:color w:val="auto"/>
                <w:szCs w:val="28"/>
                <w:highlight w:val="none"/>
                <w:lang w:val="ru-RU"/>
              </w:rPr>
            </w:pPr>
            <w:r>
              <w:rPr>
                <w:rFonts w:hint="default"/>
                <w:bCs/>
                <w:color w:val="auto"/>
                <w:szCs w:val="28"/>
                <w:highlight w:val="none"/>
                <w:lang w:val="ru-RU"/>
              </w:rPr>
              <w:t>4</w:t>
            </w:r>
          </w:p>
        </w:tc>
      </w:tr>
      <w:tr w14:paraId="7BAB3D24">
        <w:tblPrEx>
          <w:tblCellMar>
            <w:top w:w="0" w:type="dxa"/>
            <w:left w:w="108" w:type="dxa"/>
            <w:bottom w:w="0" w:type="dxa"/>
            <w:right w:w="108" w:type="dxa"/>
          </w:tblCellMar>
        </w:tblPrEx>
        <w:tc>
          <w:tcPr>
            <w:tcW w:w="9374" w:type="dxa"/>
            <w:gridSpan w:val="2"/>
          </w:tcPr>
          <w:p w14:paraId="2555E0B3">
            <w:pPr>
              <w:snapToGrid w:val="0"/>
              <w:spacing w:after="0"/>
              <w:rPr>
                <w:b/>
                <w:color w:val="auto"/>
                <w:szCs w:val="28"/>
              </w:rPr>
            </w:pPr>
            <w:r>
              <w:rPr>
                <w:b/>
                <w:color w:val="auto"/>
                <w:szCs w:val="28"/>
              </w:rPr>
              <w:t>АНЫҚТАМАЛАР</w:t>
            </w:r>
          </w:p>
        </w:tc>
        <w:tc>
          <w:tcPr>
            <w:tcW w:w="732" w:type="dxa"/>
          </w:tcPr>
          <w:p w14:paraId="14EF338B">
            <w:pPr>
              <w:snapToGrid w:val="0"/>
              <w:spacing w:after="0"/>
              <w:jc w:val="center"/>
              <w:rPr>
                <w:rFonts w:hint="default"/>
                <w:bCs/>
                <w:color w:val="auto"/>
                <w:szCs w:val="28"/>
                <w:highlight w:val="none"/>
                <w:lang w:val="ru-RU"/>
              </w:rPr>
            </w:pPr>
            <w:r>
              <w:rPr>
                <w:rFonts w:hint="default"/>
                <w:bCs/>
                <w:color w:val="auto"/>
                <w:szCs w:val="28"/>
                <w:highlight w:val="none"/>
                <w:lang w:val="ru-RU"/>
              </w:rPr>
              <w:t>5</w:t>
            </w:r>
          </w:p>
        </w:tc>
      </w:tr>
      <w:tr w14:paraId="4BC45078">
        <w:tblPrEx>
          <w:tblCellMar>
            <w:top w:w="0" w:type="dxa"/>
            <w:left w:w="108" w:type="dxa"/>
            <w:bottom w:w="0" w:type="dxa"/>
            <w:right w:w="108" w:type="dxa"/>
          </w:tblCellMar>
        </w:tblPrEx>
        <w:tc>
          <w:tcPr>
            <w:tcW w:w="9374" w:type="dxa"/>
            <w:gridSpan w:val="2"/>
          </w:tcPr>
          <w:p w14:paraId="49874D45">
            <w:pPr>
              <w:snapToGrid w:val="0"/>
              <w:spacing w:after="0"/>
              <w:rPr>
                <w:b/>
                <w:color w:val="auto"/>
                <w:szCs w:val="28"/>
              </w:rPr>
            </w:pPr>
            <w:r>
              <w:rPr>
                <w:b/>
                <w:color w:val="auto"/>
                <w:szCs w:val="28"/>
              </w:rPr>
              <w:t>БЕЛГІЛЕУЛЕР МЕН ҚЫСҚАРТУЛАР</w:t>
            </w:r>
          </w:p>
        </w:tc>
        <w:tc>
          <w:tcPr>
            <w:tcW w:w="732" w:type="dxa"/>
          </w:tcPr>
          <w:p w14:paraId="71487977">
            <w:pPr>
              <w:snapToGrid w:val="0"/>
              <w:spacing w:after="0"/>
              <w:jc w:val="center"/>
              <w:rPr>
                <w:rFonts w:hint="default"/>
                <w:b/>
                <w:color w:val="auto"/>
                <w:szCs w:val="28"/>
                <w:highlight w:val="none"/>
                <w:lang w:val="ru-RU"/>
              </w:rPr>
            </w:pPr>
            <w:r>
              <w:rPr>
                <w:rFonts w:hint="default"/>
                <w:bCs/>
                <w:color w:val="auto"/>
                <w:szCs w:val="28"/>
                <w:highlight w:val="none"/>
                <w:lang w:val="ru-RU"/>
              </w:rPr>
              <w:t>7</w:t>
            </w:r>
          </w:p>
        </w:tc>
      </w:tr>
      <w:tr w14:paraId="7004EA39">
        <w:tblPrEx>
          <w:tblCellMar>
            <w:top w:w="0" w:type="dxa"/>
            <w:left w:w="108" w:type="dxa"/>
            <w:bottom w:w="0" w:type="dxa"/>
            <w:right w:w="108" w:type="dxa"/>
          </w:tblCellMar>
        </w:tblPrEx>
        <w:tc>
          <w:tcPr>
            <w:tcW w:w="9374" w:type="dxa"/>
            <w:gridSpan w:val="2"/>
          </w:tcPr>
          <w:p w14:paraId="25693087">
            <w:pPr>
              <w:snapToGrid w:val="0"/>
              <w:spacing w:after="0"/>
              <w:rPr>
                <w:b/>
                <w:color w:val="auto"/>
                <w:szCs w:val="28"/>
              </w:rPr>
            </w:pPr>
            <w:r>
              <w:rPr>
                <w:b/>
                <w:color w:val="auto"/>
                <w:szCs w:val="28"/>
              </w:rPr>
              <w:t>КІРІСПЕ</w:t>
            </w:r>
          </w:p>
        </w:tc>
        <w:tc>
          <w:tcPr>
            <w:tcW w:w="732" w:type="dxa"/>
          </w:tcPr>
          <w:p w14:paraId="7B0B3C30">
            <w:pPr>
              <w:snapToGrid w:val="0"/>
              <w:spacing w:after="0"/>
              <w:jc w:val="center"/>
              <w:rPr>
                <w:rFonts w:hint="default"/>
                <w:b/>
                <w:color w:val="auto"/>
                <w:szCs w:val="28"/>
                <w:highlight w:val="none"/>
                <w:lang w:val="ru-RU"/>
              </w:rPr>
            </w:pPr>
          </w:p>
        </w:tc>
      </w:tr>
      <w:tr w14:paraId="0E90D252">
        <w:tblPrEx>
          <w:tblCellMar>
            <w:top w:w="0" w:type="dxa"/>
            <w:left w:w="108" w:type="dxa"/>
            <w:bottom w:w="0" w:type="dxa"/>
            <w:right w:w="108" w:type="dxa"/>
          </w:tblCellMar>
        </w:tblPrEx>
        <w:tc>
          <w:tcPr>
            <w:tcW w:w="974" w:type="dxa"/>
          </w:tcPr>
          <w:p w14:paraId="2BA5598A">
            <w:pPr>
              <w:snapToGrid w:val="0"/>
              <w:spacing w:after="0"/>
              <w:rPr>
                <w:b/>
                <w:color w:val="auto"/>
                <w:szCs w:val="28"/>
              </w:rPr>
            </w:pPr>
            <w:r>
              <w:rPr>
                <w:b/>
                <w:color w:val="auto"/>
                <w:szCs w:val="28"/>
              </w:rPr>
              <w:t>1</w:t>
            </w:r>
          </w:p>
        </w:tc>
        <w:tc>
          <w:tcPr>
            <w:tcW w:w="8400" w:type="dxa"/>
          </w:tcPr>
          <w:p w14:paraId="2FDD43EC">
            <w:pPr>
              <w:snapToGrid w:val="0"/>
              <w:spacing w:after="0"/>
              <w:rPr>
                <w:b/>
                <w:color w:val="auto"/>
                <w:szCs w:val="28"/>
              </w:rPr>
            </w:pPr>
            <w:r>
              <w:rPr>
                <w:b/>
                <w:color w:val="auto"/>
                <w:szCs w:val="28"/>
              </w:rPr>
              <w:t xml:space="preserve"> МҰНАЙМЕН ЛАСТАНҒАН ТОПЫРАҚТЫҢ БИОРЕМЕДИАЦИЯСЫНЫҢ ТЕОРИЯЛЫҚ НЕГІЗДЕРІ</w:t>
            </w:r>
          </w:p>
        </w:tc>
        <w:tc>
          <w:tcPr>
            <w:tcW w:w="732" w:type="dxa"/>
          </w:tcPr>
          <w:p w14:paraId="5DF37425">
            <w:pPr>
              <w:snapToGrid w:val="0"/>
              <w:spacing w:after="0"/>
              <w:jc w:val="center"/>
              <w:rPr>
                <w:rFonts w:hint="default"/>
                <w:b/>
                <w:color w:val="auto"/>
                <w:szCs w:val="28"/>
                <w:highlight w:val="none"/>
                <w:lang w:val="ru-RU"/>
              </w:rPr>
            </w:pPr>
            <w:r>
              <w:rPr>
                <w:bCs/>
                <w:color w:val="auto"/>
                <w:szCs w:val="28"/>
                <w:highlight w:val="none"/>
                <w:lang w:val="kk-KZ"/>
              </w:rPr>
              <w:t>1</w:t>
            </w:r>
            <w:r>
              <w:rPr>
                <w:rFonts w:hint="default"/>
                <w:bCs/>
                <w:color w:val="auto"/>
                <w:szCs w:val="28"/>
                <w:highlight w:val="none"/>
                <w:lang w:val="ru-RU"/>
              </w:rPr>
              <w:t>4</w:t>
            </w:r>
          </w:p>
        </w:tc>
      </w:tr>
      <w:tr w14:paraId="6C7E15DE">
        <w:tblPrEx>
          <w:tblCellMar>
            <w:top w:w="0" w:type="dxa"/>
            <w:left w:w="108" w:type="dxa"/>
            <w:bottom w:w="0" w:type="dxa"/>
            <w:right w:w="108" w:type="dxa"/>
          </w:tblCellMar>
        </w:tblPrEx>
        <w:tc>
          <w:tcPr>
            <w:tcW w:w="974" w:type="dxa"/>
          </w:tcPr>
          <w:p w14:paraId="515D5CF9">
            <w:pPr>
              <w:snapToGrid w:val="0"/>
              <w:spacing w:after="0"/>
              <w:rPr>
                <w:color w:val="auto"/>
                <w:szCs w:val="28"/>
              </w:rPr>
            </w:pPr>
            <w:r>
              <w:rPr>
                <w:color w:val="auto"/>
                <w:szCs w:val="28"/>
              </w:rPr>
              <w:t xml:space="preserve">1.1 </w:t>
            </w:r>
          </w:p>
        </w:tc>
        <w:tc>
          <w:tcPr>
            <w:tcW w:w="8400" w:type="dxa"/>
          </w:tcPr>
          <w:p w14:paraId="7FF10D47">
            <w:pPr>
              <w:snapToGrid w:val="0"/>
              <w:spacing w:after="0"/>
              <w:rPr>
                <w:rFonts w:hint="default"/>
                <w:color w:val="auto"/>
                <w:szCs w:val="28"/>
                <w:highlight w:val="none"/>
                <w:lang w:val="kk-KZ"/>
              </w:rPr>
            </w:pPr>
            <w:r>
              <w:rPr>
                <w:color w:val="auto"/>
                <w:szCs w:val="28"/>
                <w:highlight w:val="none"/>
                <w:lang w:val="kk-KZ"/>
              </w:rPr>
              <w:t>Топырақтың</w:t>
            </w:r>
            <w:r>
              <w:rPr>
                <w:color w:val="auto"/>
                <w:szCs w:val="28"/>
                <w:highlight w:val="none"/>
              </w:rPr>
              <w:t xml:space="preserve"> м</w:t>
            </w:r>
            <w:r>
              <w:rPr>
                <w:color w:val="auto"/>
                <w:szCs w:val="28"/>
                <w:highlight w:val="none"/>
                <w:lang w:val="kk-KZ"/>
              </w:rPr>
              <w:t>ұнай өнімдерімен ластану көздері мен масштабтарына</w:t>
            </w:r>
            <w:r>
              <w:rPr>
                <w:rFonts w:hint="default"/>
                <w:color w:val="auto"/>
                <w:szCs w:val="28"/>
                <w:highlight w:val="none"/>
                <w:lang w:val="kk-KZ"/>
              </w:rPr>
              <w:t xml:space="preserve"> шолу</w:t>
            </w:r>
          </w:p>
        </w:tc>
        <w:tc>
          <w:tcPr>
            <w:tcW w:w="732" w:type="dxa"/>
          </w:tcPr>
          <w:p w14:paraId="2290B09C">
            <w:pPr>
              <w:snapToGrid w:val="0"/>
              <w:spacing w:after="0"/>
              <w:jc w:val="center"/>
              <w:rPr>
                <w:rFonts w:hint="default"/>
                <w:color w:val="auto"/>
                <w:szCs w:val="28"/>
                <w:highlight w:val="none"/>
                <w:lang w:val="ru-RU"/>
              </w:rPr>
            </w:pPr>
            <w:r>
              <w:rPr>
                <w:color w:val="auto"/>
                <w:szCs w:val="28"/>
                <w:highlight w:val="none"/>
                <w:lang w:val="kk-KZ"/>
              </w:rPr>
              <w:t>1</w:t>
            </w:r>
            <w:r>
              <w:rPr>
                <w:rFonts w:hint="default"/>
                <w:color w:val="auto"/>
                <w:szCs w:val="28"/>
                <w:highlight w:val="none"/>
                <w:lang w:val="ru-RU"/>
              </w:rPr>
              <w:t>4</w:t>
            </w:r>
          </w:p>
        </w:tc>
      </w:tr>
      <w:tr w14:paraId="79F9C11C">
        <w:tblPrEx>
          <w:tblCellMar>
            <w:top w:w="0" w:type="dxa"/>
            <w:left w:w="108" w:type="dxa"/>
            <w:bottom w:w="0" w:type="dxa"/>
            <w:right w:w="108" w:type="dxa"/>
          </w:tblCellMar>
        </w:tblPrEx>
        <w:tc>
          <w:tcPr>
            <w:tcW w:w="974" w:type="dxa"/>
          </w:tcPr>
          <w:p w14:paraId="619DD59C">
            <w:pPr>
              <w:snapToGrid w:val="0"/>
              <w:spacing w:after="0"/>
              <w:rPr>
                <w:color w:val="auto"/>
                <w:szCs w:val="28"/>
              </w:rPr>
            </w:pPr>
            <w:r>
              <w:rPr>
                <w:color w:val="auto"/>
                <w:szCs w:val="28"/>
              </w:rPr>
              <w:t>1.2</w:t>
            </w:r>
          </w:p>
        </w:tc>
        <w:tc>
          <w:tcPr>
            <w:tcW w:w="8400" w:type="dxa"/>
          </w:tcPr>
          <w:p w14:paraId="3E0BBA4E">
            <w:pPr>
              <w:pStyle w:val="301"/>
              <w:tabs>
                <w:tab w:val="left" w:pos="0"/>
              </w:tabs>
              <w:spacing w:before="0" w:after="0"/>
              <w:rPr>
                <w:rFonts w:hint="default"/>
                <w:color w:val="auto"/>
                <w:sz w:val="28"/>
                <w:szCs w:val="28"/>
                <w:highlight w:val="none"/>
                <w:lang w:val="kk-KZ"/>
              </w:rPr>
            </w:pPr>
            <w:r>
              <w:rPr>
                <w:color w:val="auto"/>
                <w:sz w:val="28"/>
                <w:szCs w:val="28"/>
                <w:highlight w:val="none"/>
              </w:rPr>
              <w:t>Топырақтың физика-химиялық және биологиялық қасиеттеріне мұнаймен ластанудың әсері</w:t>
            </w:r>
            <w:r>
              <w:rPr>
                <w:color w:val="auto"/>
                <w:sz w:val="28"/>
                <w:szCs w:val="28"/>
                <w:highlight w:val="none"/>
                <w:lang w:val="kk-KZ"/>
              </w:rPr>
              <w:t>н</w:t>
            </w:r>
            <w:r>
              <w:rPr>
                <w:rFonts w:hint="default"/>
                <w:color w:val="auto"/>
                <w:sz w:val="28"/>
                <w:szCs w:val="28"/>
                <w:highlight w:val="none"/>
                <w:lang w:val="kk-KZ"/>
              </w:rPr>
              <w:t xml:space="preserve"> талдау</w:t>
            </w:r>
          </w:p>
        </w:tc>
        <w:tc>
          <w:tcPr>
            <w:tcW w:w="732" w:type="dxa"/>
          </w:tcPr>
          <w:p w14:paraId="50E79693">
            <w:pPr>
              <w:snapToGrid w:val="0"/>
              <w:spacing w:after="0"/>
              <w:jc w:val="center"/>
              <w:rPr>
                <w:rFonts w:hint="default"/>
                <w:color w:val="auto"/>
                <w:szCs w:val="28"/>
                <w:highlight w:val="none"/>
                <w:lang w:val="ru-RU"/>
              </w:rPr>
            </w:pPr>
            <w:r>
              <w:rPr>
                <w:color w:val="auto"/>
                <w:szCs w:val="28"/>
                <w:highlight w:val="none"/>
                <w:lang w:val="kk-KZ"/>
              </w:rPr>
              <w:t>1</w:t>
            </w:r>
            <w:r>
              <w:rPr>
                <w:rFonts w:hint="default"/>
                <w:color w:val="auto"/>
                <w:szCs w:val="28"/>
                <w:highlight w:val="none"/>
                <w:lang w:val="ru-RU"/>
              </w:rPr>
              <w:t>9</w:t>
            </w:r>
          </w:p>
        </w:tc>
      </w:tr>
      <w:tr w14:paraId="6AC9583F">
        <w:tblPrEx>
          <w:tblCellMar>
            <w:top w:w="0" w:type="dxa"/>
            <w:left w:w="108" w:type="dxa"/>
            <w:bottom w:w="0" w:type="dxa"/>
            <w:right w:w="108" w:type="dxa"/>
          </w:tblCellMar>
        </w:tblPrEx>
        <w:tc>
          <w:tcPr>
            <w:tcW w:w="974" w:type="dxa"/>
          </w:tcPr>
          <w:p w14:paraId="274D8745">
            <w:pPr>
              <w:snapToGrid w:val="0"/>
              <w:spacing w:after="0"/>
              <w:rPr>
                <w:color w:val="auto"/>
                <w:szCs w:val="28"/>
              </w:rPr>
            </w:pPr>
            <w:r>
              <w:rPr>
                <w:color w:val="auto"/>
                <w:szCs w:val="28"/>
              </w:rPr>
              <w:t>1.3</w:t>
            </w:r>
          </w:p>
        </w:tc>
        <w:tc>
          <w:tcPr>
            <w:tcW w:w="8400" w:type="dxa"/>
          </w:tcPr>
          <w:p w14:paraId="0A488C5F">
            <w:pPr>
              <w:pStyle w:val="3"/>
              <w:keepNext w:val="0"/>
              <w:keepLines w:val="0"/>
              <w:numPr>
                <w:ilvl w:val="1"/>
                <w:numId w:val="0"/>
              </w:numPr>
              <w:spacing w:before="0"/>
              <w:rPr>
                <w:rFonts w:hint="default" w:ascii="Times New Roman" w:hAnsi="Times New Roman"/>
                <w:color w:val="auto"/>
                <w:sz w:val="28"/>
                <w:szCs w:val="28"/>
                <w:lang w:val="kk-KZ"/>
              </w:rPr>
            </w:pPr>
            <w:r>
              <w:rPr>
                <w:rFonts w:ascii="Times New Roman" w:hAnsi="Times New Roman"/>
                <w:color w:val="auto"/>
                <w:sz w:val="28"/>
                <w:szCs w:val="28"/>
                <w:lang w:val="kk-KZ"/>
              </w:rPr>
              <w:t>Мұнаймен ластанған топырақтарды тазалаудың заманауи әдістеріне</w:t>
            </w:r>
            <w:r>
              <w:rPr>
                <w:rFonts w:hint="default" w:ascii="Times New Roman" w:hAnsi="Times New Roman"/>
                <w:color w:val="auto"/>
                <w:sz w:val="28"/>
                <w:szCs w:val="28"/>
                <w:lang w:val="kk-KZ"/>
              </w:rPr>
              <w:t xml:space="preserve"> шолу</w:t>
            </w:r>
          </w:p>
        </w:tc>
        <w:tc>
          <w:tcPr>
            <w:tcW w:w="732" w:type="dxa"/>
          </w:tcPr>
          <w:p w14:paraId="03D98121">
            <w:pPr>
              <w:snapToGrid w:val="0"/>
              <w:spacing w:after="0"/>
              <w:jc w:val="center"/>
              <w:rPr>
                <w:rFonts w:hint="default"/>
                <w:color w:val="auto"/>
                <w:szCs w:val="28"/>
                <w:highlight w:val="none"/>
                <w:lang w:val="ru-RU"/>
              </w:rPr>
            </w:pPr>
            <w:r>
              <w:rPr>
                <w:color w:val="auto"/>
                <w:szCs w:val="28"/>
                <w:highlight w:val="none"/>
                <w:lang w:val="kk-KZ"/>
              </w:rPr>
              <w:t>2</w:t>
            </w:r>
            <w:r>
              <w:rPr>
                <w:rFonts w:hint="default"/>
                <w:color w:val="auto"/>
                <w:szCs w:val="28"/>
                <w:highlight w:val="none"/>
                <w:lang w:val="ru-RU"/>
              </w:rPr>
              <w:t>2</w:t>
            </w:r>
          </w:p>
        </w:tc>
      </w:tr>
      <w:tr w14:paraId="5B749E1A">
        <w:tblPrEx>
          <w:tblCellMar>
            <w:top w:w="0" w:type="dxa"/>
            <w:left w:w="108" w:type="dxa"/>
            <w:bottom w:w="0" w:type="dxa"/>
            <w:right w:w="108" w:type="dxa"/>
          </w:tblCellMar>
        </w:tblPrEx>
        <w:tc>
          <w:tcPr>
            <w:tcW w:w="974" w:type="dxa"/>
          </w:tcPr>
          <w:p w14:paraId="32D071C2">
            <w:pPr>
              <w:snapToGrid w:val="0"/>
              <w:spacing w:after="0"/>
              <w:rPr>
                <w:color w:val="auto"/>
                <w:szCs w:val="28"/>
                <w:highlight w:val="yellow"/>
              </w:rPr>
            </w:pPr>
            <w:r>
              <w:rPr>
                <w:color w:val="auto"/>
                <w:szCs w:val="28"/>
              </w:rPr>
              <w:t>1.4</w:t>
            </w:r>
          </w:p>
        </w:tc>
        <w:tc>
          <w:tcPr>
            <w:tcW w:w="8400" w:type="dxa"/>
          </w:tcPr>
          <w:p w14:paraId="5A6A70C4">
            <w:pPr>
              <w:pStyle w:val="301"/>
              <w:tabs>
                <w:tab w:val="left" w:pos="0"/>
              </w:tabs>
              <w:spacing w:before="0" w:after="0"/>
              <w:rPr>
                <w:color w:val="auto"/>
                <w:sz w:val="28"/>
                <w:szCs w:val="28"/>
                <w:highlight w:val="yellow"/>
              </w:rPr>
            </w:pPr>
            <w:r>
              <w:rPr>
                <w:color w:val="auto"/>
                <w:sz w:val="28"/>
                <w:szCs w:val="28"/>
              </w:rPr>
              <w:t>Биоремедиациялау</w:t>
            </w:r>
            <w:r>
              <w:rPr>
                <w:rFonts w:hint="default"/>
                <w:color w:val="auto"/>
                <w:sz w:val="28"/>
                <w:szCs w:val="28"/>
                <w:lang w:val="ru-RU"/>
              </w:rPr>
              <w:t xml:space="preserve"> </w:t>
            </w:r>
            <w:r>
              <w:rPr>
                <w:color w:val="auto"/>
                <w:sz w:val="28"/>
                <w:szCs w:val="28"/>
              </w:rPr>
              <w:t>әдістері: принциптері және әсер ету механизмдері</w:t>
            </w:r>
          </w:p>
        </w:tc>
        <w:tc>
          <w:tcPr>
            <w:tcW w:w="732" w:type="dxa"/>
          </w:tcPr>
          <w:p w14:paraId="6057C6AF">
            <w:pPr>
              <w:snapToGrid w:val="0"/>
              <w:spacing w:after="0"/>
              <w:jc w:val="center"/>
              <w:rPr>
                <w:rFonts w:hint="default"/>
                <w:color w:val="auto"/>
                <w:szCs w:val="28"/>
                <w:highlight w:val="none"/>
                <w:lang w:val="ru-RU"/>
              </w:rPr>
            </w:pPr>
            <w:r>
              <w:rPr>
                <w:color w:val="auto"/>
                <w:szCs w:val="28"/>
                <w:highlight w:val="none"/>
                <w:lang w:val="kk-KZ"/>
              </w:rPr>
              <w:t>2</w:t>
            </w:r>
            <w:r>
              <w:rPr>
                <w:rFonts w:hint="default"/>
                <w:color w:val="auto"/>
                <w:szCs w:val="28"/>
                <w:highlight w:val="none"/>
                <w:lang w:val="ru-RU"/>
              </w:rPr>
              <w:t>3</w:t>
            </w:r>
          </w:p>
        </w:tc>
      </w:tr>
      <w:tr w14:paraId="7D9F46EA">
        <w:tblPrEx>
          <w:tblCellMar>
            <w:top w:w="0" w:type="dxa"/>
            <w:left w:w="108" w:type="dxa"/>
            <w:bottom w:w="0" w:type="dxa"/>
            <w:right w:w="108" w:type="dxa"/>
          </w:tblCellMar>
        </w:tblPrEx>
        <w:trPr>
          <w:trHeight w:val="723" w:hRule="atLeast"/>
        </w:trPr>
        <w:tc>
          <w:tcPr>
            <w:tcW w:w="974" w:type="dxa"/>
          </w:tcPr>
          <w:p w14:paraId="57C8A8EE">
            <w:pPr>
              <w:snapToGrid w:val="0"/>
              <w:spacing w:after="0"/>
              <w:rPr>
                <w:color w:val="auto"/>
                <w:szCs w:val="28"/>
              </w:rPr>
            </w:pPr>
            <w:r>
              <w:rPr>
                <w:color w:val="auto"/>
                <w:szCs w:val="28"/>
              </w:rPr>
              <w:t>1.5</w:t>
            </w:r>
          </w:p>
        </w:tc>
        <w:tc>
          <w:tcPr>
            <w:tcW w:w="8400" w:type="dxa"/>
          </w:tcPr>
          <w:p w14:paraId="1E07BA45">
            <w:pPr>
              <w:rPr>
                <w:color w:val="auto"/>
                <w:szCs w:val="28"/>
                <w:highlight w:val="yellow"/>
              </w:rPr>
            </w:pPr>
            <w:r>
              <w:rPr>
                <w:rFonts w:eastAsia="Times New Roman"/>
                <w:color w:val="auto"/>
                <w:szCs w:val="28"/>
              </w:rPr>
              <w:t>Мұнай және мұнай өнімдерін деструкциялайтын микроорганизмдер: жіктелуі, ерекшеліктері және белсенділігі</w:t>
            </w:r>
          </w:p>
        </w:tc>
        <w:tc>
          <w:tcPr>
            <w:tcW w:w="732" w:type="dxa"/>
          </w:tcPr>
          <w:p w14:paraId="736655F2">
            <w:pPr>
              <w:snapToGrid w:val="0"/>
              <w:spacing w:after="0"/>
              <w:jc w:val="center"/>
              <w:rPr>
                <w:color w:val="auto"/>
                <w:szCs w:val="28"/>
                <w:highlight w:val="yellow"/>
                <w:lang w:val="kk-KZ"/>
              </w:rPr>
            </w:pPr>
            <w:r>
              <w:rPr>
                <w:color w:val="auto"/>
                <w:szCs w:val="28"/>
                <w:highlight w:val="none"/>
                <w:lang w:val="kk-KZ"/>
              </w:rPr>
              <w:t>27</w:t>
            </w:r>
          </w:p>
        </w:tc>
      </w:tr>
      <w:tr w14:paraId="5304D0C2">
        <w:tblPrEx>
          <w:tblCellMar>
            <w:top w:w="0" w:type="dxa"/>
            <w:left w:w="108" w:type="dxa"/>
            <w:bottom w:w="0" w:type="dxa"/>
            <w:right w:w="108" w:type="dxa"/>
          </w:tblCellMar>
        </w:tblPrEx>
        <w:trPr>
          <w:trHeight w:val="723" w:hRule="atLeast"/>
        </w:trPr>
        <w:tc>
          <w:tcPr>
            <w:tcW w:w="974" w:type="dxa"/>
          </w:tcPr>
          <w:p w14:paraId="187BB80E">
            <w:pPr>
              <w:snapToGrid w:val="0"/>
              <w:spacing w:after="0"/>
              <w:rPr>
                <w:color w:val="auto"/>
                <w:szCs w:val="28"/>
                <w:lang w:val="kk-KZ"/>
              </w:rPr>
            </w:pPr>
            <w:r>
              <w:rPr>
                <w:color w:val="auto"/>
                <w:szCs w:val="28"/>
                <w:lang w:val="kk-KZ"/>
              </w:rPr>
              <w:t>1.6</w:t>
            </w:r>
          </w:p>
        </w:tc>
        <w:tc>
          <w:tcPr>
            <w:tcW w:w="8400" w:type="dxa"/>
          </w:tcPr>
          <w:p w14:paraId="0E243B7B">
            <w:pPr>
              <w:spacing w:after="0"/>
              <w:rPr>
                <w:rFonts w:eastAsia="Times New Roman"/>
                <w:color w:val="auto"/>
                <w:szCs w:val="28"/>
                <w:lang w:val="kk-KZ"/>
              </w:rPr>
            </w:pPr>
            <w:r>
              <w:rPr>
                <w:color w:val="auto"/>
                <w:lang w:val="kk-KZ"/>
              </w:rPr>
              <w:t>Микроорганизмдерді иммобилизациялау: тәсілдері,  тасымалдағыштар түрлері және қолданудың артықшылықтары</w:t>
            </w:r>
          </w:p>
        </w:tc>
        <w:tc>
          <w:tcPr>
            <w:tcW w:w="732" w:type="dxa"/>
          </w:tcPr>
          <w:p w14:paraId="207ECD19">
            <w:pPr>
              <w:snapToGrid w:val="0"/>
              <w:spacing w:after="0"/>
              <w:jc w:val="center"/>
              <w:rPr>
                <w:color w:val="auto"/>
                <w:szCs w:val="28"/>
                <w:highlight w:val="none"/>
                <w:lang w:val="kk-KZ"/>
              </w:rPr>
            </w:pPr>
            <w:r>
              <w:rPr>
                <w:color w:val="auto"/>
                <w:szCs w:val="28"/>
                <w:highlight w:val="none"/>
                <w:lang w:val="kk-KZ"/>
              </w:rPr>
              <w:t>29</w:t>
            </w:r>
          </w:p>
        </w:tc>
      </w:tr>
      <w:tr w14:paraId="11BA47B5">
        <w:tblPrEx>
          <w:tblCellMar>
            <w:top w:w="0" w:type="dxa"/>
            <w:left w:w="108" w:type="dxa"/>
            <w:bottom w:w="0" w:type="dxa"/>
            <w:right w:w="108" w:type="dxa"/>
          </w:tblCellMar>
        </w:tblPrEx>
        <w:trPr>
          <w:trHeight w:val="723" w:hRule="atLeast"/>
        </w:trPr>
        <w:tc>
          <w:tcPr>
            <w:tcW w:w="974" w:type="dxa"/>
          </w:tcPr>
          <w:p w14:paraId="129647C5">
            <w:pPr>
              <w:snapToGrid w:val="0"/>
              <w:spacing w:after="0"/>
              <w:rPr>
                <w:color w:val="auto"/>
                <w:szCs w:val="28"/>
                <w:lang w:val="kk-KZ"/>
              </w:rPr>
            </w:pPr>
            <w:r>
              <w:rPr>
                <w:color w:val="auto"/>
                <w:szCs w:val="28"/>
                <w:lang w:val="kk-KZ"/>
              </w:rPr>
              <w:t>1.7</w:t>
            </w:r>
          </w:p>
        </w:tc>
        <w:tc>
          <w:tcPr>
            <w:tcW w:w="8400" w:type="dxa"/>
          </w:tcPr>
          <w:p w14:paraId="0137366F">
            <w:pPr>
              <w:spacing w:after="0"/>
              <w:rPr>
                <w:color w:val="auto"/>
                <w:lang w:val="kk-KZ"/>
              </w:rPr>
            </w:pPr>
            <w:r>
              <w:rPr>
                <w:color w:val="auto"/>
                <w:szCs w:val="28"/>
                <w:lang w:val="kk-KZ"/>
              </w:rPr>
              <w:t>Биоремедиацияның қолданыстағы технологияларын талдау және олардың шектеулерін анықтау</w:t>
            </w:r>
          </w:p>
        </w:tc>
        <w:tc>
          <w:tcPr>
            <w:tcW w:w="732" w:type="dxa"/>
          </w:tcPr>
          <w:p w14:paraId="5C34DA17">
            <w:pPr>
              <w:snapToGrid w:val="0"/>
              <w:spacing w:after="0"/>
              <w:jc w:val="center"/>
              <w:rPr>
                <w:rFonts w:hint="default"/>
                <w:color w:val="auto"/>
                <w:szCs w:val="28"/>
                <w:highlight w:val="none"/>
                <w:lang w:val="ru-RU"/>
              </w:rPr>
            </w:pPr>
            <w:r>
              <w:rPr>
                <w:color w:val="auto"/>
                <w:szCs w:val="28"/>
                <w:highlight w:val="none"/>
                <w:lang w:val="kk-KZ"/>
              </w:rPr>
              <w:t>3</w:t>
            </w:r>
            <w:r>
              <w:rPr>
                <w:rFonts w:hint="default"/>
                <w:color w:val="auto"/>
                <w:szCs w:val="28"/>
                <w:highlight w:val="none"/>
                <w:lang w:val="ru-RU"/>
              </w:rPr>
              <w:t>4</w:t>
            </w:r>
          </w:p>
        </w:tc>
      </w:tr>
      <w:tr w14:paraId="1242A77B">
        <w:tblPrEx>
          <w:tblCellMar>
            <w:top w:w="0" w:type="dxa"/>
            <w:left w:w="108" w:type="dxa"/>
            <w:bottom w:w="0" w:type="dxa"/>
            <w:right w:w="108" w:type="dxa"/>
          </w:tblCellMar>
        </w:tblPrEx>
        <w:tc>
          <w:tcPr>
            <w:tcW w:w="974" w:type="dxa"/>
          </w:tcPr>
          <w:p w14:paraId="3BB292B6">
            <w:pPr>
              <w:snapToGrid w:val="0"/>
              <w:spacing w:after="0"/>
              <w:rPr>
                <w:color w:val="auto"/>
                <w:szCs w:val="28"/>
              </w:rPr>
            </w:pPr>
          </w:p>
        </w:tc>
        <w:tc>
          <w:tcPr>
            <w:tcW w:w="8400" w:type="dxa"/>
          </w:tcPr>
          <w:p w14:paraId="55D23785">
            <w:pPr>
              <w:snapToGrid w:val="0"/>
              <w:spacing w:after="0"/>
              <w:rPr>
                <w:color w:val="auto"/>
                <w:szCs w:val="28"/>
              </w:rPr>
            </w:pPr>
            <w:r>
              <w:rPr>
                <w:color w:val="auto"/>
                <w:szCs w:val="28"/>
                <w:highlight w:val="none"/>
              </w:rPr>
              <w:t>1-бөлім бойынша қорытынды</w:t>
            </w:r>
          </w:p>
        </w:tc>
        <w:tc>
          <w:tcPr>
            <w:tcW w:w="732" w:type="dxa"/>
          </w:tcPr>
          <w:p w14:paraId="46B2D3E6">
            <w:pPr>
              <w:snapToGrid w:val="0"/>
              <w:spacing w:after="0"/>
              <w:jc w:val="center"/>
              <w:rPr>
                <w:rFonts w:hint="default"/>
                <w:color w:val="auto"/>
                <w:szCs w:val="28"/>
                <w:highlight w:val="none"/>
                <w:lang w:val="ru-RU"/>
              </w:rPr>
            </w:pPr>
            <w:r>
              <w:rPr>
                <w:rFonts w:hint="default"/>
                <w:color w:val="auto"/>
                <w:szCs w:val="28"/>
                <w:highlight w:val="none"/>
                <w:lang w:val="ru-RU"/>
              </w:rPr>
              <w:t>36</w:t>
            </w:r>
          </w:p>
        </w:tc>
      </w:tr>
      <w:tr w14:paraId="069996F6">
        <w:tblPrEx>
          <w:tblCellMar>
            <w:top w:w="0" w:type="dxa"/>
            <w:left w:w="108" w:type="dxa"/>
            <w:bottom w:w="0" w:type="dxa"/>
            <w:right w:w="108" w:type="dxa"/>
          </w:tblCellMar>
        </w:tblPrEx>
        <w:tc>
          <w:tcPr>
            <w:tcW w:w="974" w:type="dxa"/>
          </w:tcPr>
          <w:p w14:paraId="287520C2">
            <w:pPr>
              <w:snapToGrid w:val="0"/>
              <w:spacing w:after="0"/>
              <w:rPr>
                <w:b/>
                <w:color w:val="auto"/>
                <w:szCs w:val="28"/>
              </w:rPr>
            </w:pPr>
            <w:r>
              <w:rPr>
                <w:b/>
                <w:color w:val="auto"/>
                <w:szCs w:val="28"/>
              </w:rPr>
              <w:t>2</w:t>
            </w:r>
          </w:p>
        </w:tc>
        <w:tc>
          <w:tcPr>
            <w:tcW w:w="8400" w:type="dxa"/>
          </w:tcPr>
          <w:p w14:paraId="1FAFCEEE">
            <w:pPr>
              <w:snapToGrid w:val="0"/>
              <w:spacing w:after="0"/>
              <w:rPr>
                <w:b/>
                <w:color w:val="auto"/>
                <w:szCs w:val="28"/>
              </w:rPr>
            </w:pPr>
            <w:r>
              <w:rPr>
                <w:b/>
                <w:color w:val="auto"/>
                <w:szCs w:val="28"/>
              </w:rPr>
              <w:t>ЗЕРТТЕУ МАТЕРИАЛДАРЫ МЕН ӘДІСТЕРІ</w:t>
            </w:r>
          </w:p>
        </w:tc>
        <w:tc>
          <w:tcPr>
            <w:tcW w:w="732" w:type="dxa"/>
          </w:tcPr>
          <w:p w14:paraId="7CA4441E">
            <w:pPr>
              <w:snapToGrid w:val="0"/>
              <w:spacing w:after="0"/>
              <w:jc w:val="center"/>
              <w:rPr>
                <w:rFonts w:hint="default"/>
                <w:bCs/>
                <w:color w:val="auto"/>
                <w:szCs w:val="28"/>
                <w:highlight w:val="none"/>
                <w:lang w:val="ru-RU"/>
              </w:rPr>
            </w:pPr>
            <w:r>
              <w:rPr>
                <w:bCs/>
                <w:color w:val="auto"/>
                <w:szCs w:val="28"/>
                <w:highlight w:val="none"/>
                <w:lang w:val="kk-KZ"/>
              </w:rPr>
              <w:t>3</w:t>
            </w:r>
            <w:r>
              <w:rPr>
                <w:rFonts w:hint="default"/>
                <w:bCs/>
                <w:color w:val="auto"/>
                <w:szCs w:val="28"/>
                <w:highlight w:val="none"/>
                <w:lang w:val="ru-RU"/>
              </w:rPr>
              <w:t>8</w:t>
            </w:r>
          </w:p>
        </w:tc>
      </w:tr>
      <w:tr w14:paraId="73B9D12A">
        <w:tblPrEx>
          <w:tblCellMar>
            <w:top w:w="0" w:type="dxa"/>
            <w:left w:w="108" w:type="dxa"/>
            <w:bottom w:w="0" w:type="dxa"/>
            <w:right w:w="108" w:type="dxa"/>
          </w:tblCellMar>
        </w:tblPrEx>
        <w:trPr>
          <w:trHeight w:val="349" w:hRule="atLeast"/>
        </w:trPr>
        <w:tc>
          <w:tcPr>
            <w:tcW w:w="974" w:type="dxa"/>
          </w:tcPr>
          <w:p w14:paraId="35ECA10A">
            <w:pPr>
              <w:snapToGrid w:val="0"/>
              <w:spacing w:after="0"/>
              <w:rPr>
                <w:b/>
                <w:color w:val="auto"/>
                <w:szCs w:val="28"/>
              </w:rPr>
            </w:pPr>
            <w:r>
              <w:rPr>
                <w:color w:val="auto"/>
                <w:szCs w:val="28"/>
              </w:rPr>
              <w:t>2.1</w:t>
            </w:r>
          </w:p>
        </w:tc>
        <w:tc>
          <w:tcPr>
            <w:tcW w:w="8400" w:type="dxa"/>
          </w:tcPr>
          <w:p w14:paraId="53DE8AB5">
            <w:pPr>
              <w:snapToGrid w:val="0"/>
              <w:spacing w:after="0"/>
              <w:rPr>
                <w:color w:val="auto"/>
                <w:szCs w:val="28"/>
                <w:lang w:val="kk-KZ"/>
              </w:rPr>
            </w:pPr>
            <w:r>
              <w:rPr>
                <w:color w:val="auto"/>
                <w:szCs w:val="28"/>
                <w:lang w:val="kk-KZ"/>
              </w:rPr>
              <w:t>Зерттеу</w:t>
            </w:r>
            <w:r>
              <w:rPr>
                <w:rFonts w:hint="default"/>
                <w:color w:val="auto"/>
                <w:szCs w:val="28"/>
                <w:lang w:val="kk-KZ"/>
              </w:rPr>
              <w:t xml:space="preserve"> аймағының сипаттамасы және зерттеу жағдайлары</w:t>
            </w:r>
            <w:r>
              <w:rPr>
                <w:color w:val="auto"/>
                <w:szCs w:val="28"/>
                <w:highlight w:val="none"/>
                <w:lang w:val="kk-KZ"/>
              </w:rPr>
              <w:t xml:space="preserve"> </w:t>
            </w:r>
          </w:p>
        </w:tc>
        <w:tc>
          <w:tcPr>
            <w:tcW w:w="732" w:type="dxa"/>
          </w:tcPr>
          <w:p w14:paraId="00F41D25">
            <w:pPr>
              <w:snapToGrid w:val="0"/>
              <w:spacing w:after="0"/>
              <w:jc w:val="center"/>
              <w:rPr>
                <w:bCs/>
                <w:color w:val="auto"/>
                <w:szCs w:val="28"/>
                <w:highlight w:val="none"/>
                <w:lang w:val="kk-KZ"/>
              </w:rPr>
            </w:pPr>
            <w:r>
              <w:rPr>
                <w:bCs/>
                <w:color w:val="auto"/>
                <w:szCs w:val="28"/>
                <w:highlight w:val="none"/>
                <w:lang w:val="kk-KZ"/>
              </w:rPr>
              <w:t>38</w:t>
            </w:r>
          </w:p>
        </w:tc>
      </w:tr>
      <w:tr w14:paraId="5578BAA1">
        <w:tblPrEx>
          <w:tblCellMar>
            <w:top w:w="0" w:type="dxa"/>
            <w:left w:w="108" w:type="dxa"/>
            <w:bottom w:w="0" w:type="dxa"/>
            <w:right w:w="108" w:type="dxa"/>
          </w:tblCellMar>
        </w:tblPrEx>
        <w:trPr>
          <w:trHeight w:val="349" w:hRule="atLeast"/>
        </w:trPr>
        <w:tc>
          <w:tcPr>
            <w:tcW w:w="974" w:type="dxa"/>
          </w:tcPr>
          <w:p w14:paraId="6F321692">
            <w:pPr>
              <w:snapToGrid w:val="0"/>
              <w:spacing w:after="0"/>
              <w:rPr>
                <w:color w:val="auto"/>
                <w:szCs w:val="28"/>
              </w:rPr>
            </w:pPr>
            <w:r>
              <w:rPr>
                <w:color w:val="auto"/>
                <w:szCs w:val="28"/>
              </w:rPr>
              <w:t>2.2</w:t>
            </w:r>
          </w:p>
          <w:p w14:paraId="73CD7E81">
            <w:pPr>
              <w:snapToGrid w:val="0"/>
              <w:spacing w:after="0"/>
              <w:rPr>
                <w:b/>
                <w:color w:val="auto"/>
                <w:szCs w:val="28"/>
              </w:rPr>
            </w:pPr>
          </w:p>
        </w:tc>
        <w:tc>
          <w:tcPr>
            <w:tcW w:w="8400" w:type="dxa"/>
          </w:tcPr>
          <w:p w14:paraId="6F56D785">
            <w:pPr>
              <w:snapToGrid w:val="0"/>
              <w:spacing w:after="0"/>
              <w:rPr>
                <w:rFonts w:hint="default"/>
                <w:color w:val="auto"/>
                <w:szCs w:val="28"/>
                <w:lang w:val="kk-KZ"/>
              </w:rPr>
            </w:pPr>
            <w:r>
              <w:rPr>
                <w:color w:val="auto"/>
                <w:szCs w:val="28"/>
              </w:rPr>
              <w:t>Мұнаймен ластанған топырақтың физика-химиялық және микробиологиялық параметрлер</w:t>
            </w:r>
            <w:r>
              <w:rPr>
                <w:color w:val="auto"/>
                <w:szCs w:val="28"/>
                <w:lang w:val="kk-KZ"/>
              </w:rPr>
              <w:t>ін</w:t>
            </w:r>
            <w:r>
              <w:rPr>
                <w:rFonts w:hint="default"/>
                <w:color w:val="auto"/>
                <w:szCs w:val="28"/>
                <w:lang w:val="kk-KZ"/>
              </w:rPr>
              <w:t xml:space="preserve"> анықтау</w:t>
            </w:r>
          </w:p>
        </w:tc>
        <w:tc>
          <w:tcPr>
            <w:tcW w:w="732" w:type="dxa"/>
          </w:tcPr>
          <w:p w14:paraId="78388E31">
            <w:pPr>
              <w:snapToGrid w:val="0"/>
              <w:spacing w:after="0"/>
              <w:jc w:val="center"/>
              <w:rPr>
                <w:rFonts w:hint="default"/>
                <w:bCs/>
                <w:color w:val="auto"/>
                <w:szCs w:val="28"/>
                <w:highlight w:val="none"/>
                <w:lang w:val="ru-RU"/>
              </w:rPr>
            </w:pPr>
            <w:r>
              <w:rPr>
                <w:bCs/>
                <w:color w:val="auto"/>
                <w:szCs w:val="28"/>
                <w:highlight w:val="none"/>
                <w:lang w:val="kk-KZ"/>
              </w:rPr>
              <w:t>3</w:t>
            </w:r>
            <w:r>
              <w:rPr>
                <w:rFonts w:hint="default"/>
                <w:bCs/>
                <w:color w:val="auto"/>
                <w:szCs w:val="28"/>
                <w:highlight w:val="none"/>
                <w:lang w:val="ru-RU"/>
              </w:rPr>
              <w:t>9</w:t>
            </w:r>
          </w:p>
        </w:tc>
      </w:tr>
      <w:tr w14:paraId="301617C5">
        <w:tblPrEx>
          <w:tblCellMar>
            <w:top w:w="0" w:type="dxa"/>
            <w:left w:w="108" w:type="dxa"/>
            <w:bottom w:w="0" w:type="dxa"/>
            <w:right w:w="108" w:type="dxa"/>
          </w:tblCellMar>
        </w:tblPrEx>
        <w:trPr>
          <w:trHeight w:val="714" w:hRule="atLeast"/>
        </w:trPr>
        <w:tc>
          <w:tcPr>
            <w:tcW w:w="974" w:type="dxa"/>
          </w:tcPr>
          <w:p w14:paraId="4604B5AE">
            <w:pPr>
              <w:snapToGrid w:val="0"/>
              <w:spacing w:after="0"/>
              <w:rPr>
                <w:color w:val="auto"/>
                <w:szCs w:val="28"/>
              </w:rPr>
            </w:pPr>
            <w:r>
              <w:rPr>
                <w:color w:val="auto"/>
                <w:szCs w:val="28"/>
              </w:rPr>
              <w:t>2.3</w:t>
            </w:r>
          </w:p>
          <w:p w14:paraId="61872AF3">
            <w:pPr>
              <w:snapToGrid w:val="0"/>
              <w:spacing w:after="0"/>
              <w:rPr>
                <w:b/>
                <w:color w:val="auto"/>
                <w:szCs w:val="28"/>
              </w:rPr>
            </w:pPr>
          </w:p>
        </w:tc>
        <w:tc>
          <w:tcPr>
            <w:tcW w:w="8400" w:type="dxa"/>
          </w:tcPr>
          <w:p w14:paraId="1F6AFA5C">
            <w:pPr>
              <w:spacing w:after="0"/>
              <w:rPr>
                <w:color w:val="auto"/>
                <w:szCs w:val="28"/>
              </w:rPr>
            </w:pPr>
            <w:r>
              <w:rPr>
                <w:color w:val="auto"/>
                <w:szCs w:val="28"/>
                <w:lang w:val="kk-KZ"/>
              </w:rPr>
              <w:t>М</w:t>
            </w:r>
            <w:r>
              <w:rPr>
                <w:color w:val="auto"/>
                <w:szCs w:val="28"/>
              </w:rPr>
              <w:t>ұнай-деструкторлар микроорганизмдерін зертханалық коллекция</w:t>
            </w:r>
            <w:r>
              <w:rPr>
                <w:color w:val="auto"/>
                <w:szCs w:val="28"/>
                <w:lang w:val="kk-KZ"/>
              </w:rPr>
              <w:t>дан</w:t>
            </w:r>
            <w:r>
              <w:rPr>
                <w:color w:val="auto"/>
                <w:szCs w:val="28"/>
              </w:rPr>
              <w:t xml:space="preserve"> іріктеу</w:t>
            </w:r>
          </w:p>
        </w:tc>
        <w:tc>
          <w:tcPr>
            <w:tcW w:w="732" w:type="dxa"/>
          </w:tcPr>
          <w:p w14:paraId="07D94244">
            <w:pPr>
              <w:snapToGrid w:val="0"/>
              <w:spacing w:after="0"/>
              <w:jc w:val="center"/>
              <w:rPr>
                <w:rFonts w:hint="default"/>
                <w:b/>
                <w:color w:val="auto"/>
                <w:szCs w:val="28"/>
                <w:highlight w:val="none"/>
                <w:lang w:val="ru-RU"/>
              </w:rPr>
            </w:pPr>
            <w:r>
              <w:rPr>
                <w:bCs/>
                <w:color w:val="auto"/>
                <w:szCs w:val="28"/>
                <w:highlight w:val="none"/>
                <w:lang w:val="kk-KZ"/>
              </w:rPr>
              <w:t>4</w:t>
            </w:r>
            <w:r>
              <w:rPr>
                <w:rFonts w:hint="default"/>
                <w:bCs/>
                <w:color w:val="auto"/>
                <w:szCs w:val="28"/>
                <w:highlight w:val="none"/>
                <w:lang w:val="ru-RU"/>
              </w:rPr>
              <w:t>2</w:t>
            </w:r>
          </w:p>
        </w:tc>
      </w:tr>
      <w:tr w14:paraId="45B8A811">
        <w:tblPrEx>
          <w:tblCellMar>
            <w:top w:w="0" w:type="dxa"/>
            <w:left w:w="108" w:type="dxa"/>
            <w:bottom w:w="0" w:type="dxa"/>
            <w:right w:w="108" w:type="dxa"/>
          </w:tblCellMar>
        </w:tblPrEx>
        <w:trPr>
          <w:trHeight w:val="349" w:hRule="atLeast"/>
        </w:trPr>
        <w:tc>
          <w:tcPr>
            <w:tcW w:w="974" w:type="dxa"/>
          </w:tcPr>
          <w:p w14:paraId="7B6B1D10">
            <w:pPr>
              <w:snapToGrid w:val="0"/>
              <w:spacing w:after="0"/>
              <w:rPr>
                <w:b/>
                <w:color w:val="auto"/>
                <w:szCs w:val="28"/>
                <w:lang w:val="kk-KZ"/>
              </w:rPr>
            </w:pPr>
            <w:r>
              <w:rPr>
                <w:bCs/>
                <w:color w:val="auto"/>
                <w:szCs w:val="28"/>
                <w:lang w:val="kk-KZ"/>
              </w:rPr>
              <w:t>2.4</w:t>
            </w:r>
          </w:p>
        </w:tc>
        <w:tc>
          <w:tcPr>
            <w:tcW w:w="8400" w:type="dxa"/>
          </w:tcPr>
          <w:p w14:paraId="143A7192">
            <w:pPr>
              <w:snapToGrid w:val="0"/>
              <w:spacing w:after="0"/>
              <w:ind w:left="-840" w:leftChars="-300"/>
              <w:rPr>
                <w:rFonts w:hint="default"/>
                <w:color w:val="auto"/>
                <w:szCs w:val="28"/>
                <w:lang w:val="kk-KZ"/>
              </w:rPr>
            </w:pPr>
            <w:r>
              <w:rPr>
                <w:color w:val="auto"/>
                <w:szCs w:val="28"/>
              </w:rPr>
              <w:t>Микр  Микроорганизмдерді иммобилизациялау</w:t>
            </w:r>
            <w:r>
              <w:rPr>
                <w:color w:val="auto"/>
                <w:szCs w:val="28"/>
                <w:lang w:val="kk-KZ"/>
              </w:rPr>
              <w:t xml:space="preserve"> процессінің</w:t>
            </w:r>
            <w:r>
              <w:rPr>
                <w:rFonts w:hint="default"/>
                <w:color w:val="auto"/>
                <w:szCs w:val="28"/>
                <w:lang w:val="kk-KZ"/>
              </w:rPr>
              <w:t xml:space="preserve"> әдістемесі</w:t>
            </w:r>
          </w:p>
        </w:tc>
        <w:tc>
          <w:tcPr>
            <w:tcW w:w="732" w:type="dxa"/>
          </w:tcPr>
          <w:p w14:paraId="06F0E532">
            <w:pPr>
              <w:snapToGrid w:val="0"/>
              <w:spacing w:after="0"/>
              <w:jc w:val="center"/>
              <w:rPr>
                <w:rFonts w:hint="default"/>
                <w:b/>
                <w:color w:val="auto"/>
                <w:szCs w:val="28"/>
                <w:highlight w:val="none"/>
                <w:lang w:val="ru-RU"/>
              </w:rPr>
            </w:pPr>
            <w:r>
              <w:rPr>
                <w:bCs/>
                <w:color w:val="auto"/>
                <w:szCs w:val="28"/>
                <w:highlight w:val="none"/>
                <w:lang w:val="kk-KZ"/>
              </w:rPr>
              <w:t>4</w:t>
            </w:r>
            <w:r>
              <w:rPr>
                <w:rFonts w:hint="default"/>
                <w:bCs/>
                <w:color w:val="auto"/>
                <w:szCs w:val="28"/>
                <w:highlight w:val="none"/>
                <w:lang w:val="ru-RU"/>
              </w:rPr>
              <w:t>3</w:t>
            </w:r>
          </w:p>
        </w:tc>
      </w:tr>
      <w:tr w14:paraId="7A4E5442">
        <w:tblPrEx>
          <w:tblCellMar>
            <w:top w:w="0" w:type="dxa"/>
            <w:left w:w="108" w:type="dxa"/>
            <w:bottom w:w="0" w:type="dxa"/>
            <w:right w:w="108" w:type="dxa"/>
          </w:tblCellMar>
        </w:tblPrEx>
        <w:trPr>
          <w:trHeight w:val="648" w:hRule="atLeast"/>
        </w:trPr>
        <w:tc>
          <w:tcPr>
            <w:tcW w:w="974" w:type="dxa"/>
          </w:tcPr>
          <w:p w14:paraId="4C9B8795">
            <w:pPr>
              <w:snapToGrid w:val="0"/>
              <w:spacing w:after="0"/>
              <w:rPr>
                <w:bCs/>
                <w:color w:val="auto"/>
                <w:szCs w:val="28"/>
              </w:rPr>
            </w:pPr>
            <w:r>
              <w:rPr>
                <w:bCs/>
                <w:color w:val="auto"/>
                <w:szCs w:val="28"/>
              </w:rPr>
              <w:t>2.5</w:t>
            </w:r>
          </w:p>
        </w:tc>
        <w:tc>
          <w:tcPr>
            <w:tcW w:w="8400" w:type="dxa"/>
          </w:tcPr>
          <w:p w14:paraId="7045D814">
            <w:pPr>
              <w:pStyle w:val="20"/>
              <w:spacing w:after="0"/>
              <w:rPr>
                <w:color w:val="auto"/>
                <w:szCs w:val="28"/>
              </w:rPr>
            </w:pPr>
            <w:r>
              <w:rPr>
                <w:rFonts w:ascii="Times New Roman" w:hAnsi="Times New Roman"/>
                <w:color w:val="auto"/>
                <w:sz w:val="28"/>
                <w:szCs w:val="28"/>
                <w:lang w:val="kk-KZ"/>
              </w:rPr>
              <w:t>Мұнай көмірсутектерін биоремедиациялау бойынша модельдік эксперименттер</w:t>
            </w:r>
            <w:r>
              <w:rPr>
                <w:rFonts w:ascii="Times New Roman" w:hAnsi="Times New Roman"/>
                <w:color w:val="auto"/>
                <w:sz w:val="28"/>
                <w:szCs w:val="28"/>
              </w:rPr>
              <w:t xml:space="preserve"> схемасы</w:t>
            </w:r>
          </w:p>
        </w:tc>
        <w:tc>
          <w:tcPr>
            <w:tcW w:w="732" w:type="dxa"/>
          </w:tcPr>
          <w:p w14:paraId="28E56581">
            <w:pPr>
              <w:snapToGrid w:val="0"/>
              <w:spacing w:after="0"/>
              <w:jc w:val="center"/>
              <w:rPr>
                <w:rFonts w:hint="default"/>
                <w:b/>
                <w:color w:val="auto"/>
                <w:szCs w:val="28"/>
                <w:highlight w:val="none"/>
                <w:lang w:val="ru-RU"/>
              </w:rPr>
            </w:pPr>
            <w:r>
              <w:rPr>
                <w:bCs/>
                <w:color w:val="auto"/>
                <w:szCs w:val="28"/>
                <w:highlight w:val="none"/>
                <w:lang w:val="kk-KZ"/>
              </w:rPr>
              <w:t>4</w:t>
            </w:r>
            <w:r>
              <w:rPr>
                <w:rFonts w:hint="default"/>
                <w:bCs/>
                <w:color w:val="auto"/>
                <w:szCs w:val="28"/>
                <w:highlight w:val="none"/>
                <w:lang w:val="ru-RU"/>
              </w:rPr>
              <w:t>6</w:t>
            </w:r>
          </w:p>
        </w:tc>
      </w:tr>
      <w:tr w14:paraId="086D25CB">
        <w:tblPrEx>
          <w:tblCellMar>
            <w:top w:w="0" w:type="dxa"/>
            <w:left w:w="108" w:type="dxa"/>
            <w:bottom w:w="0" w:type="dxa"/>
            <w:right w:w="108" w:type="dxa"/>
          </w:tblCellMar>
        </w:tblPrEx>
        <w:trPr>
          <w:trHeight w:val="1060" w:hRule="atLeast"/>
        </w:trPr>
        <w:tc>
          <w:tcPr>
            <w:tcW w:w="974" w:type="dxa"/>
          </w:tcPr>
          <w:p w14:paraId="4750E51D">
            <w:pPr>
              <w:snapToGrid w:val="0"/>
              <w:spacing w:after="0"/>
              <w:rPr>
                <w:color w:val="auto"/>
                <w:szCs w:val="28"/>
              </w:rPr>
            </w:pPr>
            <w:r>
              <w:rPr>
                <w:color w:val="auto"/>
                <w:szCs w:val="28"/>
              </w:rPr>
              <w:t>2.6</w:t>
            </w:r>
          </w:p>
          <w:p w14:paraId="0C2F5447">
            <w:pPr>
              <w:snapToGrid w:val="0"/>
              <w:spacing w:after="0"/>
              <w:rPr>
                <w:bCs/>
                <w:color w:val="auto"/>
                <w:szCs w:val="28"/>
              </w:rPr>
            </w:pPr>
          </w:p>
        </w:tc>
        <w:tc>
          <w:tcPr>
            <w:tcW w:w="8400" w:type="dxa"/>
          </w:tcPr>
          <w:p w14:paraId="5E83D852">
            <w:pPr>
              <w:pStyle w:val="20"/>
              <w:spacing w:after="0"/>
              <w:rPr>
                <w:color w:val="auto"/>
                <w:szCs w:val="28"/>
              </w:rPr>
            </w:pPr>
            <w:r>
              <w:rPr>
                <w:rFonts w:ascii="Times New Roman" w:hAnsi="Times New Roman"/>
                <w:color w:val="auto"/>
                <w:sz w:val="28"/>
                <w:szCs w:val="28"/>
                <w:lang w:val="kk-KZ"/>
              </w:rPr>
              <w:t>Аналитикалық әдістер</w:t>
            </w:r>
            <w:r>
              <w:rPr>
                <w:rFonts w:ascii="Times New Roman" w:hAnsi="Times New Roman"/>
                <w:color w:val="auto"/>
                <w:sz w:val="28"/>
                <w:szCs w:val="28"/>
              </w:rPr>
              <w:t xml:space="preserve">: </w:t>
            </w:r>
            <w:r>
              <w:rPr>
                <w:rFonts w:ascii="Times New Roman" w:hAnsi="Times New Roman"/>
                <w:color w:val="auto"/>
                <w:sz w:val="28"/>
                <w:szCs w:val="28"/>
                <w:lang w:val="kk-KZ"/>
              </w:rPr>
              <w:t>көмірсутектердің ыдырау дәрежесін анықтау, көмірсутектің фракциялық талдауы, деструкция кинетикасын модельдеу, ферменттік белсенділікті анықтау</w:t>
            </w:r>
          </w:p>
        </w:tc>
        <w:tc>
          <w:tcPr>
            <w:tcW w:w="732" w:type="dxa"/>
          </w:tcPr>
          <w:p w14:paraId="07287899">
            <w:pPr>
              <w:snapToGrid w:val="0"/>
              <w:spacing w:after="0"/>
              <w:jc w:val="center"/>
              <w:rPr>
                <w:rFonts w:hint="default"/>
                <w:bCs/>
                <w:color w:val="auto"/>
                <w:szCs w:val="28"/>
                <w:highlight w:val="none"/>
                <w:lang w:val="ru-RU"/>
              </w:rPr>
            </w:pPr>
            <w:r>
              <w:rPr>
                <w:rFonts w:hint="default"/>
                <w:bCs/>
                <w:color w:val="auto"/>
                <w:szCs w:val="28"/>
                <w:highlight w:val="none"/>
                <w:lang w:val="ru-RU"/>
              </w:rPr>
              <w:t>50</w:t>
            </w:r>
          </w:p>
        </w:tc>
      </w:tr>
      <w:tr w14:paraId="1D00C591">
        <w:tblPrEx>
          <w:tblCellMar>
            <w:top w:w="0" w:type="dxa"/>
            <w:left w:w="108" w:type="dxa"/>
            <w:bottom w:w="0" w:type="dxa"/>
            <w:right w:w="108" w:type="dxa"/>
          </w:tblCellMar>
        </w:tblPrEx>
        <w:trPr>
          <w:trHeight w:val="407" w:hRule="atLeast"/>
        </w:trPr>
        <w:tc>
          <w:tcPr>
            <w:tcW w:w="974" w:type="dxa"/>
          </w:tcPr>
          <w:p w14:paraId="4624089A">
            <w:pPr>
              <w:snapToGrid w:val="0"/>
              <w:spacing w:after="0"/>
              <w:rPr>
                <w:bCs/>
                <w:color w:val="auto"/>
                <w:szCs w:val="28"/>
              </w:rPr>
            </w:pPr>
            <w:r>
              <w:rPr>
                <w:bCs/>
                <w:color w:val="auto"/>
                <w:szCs w:val="28"/>
              </w:rPr>
              <w:t>2.7</w:t>
            </w:r>
          </w:p>
        </w:tc>
        <w:tc>
          <w:tcPr>
            <w:tcW w:w="8400" w:type="dxa"/>
          </w:tcPr>
          <w:p w14:paraId="631080A9">
            <w:pPr>
              <w:pStyle w:val="20"/>
              <w:spacing w:after="0"/>
              <w:rPr>
                <w:rFonts w:ascii="Times New Roman" w:hAnsi="Times New Roman" w:cs="Times New Roman"/>
                <w:color w:val="auto"/>
                <w:sz w:val="28"/>
                <w:szCs w:val="28"/>
              </w:rPr>
            </w:pPr>
            <w:r>
              <w:rPr>
                <w:rFonts w:ascii="Times New Roman" w:hAnsi="Times New Roman"/>
                <w:color w:val="auto"/>
                <w:sz w:val="28"/>
                <w:szCs w:val="28"/>
                <w:lang w:val="kk-KZ"/>
              </w:rPr>
              <w:t xml:space="preserve">Статистикалық талдау </w:t>
            </w:r>
            <w:r>
              <w:rPr>
                <w:rFonts w:ascii="Times New Roman" w:hAnsi="Times New Roman"/>
                <w:color w:val="auto"/>
                <w:sz w:val="28"/>
                <w:szCs w:val="28"/>
                <w:lang w:val="kk-KZ"/>
              </w:rPr>
              <w:tab/>
            </w:r>
            <w:r>
              <w:rPr>
                <w:rFonts w:ascii="Times New Roman" w:hAnsi="Times New Roman"/>
                <w:color w:val="auto"/>
                <w:sz w:val="28"/>
                <w:szCs w:val="28"/>
                <w:lang w:val="kk-KZ"/>
              </w:rPr>
              <w:t>әдістері</w:t>
            </w:r>
          </w:p>
        </w:tc>
        <w:tc>
          <w:tcPr>
            <w:tcW w:w="732" w:type="dxa"/>
          </w:tcPr>
          <w:p w14:paraId="317EFF28">
            <w:pPr>
              <w:snapToGrid w:val="0"/>
              <w:spacing w:after="0"/>
              <w:jc w:val="center"/>
              <w:rPr>
                <w:rFonts w:hint="default"/>
                <w:bCs/>
                <w:color w:val="auto"/>
                <w:szCs w:val="28"/>
                <w:highlight w:val="yellow"/>
                <w:lang w:val="ru-RU"/>
              </w:rPr>
            </w:pPr>
            <w:r>
              <w:rPr>
                <w:bCs/>
                <w:color w:val="auto"/>
                <w:szCs w:val="28"/>
                <w:highlight w:val="none"/>
              </w:rPr>
              <w:t>5</w:t>
            </w:r>
            <w:r>
              <w:rPr>
                <w:rFonts w:hint="default"/>
                <w:bCs/>
                <w:color w:val="auto"/>
                <w:szCs w:val="28"/>
                <w:highlight w:val="none"/>
                <w:lang w:val="ru-RU"/>
              </w:rPr>
              <w:t>1</w:t>
            </w:r>
          </w:p>
        </w:tc>
      </w:tr>
      <w:tr w14:paraId="4427C147">
        <w:tblPrEx>
          <w:tblCellMar>
            <w:top w:w="0" w:type="dxa"/>
            <w:left w:w="108" w:type="dxa"/>
            <w:bottom w:w="0" w:type="dxa"/>
            <w:right w:w="108" w:type="dxa"/>
          </w:tblCellMar>
        </w:tblPrEx>
        <w:tc>
          <w:tcPr>
            <w:tcW w:w="974" w:type="dxa"/>
          </w:tcPr>
          <w:p w14:paraId="676228B4">
            <w:pPr>
              <w:snapToGrid w:val="0"/>
              <w:spacing w:after="0"/>
              <w:rPr>
                <w:color w:val="auto"/>
                <w:szCs w:val="28"/>
              </w:rPr>
            </w:pPr>
          </w:p>
        </w:tc>
        <w:tc>
          <w:tcPr>
            <w:tcW w:w="8400" w:type="dxa"/>
          </w:tcPr>
          <w:p w14:paraId="3A13CDD5">
            <w:pPr>
              <w:snapToGrid w:val="0"/>
              <w:spacing w:after="0"/>
              <w:rPr>
                <w:color w:val="auto"/>
                <w:szCs w:val="28"/>
                <w:highlight w:val="none"/>
              </w:rPr>
            </w:pPr>
            <w:r>
              <w:rPr>
                <w:color w:val="auto"/>
                <w:szCs w:val="28"/>
                <w:highlight w:val="none"/>
              </w:rPr>
              <w:t>2-бөлім бойынша қорытындылар</w:t>
            </w:r>
          </w:p>
        </w:tc>
        <w:tc>
          <w:tcPr>
            <w:tcW w:w="732" w:type="dxa"/>
          </w:tcPr>
          <w:p w14:paraId="458AD173">
            <w:pPr>
              <w:snapToGrid w:val="0"/>
              <w:spacing w:after="0"/>
              <w:jc w:val="center"/>
              <w:rPr>
                <w:rFonts w:hint="default"/>
                <w:color w:val="auto"/>
                <w:szCs w:val="28"/>
                <w:lang w:val="ru-RU"/>
              </w:rPr>
            </w:pPr>
            <w:r>
              <w:rPr>
                <w:rFonts w:hint="default"/>
                <w:color w:val="auto"/>
                <w:szCs w:val="28"/>
                <w:lang w:val="ru-RU"/>
              </w:rPr>
              <w:t>51</w:t>
            </w:r>
          </w:p>
        </w:tc>
      </w:tr>
      <w:tr w14:paraId="0171C48E">
        <w:tblPrEx>
          <w:tblCellMar>
            <w:top w:w="0" w:type="dxa"/>
            <w:left w:w="108" w:type="dxa"/>
            <w:bottom w:w="0" w:type="dxa"/>
            <w:right w:w="108" w:type="dxa"/>
          </w:tblCellMar>
        </w:tblPrEx>
        <w:tc>
          <w:tcPr>
            <w:tcW w:w="974" w:type="dxa"/>
          </w:tcPr>
          <w:p w14:paraId="3558FB22">
            <w:pPr>
              <w:snapToGrid w:val="0"/>
              <w:spacing w:after="0"/>
              <w:rPr>
                <w:b/>
                <w:color w:val="auto"/>
                <w:szCs w:val="28"/>
              </w:rPr>
            </w:pPr>
            <w:r>
              <w:rPr>
                <w:b/>
                <w:color w:val="auto"/>
                <w:szCs w:val="28"/>
              </w:rPr>
              <w:t>3</w:t>
            </w:r>
          </w:p>
        </w:tc>
        <w:tc>
          <w:tcPr>
            <w:tcW w:w="8400" w:type="dxa"/>
            <w:shd w:val="clear" w:color="auto" w:fill="auto"/>
            <w:vAlign w:val="top"/>
          </w:tcPr>
          <w:p w14:paraId="28C3CD73">
            <w:pPr>
              <w:spacing w:after="0"/>
              <w:rPr>
                <w:rFonts w:ascii="Times New Roman" w:hAnsi="Times New Roman" w:eastAsia="SimSun" w:cs="Times New Roman"/>
                <w:b/>
                <w:color w:val="auto"/>
                <w:sz w:val="28"/>
                <w:szCs w:val="28"/>
                <w:lang w:val="ru-RU" w:eastAsia="ru-RU" w:bidi="ar-SA"/>
              </w:rPr>
            </w:pPr>
            <w:r>
              <w:rPr>
                <w:b/>
                <w:color w:val="auto"/>
                <w:szCs w:val="28"/>
                <w:lang w:val="kk-KZ"/>
              </w:rPr>
              <w:t>МҰНАЙМЕН ЛАСТАНҒАН ТОПЫРАҚТЫ ИММОБИЛИЗАЦИЯЛАНҒАН МИКРООРГАНИЗМ-ДЕСТРУКТОРЛАРДЫ ҚОЛДАНА ОТЫРЫП ТАЗАЛАУ ӘДІСІН ӘЗІРЛЕУ</w:t>
            </w:r>
          </w:p>
        </w:tc>
        <w:tc>
          <w:tcPr>
            <w:tcW w:w="732" w:type="dxa"/>
          </w:tcPr>
          <w:p w14:paraId="2C2AC670">
            <w:pPr>
              <w:snapToGrid w:val="0"/>
              <w:spacing w:after="0"/>
              <w:jc w:val="center"/>
              <w:rPr>
                <w:rFonts w:hint="default"/>
                <w:b/>
                <w:color w:val="auto"/>
                <w:szCs w:val="28"/>
                <w:lang w:val="ru-RU"/>
              </w:rPr>
            </w:pPr>
            <w:r>
              <w:rPr>
                <w:rFonts w:hint="default"/>
                <w:b w:val="0"/>
                <w:bCs/>
                <w:color w:val="auto"/>
                <w:szCs w:val="28"/>
                <w:lang w:val="ru-RU"/>
              </w:rPr>
              <w:t>53</w:t>
            </w:r>
          </w:p>
        </w:tc>
      </w:tr>
      <w:tr w14:paraId="2F19E18D">
        <w:tblPrEx>
          <w:tblCellMar>
            <w:top w:w="0" w:type="dxa"/>
            <w:left w:w="108" w:type="dxa"/>
            <w:bottom w:w="0" w:type="dxa"/>
            <w:right w:w="108" w:type="dxa"/>
          </w:tblCellMar>
        </w:tblPrEx>
        <w:tc>
          <w:tcPr>
            <w:tcW w:w="974" w:type="dxa"/>
            <w:shd w:val="clear" w:color="auto" w:fill="auto"/>
          </w:tcPr>
          <w:p w14:paraId="331D506A">
            <w:pPr>
              <w:snapToGrid w:val="0"/>
              <w:spacing w:after="0"/>
              <w:rPr>
                <w:color w:val="auto"/>
                <w:szCs w:val="28"/>
                <w:highlight w:val="none"/>
              </w:rPr>
            </w:pPr>
            <w:r>
              <w:rPr>
                <w:color w:val="auto"/>
                <w:szCs w:val="28"/>
                <w:highlight w:val="none"/>
              </w:rPr>
              <w:t>3.1</w:t>
            </w:r>
          </w:p>
        </w:tc>
        <w:tc>
          <w:tcPr>
            <w:tcW w:w="8400" w:type="dxa"/>
            <w:shd w:val="clear" w:color="auto" w:fill="auto"/>
          </w:tcPr>
          <w:p w14:paraId="12CB64EC">
            <w:pPr>
              <w:snapToGrid w:val="0"/>
              <w:spacing w:after="0"/>
              <w:rPr>
                <w:rFonts w:hint="default"/>
                <w:color w:val="auto"/>
                <w:szCs w:val="28"/>
                <w:highlight w:val="none"/>
                <w:lang w:val="kk-KZ"/>
              </w:rPr>
            </w:pPr>
            <w:r>
              <w:rPr>
                <w:color w:val="auto"/>
                <w:szCs w:val="28"/>
                <w:highlight w:val="none"/>
                <w:lang w:val="kk-KZ"/>
              </w:rPr>
              <w:t>Т</w:t>
            </w:r>
            <w:r>
              <w:rPr>
                <w:color w:val="auto"/>
                <w:szCs w:val="28"/>
                <w:highlight w:val="none"/>
              </w:rPr>
              <w:t>асымалдаушыл</w:t>
            </w:r>
            <w:r>
              <w:rPr>
                <w:color w:val="auto"/>
                <w:szCs w:val="28"/>
                <w:highlight w:val="none"/>
                <w:lang w:val="kk-KZ"/>
              </w:rPr>
              <w:t>ардың</w:t>
            </w:r>
            <w:r>
              <w:rPr>
                <w:color w:val="auto"/>
                <w:szCs w:val="28"/>
                <w:highlight w:val="none"/>
              </w:rPr>
              <w:t xml:space="preserve"> сипаттамасы</w:t>
            </w:r>
            <w:r>
              <w:rPr>
                <w:color w:val="auto"/>
                <w:szCs w:val="28"/>
                <w:highlight w:val="none"/>
                <w:lang w:val="kk-KZ"/>
              </w:rPr>
              <w:t>н</w:t>
            </w:r>
            <w:r>
              <w:rPr>
                <w:rFonts w:hint="default"/>
                <w:color w:val="auto"/>
                <w:szCs w:val="28"/>
                <w:highlight w:val="none"/>
                <w:lang w:val="kk-KZ"/>
              </w:rPr>
              <w:t xml:space="preserve"> зерттеу</w:t>
            </w:r>
          </w:p>
        </w:tc>
        <w:tc>
          <w:tcPr>
            <w:tcW w:w="732" w:type="dxa"/>
          </w:tcPr>
          <w:p w14:paraId="2FCC0CA6">
            <w:pPr>
              <w:snapToGrid w:val="0"/>
              <w:spacing w:after="0"/>
              <w:ind w:firstLine="140" w:firstLineChars="50"/>
              <w:jc w:val="both"/>
              <w:rPr>
                <w:rFonts w:hint="default"/>
                <w:color w:val="auto"/>
                <w:szCs w:val="28"/>
                <w:highlight w:val="none"/>
                <w:lang w:val="ru-RU"/>
              </w:rPr>
            </w:pPr>
            <w:r>
              <w:rPr>
                <w:rFonts w:hint="default"/>
                <w:color w:val="auto"/>
                <w:szCs w:val="28"/>
                <w:highlight w:val="none"/>
                <w:lang w:val="ru-RU"/>
              </w:rPr>
              <w:t>53</w:t>
            </w:r>
          </w:p>
        </w:tc>
      </w:tr>
      <w:tr w14:paraId="3419025C">
        <w:tblPrEx>
          <w:tblCellMar>
            <w:top w:w="0" w:type="dxa"/>
            <w:left w:w="108" w:type="dxa"/>
            <w:bottom w:w="0" w:type="dxa"/>
            <w:right w:w="108" w:type="dxa"/>
          </w:tblCellMar>
        </w:tblPrEx>
        <w:tc>
          <w:tcPr>
            <w:tcW w:w="974" w:type="dxa"/>
            <w:shd w:val="clear" w:color="auto" w:fill="auto"/>
          </w:tcPr>
          <w:p w14:paraId="034999B6">
            <w:pPr>
              <w:snapToGrid w:val="0"/>
              <w:spacing w:after="0"/>
              <w:rPr>
                <w:rFonts w:hint="default"/>
                <w:color w:val="auto"/>
                <w:szCs w:val="28"/>
                <w:highlight w:val="none"/>
                <w:lang w:val="kk-KZ"/>
              </w:rPr>
            </w:pPr>
            <w:r>
              <w:rPr>
                <w:rFonts w:hint="default"/>
                <w:color w:val="auto"/>
                <w:szCs w:val="28"/>
                <w:highlight w:val="none"/>
                <w:lang w:val="kk-KZ"/>
              </w:rPr>
              <w:t>3.1.1</w:t>
            </w:r>
          </w:p>
        </w:tc>
        <w:tc>
          <w:tcPr>
            <w:tcW w:w="8400" w:type="dxa"/>
            <w:shd w:val="clear" w:color="auto" w:fill="auto"/>
          </w:tcPr>
          <w:p w14:paraId="49C41D5B">
            <w:pPr>
              <w:spacing w:after="0"/>
              <w:rPr>
                <w:rFonts w:hint="default"/>
                <w:color w:val="auto"/>
                <w:szCs w:val="28"/>
                <w:highlight w:val="none"/>
                <w:lang w:val="kk-KZ"/>
              </w:rPr>
            </w:pPr>
            <w:r>
              <w:rPr>
                <w:color w:val="auto"/>
                <w:szCs w:val="28"/>
                <w:highlight w:val="none"/>
                <w:lang w:val="kk-KZ"/>
              </w:rPr>
              <w:t>Т</w:t>
            </w:r>
            <w:r>
              <w:rPr>
                <w:color w:val="auto"/>
                <w:szCs w:val="28"/>
                <w:highlight w:val="none"/>
              </w:rPr>
              <w:t>асымалдаушыл</w:t>
            </w:r>
            <w:r>
              <w:rPr>
                <w:color w:val="auto"/>
                <w:szCs w:val="28"/>
                <w:highlight w:val="none"/>
                <w:lang w:val="kk-KZ"/>
              </w:rPr>
              <w:t>ардың</w:t>
            </w:r>
            <w:r>
              <w:rPr>
                <w:b w:val="0"/>
                <w:bCs w:val="0"/>
                <w:color w:val="auto"/>
                <w:szCs w:val="28"/>
                <w:highlight w:val="none"/>
                <w:lang w:val="kk-KZ"/>
              </w:rPr>
              <w:t xml:space="preserve"> химиялық құрамы және физика-механикалық қасиеттерін</w:t>
            </w:r>
            <w:r>
              <w:rPr>
                <w:rFonts w:hint="default"/>
                <w:b w:val="0"/>
                <w:bCs w:val="0"/>
                <w:color w:val="auto"/>
                <w:szCs w:val="28"/>
                <w:highlight w:val="none"/>
                <w:lang w:val="kk-KZ"/>
              </w:rPr>
              <w:t xml:space="preserve"> зерттеу</w:t>
            </w:r>
          </w:p>
        </w:tc>
        <w:tc>
          <w:tcPr>
            <w:tcW w:w="732" w:type="dxa"/>
          </w:tcPr>
          <w:p w14:paraId="3704D1C9">
            <w:pPr>
              <w:snapToGrid w:val="0"/>
              <w:spacing w:after="0"/>
              <w:jc w:val="center"/>
              <w:rPr>
                <w:rFonts w:hint="default"/>
                <w:color w:val="auto"/>
                <w:szCs w:val="28"/>
                <w:highlight w:val="none"/>
                <w:lang w:val="ru-RU"/>
              </w:rPr>
            </w:pPr>
            <w:r>
              <w:rPr>
                <w:rFonts w:hint="default"/>
                <w:color w:val="auto"/>
                <w:szCs w:val="28"/>
                <w:highlight w:val="none"/>
                <w:lang w:val="ru-RU"/>
              </w:rPr>
              <w:t>53</w:t>
            </w:r>
          </w:p>
        </w:tc>
      </w:tr>
      <w:tr w14:paraId="354E8A8A">
        <w:tblPrEx>
          <w:tblCellMar>
            <w:top w:w="0" w:type="dxa"/>
            <w:left w:w="108" w:type="dxa"/>
            <w:bottom w:w="0" w:type="dxa"/>
            <w:right w:w="108" w:type="dxa"/>
          </w:tblCellMar>
        </w:tblPrEx>
        <w:tc>
          <w:tcPr>
            <w:tcW w:w="974" w:type="dxa"/>
            <w:shd w:val="clear" w:color="auto" w:fill="auto"/>
          </w:tcPr>
          <w:p w14:paraId="13C443DF">
            <w:pPr>
              <w:snapToGrid w:val="0"/>
              <w:spacing w:after="0"/>
              <w:rPr>
                <w:rFonts w:hint="default"/>
                <w:color w:val="auto"/>
                <w:szCs w:val="28"/>
                <w:highlight w:val="none"/>
                <w:lang w:val="kk-KZ"/>
              </w:rPr>
            </w:pPr>
            <w:r>
              <w:rPr>
                <w:rFonts w:hint="default"/>
                <w:color w:val="auto"/>
                <w:szCs w:val="28"/>
                <w:highlight w:val="none"/>
                <w:lang w:val="kk-KZ"/>
              </w:rPr>
              <w:t>3.1.2</w:t>
            </w:r>
          </w:p>
        </w:tc>
        <w:tc>
          <w:tcPr>
            <w:tcW w:w="8400" w:type="dxa"/>
            <w:shd w:val="clear" w:color="auto" w:fill="auto"/>
          </w:tcPr>
          <w:p w14:paraId="69AE2B7F">
            <w:pPr>
              <w:pStyle w:val="310"/>
              <w:spacing w:before="0"/>
              <w:ind w:left="0" w:leftChars="0" w:firstLine="0" w:firstLineChars="0"/>
              <w:rPr>
                <w:rFonts w:hint="default"/>
                <w:b w:val="0"/>
                <w:bCs w:val="0"/>
                <w:color w:val="auto"/>
                <w:szCs w:val="28"/>
                <w:highlight w:val="none"/>
                <w:lang w:val="kk-KZ"/>
              </w:rPr>
            </w:pPr>
            <w:r>
              <w:rPr>
                <w:b w:val="0"/>
                <w:bCs/>
                <w:color w:val="auto"/>
                <w:szCs w:val="28"/>
                <w:highlight w:val="none"/>
                <w:lang w:val="kk-KZ"/>
              </w:rPr>
              <w:t>Т</w:t>
            </w:r>
            <w:r>
              <w:rPr>
                <w:b w:val="0"/>
                <w:bCs/>
                <w:color w:val="auto"/>
                <w:szCs w:val="28"/>
                <w:highlight w:val="none"/>
              </w:rPr>
              <w:t>асымалдаушыл</w:t>
            </w:r>
            <w:r>
              <w:rPr>
                <w:b w:val="0"/>
                <w:bCs/>
                <w:color w:val="auto"/>
                <w:szCs w:val="28"/>
                <w:highlight w:val="none"/>
                <w:lang w:val="kk-KZ"/>
              </w:rPr>
              <w:t>ардың</w:t>
            </w:r>
            <w:r>
              <w:rPr>
                <w:b w:val="0"/>
                <w:bCs/>
                <w:color w:val="auto"/>
                <w:highlight w:val="none"/>
                <w:lang w:val="kk-KZ"/>
              </w:rPr>
              <w:t xml:space="preserve"> сорбциялық қабілетін</w:t>
            </w:r>
            <w:r>
              <w:rPr>
                <w:rFonts w:hint="default"/>
                <w:b w:val="0"/>
                <w:bCs/>
                <w:color w:val="auto"/>
                <w:highlight w:val="none"/>
                <w:lang w:val="kk-KZ"/>
              </w:rPr>
              <w:t xml:space="preserve"> зерттеу</w:t>
            </w:r>
          </w:p>
        </w:tc>
        <w:tc>
          <w:tcPr>
            <w:tcW w:w="732" w:type="dxa"/>
          </w:tcPr>
          <w:p w14:paraId="10583008">
            <w:pPr>
              <w:snapToGrid w:val="0"/>
              <w:spacing w:after="0"/>
              <w:jc w:val="center"/>
              <w:rPr>
                <w:rFonts w:hint="default"/>
                <w:color w:val="auto"/>
                <w:szCs w:val="28"/>
                <w:highlight w:val="none"/>
                <w:lang w:val="ru-RU"/>
              </w:rPr>
            </w:pPr>
            <w:r>
              <w:rPr>
                <w:rFonts w:hint="default"/>
                <w:color w:val="auto"/>
                <w:szCs w:val="28"/>
                <w:highlight w:val="none"/>
                <w:lang w:val="ru-RU"/>
              </w:rPr>
              <w:t>56</w:t>
            </w:r>
          </w:p>
        </w:tc>
      </w:tr>
      <w:tr w14:paraId="6838F5AD">
        <w:tblPrEx>
          <w:tblCellMar>
            <w:top w:w="0" w:type="dxa"/>
            <w:left w:w="108" w:type="dxa"/>
            <w:bottom w:w="0" w:type="dxa"/>
            <w:right w:w="108" w:type="dxa"/>
          </w:tblCellMar>
        </w:tblPrEx>
        <w:tc>
          <w:tcPr>
            <w:tcW w:w="974" w:type="dxa"/>
          </w:tcPr>
          <w:p w14:paraId="1A243E05">
            <w:pPr>
              <w:snapToGrid w:val="0"/>
              <w:spacing w:after="0"/>
              <w:rPr>
                <w:color w:val="auto"/>
                <w:szCs w:val="28"/>
              </w:rPr>
            </w:pPr>
            <w:r>
              <w:rPr>
                <w:color w:val="auto"/>
                <w:szCs w:val="28"/>
              </w:rPr>
              <w:t>3.2</w:t>
            </w:r>
          </w:p>
        </w:tc>
        <w:tc>
          <w:tcPr>
            <w:tcW w:w="8400" w:type="dxa"/>
          </w:tcPr>
          <w:p w14:paraId="5D8F9963">
            <w:pPr>
              <w:pStyle w:val="35"/>
              <w:spacing w:beforeAutospacing="0" w:afterAutospacing="0"/>
              <w:jc w:val="both"/>
              <w:rPr>
                <w:color w:val="auto"/>
                <w:szCs w:val="28"/>
              </w:rPr>
            </w:pPr>
            <w:r>
              <w:rPr>
                <w:b w:val="0"/>
                <w:bCs w:val="0"/>
                <w:color w:val="auto"/>
                <w:sz w:val="28"/>
                <w:szCs w:val="28"/>
              </w:rPr>
              <w:t>Иммобилизация процесінің тиімділігі</w:t>
            </w:r>
            <w:r>
              <w:rPr>
                <w:b w:val="0"/>
                <w:bCs w:val="0"/>
                <w:color w:val="auto"/>
                <w:sz w:val="28"/>
                <w:szCs w:val="28"/>
                <w:lang w:val="kk-KZ"/>
              </w:rPr>
              <w:t>н</w:t>
            </w:r>
            <w:r>
              <w:rPr>
                <w:rFonts w:hint="default"/>
                <w:b w:val="0"/>
                <w:bCs w:val="0"/>
                <w:color w:val="auto"/>
                <w:sz w:val="28"/>
                <w:szCs w:val="28"/>
                <w:lang w:val="kk-KZ"/>
              </w:rPr>
              <w:t xml:space="preserve"> зерттеу</w:t>
            </w:r>
          </w:p>
        </w:tc>
        <w:tc>
          <w:tcPr>
            <w:tcW w:w="732" w:type="dxa"/>
          </w:tcPr>
          <w:p w14:paraId="7A1E892E">
            <w:pPr>
              <w:snapToGrid w:val="0"/>
              <w:spacing w:after="0"/>
              <w:jc w:val="center"/>
              <w:rPr>
                <w:rFonts w:hint="default"/>
                <w:color w:val="auto"/>
                <w:szCs w:val="28"/>
                <w:lang w:val="ru-RU"/>
              </w:rPr>
            </w:pPr>
            <w:r>
              <w:rPr>
                <w:rFonts w:hint="default"/>
                <w:color w:val="auto"/>
                <w:szCs w:val="28"/>
                <w:lang w:val="ru-RU"/>
              </w:rPr>
              <w:t>60</w:t>
            </w:r>
          </w:p>
        </w:tc>
      </w:tr>
      <w:tr w14:paraId="514A41C6">
        <w:tblPrEx>
          <w:tblCellMar>
            <w:top w:w="0" w:type="dxa"/>
            <w:left w:w="108" w:type="dxa"/>
            <w:bottom w:w="0" w:type="dxa"/>
            <w:right w:w="108" w:type="dxa"/>
          </w:tblCellMar>
        </w:tblPrEx>
        <w:trPr>
          <w:trHeight w:val="367" w:hRule="atLeast"/>
        </w:trPr>
        <w:tc>
          <w:tcPr>
            <w:tcW w:w="974" w:type="dxa"/>
          </w:tcPr>
          <w:p w14:paraId="3B557CDD">
            <w:pPr>
              <w:snapToGrid w:val="0"/>
              <w:spacing w:after="0"/>
              <w:rPr>
                <w:color w:val="auto"/>
                <w:szCs w:val="28"/>
              </w:rPr>
            </w:pPr>
            <w:r>
              <w:rPr>
                <w:color w:val="auto"/>
                <w:szCs w:val="28"/>
              </w:rPr>
              <w:t>3.3</w:t>
            </w:r>
          </w:p>
        </w:tc>
        <w:tc>
          <w:tcPr>
            <w:tcW w:w="8400" w:type="dxa"/>
          </w:tcPr>
          <w:p w14:paraId="00B43C08">
            <w:pPr>
              <w:snapToGrid w:val="0"/>
              <w:spacing w:after="0"/>
              <w:rPr>
                <w:color w:val="auto"/>
                <w:szCs w:val="28"/>
              </w:rPr>
            </w:pPr>
            <w:r>
              <w:rPr>
                <w:b w:val="0"/>
                <w:bCs/>
                <w:color w:val="auto"/>
                <w:szCs w:val="28"/>
                <w:highlight w:val="none"/>
                <w:lang w:val="kk-KZ"/>
              </w:rPr>
              <w:t>Стандартты жағдайларда биоремедиация</w:t>
            </w:r>
            <w:r>
              <w:rPr>
                <w:rFonts w:hint="default"/>
                <w:b w:val="0"/>
                <w:bCs/>
                <w:color w:val="auto"/>
                <w:szCs w:val="28"/>
                <w:highlight w:val="none"/>
                <w:lang w:val="kk-KZ"/>
              </w:rPr>
              <w:t xml:space="preserve"> процессін </w:t>
            </w:r>
            <w:r>
              <w:rPr>
                <w:b w:val="0"/>
                <w:bCs/>
                <w:color w:val="auto"/>
                <w:szCs w:val="28"/>
                <w:highlight w:val="none"/>
              </w:rPr>
              <w:t>зерттеу</w:t>
            </w:r>
            <w:r>
              <w:rPr>
                <w:b w:val="0"/>
                <w:bCs/>
                <w:color w:val="auto"/>
                <w:szCs w:val="28"/>
                <w:highlight w:val="none"/>
                <w:lang w:val="kk-KZ"/>
              </w:rPr>
              <w:t xml:space="preserve"> </w:t>
            </w:r>
          </w:p>
        </w:tc>
        <w:tc>
          <w:tcPr>
            <w:tcW w:w="732" w:type="dxa"/>
          </w:tcPr>
          <w:p w14:paraId="68F7AF29">
            <w:pPr>
              <w:snapToGrid w:val="0"/>
              <w:spacing w:after="0"/>
              <w:jc w:val="center"/>
              <w:rPr>
                <w:rFonts w:hint="default"/>
                <w:color w:val="auto"/>
                <w:szCs w:val="28"/>
                <w:lang w:val="ru-RU"/>
              </w:rPr>
            </w:pPr>
            <w:r>
              <w:rPr>
                <w:rFonts w:hint="default"/>
                <w:color w:val="auto"/>
                <w:szCs w:val="28"/>
                <w:lang w:val="ru-RU"/>
              </w:rPr>
              <w:t>62</w:t>
            </w:r>
          </w:p>
        </w:tc>
      </w:tr>
      <w:tr w14:paraId="0F8626BD">
        <w:tblPrEx>
          <w:tblCellMar>
            <w:top w:w="0" w:type="dxa"/>
            <w:left w:w="108" w:type="dxa"/>
            <w:bottom w:w="0" w:type="dxa"/>
            <w:right w:w="108" w:type="dxa"/>
          </w:tblCellMar>
        </w:tblPrEx>
        <w:tc>
          <w:tcPr>
            <w:tcW w:w="974" w:type="dxa"/>
          </w:tcPr>
          <w:p w14:paraId="18415BA7">
            <w:pPr>
              <w:snapToGrid w:val="0"/>
              <w:spacing w:after="0"/>
              <w:rPr>
                <w:rFonts w:hint="default"/>
                <w:color w:val="auto"/>
                <w:szCs w:val="28"/>
                <w:lang w:val="kk-KZ"/>
              </w:rPr>
            </w:pPr>
            <w:r>
              <w:rPr>
                <w:rFonts w:hint="default"/>
                <w:color w:val="auto"/>
                <w:szCs w:val="28"/>
                <w:lang w:val="kk-KZ"/>
              </w:rPr>
              <w:t>3.3.1</w:t>
            </w:r>
          </w:p>
        </w:tc>
        <w:tc>
          <w:tcPr>
            <w:tcW w:w="8400" w:type="dxa"/>
          </w:tcPr>
          <w:p w14:paraId="56AB87BC">
            <w:pPr>
              <w:snapToGrid w:val="0"/>
              <w:spacing w:after="0"/>
              <w:rPr>
                <w:rFonts w:hint="default"/>
                <w:b w:val="0"/>
                <w:bCs/>
                <w:color w:val="auto"/>
                <w:szCs w:val="28"/>
                <w:highlight w:val="none"/>
                <w:lang w:val="kk-KZ"/>
              </w:rPr>
            </w:pPr>
            <w:r>
              <w:rPr>
                <w:b w:val="0"/>
                <w:bCs/>
                <w:color w:val="auto"/>
                <w:szCs w:val="28"/>
                <w:highlight w:val="none"/>
                <w:lang w:val="kk-KZ"/>
              </w:rPr>
              <w:t>Жалпы</w:t>
            </w:r>
            <w:r>
              <w:rPr>
                <w:rFonts w:hint="default"/>
                <w:b w:val="0"/>
                <w:bCs/>
                <w:color w:val="auto"/>
                <w:szCs w:val="28"/>
                <w:highlight w:val="none"/>
                <w:lang w:val="kk-KZ"/>
              </w:rPr>
              <w:t xml:space="preserve"> мұнай өнімдері</w:t>
            </w:r>
            <w:r>
              <w:rPr>
                <w:b w:val="0"/>
                <w:bCs/>
                <w:color w:val="auto"/>
                <w:szCs w:val="28"/>
                <w:highlight w:val="none"/>
                <w:lang w:val="kk-KZ"/>
              </w:rPr>
              <w:t xml:space="preserve"> концентрациясының динамикасын</w:t>
            </w:r>
            <w:r>
              <w:rPr>
                <w:rFonts w:hint="default"/>
                <w:b w:val="0"/>
                <w:bCs/>
                <w:color w:val="auto"/>
                <w:szCs w:val="28"/>
                <w:highlight w:val="none"/>
                <w:lang w:val="kk-KZ"/>
              </w:rPr>
              <w:t xml:space="preserve"> зерттеу</w:t>
            </w:r>
          </w:p>
        </w:tc>
        <w:tc>
          <w:tcPr>
            <w:tcW w:w="732" w:type="dxa"/>
          </w:tcPr>
          <w:p w14:paraId="5BF1685E">
            <w:pPr>
              <w:snapToGrid w:val="0"/>
              <w:spacing w:after="0"/>
              <w:jc w:val="center"/>
              <w:rPr>
                <w:rFonts w:hint="default"/>
                <w:color w:val="auto"/>
                <w:szCs w:val="28"/>
                <w:lang w:val="ru-RU"/>
              </w:rPr>
            </w:pPr>
            <w:r>
              <w:rPr>
                <w:rFonts w:hint="default"/>
                <w:color w:val="auto"/>
                <w:szCs w:val="28"/>
                <w:lang w:val="ru-RU"/>
              </w:rPr>
              <w:t>62</w:t>
            </w:r>
          </w:p>
        </w:tc>
      </w:tr>
      <w:tr w14:paraId="72247D6D">
        <w:tblPrEx>
          <w:tblCellMar>
            <w:top w:w="0" w:type="dxa"/>
            <w:left w:w="108" w:type="dxa"/>
            <w:bottom w:w="0" w:type="dxa"/>
            <w:right w:w="108" w:type="dxa"/>
          </w:tblCellMar>
        </w:tblPrEx>
        <w:tc>
          <w:tcPr>
            <w:tcW w:w="974" w:type="dxa"/>
          </w:tcPr>
          <w:p w14:paraId="3BE8A3F0">
            <w:pPr>
              <w:snapToGrid w:val="0"/>
              <w:spacing w:after="0"/>
              <w:rPr>
                <w:rFonts w:hint="default"/>
                <w:color w:val="auto"/>
                <w:szCs w:val="28"/>
                <w:lang w:val="kk-KZ"/>
              </w:rPr>
            </w:pPr>
            <w:r>
              <w:rPr>
                <w:rFonts w:hint="default"/>
                <w:color w:val="auto"/>
                <w:szCs w:val="28"/>
                <w:lang w:val="kk-KZ"/>
              </w:rPr>
              <w:t>3.3.2</w:t>
            </w:r>
          </w:p>
        </w:tc>
        <w:tc>
          <w:tcPr>
            <w:tcW w:w="8400" w:type="dxa"/>
          </w:tcPr>
          <w:p w14:paraId="501AF679">
            <w:pPr>
              <w:snapToGrid w:val="0"/>
              <w:spacing w:after="0"/>
              <w:rPr>
                <w:b w:val="0"/>
                <w:bCs/>
                <w:color w:val="auto"/>
                <w:szCs w:val="28"/>
                <w:highlight w:val="none"/>
                <w:lang w:val="kk-KZ"/>
              </w:rPr>
            </w:pPr>
            <w:r>
              <w:rPr>
                <w:color w:val="auto"/>
                <w:szCs w:val="28"/>
              </w:rPr>
              <w:t>Мұнай көмірсутектері биодеструкциясының кинетикасын</w:t>
            </w:r>
            <w:r>
              <w:rPr>
                <w:color w:val="auto"/>
                <w:szCs w:val="28"/>
                <w:highlight w:val="none"/>
                <w:shd w:val="clear"/>
              </w:rPr>
              <w:t xml:space="preserve"> </w:t>
            </w:r>
            <w:r>
              <w:rPr>
                <w:color w:val="auto"/>
                <w:szCs w:val="28"/>
                <w:highlight w:val="none"/>
                <w:shd w:val="clear" w:color="auto"/>
              </w:rPr>
              <w:t>зерттеу</w:t>
            </w:r>
          </w:p>
        </w:tc>
        <w:tc>
          <w:tcPr>
            <w:tcW w:w="732" w:type="dxa"/>
          </w:tcPr>
          <w:p w14:paraId="25D63FE0">
            <w:pPr>
              <w:snapToGrid w:val="0"/>
              <w:spacing w:after="0"/>
              <w:jc w:val="center"/>
              <w:rPr>
                <w:rFonts w:hint="default"/>
                <w:color w:val="auto"/>
                <w:szCs w:val="28"/>
                <w:lang w:val="ru-RU"/>
              </w:rPr>
            </w:pPr>
            <w:r>
              <w:rPr>
                <w:rFonts w:hint="default"/>
                <w:color w:val="auto"/>
                <w:szCs w:val="28"/>
                <w:lang w:val="ru-RU"/>
              </w:rPr>
              <w:t>64</w:t>
            </w:r>
          </w:p>
        </w:tc>
      </w:tr>
      <w:tr w14:paraId="22F3118D">
        <w:tblPrEx>
          <w:tblCellMar>
            <w:top w:w="0" w:type="dxa"/>
            <w:left w:w="108" w:type="dxa"/>
            <w:bottom w:w="0" w:type="dxa"/>
            <w:right w:w="108" w:type="dxa"/>
          </w:tblCellMar>
        </w:tblPrEx>
        <w:tc>
          <w:tcPr>
            <w:tcW w:w="974" w:type="dxa"/>
          </w:tcPr>
          <w:p w14:paraId="32531CDF">
            <w:pPr>
              <w:snapToGrid w:val="0"/>
              <w:spacing w:after="0"/>
              <w:rPr>
                <w:rFonts w:hint="default"/>
                <w:color w:val="auto"/>
                <w:szCs w:val="28"/>
                <w:lang w:val="kk-KZ"/>
              </w:rPr>
            </w:pPr>
            <w:r>
              <w:rPr>
                <w:rFonts w:hint="default"/>
                <w:color w:val="auto"/>
                <w:szCs w:val="28"/>
                <w:lang w:val="kk-KZ"/>
              </w:rPr>
              <w:t>3.3.3</w:t>
            </w:r>
          </w:p>
        </w:tc>
        <w:tc>
          <w:tcPr>
            <w:tcW w:w="8400" w:type="dxa"/>
          </w:tcPr>
          <w:p w14:paraId="2A1BEC18">
            <w:pPr>
              <w:pStyle w:val="35"/>
              <w:spacing w:beforeAutospacing="0" w:afterAutospacing="0"/>
              <w:rPr>
                <w:color w:val="auto"/>
                <w:szCs w:val="28"/>
              </w:rPr>
            </w:pPr>
            <w:r>
              <w:rPr>
                <w:b w:val="0"/>
                <w:bCs w:val="0"/>
                <w:color w:val="auto"/>
                <w:sz w:val="28"/>
                <w:szCs w:val="28"/>
              </w:rPr>
              <w:t>Көмірсутектердің фракциялық талдауы</w:t>
            </w:r>
            <w:r>
              <w:rPr>
                <w:b w:val="0"/>
                <w:bCs w:val="0"/>
                <w:color w:val="auto"/>
                <w:sz w:val="28"/>
                <w:szCs w:val="28"/>
                <w:lang w:val="kk-KZ"/>
              </w:rPr>
              <w:t>н</w:t>
            </w:r>
            <w:r>
              <w:rPr>
                <w:rFonts w:hint="default"/>
                <w:b w:val="0"/>
                <w:bCs w:val="0"/>
                <w:color w:val="auto"/>
                <w:sz w:val="28"/>
                <w:szCs w:val="28"/>
                <w:lang w:val="kk-KZ"/>
              </w:rPr>
              <w:t xml:space="preserve"> зерттеу</w:t>
            </w:r>
          </w:p>
        </w:tc>
        <w:tc>
          <w:tcPr>
            <w:tcW w:w="732" w:type="dxa"/>
          </w:tcPr>
          <w:p w14:paraId="133AFF52">
            <w:pPr>
              <w:snapToGrid w:val="0"/>
              <w:spacing w:after="0"/>
              <w:jc w:val="center"/>
              <w:rPr>
                <w:rFonts w:hint="default"/>
                <w:color w:val="auto"/>
                <w:szCs w:val="28"/>
                <w:lang w:val="ru-RU"/>
              </w:rPr>
            </w:pPr>
            <w:r>
              <w:rPr>
                <w:rFonts w:hint="default"/>
                <w:color w:val="auto"/>
                <w:szCs w:val="28"/>
                <w:lang w:val="ru-RU"/>
              </w:rPr>
              <w:t>66</w:t>
            </w:r>
          </w:p>
        </w:tc>
      </w:tr>
      <w:tr w14:paraId="2DE24DD3">
        <w:tblPrEx>
          <w:tblCellMar>
            <w:top w:w="0" w:type="dxa"/>
            <w:left w:w="108" w:type="dxa"/>
            <w:bottom w:w="0" w:type="dxa"/>
            <w:right w:w="108" w:type="dxa"/>
          </w:tblCellMar>
        </w:tblPrEx>
        <w:tc>
          <w:tcPr>
            <w:tcW w:w="974" w:type="dxa"/>
          </w:tcPr>
          <w:p w14:paraId="0BEB1CFE">
            <w:pPr>
              <w:snapToGrid w:val="0"/>
              <w:spacing w:after="0"/>
              <w:rPr>
                <w:color w:val="auto"/>
                <w:szCs w:val="28"/>
              </w:rPr>
            </w:pPr>
            <w:r>
              <w:rPr>
                <w:rFonts w:hint="default"/>
                <w:color w:val="auto"/>
                <w:szCs w:val="28"/>
                <w:lang w:val="kk-KZ"/>
              </w:rPr>
              <w:t>3.3.4</w:t>
            </w:r>
          </w:p>
        </w:tc>
        <w:tc>
          <w:tcPr>
            <w:tcW w:w="8400" w:type="dxa"/>
          </w:tcPr>
          <w:p w14:paraId="34336D89">
            <w:pPr>
              <w:spacing w:after="0"/>
              <w:rPr>
                <w:b w:val="0"/>
                <w:bCs w:val="0"/>
                <w:color w:val="auto"/>
                <w:szCs w:val="28"/>
              </w:rPr>
            </w:pPr>
            <w:r>
              <w:rPr>
                <w:b w:val="0"/>
                <w:bCs w:val="0"/>
                <w:color w:val="auto"/>
                <w:szCs w:val="28"/>
              </w:rPr>
              <w:t>Микробтық белсенділік</w:t>
            </w:r>
            <w:r>
              <w:rPr>
                <w:b w:val="0"/>
                <w:bCs w:val="0"/>
                <w:color w:val="auto"/>
                <w:szCs w:val="28"/>
                <w:lang w:val="kk-KZ"/>
              </w:rPr>
              <w:t>тің</w:t>
            </w:r>
            <w:r>
              <w:rPr>
                <w:rFonts w:hint="default"/>
                <w:b w:val="0"/>
                <w:bCs w:val="0"/>
                <w:color w:val="auto"/>
                <w:szCs w:val="28"/>
                <w:lang w:val="kk-KZ"/>
              </w:rPr>
              <w:t xml:space="preserve"> динамикасын зерттеу</w:t>
            </w:r>
          </w:p>
        </w:tc>
        <w:tc>
          <w:tcPr>
            <w:tcW w:w="732" w:type="dxa"/>
          </w:tcPr>
          <w:p w14:paraId="1BFFEB38">
            <w:pPr>
              <w:snapToGrid w:val="0"/>
              <w:spacing w:after="0"/>
              <w:jc w:val="center"/>
              <w:rPr>
                <w:rFonts w:hint="default"/>
                <w:color w:val="auto"/>
                <w:szCs w:val="28"/>
                <w:lang w:val="ru-RU"/>
              </w:rPr>
            </w:pPr>
            <w:r>
              <w:rPr>
                <w:rFonts w:hint="default"/>
                <w:color w:val="auto"/>
                <w:szCs w:val="28"/>
                <w:lang w:val="ru-RU"/>
              </w:rPr>
              <w:t>68</w:t>
            </w:r>
          </w:p>
        </w:tc>
      </w:tr>
      <w:tr w14:paraId="609C2395">
        <w:tblPrEx>
          <w:tblCellMar>
            <w:top w:w="0" w:type="dxa"/>
            <w:left w:w="108" w:type="dxa"/>
            <w:bottom w:w="0" w:type="dxa"/>
            <w:right w:w="108" w:type="dxa"/>
          </w:tblCellMar>
        </w:tblPrEx>
        <w:tc>
          <w:tcPr>
            <w:tcW w:w="974" w:type="dxa"/>
          </w:tcPr>
          <w:p w14:paraId="7FCAACB7">
            <w:pPr>
              <w:snapToGrid w:val="0"/>
              <w:spacing w:after="0"/>
              <w:rPr>
                <w:rFonts w:hint="default"/>
                <w:color w:val="auto"/>
                <w:szCs w:val="28"/>
                <w:lang w:val="kk-KZ"/>
              </w:rPr>
            </w:pPr>
            <w:r>
              <w:rPr>
                <w:rFonts w:hint="default"/>
                <w:color w:val="auto"/>
                <w:szCs w:val="28"/>
                <w:lang w:val="kk-KZ"/>
              </w:rPr>
              <w:t>3.3.5</w:t>
            </w:r>
          </w:p>
        </w:tc>
        <w:tc>
          <w:tcPr>
            <w:tcW w:w="8400" w:type="dxa"/>
          </w:tcPr>
          <w:p w14:paraId="077E95F2">
            <w:pPr>
              <w:pStyle w:val="35"/>
              <w:spacing w:beforeAutospacing="0" w:afterAutospacing="0"/>
              <w:jc w:val="both"/>
              <w:rPr>
                <w:b w:val="0"/>
                <w:bCs w:val="0"/>
                <w:color w:val="auto"/>
                <w:szCs w:val="28"/>
              </w:rPr>
            </w:pPr>
            <w:r>
              <w:rPr>
                <w:b w:val="0"/>
                <w:bCs w:val="0"/>
                <w:color w:val="auto"/>
                <w:sz w:val="28"/>
                <w:szCs w:val="28"/>
                <w:lang w:val="ru-RU"/>
              </w:rPr>
              <w:t>Ферменттік белсенділік</w:t>
            </w:r>
            <w:r>
              <w:rPr>
                <w:b w:val="0"/>
                <w:bCs w:val="0"/>
                <w:color w:val="auto"/>
                <w:sz w:val="28"/>
                <w:szCs w:val="28"/>
                <w:lang w:val="kk-KZ"/>
              </w:rPr>
              <w:t>тің</w:t>
            </w:r>
            <w:r>
              <w:rPr>
                <w:rFonts w:hint="default"/>
                <w:b w:val="0"/>
                <w:bCs w:val="0"/>
                <w:color w:val="auto"/>
                <w:sz w:val="28"/>
                <w:szCs w:val="28"/>
                <w:lang w:val="kk-KZ"/>
              </w:rPr>
              <w:t xml:space="preserve"> динамикасын зерттеу</w:t>
            </w:r>
          </w:p>
        </w:tc>
        <w:tc>
          <w:tcPr>
            <w:tcW w:w="732" w:type="dxa"/>
          </w:tcPr>
          <w:p w14:paraId="5B2491B8">
            <w:pPr>
              <w:snapToGrid w:val="0"/>
              <w:spacing w:after="0"/>
              <w:jc w:val="center"/>
              <w:rPr>
                <w:rFonts w:hint="default"/>
                <w:color w:val="auto"/>
                <w:szCs w:val="28"/>
                <w:lang w:val="ru-RU"/>
              </w:rPr>
            </w:pPr>
            <w:r>
              <w:rPr>
                <w:rFonts w:hint="default"/>
                <w:color w:val="auto"/>
                <w:szCs w:val="28"/>
                <w:lang w:val="ru-RU"/>
              </w:rPr>
              <w:t>69</w:t>
            </w:r>
          </w:p>
        </w:tc>
      </w:tr>
      <w:tr w14:paraId="20C84AD4">
        <w:tblPrEx>
          <w:tblCellMar>
            <w:top w:w="0" w:type="dxa"/>
            <w:left w:w="108" w:type="dxa"/>
            <w:bottom w:w="0" w:type="dxa"/>
            <w:right w:w="108" w:type="dxa"/>
          </w:tblCellMar>
        </w:tblPrEx>
        <w:tc>
          <w:tcPr>
            <w:tcW w:w="974" w:type="dxa"/>
          </w:tcPr>
          <w:p w14:paraId="45B800B4">
            <w:pPr>
              <w:snapToGrid w:val="0"/>
              <w:spacing w:after="0"/>
              <w:rPr>
                <w:rFonts w:hint="default"/>
                <w:color w:val="auto"/>
                <w:szCs w:val="28"/>
                <w:lang w:val="kk-KZ"/>
              </w:rPr>
            </w:pPr>
            <w:r>
              <w:rPr>
                <w:rFonts w:hint="default"/>
                <w:color w:val="auto"/>
                <w:szCs w:val="28"/>
                <w:lang w:val="kk-KZ"/>
              </w:rPr>
              <w:t>3.3.6</w:t>
            </w:r>
          </w:p>
        </w:tc>
        <w:tc>
          <w:tcPr>
            <w:tcW w:w="8400" w:type="dxa"/>
          </w:tcPr>
          <w:p w14:paraId="5E69BDAF">
            <w:pPr>
              <w:spacing w:after="0"/>
              <w:rPr>
                <w:b w:val="0"/>
                <w:bCs w:val="0"/>
                <w:color w:val="auto"/>
                <w:sz w:val="28"/>
                <w:szCs w:val="28"/>
                <w:lang w:val="ru-RU"/>
              </w:rPr>
            </w:pPr>
            <w:r>
              <w:rPr>
                <w:b w:val="0"/>
                <w:bCs w:val="0"/>
                <w:color w:val="auto"/>
                <w:szCs w:val="28"/>
                <w:lang w:val="kk-KZ"/>
              </w:rPr>
              <w:t>Топырақ параметрлерінің</w:t>
            </w:r>
            <w:r>
              <w:rPr>
                <w:rFonts w:hint="default"/>
                <w:b w:val="0"/>
                <w:bCs w:val="0"/>
                <w:color w:val="auto"/>
                <w:szCs w:val="28"/>
                <w:lang w:val="kk-KZ"/>
              </w:rPr>
              <w:t xml:space="preserve"> өзгерісін зерттеу</w:t>
            </w:r>
            <w:r>
              <w:rPr>
                <w:b w:val="0"/>
                <w:bCs w:val="0"/>
                <w:color w:val="auto"/>
                <w:szCs w:val="28"/>
                <w:lang w:val="kk-KZ"/>
              </w:rPr>
              <w:t xml:space="preserve"> </w:t>
            </w:r>
          </w:p>
        </w:tc>
        <w:tc>
          <w:tcPr>
            <w:tcW w:w="732" w:type="dxa"/>
          </w:tcPr>
          <w:p w14:paraId="0DA3D830">
            <w:pPr>
              <w:snapToGrid w:val="0"/>
              <w:spacing w:after="0"/>
              <w:jc w:val="center"/>
              <w:rPr>
                <w:rFonts w:hint="default"/>
                <w:color w:val="auto"/>
                <w:szCs w:val="28"/>
                <w:lang w:val="ru-RU"/>
              </w:rPr>
            </w:pPr>
            <w:r>
              <w:rPr>
                <w:rFonts w:hint="default"/>
                <w:color w:val="auto"/>
                <w:szCs w:val="28"/>
                <w:lang w:val="ru-RU"/>
              </w:rPr>
              <w:t>71</w:t>
            </w:r>
          </w:p>
        </w:tc>
      </w:tr>
      <w:tr w14:paraId="32D2FA61">
        <w:tblPrEx>
          <w:tblCellMar>
            <w:top w:w="0" w:type="dxa"/>
            <w:left w:w="108" w:type="dxa"/>
            <w:bottom w:w="0" w:type="dxa"/>
            <w:right w:w="108" w:type="dxa"/>
          </w:tblCellMar>
        </w:tblPrEx>
        <w:tc>
          <w:tcPr>
            <w:tcW w:w="974" w:type="dxa"/>
          </w:tcPr>
          <w:p w14:paraId="292942C5">
            <w:pPr>
              <w:snapToGrid w:val="0"/>
              <w:spacing w:after="0"/>
              <w:rPr>
                <w:color w:val="auto"/>
                <w:szCs w:val="28"/>
              </w:rPr>
            </w:pPr>
            <w:r>
              <w:rPr>
                <w:color w:val="auto"/>
                <w:szCs w:val="28"/>
              </w:rPr>
              <w:t>3.</w:t>
            </w:r>
            <w:r>
              <w:rPr>
                <w:rFonts w:hint="default"/>
                <w:color w:val="auto"/>
                <w:szCs w:val="28"/>
                <w:lang w:val="kk-KZ"/>
              </w:rPr>
              <w:t>4</w:t>
            </w:r>
            <w:r>
              <w:rPr>
                <w:color w:val="auto"/>
                <w:szCs w:val="28"/>
              </w:rPr>
              <w:t xml:space="preserve"> </w:t>
            </w:r>
          </w:p>
        </w:tc>
        <w:tc>
          <w:tcPr>
            <w:tcW w:w="8400" w:type="dxa"/>
          </w:tcPr>
          <w:p w14:paraId="01C5D7B1">
            <w:pPr>
              <w:snapToGrid w:val="0"/>
              <w:spacing w:after="0"/>
              <w:rPr>
                <w:color w:val="auto"/>
                <w:szCs w:val="28"/>
              </w:rPr>
            </w:pPr>
            <w:r>
              <w:rPr>
                <w:color w:val="auto"/>
                <w:szCs w:val="28"/>
                <w:highlight w:val="none"/>
              </w:rPr>
              <w:t>Абиотикалық факторлардың</w:t>
            </w:r>
            <w:r>
              <w:rPr>
                <w:rFonts w:hint="default"/>
                <w:color w:val="auto"/>
                <w:szCs w:val="28"/>
                <w:highlight w:val="none"/>
                <w:lang w:val="kk-KZ"/>
              </w:rPr>
              <w:t xml:space="preserve"> (тұздылық, температура өзгерісі)</w:t>
            </w:r>
            <w:r>
              <w:rPr>
                <w:color w:val="auto"/>
                <w:szCs w:val="28"/>
                <w:highlight w:val="none"/>
              </w:rPr>
              <w:t xml:space="preserve"> биодеструкция процесіне әсерін зерттеу</w:t>
            </w:r>
          </w:p>
        </w:tc>
        <w:tc>
          <w:tcPr>
            <w:tcW w:w="732" w:type="dxa"/>
          </w:tcPr>
          <w:p w14:paraId="45619E45">
            <w:pPr>
              <w:snapToGrid w:val="0"/>
              <w:spacing w:after="0"/>
              <w:jc w:val="center"/>
              <w:rPr>
                <w:rFonts w:hint="default"/>
                <w:color w:val="auto"/>
                <w:szCs w:val="28"/>
                <w:lang w:val="ru-RU"/>
              </w:rPr>
            </w:pPr>
            <w:r>
              <w:rPr>
                <w:rFonts w:hint="default"/>
                <w:color w:val="auto"/>
                <w:szCs w:val="28"/>
                <w:lang w:val="ru-RU"/>
              </w:rPr>
              <w:t>75</w:t>
            </w:r>
          </w:p>
        </w:tc>
      </w:tr>
      <w:tr w14:paraId="1FA41289">
        <w:tblPrEx>
          <w:tblCellMar>
            <w:top w:w="0" w:type="dxa"/>
            <w:left w:w="108" w:type="dxa"/>
            <w:bottom w:w="0" w:type="dxa"/>
            <w:right w:w="108" w:type="dxa"/>
          </w:tblCellMar>
        </w:tblPrEx>
        <w:tc>
          <w:tcPr>
            <w:tcW w:w="974" w:type="dxa"/>
          </w:tcPr>
          <w:p w14:paraId="313861B5">
            <w:pPr>
              <w:snapToGrid w:val="0"/>
              <w:spacing w:after="0"/>
              <w:rPr>
                <w:rFonts w:hint="default"/>
                <w:color w:val="auto"/>
                <w:szCs w:val="28"/>
                <w:lang w:val="kk-KZ"/>
              </w:rPr>
            </w:pPr>
            <w:r>
              <w:rPr>
                <w:rFonts w:hint="default"/>
                <w:color w:val="auto"/>
                <w:szCs w:val="28"/>
                <w:lang w:val="kk-KZ"/>
              </w:rPr>
              <w:t>3.5</w:t>
            </w:r>
          </w:p>
        </w:tc>
        <w:tc>
          <w:tcPr>
            <w:tcW w:w="8400" w:type="dxa"/>
          </w:tcPr>
          <w:p w14:paraId="64EA14E5">
            <w:pPr>
              <w:pStyle w:val="35"/>
              <w:spacing w:beforeAutospacing="0" w:afterAutospacing="0"/>
              <w:jc w:val="both"/>
              <w:rPr>
                <w:color w:val="auto"/>
                <w:szCs w:val="28"/>
              </w:rPr>
            </w:pPr>
            <w:r>
              <w:rPr>
                <w:b w:val="0"/>
                <w:bCs w:val="0"/>
                <w:color w:val="auto"/>
                <w:sz w:val="28"/>
                <w:szCs w:val="28"/>
                <w:lang w:val="kk-KZ"/>
              </w:rPr>
              <w:t>Тасымалдауыштарды салыстырмалы</w:t>
            </w:r>
            <w:r>
              <w:rPr>
                <w:rFonts w:hint="default"/>
                <w:b w:val="0"/>
                <w:bCs w:val="0"/>
                <w:color w:val="auto"/>
                <w:sz w:val="28"/>
                <w:szCs w:val="28"/>
                <w:lang w:val="kk-KZ"/>
              </w:rPr>
              <w:t xml:space="preserve"> талдау</w:t>
            </w:r>
          </w:p>
        </w:tc>
        <w:tc>
          <w:tcPr>
            <w:tcW w:w="732" w:type="dxa"/>
          </w:tcPr>
          <w:p w14:paraId="37FD54A1">
            <w:pPr>
              <w:snapToGrid w:val="0"/>
              <w:spacing w:after="0"/>
              <w:jc w:val="center"/>
              <w:rPr>
                <w:rFonts w:hint="default"/>
                <w:color w:val="auto"/>
                <w:szCs w:val="28"/>
                <w:lang w:val="ru-RU"/>
              </w:rPr>
            </w:pPr>
            <w:r>
              <w:rPr>
                <w:rFonts w:hint="default"/>
                <w:color w:val="auto"/>
                <w:szCs w:val="28"/>
                <w:lang w:val="ru-RU"/>
              </w:rPr>
              <w:t>77</w:t>
            </w:r>
          </w:p>
        </w:tc>
      </w:tr>
      <w:tr w14:paraId="2AB3C8D2">
        <w:tblPrEx>
          <w:tblCellMar>
            <w:top w:w="0" w:type="dxa"/>
            <w:left w:w="108" w:type="dxa"/>
            <w:bottom w:w="0" w:type="dxa"/>
            <w:right w:w="108" w:type="dxa"/>
          </w:tblCellMar>
        </w:tblPrEx>
        <w:tc>
          <w:tcPr>
            <w:tcW w:w="974" w:type="dxa"/>
          </w:tcPr>
          <w:p w14:paraId="12FBC734">
            <w:pPr>
              <w:snapToGrid w:val="0"/>
              <w:spacing w:after="0"/>
              <w:rPr>
                <w:rFonts w:hint="default"/>
                <w:color w:val="auto"/>
                <w:szCs w:val="28"/>
                <w:lang w:val="kk-KZ"/>
              </w:rPr>
            </w:pPr>
            <w:r>
              <w:rPr>
                <w:color w:val="auto"/>
                <w:szCs w:val="28"/>
              </w:rPr>
              <w:t>3.</w:t>
            </w:r>
            <w:r>
              <w:rPr>
                <w:rFonts w:hint="default"/>
                <w:color w:val="auto"/>
                <w:szCs w:val="28"/>
                <w:lang w:val="kk-KZ"/>
              </w:rPr>
              <w:t>5.1</w:t>
            </w:r>
          </w:p>
        </w:tc>
        <w:tc>
          <w:tcPr>
            <w:tcW w:w="8400" w:type="dxa"/>
          </w:tcPr>
          <w:p w14:paraId="1C446F58">
            <w:pPr>
              <w:snapToGrid w:val="0"/>
              <w:spacing w:after="0"/>
              <w:rPr>
                <w:color w:val="auto"/>
                <w:szCs w:val="28"/>
                <w:lang w:val="kk-KZ"/>
              </w:rPr>
            </w:pPr>
            <w:r>
              <w:rPr>
                <w:rFonts w:ascii="Times New Roman" w:hAnsi="Times New Roman" w:eastAsia="SimSun" w:cs="Times New Roman"/>
                <w:b w:val="0"/>
                <w:bCs w:val="0"/>
                <w:color w:val="auto"/>
                <w:sz w:val="28"/>
                <w:szCs w:val="28"/>
                <w:lang w:val="kk-KZ" w:eastAsia="zh-CN" w:bidi="ar-SA"/>
              </w:rPr>
              <w:t>Органикалық және минералдық тасымалд</w:t>
            </w:r>
            <w:r>
              <w:rPr>
                <w:rFonts w:cs="Times New Roman"/>
                <w:b w:val="0"/>
                <w:bCs w:val="0"/>
                <w:color w:val="auto"/>
                <w:sz w:val="28"/>
                <w:szCs w:val="28"/>
                <w:lang w:val="kk-KZ" w:eastAsia="zh-CN" w:bidi="ar-SA"/>
              </w:rPr>
              <w:t>ауыш</w:t>
            </w:r>
            <w:r>
              <w:rPr>
                <w:rFonts w:ascii="Times New Roman" w:hAnsi="Times New Roman" w:eastAsia="SimSun" w:cs="Times New Roman"/>
                <w:b w:val="0"/>
                <w:bCs w:val="0"/>
                <w:color w:val="auto"/>
                <w:sz w:val="28"/>
                <w:szCs w:val="28"/>
                <w:lang w:val="kk-KZ" w:eastAsia="zh-CN" w:bidi="ar-SA"/>
              </w:rPr>
              <w:t>тарды салыстыру</w:t>
            </w:r>
          </w:p>
        </w:tc>
        <w:tc>
          <w:tcPr>
            <w:tcW w:w="732" w:type="dxa"/>
          </w:tcPr>
          <w:p w14:paraId="1C113E85">
            <w:pPr>
              <w:snapToGrid w:val="0"/>
              <w:spacing w:after="0"/>
              <w:jc w:val="center"/>
              <w:rPr>
                <w:rFonts w:hint="default"/>
                <w:color w:val="auto"/>
                <w:szCs w:val="28"/>
                <w:lang w:val="ru-RU"/>
              </w:rPr>
            </w:pPr>
            <w:r>
              <w:rPr>
                <w:rFonts w:hint="default"/>
                <w:color w:val="auto"/>
                <w:szCs w:val="28"/>
                <w:lang w:val="ru-RU"/>
              </w:rPr>
              <w:t>77</w:t>
            </w:r>
          </w:p>
        </w:tc>
      </w:tr>
      <w:tr w14:paraId="50A09527">
        <w:tblPrEx>
          <w:tblCellMar>
            <w:top w:w="0" w:type="dxa"/>
            <w:left w:w="108" w:type="dxa"/>
            <w:bottom w:w="0" w:type="dxa"/>
            <w:right w:w="108" w:type="dxa"/>
          </w:tblCellMar>
        </w:tblPrEx>
        <w:tc>
          <w:tcPr>
            <w:tcW w:w="974" w:type="dxa"/>
          </w:tcPr>
          <w:p w14:paraId="5ABCB940">
            <w:pPr>
              <w:snapToGrid w:val="0"/>
              <w:spacing w:after="0"/>
              <w:rPr>
                <w:rFonts w:hint="default"/>
                <w:color w:val="auto"/>
                <w:szCs w:val="28"/>
                <w:lang w:val="kk-KZ"/>
              </w:rPr>
            </w:pPr>
            <w:r>
              <w:rPr>
                <w:rFonts w:hint="default"/>
                <w:color w:val="auto"/>
                <w:szCs w:val="28"/>
                <w:lang w:val="kk-KZ"/>
              </w:rPr>
              <w:t>3.5.2</w:t>
            </w:r>
          </w:p>
        </w:tc>
        <w:tc>
          <w:tcPr>
            <w:tcW w:w="8400" w:type="dxa"/>
          </w:tcPr>
          <w:p w14:paraId="3693FB41">
            <w:pPr>
              <w:snapToGrid w:val="0"/>
              <w:spacing w:after="0"/>
              <w:rPr>
                <w:rFonts w:ascii="Times New Roman" w:hAnsi="Times New Roman" w:eastAsia="SimSun" w:cs="Times New Roman"/>
                <w:b w:val="0"/>
                <w:bCs w:val="0"/>
                <w:color w:val="auto"/>
                <w:sz w:val="28"/>
                <w:szCs w:val="28"/>
                <w:lang w:val="kk-KZ" w:eastAsia="zh-CN" w:bidi="ar-SA"/>
              </w:rPr>
            </w:pPr>
            <w:r>
              <w:rPr>
                <w:rFonts w:ascii="Times New Roman" w:hAnsi="Times New Roman" w:eastAsia="SimSun" w:cs="Times New Roman"/>
                <w:b w:val="0"/>
                <w:bCs w:val="0"/>
                <w:color w:val="auto"/>
                <w:sz w:val="28"/>
                <w:szCs w:val="28"/>
                <w:lang w:val="kk-KZ" w:eastAsia="zh-CN" w:bidi="ar-SA"/>
              </w:rPr>
              <w:t>Қарақұмық және күріш қауыздарын салыстыру</w:t>
            </w:r>
          </w:p>
        </w:tc>
        <w:tc>
          <w:tcPr>
            <w:tcW w:w="732" w:type="dxa"/>
          </w:tcPr>
          <w:p w14:paraId="0D30C2A8">
            <w:pPr>
              <w:snapToGrid w:val="0"/>
              <w:spacing w:after="0"/>
              <w:jc w:val="center"/>
              <w:rPr>
                <w:rFonts w:hint="default"/>
                <w:color w:val="auto"/>
                <w:szCs w:val="28"/>
                <w:lang w:val="ru-RU"/>
              </w:rPr>
            </w:pPr>
            <w:r>
              <w:rPr>
                <w:rFonts w:hint="default"/>
                <w:color w:val="auto"/>
                <w:szCs w:val="28"/>
                <w:lang w:val="ru-RU"/>
              </w:rPr>
              <w:t>79</w:t>
            </w:r>
          </w:p>
        </w:tc>
      </w:tr>
      <w:tr w14:paraId="3C8890B5">
        <w:tblPrEx>
          <w:tblCellMar>
            <w:top w:w="0" w:type="dxa"/>
            <w:left w:w="108" w:type="dxa"/>
            <w:bottom w:w="0" w:type="dxa"/>
            <w:right w:w="108" w:type="dxa"/>
          </w:tblCellMar>
        </w:tblPrEx>
        <w:tc>
          <w:tcPr>
            <w:tcW w:w="974" w:type="dxa"/>
            <w:shd w:val="clear" w:color="auto" w:fill="auto"/>
            <w:vAlign w:val="top"/>
          </w:tcPr>
          <w:p w14:paraId="5D9247D2">
            <w:pPr>
              <w:snapToGrid w:val="0"/>
              <w:spacing w:after="0"/>
              <w:rPr>
                <w:rFonts w:hint="default" w:ascii="Times New Roman" w:hAnsi="Times New Roman" w:eastAsia="SimSun" w:cs="Times New Roman"/>
                <w:color w:val="auto"/>
                <w:sz w:val="28"/>
                <w:szCs w:val="28"/>
                <w:highlight w:val="red"/>
                <w:lang w:val="ru-RU" w:eastAsia="ru-RU" w:bidi="ar-SA"/>
              </w:rPr>
            </w:pPr>
          </w:p>
        </w:tc>
        <w:tc>
          <w:tcPr>
            <w:tcW w:w="8400" w:type="dxa"/>
            <w:shd w:val="clear" w:color="auto" w:fill="auto"/>
            <w:vAlign w:val="top"/>
          </w:tcPr>
          <w:p w14:paraId="6AA5D061">
            <w:pPr>
              <w:snapToGrid w:val="0"/>
              <w:spacing w:after="0"/>
              <w:rPr>
                <w:rFonts w:hint="default" w:ascii="Times New Roman" w:hAnsi="Times New Roman" w:eastAsia="SimSun" w:cs="Times New Roman"/>
                <w:color w:val="auto"/>
                <w:sz w:val="28"/>
                <w:szCs w:val="28"/>
                <w:lang w:val="kk-KZ" w:eastAsia="zh-CN" w:bidi="ar-SA"/>
              </w:rPr>
            </w:pPr>
            <w:r>
              <w:rPr>
                <w:color w:val="auto"/>
                <w:szCs w:val="28"/>
                <w:highlight w:val="none"/>
                <w:lang w:val="kk-KZ"/>
              </w:rPr>
              <w:t>3</w:t>
            </w:r>
            <w:r>
              <w:rPr>
                <w:color w:val="auto"/>
                <w:szCs w:val="28"/>
                <w:highlight w:val="none"/>
              </w:rPr>
              <w:t>-бөлім бойынша қорытындылар</w:t>
            </w:r>
          </w:p>
        </w:tc>
        <w:tc>
          <w:tcPr>
            <w:tcW w:w="732" w:type="dxa"/>
          </w:tcPr>
          <w:p w14:paraId="6E0BE28E">
            <w:pPr>
              <w:snapToGrid w:val="0"/>
              <w:spacing w:after="0"/>
              <w:jc w:val="center"/>
              <w:rPr>
                <w:rFonts w:hint="default"/>
                <w:color w:val="auto"/>
                <w:szCs w:val="28"/>
                <w:lang w:val="ru-RU"/>
              </w:rPr>
            </w:pPr>
            <w:r>
              <w:rPr>
                <w:rFonts w:hint="default"/>
                <w:color w:val="auto"/>
                <w:szCs w:val="28"/>
                <w:lang w:val="ru-RU"/>
              </w:rPr>
              <w:t>81</w:t>
            </w:r>
          </w:p>
        </w:tc>
      </w:tr>
      <w:tr w14:paraId="4DF2D34E">
        <w:tblPrEx>
          <w:tblCellMar>
            <w:top w:w="0" w:type="dxa"/>
            <w:left w:w="108" w:type="dxa"/>
            <w:bottom w:w="0" w:type="dxa"/>
            <w:right w:w="108" w:type="dxa"/>
          </w:tblCellMar>
        </w:tblPrEx>
        <w:tc>
          <w:tcPr>
            <w:tcW w:w="974" w:type="dxa"/>
          </w:tcPr>
          <w:p w14:paraId="7A390172">
            <w:pPr>
              <w:snapToGrid w:val="0"/>
              <w:spacing w:after="0"/>
              <w:rPr>
                <w:rFonts w:hint="default"/>
                <w:color w:val="auto"/>
                <w:szCs w:val="28"/>
                <w:lang w:val="ru-RU"/>
              </w:rPr>
            </w:pPr>
            <w:r>
              <w:rPr>
                <w:rFonts w:hint="default"/>
                <w:b/>
                <w:bCs/>
                <w:color w:val="auto"/>
                <w:szCs w:val="28"/>
                <w:lang w:val="ru-RU"/>
              </w:rPr>
              <w:t>4</w:t>
            </w:r>
          </w:p>
        </w:tc>
        <w:tc>
          <w:tcPr>
            <w:tcW w:w="8400" w:type="dxa"/>
          </w:tcPr>
          <w:p w14:paraId="6D7FCE0B">
            <w:pPr>
              <w:keepNext w:val="0"/>
              <w:keepLines w:val="0"/>
              <w:pageBreakBefore w:val="0"/>
              <w:widowControl/>
              <w:kinsoku/>
              <w:wordWrap/>
              <w:overflowPunct/>
              <w:topLinePunct w:val="0"/>
              <w:autoSpaceDE/>
              <w:autoSpaceDN/>
              <w:bidi w:val="0"/>
              <w:adjustRightInd/>
              <w:spacing w:after="0"/>
              <w:jc w:val="both"/>
              <w:textAlignment w:val="auto"/>
              <w:rPr>
                <w:rFonts w:ascii="Times New Roman" w:hAnsi="Times New Roman" w:eastAsia="SimSun" w:cs="Times New Roman"/>
                <w:b w:val="0"/>
                <w:bCs w:val="0"/>
                <w:color w:val="auto"/>
                <w:sz w:val="28"/>
                <w:szCs w:val="28"/>
                <w:lang w:val="kk-KZ" w:eastAsia="zh-CN" w:bidi="ar-SA"/>
              </w:rPr>
            </w:pPr>
            <w:r>
              <w:rPr>
                <w:rFonts w:ascii="Times New Roman" w:hAnsi="Times New Roman" w:eastAsia="Times New Roman" w:cs="Times New Roman"/>
                <w:b/>
                <w:bCs/>
                <w:color w:val="auto"/>
                <w:sz w:val="28"/>
                <w:szCs w:val="28"/>
              </w:rPr>
              <w:t>ӘЗІРЛЕНГЕН ӘДІСТІҢ ТИІМДІЛІГІН БАҒАЛАУ ЖӘНЕ ОНЫҢ ЭКОЛОГИЯЛЫҚ НЕГІЗДЕМЕСІ</w:t>
            </w:r>
          </w:p>
        </w:tc>
        <w:tc>
          <w:tcPr>
            <w:tcW w:w="732" w:type="dxa"/>
          </w:tcPr>
          <w:p w14:paraId="6EE713B6">
            <w:pPr>
              <w:snapToGrid w:val="0"/>
              <w:spacing w:after="0"/>
              <w:jc w:val="center"/>
              <w:rPr>
                <w:rFonts w:hint="default"/>
                <w:color w:val="auto"/>
                <w:szCs w:val="28"/>
                <w:lang w:val="kk-KZ"/>
              </w:rPr>
            </w:pPr>
            <w:r>
              <w:rPr>
                <w:rFonts w:hint="default"/>
                <w:color w:val="auto"/>
                <w:szCs w:val="28"/>
                <w:lang w:val="kk-KZ"/>
              </w:rPr>
              <w:t>83</w:t>
            </w:r>
          </w:p>
        </w:tc>
      </w:tr>
      <w:tr w14:paraId="7A4B518F">
        <w:tblPrEx>
          <w:tblCellMar>
            <w:top w:w="0" w:type="dxa"/>
            <w:left w:w="108" w:type="dxa"/>
            <w:bottom w:w="0" w:type="dxa"/>
            <w:right w:w="108" w:type="dxa"/>
          </w:tblCellMar>
        </w:tblPrEx>
        <w:tc>
          <w:tcPr>
            <w:tcW w:w="974" w:type="dxa"/>
          </w:tcPr>
          <w:p w14:paraId="70A2DB0D">
            <w:pPr>
              <w:keepNext w:val="0"/>
              <w:keepLines w:val="0"/>
              <w:pageBreakBefore w:val="0"/>
              <w:widowControl/>
              <w:kinsoku/>
              <w:wordWrap/>
              <w:overflowPunct/>
              <w:topLinePunct w:val="0"/>
              <w:autoSpaceDE/>
              <w:autoSpaceDN/>
              <w:bidi w:val="0"/>
              <w:adjustRightInd/>
              <w:snapToGrid w:val="0"/>
              <w:spacing w:after="0"/>
              <w:textAlignment w:val="auto"/>
              <w:rPr>
                <w:rFonts w:hint="default"/>
                <w:b w:val="0"/>
                <w:bCs w:val="0"/>
                <w:color w:val="auto"/>
                <w:szCs w:val="28"/>
                <w:lang w:val="kk-KZ"/>
              </w:rPr>
            </w:pPr>
            <w:r>
              <w:rPr>
                <w:rFonts w:hint="default"/>
                <w:b w:val="0"/>
                <w:bCs w:val="0"/>
                <w:color w:val="auto"/>
                <w:szCs w:val="28"/>
                <w:lang w:val="ru-RU"/>
              </w:rPr>
              <w:t>4</w:t>
            </w:r>
            <w:r>
              <w:rPr>
                <w:rFonts w:hint="default"/>
                <w:b w:val="0"/>
                <w:bCs w:val="0"/>
                <w:color w:val="auto"/>
                <w:szCs w:val="28"/>
                <w:lang w:val="kk-KZ"/>
              </w:rPr>
              <w:t>.1</w:t>
            </w:r>
          </w:p>
        </w:tc>
        <w:tc>
          <w:tcPr>
            <w:tcW w:w="8400" w:type="dxa"/>
          </w:tcPr>
          <w:p w14:paraId="0D2C31FC">
            <w:pPr>
              <w:keepNext w:val="0"/>
              <w:keepLines w:val="0"/>
              <w:pageBreakBefore w:val="0"/>
              <w:widowControl/>
              <w:kinsoku/>
              <w:wordWrap/>
              <w:overflowPunct/>
              <w:topLinePunct w:val="0"/>
              <w:autoSpaceDE/>
              <w:autoSpaceDN/>
              <w:bidi w:val="0"/>
              <w:adjustRightInd/>
              <w:spacing w:after="0"/>
              <w:textAlignment w:val="auto"/>
              <w:rPr>
                <w:rFonts w:ascii="Times New Roman" w:hAnsi="Times New Roman" w:eastAsia="SimSun" w:cs="Times New Roman"/>
                <w:b w:val="0"/>
                <w:bCs w:val="0"/>
                <w:color w:val="auto"/>
                <w:sz w:val="28"/>
                <w:szCs w:val="28"/>
                <w:lang w:val="kk-KZ" w:eastAsia="zh-CN" w:bidi="ar-SA"/>
              </w:rPr>
            </w:pPr>
            <w:r>
              <w:rPr>
                <w:rFonts w:ascii="Times New Roman" w:hAnsi="Times New Roman" w:eastAsia="Times New Roman" w:cs="Times New Roman"/>
                <w:b w:val="0"/>
                <w:bCs w:val="0"/>
                <w:color w:val="auto"/>
                <w:sz w:val="28"/>
                <w:szCs w:val="28"/>
              </w:rPr>
              <w:t>Мұнаймен ластанған топырақты тазарту технологиясының далалық сынақтары</w:t>
            </w:r>
          </w:p>
        </w:tc>
        <w:tc>
          <w:tcPr>
            <w:tcW w:w="732" w:type="dxa"/>
          </w:tcPr>
          <w:p w14:paraId="089EB582">
            <w:pPr>
              <w:keepNext w:val="0"/>
              <w:keepLines w:val="0"/>
              <w:pageBreakBefore w:val="0"/>
              <w:widowControl/>
              <w:kinsoku/>
              <w:wordWrap/>
              <w:overflowPunct/>
              <w:topLinePunct w:val="0"/>
              <w:autoSpaceDE/>
              <w:autoSpaceDN/>
              <w:bidi w:val="0"/>
              <w:adjustRightInd/>
              <w:snapToGrid w:val="0"/>
              <w:spacing w:after="0"/>
              <w:jc w:val="center"/>
              <w:textAlignment w:val="auto"/>
              <w:rPr>
                <w:rFonts w:hint="default"/>
                <w:b w:val="0"/>
                <w:bCs w:val="0"/>
                <w:color w:val="auto"/>
                <w:szCs w:val="28"/>
                <w:lang w:val="kk-KZ"/>
              </w:rPr>
            </w:pPr>
            <w:r>
              <w:rPr>
                <w:rFonts w:hint="default"/>
                <w:b w:val="0"/>
                <w:bCs w:val="0"/>
                <w:color w:val="auto"/>
                <w:szCs w:val="28"/>
                <w:lang w:val="kk-KZ"/>
              </w:rPr>
              <w:t>83</w:t>
            </w:r>
          </w:p>
        </w:tc>
      </w:tr>
      <w:tr w14:paraId="67D44D57">
        <w:tblPrEx>
          <w:tblCellMar>
            <w:top w:w="0" w:type="dxa"/>
            <w:left w:w="108" w:type="dxa"/>
            <w:bottom w:w="0" w:type="dxa"/>
            <w:right w:w="108" w:type="dxa"/>
          </w:tblCellMar>
        </w:tblPrEx>
        <w:tc>
          <w:tcPr>
            <w:tcW w:w="974" w:type="dxa"/>
          </w:tcPr>
          <w:p w14:paraId="7CFAD58F">
            <w:pPr>
              <w:keepNext w:val="0"/>
              <w:keepLines w:val="0"/>
              <w:pageBreakBefore w:val="0"/>
              <w:widowControl/>
              <w:kinsoku/>
              <w:wordWrap/>
              <w:overflowPunct/>
              <w:topLinePunct w:val="0"/>
              <w:autoSpaceDE/>
              <w:autoSpaceDN/>
              <w:bidi w:val="0"/>
              <w:adjustRightInd/>
              <w:snapToGrid w:val="0"/>
              <w:spacing w:after="0"/>
              <w:textAlignment w:val="auto"/>
              <w:rPr>
                <w:rFonts w:hint="default"/>
                <w:b w:val="0"/>
                <w:bCs w:val="0"/>
                <w:color w:val="auto"/>
                <w:szCs w:val="28"/>
                <w:lang w:val="kk-KZ"/>
              </w:rPr>
            </w:pPr>
            <w:r>
              <w:rPr>
                <w:rFonts w:hint="default"/>
                <w:b w:val="0"/>
                <w:bCs w:val="0"/>
                <w:color w:val="auto"/>
                <w:szCs w:val="28"/>
                <w:lang w:val="ru-RU"/>
              </w:rPr>
              <w:t>4</w:t>
            </w:r>
            <w:r>
              <w:rPr>
                <w:rFonts w:hint="default"/>
                <w:b w:val="0"/>
                <w:bCs w:val="0"/>
                <w:color w:val="auto"/>
                <w:szCs w:val="28"/>
                <w:lang w:val="kk-KZ"/>
              </w:rPr>
              <w:t>.2</w:t>
            </w:r>
          </w:p>
        </w:tc>
        <w:tc>
          <w:tcPr>
            <w:tcW w:w="8400" w:type="dxa"/>
          </w:tcPr>
          <w:p w14:paraId="0E3350F5">
            <w:pPr>
              <w:keepNext w:val="0"/>
              <w:keepLines w:val="0"/>
              <w:pageBreakBefore w:val="0"/>
              <w:widowControl/>
              <w:kinsoku/>
              <w:wordWrap/>
              <w:overflowPunct/>
              <w:topLinePunct w:val="0"/>
              <w:autoSpaceDE/>
              <w:autoSpaceDN/>
              <w:bidi w:val="0"/>
              <w:adjustRightInd/>
              <w:spacing w:after="0"/>
              <w:textAlignment w:val="auto"/>
              <w:rPr>
                <w:rFonts w:ascii="Times New Roman" w:hAnsi="Times New Roman" w:eastAsia="SimSun" w:cs="Times New Roman"/>
                <w:b w:val="0"/>
                <w:bCs w:val="0"/>
                <w:color w:val="auto"/>
                <w:sz w:val="28"/>
                <w:szCs w:val="28"/>
                <w:lang w:val="kk-KZ" w:eastAsia="zh-CN" w:bidi="ar-SA"/>
              </w:rPr>
            </w:pPr>
            <w:r>
              <w:rPr>
                <w:rFonts w:ascii="Times New Roman" w:hAnsi="Times New Roman" w:eastAsia="Times New Roman" w:cs="Times New Roman"/>
                <w:b w:val="0"/>
                <w:bCs w:val="0"/>
                <w:color w:val="auto"/>
                <w:sz w:val="28"/>
                <w:szCs w:val="28"/>
              </w:rPr>
              <w:t>Топырақтағы мұнай көмірсутектерінің деградация динамикасын талдау</w:t>
            </w:r>
          </w:p>
        </w:tc>
        <w:tc>
          <w:tcPr>
            <w:tcW w:w="732" w:type="dxa"/>
          </w:tcPr>
          <w:p w14:paraId="2F40FD26">
            <w:pPr>
              <w:keepNext w:val="0"/>
              <w:keepLines w:val="0"/>
              <w:pageBreakBefore w:val="0"/>
              <w:widowControl/>
              <w:kinsoku/>
              <w:wordWrap/>
              <w:overflowPunct/>
              <w:topLinePunct w:val="0"/>
              <w:autoSpaceDE/>
              <w:autoSpaceDN/>
              <w:bidi w:val="0"/>
              <w:adjustRightInd/>
              <w:snapToGrid w:val="0"/>
              <w:spacing w:after="0"/>
              <w:jc w:val="center"/>
              <w:textAlignment w:val="auto"/>
              <w:rPr>
                <w:rFonts w:hint="default"/>
                <w:b w:val="0"/>
                <w:bCs w:val="0"/>
                <w:color w:val="auto"/>
                <w:szCs w:val="28"/>
                <w:lang w:val="kk-KZ"/>
              </w:rPr>
            </w:pPr>
            <w:r>
              <w:rPr>
                <w:rFonts w:hint="default"/>
                <w:b w:val="0"/>
                <w:bCs w:val="0"/>
                <w:color w:val="auto"/>
                <w:szCs w:val="28"/>
                <w:lang w:val="kk-KZ"/>
              </w:rPr>
              <w:t>85</w:t>
            </w:r>
          </w:p>
        </w:tc>
      </w:tr>
      <w:tr w14:paraId="14E42F42">
        <w:tblPrEx>
          <w:tblCellMar>
            <w:top w:w="0" w:type="dxa"/>
            <w:left w:w="108" w:type="dxa"/>
            <w:bottom w:w="0" w:type="dxa"/>
            <w:right w:w="108" w:type="dxa"/>
          </w:tblCellMar>
        </w:tblPrEx>
        <w:tc>
          <w:tcPr>
            <w:tcW w:w="974" w:type="dxa"/>
          </w:tcPr>
          <w:p w14:paraId="6A805630">
            <w:pPr>
              <w:keepNext w:val="0"/>
              <w:keepLines w:val="0"/>
              <w:pageBreakBefore w:val="0"/>
              <w:widowControl/>
              <w:kinsoku/>
              <w:wordWrap/>
              <w:overflowPunct/>
              <w:topLinePunct w:val="0"/>
              <w:autoSpaceDE/>
              <w:autoSpaceDN/>
              <w:bidi w:val="0"/>
              <w:adjustRightInd/>
              <w:snapToGrid w:val="0"/>
              <w:spacing w:after="0"/>
              <w:textAlignment w:val="auto"/>
              <w:rPr>
                <w:rFonts w:hint="default"/>
                <w:b w:val="0"/>
                <w:bCs w:val="0"/>
                <w:color w:val="auto"/>
                <w:szCs w:val="28"/>
                <w:lang w:val="kk-KZ"/>
              </w:rPr>
            </w:pPr>
            <w:r>
              <w:rPr>
                <w:rFonts w:hint="default"/>
                <w:b w:val="0"/>
                <w:bCs w:val="0"/>
                <w:color w:val="auto"/>
                <w:szCs w:val="28"/>
                <w:lang w:val="ru-RU"/>
              </w:rPr>
              <w:t>4</w:t>
            </w:r>
            <w:r>
              <w:rPr>
                <w:rFonts w:hint="default"/>
                <w:b w:val="0"/>
                <w:bCs w:val="0"/>
                <w:color w:val="auto"/>
                <w:szCs w:val="28"/>
                <w:lang w:val="kk-KZ"/>
              </w:rPr>
              <w:t>.3</w:t>
            </w:r>
          </w:p>
        </w:tc>
        <w:tc>
          <w:tcPr>
            <w:tcW w:w="8400" w:type="dxa"/>
          </w:tcPr>
          <w:p w14:paraId="2E1AFE2F">
            <w:pPr>
              <w:keepNext w:val="0"/>
              <w:keepLines w:val="0"/>
              <w:pageBreakBefore w:val="0"/>
              <w:widowControl/>
              <w:kinsoku/>
              <w:wordWrap/>
              <w:overflowPunct/>
              <w:topLinePunct w:val="0"/>
              <w:autoSpaceDE/>
              <w:autoSpaceDN/>
              <w:bidi w:val="0"/>
              <w:adjustRightInd/>
              <w:spacing w:after="0"/>
              <w:textAlignment w:val="auto"/>
              <w:rPr>
                <w:rFonts w:ascii="Times New Roman" w:hAnsi="Times New Roman" w:eastAsia="SimSun" w:cs="Times New Roman"/>
                <w:b w:val="0"/>
                <w:bCs w:val="0"/>
                <w:color w:val="auto"/>
                <w:sz w:val="28"/>
                <w:szCs w:val="28"/>
                <w:lang w:val="kk-KZ" w:eastAsia="zh-CN" w:bidi="ar-SA"/>
              </w:rPr>
            </w:pPr>
            <w:r>
              <w:rPr>
                <w:rFonts w:ascii="Times New Roman" w:hAnsi="Times New Roman" w:eastAsia="Times New Roman" w:cs="Times New Roman"/>
                <w:b w:val="0"/>
                <w:bCs w:val="0"/>
                <w:color w:val="auto"/>
                <w:sz w:val="28"/>
                <w:szCs w:val="28"/>
              </w:rPr>
              <w:t>Биоиндикация және топырақтың биологиялық белсенділігінің қалпына келуін бағалау</w:t>
            </w:r>
          </w:p>
        </w:tc>
        <w:tc>
          <w:tcPr>
            <w:tcW w:w="732" w:type="dxa"/>
          </w:tcPr>
          <w:p w14:paraId="6A54068F">
            <w:pPr>
              <w:keepNext w:val="0"/>
              <w:keepLines w:val="0"/>
              <w:pageBreakBefore w:val="0"/>
              <w:widowControl/>
              <w:kinsoku/>
              <w:wordWrap/>
              <w:overflowPunct/>
              <w:topLinePunct w:val="0"/>
              <w:autoSpaceDE/>
              <w:autoSpaceDN/>
              <w:bidi w:val="0"/>
              <w:adjustRightInd/>
              <w:snapToGrid w:val="0"/>
              <w:spacing w:after="0"/>
              <w:jc w:val="center"/>
              <w:textAlignment w:val="auto"/>
              <w:rPr>
                <w:rFonts w:hint="default"/>
                <w:b w:val="0"/>
                <w:bCs w:val="0"/>
                <w:color w:val="auto"/>
                <w:szCs w:val="28"/>
                <w:lang w:val="kk-KZ"/>
              </w:rPr>
            </w:pPr>
            <w:r>
              <w:rPr>
                <w:rFonts w:hint="default"/>
                <w:b w:val="0"/>
                <w:bCs w:val="0"/>
                <w:color w:val="auto"/>
                <w:szCs w:val="28"/>
                <w:lang w:val="kk-KZ"/>
              </w:rPr>
              <w:t>86</w:t>
            </w:r>
          </w:p>
        </w:tc>
      </w:tr>
      <w:tr w14:paraId="782BD561">
        <w:tblPrEx>
          <w:tblCellMar>
            <w:top w:w="0" w:type="dxa"/>
            <w:left w:w="108" w:type="dxa"/>
            <w:bottom w:w="0" w:type="dxa"/>
            <w:right w:w="108" w:type="dxa"/>
          </w:tblCellMar>
        </w:tblPrEx>
        <w:tc>
          <w:tcPr>
            <w:tcW w:w="974" w:type="dxa"/>
          </w:tcPr>
          <w:p w14:paraId="28D42BF7">
            <w:pPr>
              <w:keepNext w:val="0"/>
              <w:keepLines w:val="0"/>
              <w:pageBreakBefore w:val="0"/>
              <w:widowControl/>
              <w:kinsoku/>
              <w:wordWrap/>
              <w:overflowPunct/>
              <w:topLinePunct w:val="0"/>
              <w:autoSpaceDE/>
              <w:autoSpaceDN/>
              <w:bidi w:val="0"/>
              <w:adjustRightInd/>
              <w:snapToGrid w:val="0"/>
              <w:spacing w:after="0"/>
              <w:textAlignment w:val="auto"/>
              <w:rPr>
                <w:rFonts w:hint="default"/>
                <w:b w:val="0"/>
                <w:bCs w:val="0"/>
                <w:color w:val="auto"/>
                <w:szCs w:val="28"/>
                <w:lang w:val="kk-KZ"/>
              </w:rPr>
            </w:pPr>
            <w:r>
              <w:rPr>
                <w:rFonts w:hint="default"/>
                <w:b w:val="0"/>
                <w:bCs w:val="0"/>
                <w:color w:val="auto"/>
                <w:szCs w:val="28"/>
                <w:lang w:val="ru-RU"/>
              </w:rPr>
              <w:t>4</w:t>
            </w:r>
            <w:r>
              <w:rPr>
                <w:rFonts w:hint="default"/>
                <w:b w:val="0"/>
                <w:bCs w:val="0"/>
                <w:color w:val="auto"/>
                <w:szCs w:val="28"/>
                <w:lang w:val="kk-KZ"/>
              </w:rPr>
              <w:t>.4</w:t>
            </w:r>
          </w:p>
        </w:tc>
        <w:tc>
          <w:tcPr>
            <w:tcW w:w="8400" w:type="dxa"/>
          </w:tcPr>
          <w:p w14:paraId="14BDA9C8">
            <w:pPr>
              <w:keepNext w:val="0"/>
              <w:keepLines w:val="0"/>
              <w:pageBreakBefore w:val="0"/>
              <w:widowControl/>
              <w:kinsoku/>
              <w:wordWrap/>
              <w:overflowPunct/>
              <w:topLinePunct w:val="0"/>
              <w:autoSpaceDE/>
              <w:autoSpaceDN/>
              <w:bidi w:val="0"/>
              <w:adjustRightInd/>
              <w:spacing w:after="0"/>
              <w:textAlignment w:val="auto"/>
              <w:rPr>
                <w:rFonts w:ascii="Times New Roman" w:hAnsi="Times New Roman" w:eastAsia="SimSun" w:cs="Times New Roman"/>
                <w:b w:val="0"/>
                <w:bCs w:val="0"/>
                <w:color w:val="auto"/>
                <w:sz w:val="28"/>
                <w:szCs w:val="28"/>
                <w:lang w:val="kk-KZ" w:eastAsia="zh-CN" w:bidi="ar-SA"/>
              </w:rPr>
            </w:pPr>
            <w:r>
              <w:rPr>
                <w:rFonts w:ascii="Times New Roman" w:hAnsi="Times New Roman" w:eastAsia="Times New Roman" w:cs="Times New Roman"/>
                <w:b w:val="0"/>
                <w:bCs w:val="0"/>
                <w:color w:val="auto"/>
                <w:sz w:val="28"/>
                <w:szCs w:val="28"/>
              </w:rPr>
              <w:t>Әдістің экологиялық қауіпсіздігін бағалау</w:t>
            </w:r>
          </w:p>
        </w:tc>
        <w:tc>
          <w:tcPr>
            <w:tcW w:w="732" w:type="dxa"/>
          </w:tcPr>
          <w:p w14:paraId="7FA1A73D">
            <w:pPr>
              <w:keepNext w:val="0"/>
              <w:keepLines w:val="0"/>
              <w:pageBreakBefore w:val="0"/>
              <w:widowControl/>
              <w:kinsoku/>
              <w:wordWrap/>
              <w:overflowPunct/>
              <w:topLinePunct w:val="0"/>
              <w:autoSpaceDE/>
              <w:autoSpaceDN/>
              <w:bidi w:val="0"/>
              <w:adjustRightInd/>
              <w:snapToGrid w:val="0"/>
              <w:spacing w:after="0"/>
              <w:jc w:val="center"/>
              <w:textAlignment w:val="auto"/>
              <w:rPr>
                <w:rFonts w:hint="default"/>
                <w:b w:val="0"/>
                <w:bCs w:val="0"/>
                <w:color w:val="auto"/>
                <w:szCs w:val="28"/>
                <w:lang w:val="kk-KZ"/>
              </w:rPr>
            </w:pPr>
            <w:r>
              <w:rPr>
                <w:rFonts w:hint="default"/>
                <w:b w:val="0"/>
                <w:bCs w:val="0"/>
                <w:color w:val="auto"/>
                <w:szCs w:val="28"/>
                <w:lang w:val="kk-KZ"/>
              </w:rPr>
              <w:t>86</w:t>
            </w:r>
          </w:p>
        </w:tc>
      </w:tr>
      <w:tr w14:paraId="1C0E5460">
        <w:tblPrEx>
          <w:tblCellMar>
            <w:top w:w="0" w:type="dxa"/>
            <w:left w:w="108" w:type="dxa"/>
            <w:bottom w:w="0" w:type="dxa"/>
            <w:right w:w="108" w:type="dxa"/>
          </w:tblCellMar>
        </w:tblPrEx>
        <w:tc>
          <w:tcPr>
            <w:tcW w:w="974" w:type="dxa"/>
          </w:tcPr>
          <w:p w14:paraId="1E67D733">
            <w:pPr>
              <w:keepNext w:val="0"/>
              <w:keepLines w:val="0"/>
              <w:pageBreakBefore w:val="0"/>
              <w:widowControl/>
              <w:kinsoku/>
              <w:wordWrap/>
              <w:overflowPunct/>
              <w:topLinePunct w:val="0"/>
              <w:autoSpaceDE/>
              <w:autoSpaceDN/>
              <w:bidi w:val="0"/>
              <w:adjustRightInd/>
              <w:snapToGrid w:val="0"/>
              <w:spacing w:after="0"/>
              <w:textAlignment w:val="auto"/>
              <w:rPr>
                <w:rFonts w:hint="default"/>
                <w:b w:val="0"/>
                <w:bCs w:val="0"/>
                <w:color w:val="auto"/>
                <w:szCs w:val="28"/>
                <w:lang w:val="kk-KZ"/>
              </w:rPr>
            </w:pPr>
            <w:r>
              <w:rPr>
                <w:rFonts w:hint="default"/>
                <w:b w:val="0"/>
                <w:bCs w:val="0"/>
                <w:color w:val="auto"/>
                <w:szCs w:val="28"/>
                <w:lang w:val="kk-KZ"/>
              </w:rPr>
              <w:t>4.5</w:t>
            </w:r>
          </w:p>
        </w:tc>
        <w:tc>
          <w:tcPr>
            <w:tcW w:w="8400" w:type="dxa"/>
          </w:tcPr>
          <w:p w14:paraId="4A61CF15">
            <w:pPr>
              <w:keepNext w:val="0"/>
              <w:keepLines w:val="0"/>
              <w:pageBreakBefore w:val="0"/>
              <w:widowControl/>
              <w:kinsoku/>
              <w:wordWrap/>
              <w:overflowPunct/>
              <w:topLinePunct w:val="0"/>
              <w:autoSpaceDE/>
              <w:autoSpaceDN/>
              <w:bidi w:val="0"/>
              <w:adjustRightInd/>
              <w:spacing w:after="0"/>
              <w:textAlignment w:val="auto"/>
              <w:rPr>
                <w:rFonts w:ascii="Times New Roman" w:hAnsi="Times New Roman" w:eastAsia="SimSun" w:cs="Times New Roman"/>
                <w:b w:val="0"/>
                <w:bCs w:val="0"/>
                <w:color w:val="auto"/>
                <w:sz w:val="28"/>
                <w:szCs w:val="28"/>
                <w:lang w:val="kk-KZ" w:eastAsia="zh-CN" w:bidi="ar-SA"/>
              </w:rPr>
            </w:pPr>
            <w:r>
              <w:rPr>
                <w:rFonts w:ascii="Times New Roman" w:hAnsi="Times New Roman" w:eastAsia="Times New Roman" w:cs="Times New Roman"/>
                <w:b w:val="0"/>
                <w:bCs w:val="0"/>
                <w:color w:val="auto"/>
                <w:sz w:val="28"/>
                <w:szCs w:val="28"/>
              </w:rPr>
              <w:t>Технологияны қолданудың экономикалық негіздемесі</w:t>
            </w:r>
          </w:p>
        </w:tc>
        <w:tc>
          <w:tcPr>
            <w:tcW w:w="732" w:type="dxa"/>
          </w:tcPr>
          <w:p w14:paraId="48EA1174">
            <w:pPr>
              <w:keepNext w:val="0"/>
              <w:keepLines w:val="0"/>
              <w:pageBreakBefore w:val="0"/>
              <w:widowControl/>
              <w:kinsoku/>
              <w:wordWrap/>
              <w:overflowPunct/>
              <w:topLinePunct w:val="0"/>
              <w:autoSpaceDE/>
              <w:autoSpaceDN/>
              <w:bidi w:val="0"/>
              <w:adjustRightInd/>
              <w:snapToGrid w:val="0"/>
              <w:spacing w:after="0"/>
              <w:jc w:val="center"/>
              <w:textAlignment w:val="auto"/>
              <w:rPr>
                <w:rFonts w:hint="default"/>
                <w:b w:val="0"/>
                <w:bCs w:val="0"/>
                <w:color w:val="auto"/>
                <w:szCs w:val="28"/>
                <w:lang w:val="kk-KZ"/>
              </w:rPr>
            </w:pPr>
            <w:r>
              <w:rPr>
                <w:rFonts w:hint="default"/>
                <w:b w:val="0"/>
                <w:bCs w:val="0"/>
                <w:color w:val="auto"/>
                <w:szCs w:val="28"/>
                <w:lang w:val="kk-KZ"/>
              </w:rPr>
              <w:t>87</w:t>
            </w:r>
          </w:p>
        </w:tc>
      </w:tr>
      <w:tr w14:paraId="33D5BEDC">
        <w:tblPrEx>
          <w:tblCellMar>
            <w:top w:w="0" w:type="dxa"/>
            <w:left w:w="108" w:type="dxa"/>
            <w:bottom w:w="0" w:type="dxa"/>
            <w:right w:w="108" w:type="dxa"/>
          </w:tblCellMar>
        </w:tblPrEx>
        <w:tc>
          <w:tcPr>
            <w:tcW w:w="974" w:type="dxa"/>
          </w:tcPr>
          <w:p w14:paraId="7B07C267">
            <w:pPr>
              <w:keepNext w:val="0"/>
              <w:keepLines w:val="0"/>
              <w:pageBreakBefore w:val="0"/>
              <w:widowControl/>
              <w:kinsoku/>
              <w:wordWrap/>
              <w:overflowPunct/>
              <w:topLinePunct w:val="0"/>
              <w:autoSpaceDE/>
              <w:autoSpaceDN/>
              <w:bidi w:val="0"/>
              <w:adjustRightInd/>
              <w:snapToGrid w:val="0"/>
              <w:spacing w:after="0"/>
              <w:textAlignment w:val="auto"/>
              <w:rPr>
                <w:rFonts w:hint="default"/>
                <w:b w:val="0"/>
                <w:bCs w:val="0"/>
                <w:color w:val="auto"/>
                <w:szCs w:val="28"/>
                <w:lang w:val="kk-KZ"/>
              </w:rPr>
            </w:pPr>
            <w:r>
              <w:rPr>
                <w:rFonts w:hint="default"/>
                <w:b w:val="0"/>
                <w:bCs w:val="0"/>
                <w:color w:val="auto"/>
                <w:szCs w:val="28"/>
                <w:lang w:val="kk-KZ"/>
              </w:rPr>
              <w:t>4.6</w:t>
            </w:r>
          </w:p>
        </w:tc>
        <w:tc>
          <w:tcPr>
            <w:tcW w:w="8400" w:type="dxa"/>
          </w:tcPr>
          <w:p w14:paraId="42305AC9">
            <w:pPr>
              <w:keepNext w:val="0"/>
              <w:keepLines w:val="0"/>
              <w:pageBreakBefore w:val="0"/>
              <w:widowControl/>
              <w:kinsoku/>
              <w:wordWrap/>
              <w:overflowPunct/>
              <w:topLinePunct w:val="0"/>
              <w:autoSpaceDE/>
              <w:autoSpaceDN/>
              <w:bidi w:val="0"/>
              <w:adjustRightInd/>
              <w:spacing w:after="0"/>
              <w:textAlignment w:val="auto"/>
              <w:rPr>
                <w:rFonts w:ascii="Times New Roman" w:hAnsi="Times New Roman" w:eastAsia="SimSun" w:cs="Times New Roman"/>
                <w:b w:val="0"/>
                <w:bCs w:val="0"/>
                <w:color w:val="auto"/>
                <w:sz w:val="28"/>
                <w:szCs w:val="28"/>
                <w:lang w:val="kk-KZ" w:eastAsia="zh-CN" w:bidi="ar-SA"/>
              </w:rPr>
            </w:pPr>
            <w:r>
              <w:rPr>
                <w:rFonts w:ascii="Times New Roman" w:hAnsi="Times New Roman" w:eastAsia="Times New Roman" w:cs="Times New Roman"/>
                <w:b w:val="0"/>
                <w:bCs w:val="0"/>
                <w:color w:val="auto"/>
                <w:sz w:val="28"/>
                <w:szCs w:val="28"/>
              </w:rPr>
              <w:t>Қолданыстағы аналогтармен салыстыру</w:t>
            </w:r>
          </w:p>
        </w:tc>
        <w:tc>
          <w:tcPr>
            <w:tcW w:w="732" w:type="dxa"/>
          </w:tcPr>
          <w:p w14:paraId="0F67772C">
            <w:pPr>
              <w:keepNext w:val="0"/>
              <w:keepLines w:val="0"/>
              <w:pageBreakBefore w:val="0"/>
              <w:widowControl/>
              <w:kinsoku/>
              <w:wordWrap/>
              <w:overflowPunct/>
              <w:topLinePunct w:val="0"/>
              <w:autoSpaceDE/>
              <w:autoSpaceDN/>
              <w:bidi w:val="0"/>
              <w:adjustRightInd/>
              <w:snapToGrid w:val="0"/>
              <w:spacing w:after="0"/>
              <w:jc w:val="center"/>
              <w:textAlignment w:val="auto"/>
              <w:rPr>
                <w:rFonts w:hint="default"/>
                <w:b w:val="0"/>
                <w:bCs w:val="0"/>
                <w:color w:val="auto"/>
                <w:szCs w:val="28"/>
                <w:lang w:val="kk-KZ"/>
              </w:rPr>
            </w:pPr>
            <w:r>
              <w:rPr>
                <w:rFonts w:hint="default"/>
                <w:b w:val="0"/>
                <w:bCs w:val="0"/>
                <w:color w:val="auto"/>
                <w:szCs w:val="28"/>
                <w:lang w:val="kk-KZ"/>
              </w:rPr>
              <w:t>90</w:t>
            </w:r>
          </w:p>
        </w:tc>
      </w:tr>
      <w:tr w14:paraId="1FA0E210">
        <w:tblPrEx>
          <w:tblCellMar>
            <w:top w:w="0" w:type="dxa"/>
            <w:left w:w="108" w:type="dxa"/>
            <w:bottom w:w="0" w:type="dxa"/>
            <w:right w:w="108" w:type="dxa"/>
          </w:tblCellMar>
        </w:tblPrEx>
        <w:tc>
          <w:tcPr>
            <w:tcW w:w="974" w:type="dxa"/>
          </w:tcPr>
          <w:p w14:paraId="46E55487">
            <w:pPr>
              <w:keepNext w:val="0"/>
              <w:keepLines w:val="0"/>
              <w:pageBreakBefore w:val="0"/>
              <w:widowControl/>
              <w:kinsoku/>
              <w:wordWrap/>
              <w:overflowPunct/>
              <w:topLinePunct w:val="0"/>
              <w:autoSpaceDE/>
              <w:autoSpaceDN/>
              <w:bidi w:val="0"/>
              <w:adjustRightInd/>
              <w:snapToGrid w:val="0"/>
              <w:spacing w:after="0"/>
              <w:textAlignment w:val="auto"/>
              <w:rPr>
                <w:rFonts w:hint="default"/>
                <w:b w:val="0"/>
                <w:bCs w:val="0"/>
                <w:color w:val="auto"/>
                <w:szCs w:val="28"/>
                <w:lang w:val="kk-KZ"/>
              </w:rPr>
            </w:pPr>
            <w:r>
              <w:rPr>
                <w:rFonts w:hint="default"/>
                <w:b w:val="0"/>
                <w:bCs w:val="0"/>
                <w:color w:val="auto"/>
                <w:szCs w:val="28"/>
                <w:lang w:val="kk-KZ"/>
              </w:rPr>
              <w:t>4.7</w:t>
            </w:r>
          </w:p>
        </w:tc>
        <w:tc>
          <w:tcPr>
            <w:tcW w:w="8400" w:type="dxa"/>
          </w:tcPr>
          <w:p w14:paraId="2C7BC4B1">
            <w:pPr>
              <w:keepNext w:val="0"/>
              <w:keepLines w:val="0"/>
              <w:pageBreakBefore w:val="0"/>
              <w:widowControl/>
              <w:kinsoku/>
              <w:wordWrap/>
              <w:overflowPunct/>
              <w:topLinePunct w:val="0"/>
              <w:autoSpaceDE/>
              <w:autoSpaceDN/>
              <w:bidi w:val="0"/>
              <w:adjustRightInd/>
              <w:spacing w:after="0"/>
              <w:textAlignment w:val="auto"/>
              <w:rPr>
                <w:rFonts w:ascii="Times New Roman" w:hAnsi="Times New Roman" w:eastAsia="SimSun" w:cs="Times New Roman"/>
                <w:b w:val="0"/>
                <w:bCs w:val="0"/>
                <w:color w:val="auto"/>
                <w:sz w:val="28"/>
                <w:szCs w:val="28"/>
                <w:lang w:val="kk-KZ" w:eastAsia="zh-CN" w:bidi="ar-SA"/>
              </w:rPr>
            </w:pPr>
            <w:r>
              <w:rPr>
                <w:rFonts w:ascii="Times New Roman" w:hAnsi="Times New Roman" w:eastAsia="Times New Roman" w:cs="Times New Roman"/>
                <w:b w:val="0"/>
                <w:bCs w:val="0"/>
                <w:color w:val="auto"/>
                <w:sz w:val="28"/>
                <w:szCs w:val="28"/>
              </w:rPr>
              <w:t>Практикалық перспективалар және зерттеудің жалғасы</w:t>
            </w:r>
          </w:p>
        </w:tc>
        <w:tc>
          <w:tcPr>
            <w:tcW w:w="732" w:type="dxa"/>
          </w:tcPr>
          <w:p w14:paraId="0D8BE909">
            <w:pPr>
              <w:keepNext w:val="0"/>
              <w:keepLines w:val="0"/>
              <w:pageBreakBefore w:val="0"/>
              <w:widowControl/>
              <w:kinsoku/>
              <w:wordWrap/>
              <w:overflowPunct/>
              <w:topLinePunct w:val="0"/>
              <w:autoSpaceDE/>
              <w:autoSpaceDN/>
              <w:bidi w:val="0"/>
              <w:adjustRightInd/>
              <w:snapToGrid w:val="0"/>
              <w:spacing w:after="0"/>
              <w:jc w:val="center"/>
              <w:textAlignment w:val="auto"/>
              <w:rPr>
                <w:rFonts w:hint="default"/>
                <w:b w:val="0"/>
                <w:bCs w:val="0"/>
                <w:color w:val="auto"/>
                <w:szCs w:val="28"/>
                <w:lang w:val="kk-KZ"/>
              </w:rPr>
            </w:pPr>
            <w:r>
              <w:rPr>
                <w:rFonts w:hint="default"/>
                <w:b w:val="0"/>
                <w:bCs w:val="0"/>
                <w:color w:val="auto"/>
                <w:szCs w:val="28"/>
                <w:lang w:val="kk-KZ"/>
              </w:rPr>
              <w:t>93</w:t>
            </w:r>
          </w:p>
        </w:tc>
      </w:tr>
      <w:tr w14:paraId="67CAFCEE">
        <w:tblPrEx>
          <w:tblCellMar>
            <w:top w:w="0" w:type="dxa"/>
            <w:left w:w="108" w:type="dxa"/>
            <w:bottom w:w="0" w:type="dxa"/>
            <w:right w:w="108" w:type="dxa"/>
          </w:tblCellMar>
        </w:tblPrEx>
        <w:tc>
          <w:tcPr>
            <w:tcW w:w="974" w:type="dxa"/>
          </w:tcPr>
          <w:p w14:paraId="3329D534">
            <w:pPr>
              <w:keepNext w:val="0"/>
              <w:keepLines w:val="0"/>
              <w:pageBreakBefore w:val="0"/>
              <w:widowControl/>
              <w:kinsoku/>
              <w:wordWrap/>
              <w:overflowPunct/>
              <w:topLinePunct w:val="0"/>
              <w:autoSpaceDE/>
              <w:autoSpaceDN/>
              <w:bidi w:val="0"/>
              <w:adjustRightInd/>
              <w:snapToGrid w:val="0"/>
              <w:spacing w:after="0"/>
              <w:textAlignment w:val="auto"/>
              <w:rPr>
                <w:rFonts w:hint="default"/>
                <w:b w:val="0"/>
                <w:bCs w:val="0"/>
                <w:color w:val="auto"/>
                <w:szCs w:val="28"/>
                <w:lang w:val="kk-KZ"/>
              </w:rPr>
            </w:pPr>
          </w:p>
        </w:tc>
        <w:tc>
          <w:tcPr>
            <w:tcW w:w="8400" w:type="dxa"/>
          </w:tcPr>
          <w:p w14:paraId="031A945B">
            <w:pPr>
              <w:keepNext w:val="0"/>
              <w:keepLines w:val="0"/>
              <w:pageBreakBefore w:val="0"/>
              <w:widowControl/>
              <w:kinsoku/>
              <w:wordWrap/>
              <w:overflowPunct/>
              <w:topLinePunct w:val="0"/>
              <w:autoSpaceDE/>
              <w:autoSpaceDN/>
              <w:bidi w:val="0"/>
              <w:adjustRightInd/>
              <w:spacing w:after="0"/>
              <w:textAlignment w:val="auto"/>
              <w:rPr>
                <w:rFonts w:ascii="Times New Roman" w:hAnsi="Times New Roman" w:eastAsia="Times New Roman" w:cs="Times New Roman"/>
                <w:b w:val="0"/>
                <w:bCs w:val="0"/>
                <w:color w:val="auto"/>
                <w:sz w:val="28"/>
                <w:szCs w:val="28"/>
              </w:rPr>
            </w:pPr>
            <w:r>
              <w:rPr>
                <w:rFonts w:hint="default"/>
                <w:color w:val="auto"/>
                <w:szCs w:val="28"/>
                <w:highlight w:val="none"/>
                <w:lang w:val="kk-KZ"/>
              </w:rPr>
              <w:t>4</w:t>
            </w:r>
            <w:r>
              <w:rPr>
                <w:color w:val="auto"/>
                <w:szCs w:val="28"/>
                <w:highlight w:val="none"/>
              </w:rPr>
              <w:t>-бөлім бойынша қорытындылар</w:t>
            </w:r>
          </w:p>
        </w:tc>
        <w:tc>
          <w:tcPr>
            <w:tcW w:w="732" w:type="dxa"/>
          </w:tcPr>
          <w:p w14:paraId="0C06DB8D">
            <w:pPr>
              <w:keepNext w:val="0"/>
              <w:keepLines w:val="0"/>
              <w:pageBreakBefore w:val="0"/>
              <w:widowControl/>
              <w:kinsoku/>
              <w:wordWrap/>
              <w:overflowPunct/>
              <w:topLinePunct w:val="0"/>
              <w:autoSpaceDE/>
              <w:autoSpaceDN/>
              <w:bidi w:val="0"/>
              <w:adjustRightInd/>
              <w:snapToGrid w:val="0"/>
              <w:spacing w:after="0"/>
              <w:jc w:val="center"/>
              <w:textAlignment w:val="auto"/>
              <w:rPr>
                <w:rFonts w:hint="default"/>
                <w:b w:val="0"/>
                <w:bCs w:val="0"/>
                <w:color w:val="auto"/>
                <w:szCs w:val="28"/>
                <w:lang w:val="kk-KZ"/>
              </w:rPr>
            </w:pPr>
            <w:r>
              <w:rPr>
                <w:rFonts w:hint="default"/>
                <w:b w:val="0"/>
                <w:bCs w:val="0"/>
                <w:color w:val="auto"/>
                <w:szCs w:val="28"/>
                <w:lang w:val="kk-KZ"/>
              </w:rPr>
              <w:t>93</w:t>
            </w:r>
          </w:p>
        </w:tc>
      </w:tr>
      <w:tr w14:paraId="3C481414">
        <w:tblPrEx>
          <w:tblCellMar>
            <w:top w:w="0" w:type="dxa"/>
            <w:left w:w="108" w:type="dxa"/>
            <w:bottom w:w="0" w:type="dxa"/>
            <w:right w:w="108" w:type="dxa"/>
          </w:tblCellMar>
        </w:tblPrEx>
        <w:tc>
          <w:tcPr>
            <w:tcW w:w="9374" w:type="dxa"/>
            <w:gridSpan w:val="2"/>
          </w:tcPr>
          <w:p w14:paraId="0C807330">
            <w:pPr>
              <w:snapToGrid w:val="0"/>
              <w:spacing w:after="0"/>
              <w:rPr>
                <w:b/>
                <w:color w:val="auto"/>
                <w:szCs w:val="28"/>
              </w:rPr>
            </w:pPr>
            <w:r>
              <w:rPr>
                <w:b/>
                <w:color w:val="auto"/>
                <w:szCs w:val="28"/>
              </w:rPr>
              <w:t>ҚОРЫТЫНДЫ</w:t>
            </w:r>
          </w:p>
        </w:tc>
        <w:tc>
          <w:tcPr>
            <w:tcW w:w="732" w:type="dxa"/>
          </w:tcPr>
          <w:p w14:paraId="70FDBFD0">
            <w:pPr>
              <w:snapToGrid w:val="0"/>
              <w:spacing w:after="0"/>
              <w:jc w:val="center"/>
              <w:rPr>
                <w:rFonts w:hint="default"/>
                <w:b/>
                <w:color w:val="auto"/>
                <w:szCs w:val="28"/>
                <w:lang w:val="kk-KZ"/>
              </w:rPr>
            </w:pPr>
            <w:r>
              <w:rPr>
                <w:rFonts w:hint="default"/>
                <w:b w:val="0"/>
                <w:bCs/>
                <w:color w:val="auto"/>
                <w:szCs w:val="28"/>
                <w:lang w:val="kk-KZ"/>
              </w:rPr>
              <w:t>95</w:t>
            </w:r>
          </w:p>
        </w:tc>
      </w:tr>
      <w:tr w14:paraId="5D5DDF43">
        <w:tblPrEx>
          <w:tblCellMar>
            <w:top w:w="0" w:type="dxa"/>
            <w:left w:w="108" w:type="dxa"/>
            <w:bottom w:w="0" w:type="dxa"/>
            <w:right w:w="108" w:type="dxa"/>
          </w:tblCellMar>
        </w:tblPrEx>
        <w:tc>
          <w:tcPr>
            <w:tcW w:w="9374" w:type="dxa"/>
            <w:gridSpan w:val="2"/>
          </w:tcPr>
          <w:p w14:paraId="2F24BD86">
            <w:pPr>
              <w:snapToGrid w:val="0"/>
              <w:spacing w:after="0"/>
              <w:rPr>
                <w:b/>
                <w:color w:val="auto"/>
                <w:szCs w:val="28"/>
              </w:rPr>
            </w:pPr>
            <w:r>
              <w:rPr>
                <w:b/>
                <w:color w:val="auto"/>
                <w:szCs w:val="28"/>
              </w:rPr>
              <w:t>ПАЙДАЛАНЫЛҒАН ӘДЕБИЕТТЕР ТІЗІМІ</w:t>
            </w:r>
          </w:p>
        </w:tc>
        <w:tc>
          <w:tcPr>
            <w:tcW w:w="732" w:type="dxa"/>
          </w:tcPr>
          <w:p w14:paraId="75BB7F3B">
            <w:pPr>
              <w:snapToGrid w:val="0"/>
              <w:spacing w:after="0"/>
              <w:jc w:val="center"/>
              <w:rPr>
                <w:rFonts w:hint="default"/>
                <w:b/>
                <w:color w:val="auto"/>
                <w:szCs w:val="28"/>
                <w:lang w:val="kk-KZ"/>
              </w:rPr>
            </w:pPr>
            <w:r>
              <w:rPr>
                <w:rFonts w:hint="default"/>
                <w:b w:val="0"/>
                <w:bCs/>
                <w:color w:val="auto"/>
                <w:szCs w:val="28"/>
                <w:lang w:val="kk-KZ"/>
              </w:rPr>
              <w:t>97</w:t>
            </w:r>
          </w:p>
        </w:tc>
      </w:tr>
      <w:tr w14:paraId="26A92F83">
        <w:tblPrEx>
          <w:tblCellMar>
            <w:top w:w="0" w:type="dxa"/>
            <w:left w:w="108" w:type="dxa"/>
            <w:bottom w:w="0" w:type="dxa"/>
            <w:right w:w="108" w:type="dxa"/>
          </w:tblCellMar>
        </w:tblPrEx>
        <w:tc>
          <w:tcPr>
            <w:tcW w:w="9374" w:type="dxa"/>
            <w:gridSpan w:val="2"/>
          </w:tcPr>
          <w:p w14:paraId="0EFA41F3">
            <w:pPr>
              <w:snapToGrid w:val="0"/>
              <w:spacing w:after="0"/>
              <w:rPr>
                <w:rFonts w:hint="default"/>
                <w:b/>
                <w:color w:val="auto"/>
                <w:szCs w:val="28"/>
                <w:lang w:val="kk-KZ"/>
              </w:rPr>
            </w:pPr>
            <w:r>
              <w:rPr>
                <w:b/>
                <w:color w:val="auto"/>
                <w:szCs w:val="28"/>
              </w:rPr>
              <w:t>ҚОСЫМША</w:t>
            </w:r>
            <w:r>
              <w:rPr>
                <w:rFonts w:hint="default"/>
                <w:b/>
                <w:color w:val="auto"/>
                <w:szCs w:val="28"/>
                <w:lang w:val="kk-KZ"/>
              </w:rPr>
              <w:t xml:space="preserve"> А - </w:t>
            </w:r>
            <w:r>
              <w:rPr>
                <w:rFonts w:hint="default"/>
                <w:b w:val="0"/>
                <w:bCs/>
                <w:color w:val="auto"/>
                <w:szCs w:val="28"/>
                <w:lang w:val="kk-KZ"/>
              </w:rPr>
              <w:t>Пайдалы модельге патент өтінімі</w:t>
            </w:r>
          </w:p>
        </w:tc>
        <w:tc>
          <w:tcPr>
            <w:tcW w:w="732" w:type="dxa"/>
          </w:tcPr>
          <w:p w14:paraId="4BB37384">
            <w:pPr>
              <w:snapToGrid w:val="0"/>
              <w:spacing w:after="0"/>
              <w:jc w:val="center"/>
              <w:rPr>
                <w:rFonts w:hint="default"/>
                <w:b w:val="0"/>
                <w:bCs/>
                <w:color w:val="auto"/>
                <w:szCs w:val="28"/>
                <w:lang w:val="kk-KZ"/>
              </w:rPr>
            </w:pPr>
            <w:r>
              <w:rPr>
                <w:rFonts w:hint="default"/>
                <w:b w:val="0"/>
                <w:bCs/>
                <w:color w:val="auto"/>
                <w:szCs w:val="28"/>
                <w:lang w:val="kk-KZ"/>
              </w:rPr>
              <w:t>113</w:t>
            </w:r>
          </w:p>
        </w:tc>
      </w:tr>
      <w:tr w14:paraId="7735953D">
        <w:tblPrEx>
          <w:tblCellMar>
            <w:top w:w="0" w:type="dxa"/>
            <w:left w:w="108" w:type="dxa"/>
            <w:bottom w:w="0" w:type="dxa"/>
            <w:right w:w="108" w:type="dxa"/>
          </w:tblCellMar>
        </w:tblPrEx>
        <w:trPr>
          <w:trHeight w:val="273" w:hRule="atLeast"/>
        </w:trPr>
        <w:tc>
          <w:tcPr>
            <w:tcW w:w="9374" w:type="dxa"/>
            <w:gridSpan w:val="2"/>
          </w:tcPr>
          <w:p w14:paraId="7FBBAD52">
            <w:pPr>
              <w:snapToGrid w:val="0"/>
              <w:spacing w:after="0"/>
              <w:rPr>
                <w:rFonts w:hint="default"/>
                <w:b/>
                <w:color w:val="auto"/>
                <w:szCs w:val="28"/>
                <w:lang w:val="kk-KZ"/>
              </w:rPr>
            </w:pPr>
            <w:r>
              <w:rPr>
                <w:b/>
                <w:color w:val="auto"/>
                <w:szCs w:val="28"/>
              </w:rPr>
              <w:t>ҚОСЫМША</w:t>
            </w:r>
            <w:r>
              <w:rPr>
                <w:rFonts w:hint="default"/>
                <w:b/>
                <w:color w:val="auto"/>
                <w:szCs w:val="28"/>
                <w:lang w:val="kk-KZ"/>
              </w:rPr>
              <w:t xml:space="preserve"> Ә - </w:t>
            </w:r>
            <w:r>
              <w:rPr>
                <w:rFonts w:hint="default"/>
                <w:b w:val="0"/>
                <w:bCs/>
                <w:color w:val="auto"/>
                <w:szCs w:val="28"/>
                <w:lang w:val="kk-KZ"/>
              </w:rPr>
              <w:t>Топырақтың сынақ хаттамалары</w:t>
            </w:r>
          </w:p>
        </w:tc>
        <w:tc>
          <w:tcPr>
            <w:tcW w:w="732" w:type="dxa"/>
          </w:tcPr>
          <w:p w14:paraId="6F59F7E5">
            <w:pPr>
              <w:snapToGrid w:val="0"/>
              <w:spacing w:after="0"/>
              <w:jc w:val="center"/>
              <w:rPr>
                <w:rFonts w:hint="default"/>
                <w:b w:val="0"/>
                <w:bCs/>
                <w:color w:val="auto"/>
                <w:szCs w:val="28"/>
                <w:lang w:val="kk-KZ"/>
              </w:rPr>
            </w:pPr>
            <w:r>
              <w:rPr>
                <w:rFonts w:hint="default"/>
                <w:b w:val="0"/>
                <w:bCs/>
                <w:color w:val="auto"/>
                <w:szCs w:val="28"/>
                <w:lang w:val="kk-KZ"/>
              </w:rPr>
              <w:t>115</w:t>
            </w:r>
          </w:p>
        </w:tc>
      </w:tr>
      <w:tr w14:paraId="7C33ADFE">
        <w:tblPrEx>
          <w:tblCellMar>
            <w:top w:w="0" w:type="dxa"/>
            <w:left w:w="108" w:type="dxa"/>
            <w:bottom w:w="0" w:type="dxa"/>
            <w:right w:w="108" w:type="dxa"/>
          </w:tblCellMar>
        </w:tblPrEx>
        <w:trPr>
          <w:trHeight w:val="273" w:hRule="atLeast"/>
        </w:trPr>
        <w:tc>
          <w:tcPr>
            <w:tcW w:w="9374" w:type="dxa"/>
            <w:gridSpan w:val="2"/>
          </w:tcPr>
          <w:p w14:paraId="11999DF4">
            <w:pPr>
              <w:snapToGrid w:val="0"/>
              <w:spacing w:after="0"/>
              <w:rPr>
                <w:rFonts w:hint="default"/>
                <w:b/>
                <w:color w:val="auto"/>
                <w:szCs w:val="28"/>
                <w:lang w:val="kk-KZ"/>
              </w:rPr>
            </w:pPr>
            <w:r>
              <w:rPr>
                <w:b/>
                <w:color w:val="auto"/>
                <w:szCs w:val="28"/>
              </w:rPr>
              <w:t>ҚОСЫМША</w:t>
            </w:r>
            <w:r>
              <w:rPr>
                <w:rFonts w:hint="default"/>
                <w:b/>
                <w:color w:val="auto"/>
                <w:szCs w:val="28"/>
                <w:lang w:val="kk-KZ"/>
              </w:rPr>
              <w:t xml:space="preserve"> Б - </w:t>
            </w:r>
            <w:r>
              <w:rPr>
                <w:rFonts w:hint="default"/>
                <w:b w:val="0"/>
                <w:bCs/>
                <w:color w:val="auto"/>
                <w:szCs w:val="28"/>
                <w:lang w:val="kk-KZ"/>
              </w:rPr>
              <w:t>Тәжірибелік-өнеркәсіптік сынақтарды жүргізу туралы акт</w:t>
            </w:r>
          </w:p>
        </w:tc>
        <w:tc>
          <w:tcPr>
            <w:tcW w:w="732" w:type="dxa"/>
          </w:tcPr>
          <w:p w14:paraId="770D44F0">
            <w:pPr>
              <w:snapToGrid w:val="0"/>
              <w:spacing w:after="0"/>
              <w:jc w:val="center"/>
              <w:rPr>
                <w:rFonts w:hint="default"/>
                <w:b w:val="0"/>
                <w:bCs/>
                <w:color w:val="auto"/>
                <w:szCs w:val="28"/>
                <w:lang w:val="kk-KZ"/>
              </w:rPr>
            </w:pPr>
            <w:r>
              <w:rPr>
                <w:rFonts w:hint="default"/>
                <w:b w:val="0"/>
                <w:bCs/>
                <w:color w:val="auto"/>
                <w:szCs w:val="28"/>
                <w:lang w:val="kk-KZ"/>
              </w:rPr>
              <w:t>121</w:t>
            </w:r>
          </w:p>
        </w:tc>
      </w:tr>
      <w:tr w14:paraId="7D9F49EE">
        <w:tblPrEx>
          <w:tblCellMar>
            <w:top w:w="0" w:type="dxa"/>
            <w:left w:w="108" w:type="dxa"/>
            <w:bottom w:w="0" w:type="dxa"/>
            <w:right w:w="108" w:type="dxa"/>
          </w:tblCellMar>
        </w:tblPrEx>
        <w:tc>
          <w:tcPr>
            <w:tcW w:w="9374" w:type="dxa"/>
            <w:gridSpan w:val="2"/>
          </w:tcPr>
          <w:p w14:paraId="4CD014B2">
            <w:pPr>
              <w:snapToGrid w:val="0"/>
              <w:spacing w:after="0"/>
              <w:rPr>
                <w:rFonts w:hint="default"/>
                <w:b/>
                <w:color w:val="auto"/>
                <w:szCs w:val="28"/>
                <w:lang w:val="kk-KZ"/>
              </w:rPr>
            </w:pPr>
            <w:r>
              <w:rPr>
                <w:b/>
                <w:color w:val="auto"/>
                <w:szCs w:val="28"/>
              </w:rPr>
              <w:t>ҚОСЫМША</w:t>
            </w:r>
            <w:r>
              <w:rPr>
                <w:rFonts w:hint="default"/>
                <w:b/>
                <w:color w:val="auto"/>
                <w:szCs w:val="28"/>
                <w:lang w:val="kk-KZ"/>
              </w:rPr>
              <w:t xml:space="preserve"> В - </w:t>
            </w:r>
            <w:r>
              <w:rPr>
                <w:rFonts w:hint="default"/>
                <w:b w:val="0"/>
                <w:bCs/>
                <w:color w:val="auto"/>
                <w:szCs w:val="28"/>
                <w:lang w:val="kk-KZ"/>
              </w:rPr>
              <w:t>Оқыту үрдісіне енгізу актісі</w:t>
            </w:r>
          </w:p>
        </w:tc>
        <w:tc>
          <w:tcPr>
            <w:tcW w:w="732" w:type="dxa"/>
          </w:tcPr>
          <w:p w14:paraId="760B6E14">
            <w:pPr>
              <w:snapToGrid w:val="0"/>
              <w:spacing w:after="0"/>
              <w:jc w:val="center"/>
              <w:rPr>
                <w:rFonts w:hint="default"/>
                <w:b w:val="0"/>
                <w:bCs/>
                <w:color w:val="auto"/>
                <w:szCs w:val="28"/>
                <w:lang w:val="kk-KZ"/>
              </w:rPr>
            </w:pPr>
            <w:r>
              <w:rPr>
                <w:rFonts w:hint="default"/>
                <w:b w:val="0"/>
                <w:bCs/>
                <w:color w:val="auto"/>
                <w:szCs w:val="28"/>
                <w:lang w:val="kk-KZ"/>
              </w:rPr>
              <w:t>123</w:t>
            </w:r>
          </w:p>
        </w:tc>
      </w:tr>
      <w:tr w14:paraId="37C0F460">
        <w:tblPrEx>
          <w:tblCellMar>
            <w:top w:w="0" w:type="dxa"/>
            <w:left w:w="108" w:type="dxa"/>
            <w:bottom w:w="0" w:type="dxa"/>
            <w:right w:w="108" w:type="dxa"/>
          </w:tblCellMar>
        </w:tblPrEx>
        <w:tc>
          <w:tcPr>
            <w:tcW w:w="9374" w:type="dxa"/>
            <w:gridSpan w:val="2"/>
          </w:tcPr>
          <w:p w14:paraId="04A4274C">
            <w:pPr>
              <w:snapToGrid w:val="0"/>
              <w:spacing w:after="0"/>
              <w:rPr>
                <w:rFonts w:hint="default"/>
                <w:b/>
                <w:color w:val="auto"/>
                <w:szCs w:val="28"/>
                <w:lang w:val="kk-KZ"/>
              </w:rPr>
            </w:pPr>
            <w:r>
              <w:rPr>
                <w:b/>
                <w:color w:val="auto"/>
                <w:szCs w:val="28"/>
              </w:rPr>
              <w:t>ҚОСЫМША</w:t>
            </w:r>
            <w:r>
              <w:rPr>
                <w:rFonts w:hint="default"/>
                <w:b/>
                <w:color w:val="auto"/>
                <w:szCs w:val="28"/>
                <w:lang w:val="kk-KZ"/>
              </w:rPr>
              <w:t xml:space="preserve"> Г - </w:t>
            </w:r>
            <w:r>
              <w:rPr>
                <w:rFonts w:hint="default"/>
                <w:b w:val="0"/>
                <w:bCs/>
                <w:color w:val="auto"/>
                <w:szCs w:val="28"/>
                <w:lang w:val="kk-KZ"/>
              </w:rPr>
              <w:t>Шетелдік тағылымдама</w:t>
            </w:r>
            <w:r>
              <w:rPr>
                <w:rFonts w:hint="default"/>
                <w:b w:val="0"/>
                <w:bCs/>
                <w:color w:val="auto"/>
                <w:szCs w:val="28"/>
                <w:lang w:val="ru-RU"/>
              </w:rPr>
              <w:t xml:space="preserve"> ж</w:t>
            </w:r>
            <w:r>
              <w:rPr>
                <w:rFonts w:hint="default"/>
                <w:b w:val="0"/>
                <w:bCs/>
                <w:color w:val="auto"/>
                <w:szCs w:val="28"/>
                <w:lang w:val="kk-KZ"/>
              </w:rPr>
              <w:t>әне сертификат</w:t>
            </w:r>
          </w:p>
        </w:tc>
        <w:tc>
          <w:tcPr>
            <w:tcW w:w="732" w:type="dxa"/>
          </w:tcPr>
          <w:p w14:paraId="0819499C">
            <w:pPr>
              <w:snapToGrid w:val="0"/>
              <w:spacing w:after="0"/>
              <w:jc w:val="center"/>
              <w:rPr>
                <w:rFonts w:hint="default"/>
                <w:b w:val="0"/>
                <w:bCs/>
                <w:color w:val="auto"/>
                <w:szCs w:val="28"/>
                <w:lang w:val="kk-KZ"/>
              </w:rPr>
            </w:pPr>
            <w:r>
              <w:rPr>
                <w:rFonts w:hint="default"/>
                <w:b w:val="0"/>
                <w:bCs/>
                <w:color w:val="auto"/>
                <w:szCs w:val="28"/>
                <w:lang w:val="kk-KZ"/>
              </w:rPr>
              <w:t>124</w:t>
            </w:r>
          </w:p>
        </w:tc>
      </w:tr>
      <w:tr w14:paraId="48C55FDE">
        <w:tblPrEx>
          <w:tblCellMar>
            <w:top w:w="0" w:type="dxa"/>
            <w:left w:w="108" w:type="dxa"/>
            <w:bottom w:w="0" w:type="dxa"/>
            <w:right w:w="108" w:type="dxa"/>
          </w:tblCellMar>
        </w:tblPrEx>
        <w:tc>
          <w:tcPr>
            <w:tcW w:w="9374" w:type="dxa"/>
            <w:gridSpan w:val="2"/>
          </w:tcPr>
          <w:p w14:paraId="1A316DD8">
            <w:pPr>
              <w:snapToGrid w:val="0"/>
              <w:spacing w:after="0"/>
              <w:rPr>
                <w:b/>
                <w:color w:val="auto"/>
                <w:szCs w:val="28"/>
              </w:rPr>
            </w:pPr>
          </w:p>
        </w:tc>
        <w:tc>
          <w:tcPr>
            <w:tcW w:w="732" w:type="dxa"/>
          </w:tcPr>
          <w:p w14:paraId="005FD39D">
            <w:pPr>
              <w:snapToGrid w:val="0"/>
              <w:spacing w:after="0"/>
              <w:jc w:val="center"/>
              <w:rPr>
                <w:rFonts w:hint="default"/>
                <w:b w:val="0"/>
                <w:bCs/>
                <w:color w:val="auto"/>
                <w:szCs w:val="28"/>
                <w:lang w:val="kk-KZ"/>
              </w:rPr>
            </w:pPr>
          </w:p>
        </w:tc>
      </w:tr>
    </w:tbl>
    <w:p w14:paraId="64C28015">
      <w:pPr>
        <w:pStyle w:val="308"/>
        <w:spacing w:before="0"/>
        <w:rPr>
          <w:rFonts w:hint="default"/>
          <w:color w:val="auto"/>
          <w:lang w:val="ru-RU"/>
        </w:rPr>
      </w:pPr>
    </w:p>
    <w:p w14:paraId="7D69F89A">
      <w:pPr>
        <w:spacing w:after="0"/>
        <w:jc w:val="center"/>
        <w:rPr>
          <w:color w:val="auto"/>
          <w:szCs w:val="28"/>
        </w:rPr>
      </w:pPr>
    </w:p>
    <w:p w14:paraId="15E6EC65">
      <w:pPr>
        <w:snapToGrid w:val="0"/>
        <w:spacing w:after="0"/>
        <w:rPr>
          <w:b/>
          <w:color w:val="auto"/>
          <w:szCs w:val="28"/>
        </w:rPr>
      </w:pPr>
    </w:p>
    <w:p w14:paraId="3BF15164">
      <w:pPr>
        <w:snapToGrid w:val="0"/>
        <w:spacing w:after="0"/>
        <w:rPr>
          <w:b/>
          <w:color w:val="auto"/>
          <w:szCs w:val="28"/>
        </w:rPr>
      </w:pPr>
    </w:p>
    <w:p w14:paraId="6A3157FD">
      <w:pPr>
        <w:snapToGrid w:val="0"/>
        <w:spacing w:after="0"/>
        <w:rPr>
          <w:b/>
          <w:color w:val="auto"/>
          <w:szCs w:val="28"/>
        </w:rPr>
      </w:pPr>
    </w:p>
    <w:p w14:paraId="062D9D19">
      <w:pPr>
        <w:snapToGrid w:val="0"/>
        <w:spacing w:after="0"/>
        <w:rPr>
          <w:b/>
          <w:color w:val="auto"/>
          <w:szCs w:val="28"/>
        </w:rPr>
      </w:pPr>
    </w:p>
    <w:p w14:paraId="3D9CCD76">
      <w:pPr>
        <w:snapToGrid w:val="0"/>
        <w:spacing w:after="0"/>
        <w:rPr>
          <w:b/>
          <w:color w:val="auto"/>
          <w:szCs w:val="28"/>
        </w:rPr>
      </w:pPr>
    </w:p>
    <w:p w14:paraId="66C7577F">
      <w:pPr>
        <w:snapToGrid w:val="0"/>
        <w:spacing w:after="0"/>
        <w:rPr>
          <w:b/>
          <w:color w:val="auto"/>
          <w:szCs w:val="28"/>
        </w:rPr>
      </w:pPr>
    </w:p>
    <w:p w14:paraId="75C18905">
      <w:pPr>
        <w:pStyle w:val="308"/>
        <w:spacing w:before="0"/>
        <w:rPr>
          <w:color w:val="auto"/>
        </w:rPr>
      </w:pPr>
      <w:r>
        <w:rPr>
          <w:color w:val="auto"/>
        </w:rPr>
        <w:t>НОРМАТИВТІК СІЛТЕМЕЛЕР</w:t>
      </w:r>
    </w:p>
    <w:p w14:paraId="2C102BB4">
      <w:pPr>
        <w:spacing w:after="0"/>
        <w:jc w:val="center"/>
        <w:rPr>
          <w:color w:val="auto"/>
          <w:szCs w:val="28"/>
        </w:rPr>
      </w:pPr>
    </w:p>
    <w:p w14:paraId="6C9321B7">
      <w:pPr>
        <w:spacing w:after="0"/>
        <w:ind w:firstLine="567"/>
        <w:jc w:val="left"/>
        <w:rPr>
          <w:color w:val="auto"/>
          <w:szCs w:val="28"/>
        </w:rPr>
      </w:pPr>
      <w:r>
        <w:rPr>
          <w:color w:val="auto"/>
          <w:szCs w:val="28"/>
        </w:rPr>
        <w:t xml:space="preserve">Бұл диссертациялық зерттеуде келесі </w:t>
      </w:r>
      <w:r>
        <w:rPr>
          <w:color w:val="auto"/>
          <w:szCs w:val="28"/>
          <w:lang w:val="kk-KZ"/>
        </w:rPr>
        <w:t>стандарттарға</w:t>
      </w:r>
      <w:r>
        <w:rPr>
          <w:color w:val="auto"/>
          <w:szCs w:val="28"/>
        </w:rPr>
        <w:t xml:space="preserve"> сілтемелер пайдаланылды:</w:t>
      </w:r>
    </w:p>
    <w:p w14:paraId="5716FC35">
      <w:pPr>
        <w:spacing w:after="0"/>
        <w:ind w:firstLine="567"/>
        <w:jc w:val="left"/>
        <w:rPr>
          <w:color w:val="auto"/>
          <w:szCs w:val="28"/>
        </w:rPr>
      </w:pPr>
    </w:p>
    <w:tbl>
      <w:tblPr>
        <w:tblStyle w:val="38"/>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599"/>
        <w:gridCol w:w="5972"/>
      </w:tblGrid>
      <w:tr w14:paraId="7C2B3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599" w:type="dxa"/>
          </w:tcPr>
          <w:p w14:paraId="3AFBC005">
            <w:pPr>
              <w:widowControl w:val="0"/>
              <w:spacing w:after="0"/>
              <w:rPr>
                <w:color w:val="auto"/>
                <w:szCs w:val="28"/>
              </w:rPr>
            </w:pPr>
            <w:r>
              <w:rPr>
                <w:color w:val="auto"/>
                <w:szCs w:val="28"/>
              </w:rPr>
              <w:t>МЕМСТ 7.1-2003.</w:t>
            </w:r>
          </w:p>
        </w:tc>
        <w:tc>
          <w:tcPr>
            <w:tcW w:w="5972" w:type="dxa"/>
          </w:tcPr>
          <w:p w14:paraId="33626A2B">
            <w:pPr>
              <w:widowControl w:val="0"/>
              <w:spacing w:after="0"/>
              <w:rPr>
                <w:color w:val="auto"/>
                <w:szCs w:val="28"/>
              </w:rPr>
            </w:pPr>
            <w:r>
              <w:rPr>
                <w:color w:val="auto"/>
                <w:szCs w:val="28"/>
              </w:rPr>
              <w:t>Библиографиялық жазба. Библиографиялық сипаттама. Құрастырудың жалпы талаптары мен ережелері.</w:t>
            </w:r>
          </w:p>
        </w:tc>
      </w:tr>
      <w:tr w14:paraId="57A16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599" w:type="dxa"/>
          </w:tcPr>
          <w:p w14:paraId="004CEE98">
            <w:pPr>
              <w:pStyle w:val="26"/>
              <w:widowControl w:val="0"/>
              <w:spacing w:after="0"/>
              <w:ind w:right="225" w:firstLine="0"/>
              <w:rPr>
                <w:rFonts w:ascii="Times New Roman" w:hAnsi="Times New Roman"/>
                <w:color w:val="auto"/>
              </w:rPr>
            </w:pPr>
            <w:r>
              <w:rPr>
                <w:rFonts w:ascii="Times New Roman" w:hAnsi="Times New Roman"/>
                <w:color w:val="auto"/>
              </w:rPr>
              <w:t>МЕМСТ 7.32-2017</w:t>
            </w:r>
            <w:r>
              <w:rPr>
                <w:rFonts w:ascii="Times New Roman" w:hAnsi="Times New Roman"/>
                <w:color w:val="auto"/>
                <w:lang w:val="kk-KZ"/>
              </w:rPr>
              <w:t xml:space="preserve"> </w:t>
            </w:r>
          </w:p>
          <w:p w14:paraId="5B652FD3">
            <w:pPr>
              <w:widowControl w:val="0"/>
              <w:spacing w:after="0"/>
              <w:rPr>
                <w:color w:val="auto"/>
                <w:szCs w:val="28"/>
              </w:rPr>
            </w:pPr>
          </w:p>
        </w:tc>
        <w:tc>
          <w:tcPr>
            <w:tcW w:w="5972" w:type="dxa"/>
          </w:tcPr>
          <w:p w14:paraId="6CC98C56">
            <w:pPr>
              <w:pStyle w:val="26"/>
              <w:widowControl w:val="0"/>
              <w:spacing w:after="0"/>
              <w:ind w:right="225" w:firstLine="0"/>
              <w:rPr>
                <w:rFonts w:ascii="Times New Roman" w:hAnsi="Times New Roman"/>
                <w:color w:val="auto"/>
              </w:rPr>
            </w:pPr>
            <w:r>
              <w:rPr>
                <w:rFonts w:ascii="Times New Roman" w:hAnsi="Times New Roman"/>
                <w:color w:val="auto"/>
              </w:rPr>
              <w:t>Ғылыми-зерттеу жұмысы туралы есеп. Рәсімдеу құрылымы мен ережелері.</w:t>
            </w:r>
          </w:p>
          <w:p w14:paraId="17F3E8F5">
            <w:pPr>
              <w:widowControl w:val="0"/>
              <w:spacing w:after="0"/>
              <w:rPr>
                <w:color w:val="auto"/>
                <w:szCs w:val="28"/>
              </w:rPr>
            </w:pPr>
          </w:p>
        </w:tc>
      </w:tr>
      <w:tr w14:paraId="7437C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599" w:type="dxa"/>
          </w:tcPr>
          <w:p w14:paraId="644C3F4E">
            <w:pPr>
              <w:widowControl w:val="0"/>
              <w:spacing w:after="0"/>
              <w:rPr>
                <w:color w:val="auto"/>
                <w:szCs w:val="28"/>
              </w:rPr>
            </w:pPr>
            <w:r>
              <w:rPr>
                <w:color w:val="auto"/>
                <w:szCs w:val="28"/>
              </w:rPr>
              <w:t>МЕМСТ 17.4.4.02-2017.</w:t>
            </w:r>
          </w:p>
        </w:tc>
        <w:tc>
          <w:tcPr>
            <w:tcW w:w="5972" w:type="dxa"/>
          </w:tcPr>
          <w:p w14:paraId="228B8202">
            <w:pPr>
              <w:widowControl w:val="0"/>
              <w:spacing w:after="0"/>
              <w:rPr>
                <w:color w:val="auto"/>
                <w:szCs w:val="28"/>
              </w:rPr>
            </w:pPr>
            <w:r>
              <w:rPr>
                <w:color w:val="auto"/>
                <w:szCs w:val="28"/>
              </w:rPr>
              <w:t>Табиғатты қорғау. Топырақтар. Үлгілерді алу және химиялық, бактериологиялық, гельминтологиялық талдауға дайындау әдістері.</w:t>
            </w:r>
          </w:p>
        </w:tc>
      </w:tr>
      <w:tr w14:paraId="422D0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599" w:type="dxa"/>
          </w:tcPr>
          <w:p w14:paraId="0959CB46">
            <w:pPr>
              <w:widowControl w:val="0"/>
              <w:spacing w:after="0"/>
              <w:rPr>
                <w:color w:val="auto"/>
                <w:szCs w:val="28"/>
              </w:rPr>
            </w:pPr>
            <w:r>
              <w:rPr>
                <w:color w:val="auto"/>
                <w:szCs w:val="28"/>
              </w:rPr>
              <w:t>МЕМСТ 26423-85.</w:t>
            </w:r>
          </w:p>
        </w:tc>
        <w:tc>
          <w:tcPr>
            <w:tcW w:w="5972" w:type="dxa"/>
          </w:tcPr>
          <w:p w14:paraId="09FC31D2">
            <w:pPr>
              <w:widowControl w:val="0"/>
              <w:spacing w:after="0"/>
              <w:rPr>
                <w:color w:val="auto"/>
                <w:szCs w:val="28"/>
              </w:rPr>
            </w:pPr>
            <w:r>
              <w:rPr>
                <w:color w:val="auto"/>
                <w:szCs w:val="28"/>
              </w:rPr>
              <w:t>Топырақтар. Микробиологиялық талдау әдістері.</w:t>
            </w:r>
          </w:p>
        </w:tc>
      </w:tr>
      <w:tr w14:paraId="3113E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599" w:type="dxa"/>
          </w:tcPr>
          <w:p w14:paraId="4924B748">
            <w:pPr>
              <w:widowControl w:val="0"/>
              <w:spacing w:after="0"/>
              <w:rPr>
                <w:color w:val="auto"/>
                <w:szCs w:val="28"/>
              </w:rPr>
            </w:pPr>
            <w:r>
              <w:rPr>
                <w:color w:val="auto"/>
                <w:szCs w:val="28"/>
              </w:rPr>
              <w:t>МЕМСТ 28268-89.</w:t>
            </w:r>
          </w:p>
        </w:tc>
        <w:tc>
          <w:tcPr>
            <w:tcW w:w="5972" w:type="dxa"/>
          </w:tcPr>
          <w:p w14:paraId="6462FCF7">
            <w:pPr>
              <w:widowControl w:val="0"/>
              <w:spacing w:after="0"/>
              <w:rPr>
                <w:color w:val="auto"/>
                <w:szCs w:val="28"/>
              </w:rPr>
            </w:pPr>
            <w:r>
              <w:rPr>
                <w:color w:val="auto"/>
                <w:szCs w:val="28"/>
              </w:rPr>
              <w:t>Топырақтар. Ылғалдылықты, ең жоғары гигроскопиялылықты, құрғақ және гигроскопиялық ылғал массасын анықтау әдістері.</w:t>
            </w:r>
          </w:p>
        </w:tc>
      </w:tr>
      <w:tr w14:paraId="75677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599" w:type="dxa"/>
          </w:tcPr>
          <w:p w14:paraId="363E6A43">
            <w:pPr>
              <w:widowControl w:val="0"/>
              <w:spacing w:after="0"/>
              <w:rPr>
                <w:color w:val="auto"/>
                <w:szCs w:val="28"/>
              </w:rPr>
            </w:pPr>
            <w:r>
              <w:rPr>
                <w:color w:val="auto"/>
                <w:szCs w:val="28"/>
              </w:rPr>
              <w:t>МЕМСТ 26213-91.</w:t>
            </w:r>
          </w:p>
        </w:tc>
        <w:tc>
          <w:tcPr>
            <w:tcW w:w="5972" w:type="dxa"/>
          </w:tcPr>
          <w:p w14:paraId="53FBAA2C">
            <w:pPr>
              <w:widowControl w:val="0"/>
              <w:spacing w:after="0"/>
              <w:rPr>
                <w:color w:val="auto"/>
                <w:szCs w:val="28"/>
              </w:rPr>
            </w:pPr>
            <w:r>
              <w:rPr>
                <w:color w:val="auto"/>
                <w:szCs w:val="28"/>
              </w:rPr>
              <w:t>Топырақтар. Органикалық заттарды анықтау әдістері.</w:t>
            </w:r>
          </w:p>
        </w:tc>
      </w:tr>
      <w:tr w14:paraId="2358F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599" w:type="dxa"/>
          </w:tcPr>
          <w:p w14:paraId="513C2D86">
            <w:pPr>
              <w:widowControl w:val="0"/>
              <w:spacing w:after="0"/>
              <w:rPr>
                <w:color w:val="auto"/>
                <w:szCs w:val="28"/>
              </w:rPr>
            </w:pPr>
            <w:r>
              <w:rPr>
                <w:color w:val="auto"/>
                <w:szCs w:val="28"/>
              </w:rPr>
              <w:t>МЕМСТ 26424-85.</w:t>
            </w:r>
          </w:p>
        </w:tc>
        <w:tc>
          <w:tcPr>
            <w:tcW w:w="5972" w:type="dxa"/>
          </w:tcPr>
          <w:p w14:paraId="5B6FA9E7">
            <w:pPr>
              <w:widowControl w:val="0"/>
              <w:spacing w:after="0"/>
              <w:rPr>
                <w:color w:val="auto"/>
                <w:szCs w:val="28"/>
              </w:rPr>
            </w:pPr>
            <w:r>
              <w:rPr>
                <w:color w:val="auto"/>
                <w:szCs w:val="28"/>
              </w:rPr>
              <w:t>Топырақтар. Тұз сығындысының рН-ын потенциометриялық әдіспен анықтау.</w:t>
            </w:r>
          </w:p>
        </w:tc>
      </w:tr>
      <w:tr w14:paraId="434AD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599" w:type="dxa"/>
          </w:tcPr>
          <w:p w14:paraId="5F5101B2">
            <w:pPr>
              <w:widowControl w:val="0"/>
              <w:spacing w:after="0"/>
              <w:rPr>
                <w:color w:val="auto"/>
                <w:szCs w:val="28"/>
              </w:rPr>
            </w:pPr>
            <w:r>
              <w:rPr>
                <w:color w:val="auto"/>
                <w:szCs w:val="28"/>
              </w:rPr>
              <w:t>МЕМСТ 12536-2014.</w:t>
            </w:r>
          </w:p>
        </w:tc>
        <w:tc>
          <w:tcPr>
            <w:tcW w:w="5972" w:type="dxa"/>
          </w:tcPr>
          <w:p w14:paraId="465599CE">
            <w:pPr>
              <w:widowControl w:val="0"/>
              <w:spacing w:after="0"/>
              <w:rPr>
                <w:color w:val="auto"/>
                <w:szCs w:val="28"/>
              </w:rPr>
            </w:pPr>
            <w:r>
              <w:rPr>
                <w:color w:val="auto"/>
                <w:szCs w:val="28"/>
              </w:rPr>
              <w:t>Топырақтар. Жалпы топырақ талдауының әдістері.</w:t>
            </w:r>
          </w:p>
        </w:tc>
      </w:tr>
      <w:tr w14:paraId="5229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599" w:type="dxa"/>
          </w:tcPr>
          <w:p w14:paraId="0AC748DA">
            <w:pPr>
              <w:widowControl w:val="0"/>
              <w:spacing w:after="0"/>
              <w:rPr>
                <w:color w:val="auto"/>
                <w:szCs w:val="28"/>
              </w:rPr>
            </w:pPr>
            <w:r>
              <w:rPr>
                <w:color w:val="auto"/>
                <w:szCs w:val="28"/>
              </w:rPr>
              <w:t>ПНД Ф 16.1.41-04.</w:t>
            </w:r>
          </w:p>
        </w:tc>
        <w:tc>
          <w:tcPr>
            <w:tcW w:w="5972" w:type="dxa"/>
          </w:tcPr>
          <w:p w14:paraId="279FA2BB">
            <w:pPr>
              <w:widowControl w:val="0"/>
              <w:spacing w:after="0"/>
              <w:rPr>
                <w:color w:val="auto"/>
                <w:szCs w:val="28"/>
              </w:rPr>
            </w:pPr>
            <w:r>
              <w:rPr>
                <w:color w:val="auto"/>
                <w:szCs w:val="28"/>
              </w:rPr>
              <w:t>Топырақтар, балшықтар, донды шөгінділер. Мұнай өнімдерін анықтау әдістемесі.</w:t>
            </w:r>
          </w:p>
        </w:tc>
      </w:tr>
      <w:tr w14:paraId="165EB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599" w:type="dxa"/>
          </w:tcPr>
          <w:p w14:paraId="17CB672E">
            <w:pPr>
              <w:widowControl w:val="0"/>
              <w:spacing w:after="0"/>
              <w:rPr>
                <w:color w:val="auto"/>
                <w:szCs w:val="28"/>
              </w:rPr>
            </w:pPr>
            <w:r>
              <w:rPr>
                <w:color w:val="auto"/>
                <w:szCs w:val="28"/>
              </w:rPr>
              <w:t>ҚР СТ 1900-2009.</w:t>
            </w:r>
          </w:p>
        </w:tc>
        <w:tc>
          <w:tcPr>
            <w:tcW w:w="5972" w:type="dxa"/>
          </w:tcPr>
          <w:p w14:paraId="1FE0DA08">
            <w:pPr>
              <w:widowControl w:val="0"/>
              <w:spacing w:after="0"/>
              <w:rPr>
                <w:color w:val="auto"/>
                <w:szCs w:val="28"/>
              </w:rPr>
            </w:pPr>
            <w:r>
              <w:rPr>
                <w:color w:val="auto"/>
                <w:szCs w:val="28"/>
              </w:rPr>
              <w:t>Топырақтар. Топырақ үлгілерін алу және сақтау ережелері.</w:t>
            </w:r>
          </w:p>
        </w:tc>
      </w:tr>
      <w:tr w14:paraId="39CD5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599" w:type="dxa"/>
          </w:tcPr>
          <w:p w14:paraId="4B697BF9">
            <w:pPr>
              <w:widowControl w:val="0"/>
              <w:spacing w:after="0"/>
              <w:rPr>
                <w:color w:val="auto"/>
                <w:szCs w:val="28"/>
              </w:rPr>
            </w:pPr>
            <w:r>
              <w:rPr>
                <w:color w:val="auto"/>
                <w:szCs w:val="28"/>
              </w:rPr>
              <w:t xml:space="preserve">ҚР СТ 1055-2002. </w:t>
            </w:r>
          </w:p>
        </w:tc>
        <w:tc>
          <w:tcPr>
            <w:tcW w:w="5972" w:type="dxa"/>
          </w:tcPr>
          <w:p w14:paraId="79D417E1">
            <w:pPr>
              <w:widowControl w:val="0"/>
              <w:spacing w:after="0"/>
              <w:rPr>
                <w:color w:val="auto"/>
                <w:szCs w:val="28"/>
              </w:rPr>
            </w:pPr>
            <w:r>
              <w:rPr>
                <w:color w:val="auto"/>
                <w:szCs w:val="28"/>
              </w:rPr>
              <w:t>Топырақтар. Жалпы азотты анықтау.</w:t>
            </w:r>
          </w:p>
        </w:tc>
      </w:tr>
      <w:tr w14:paraId="3FFF0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599" w:type="dxa"/>
          </w:tcPr>
          <w:p w14:paraId="2C1DE22B">
            <w:pPr>
              <w:widowControl w:val="0"/>
              <w:spacing w:after="0"/>
              <w:rPr>
                <w:color w:val="auto"/>
                <w:szCs w:val="28"/>
              </w:rPr>
            </w:pPr>
            <w:r>
              <w:rPr>
                <w:color w:val="auto"/>
                <w:szCs w:val="28"/>
              </w:rPr>
              <w:t xml:space="preserve">ҚР СТ 1888-2009. </w:t>
            </w:r>
          </w:p>
        </w:tc>
        <w:tc>
          <w:tcPr>
            <w:tcW w:w="5972" w:type="dxa"/>
          </w:tcPr>
          <w:p w14:paraId="5F668D15">
            <w:pPr>
              <w:widowControl w:val="0"/>
              <w:spacing w:after="0"/>
              <w:rPr>
                <w:color w:val="auto"/>
                <w:szCs w:val="28"/>
              </w:rPr>
            </w:pPr>
            <w:r>
              <w:rPr>
                <w:color w:val="auto"/>
                <w:szCs w:val="28"/>
              </w:rPr>
              <w:t>Топырақтар. Жылжымалы фосфор мен калийді анықтау әдістері.</w:t>
            </w:r>
          </w:p>
        </w:tc>
      </w:tr>
      <w:tr w14:paraId="722CA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599" w:type="dxa"/>
          </w:tcPr>
          <w:p w14:paraId="1A144BD4">
            <w:pPr>
              <w:widowControl w:val="0"/>
              <w:spacing w:after="0"/>
              <w:rPr>
                <w:color w:val="auto"/>
                <w:szCs w:val="28"/>
              </w:rPr>
            </w:pPr>
            <w:r>
              <w:rPr>
                <w:color w:val="auto"/>
                <w:szCs w:val="28"/>
              </w:rPr>
              <w:t>МЕМСТ Р 54650-2011.</w:t>
            </w:r>
          </w:p>
        </w:tc>
        <w:tc>
          <w:tcPr>
            <w:tcW w:w="5972" w:type="dxa"/>
          </w:tcPr>
          <w:p w14:paraId="448D2589">
            <w:pPr>
              <w:widowControl w:val="0"/>
              <w:spacing w:after="0"/>
              <w:rPr>
                <w:color w:val="auto"/>
                <w:szCs w:val="28"/>
              </w:rPr>
            </w:pPr>
            <w:r>
              <w:rPr>
                <w:color w:val="auto"/>
                <w:szCs w:val="28"/>
              </w:rPr>
              <w:t>Топырақтар. Микроорганизмдердің санын тікелей есептеу әдісімен анықтау.</w:t>
            </w:r>
          </w:p>
        </w:tc>
      </w:tr>
    </w:tbl>
    <w:p w14:paraId="399CC89D">
      <w:pPr>
        <w:spacing w:after="0"/>
        <w:rPr>
          <w:rFonts w:hint="default"/>
          <w:color w:val="auto"/>
          <w:szCs w:val="28"/>
          <w:lang w:val="ru-RU"/>
        </w:rPr>
      </w:pPr>
    </w:p>
    <w:p w14:paraId="1952A578">
      <w:pPr>
        <w:pStyle w:val="26"/>
        <w:spacing w:after="0"/>
        <w:ind w:right="20"/>
        <w:jc w:val="left"/>
        <w:rPr>
          <w:rFonts w:ascii="Times New Roman" w:hAnsi="Times New Roman"/>
          <w:color w:val="auto"/>
          <w:highlight w:val="yellow"/>
        </w:rPr>
      </w:pPr>
    </w:p>
    <w:p w14:paraId="4F952206">
      <w:pPr>
        <w:pStyle w:val="26"/>
        <w:spacing w:after="0"/>
        <w:ind w:right="20"/>
        <w:jc w:val="left"/>
        <w:rPr>
          <w:rFonts w:ascii="Times New Roman" w:hAnsi="Times New Roman"/>
          <w:color w:val="auto"/>
          <w:highlight w:val="yellow"/>
        </w:rPr>
      </w:pPr>
    </w:p>
    <w:p w14:paraId="2BF4F016">
      <w:pPr>
        <w:pStyle w:val="26"/>
        <w:spacing w:after="0"/>
        <w:ind w:right="20"/>
        <w:jc w:val="left"/>
        <w:rPr>
          <w:rFonts w:ascii="Times New Roman" w:hAnsi="Times New Roman"/>
          <w:color w:val="auto"/>
          <w:highlight w:val="yellow"/>
        </w:rPr>
      </w:pPr>
    </w:p>
    <w:p w14:paraId="2E7FB42D">
      <w:pPr>
        <w:pStyle w:val="26"/>
        <w:spacing w:after="0"/>
        <w:ind w:right="20"/>
        <w:jc w:val="left"/>
        <w:rPr>
          <w:rFonts w:ascii="Times New Roman" w:hAnsi="Times New Roman"/>
          <w:color w:val="auto"/>
          <w:highlight w:val="yellow"/>
        </w:rPr>
      </w:pPr>
    </w:p>
    <w:p w14:paraId="587EEACB">
      <w:pPr>
        <w:pStyle w:val="26"/>
        <w:spacing w:after="0"/>
        <w:ind w:right="20"/>
        <w:jc w:val="left"/>
        <w:rPr>
          <w:rFonts w:ascii="Times New Roman" w:hAnsi="Times New Roman"/>
          <w:color w:val="auto"/>
          <w:highlight w:val="yellow"/>
        </w:rPr>
      </w:pPr>
    </w:p>
    <w:p w14:paraId="734FAC23">
      <w:pPr>
        <w:pStyle w:val="26"/>
        <w:spacing w:after="0"/>
        <w:ind w:right="20"/>
        <w:jc w:val="left"/>
        <w:rPr>
          <w:rFonts w:ascii="Times New Roman" w:hAnsi="Times New Roman"/>
          <w:color w:val="auto"/>
          <w:highlight w:val="yellow"/>
        </w:rPr>
      </w:pPr>
    </w:p>
    <w:p w14:paraId="3918D140">
      <w:pPr>
        <w:pStyle w:val="26"/>
        <w:spacing w:after="0"/>
        <w:ind w:right="20"/>
        <w:jc w:val="left"/>
        <w:rPr>
          <w:rFonts w:ascii="Times New Roman" w:hAnsi="Times New Roman"/>
          <w:color w:val="auto"/>
          <w:highlight w:val="yellow"/>
        </w:rPr>
      </w:pPr>
    </w:p>
    <w:p w14:paraId="0B7E09FC">
      <w:pPr>
        <w:pStyle w:val="26"/>
        <w:spacing w:after="0"/>
        <w:ind w:right="20"/>
        <w:jc w:val="left"/>
        <w:rPr>
          <w:rFonts w:ascii="Times New Roman" w:hAnsi="Times New Roman"/>
          <w:color w:val="auto"/>
          <w:highlight w:val="yellow"/>
        </w:rPr>
      </w:pPr>
    </w:p>
    <w:p w14:paraId="100E691A">
      <w:pPr>
        <w:pStyle w:val="308"/>
        <w:spacing w:before="0"/>
        <w:rPr>
          <w:color w:val="auto"/>
        </w:rPr>
      </w:pPr>
      <w:r>
        <w:rPr>
          <w:color w:val="auto"/>
        </w:rPr>
        <w:t>АНЫҚТАМАЛАР</w:t>
      </w:r>
    </w:p>
    <w:p w14:paraId="102EEB58">
      <w:pPr>
        <w:spacing w:after="0"/>
        <w:jc w:val="center"/>
        <w:rPr>
          <w:color w:val="auto"/>
          <w:szCs w:val="28"/>
        </w:rPr>
      </w:pPr>
    </w:p>
    <w:p w14:paraId="749BE7AF">
      <w:pPr>
        <w:spacing w:after="0"/>
        <w:ind w:firstLine="709"/>
        <w:rPr>
          <w:color w:val="auto"/>
          <w:szCs w:val="28"/>
        </w:rPr>
      </w:pPr>
      <w:r>
        <w:rPr>
          <w:color w:val="auto"/>
          <w:szCs w:val="28"/>
        </w:rPr>
        <w:t>Осы диссертациялық зерттеуде келесі анықтамалар қолданылады:</w:t>
      </w:r>
    </w:p>
    <w:p w14:paraId="3BB7199E">
      <w:pPr>
        <w:spacing w:after="0"/>
        <w:ind w:firstLine="709"/>
        <w:rPr>
          <w:rStyle w:val="19"/>
          <w:b w:val="0"/>
          <w:bCs w:val="0"/>
          <w:color w:val="auto"/>
          <w:szCs w:val="28"/>
        </w:rPr>
      </w:pPr>
      <w:r>
        <w:rPr>
          <w:rStyle w:val="19"/>
          <w:color w:val="auto"/>
          <w:szCs w:val="28"/>
        </w:rPr>
        <w:t>Адсорбция</w:t>
      </w:r>
      <w:r>
        <w:rPr>
          <w:rStyle w:val="19"/>
          <w:b w:val="0"/>
          <w:bCs w:val="0"/>
          <w:color w:val="auto"/>
          <w:szCs w:val="28"/>
        </w:rPr>
        <w:t xml:space="preserve"> – газ немесе сұйықтық молекулаларының қатты зат бетіне сіңірілуі</w:t>
      </w:r>
    </w:p>
    <w:p w14:paraId="1236ABEF">
      <w:pPr>
        <w:spacing w:after="0"/>
        <w:ind w:firstLine="709"/>
        <w:rPr>
          <w:rStyle w:val="19"/>
          <w:b w:val="0"/>
          <w:bCs w:val="0"/>
          <w:color w:val="auto"/>
          <w:szCs w:val="28"/>
        </w:rPr>
      </w:pPr>
      <w:r>
        <w:rPr>
          <w:rStyle w:val="19"/>
          <w:color w:val="auto"/>
          <w:szCs w:val="28"/>
        </w:rPr>
        <w:t>Адсорбциялық иммобилизация</w:t>
      </w:r>
      <w:r>
        <w:rPr>
          <w:rStyle w:val="19"/>
          <w:b w:val="0"/>
          <w:bCs w:val="0"/>
          <w:color w:val="auto"/>
          <w:szCs w:val="28"/>
        </w:rPr>
        <w:t xml:space="preserve"> – микроорганизмдердің тасымалдаушы бетіне физикалық күштер (Ван-дер-Ваальс, электростатикалық) арқылы бекітілуі</w:t>
      </w:r>
    </w:p>
    <w:p w14:paraId="60311796">
      <w:pPr>
        <w:spacing w:after="0"/>
        <w:ind w:firstLine="709"/>
        <w:rPr>
          <w:rStyle w:val="19"/>
          <w:b w:val="0"/>
          <w:bCs w:val="0"/>
          <w:color w:val="auto"/>
          <w:szCs w:val="28"/>
        </w:rPr>
      </w:pPr>
      <w:r>
        <w:rPr>
          <w:rStyle w:val="19"/>
          <w:color w:val="auto"/>
          <w:szCs w:val="28"/>
        </w:rPr>
        <w:t>Аэробты биодеградация</w:t>
      </w:r>
      <w:r>
        <w:rPr>
          <w:rStyle w:val="19"/>
          <w:b w:val="0"/>
          <w:bCs w:val="0"/>
          <w:color w:val="auto"/>
          <w:szCs w:val="28"/>
        </w:rPr>
        <w:t xml:space="preserve"> – молекулалық оттегі қатысуымен жүретін көмірсутектердің микробтық ыдырауы</w:t>
      </w:r>
    </w:p>
    <w:p w14:paraId="4A338FBD">
      <w:pPr>
        <w:spacing w:after="0"/>
        <w:ind w:firstLine="709"/>
        <w:rPr>
          <w:rStyle w:val="19"/>
          <w:b w:val="0"/>
          <w:bCs w:val="0"/>
          <w:color w:val="auto"/>
          <w:szCs w:val="28"/>
        </w:rPr>
      </w:pPr>
      <w:r>
        <w:rPr>
          <w:rStyle w:val="19"/>
          <w:color w:val="auto"/>
          <w:szCs w:val="28"/>
        </w:rPr>
        <w:t>Бактериялық консорциум</w:t>
      </w:r>
      <w:r>
        <w:rPr>
          <w:rStyle w:val="19"/>
          <w:b w:val="0"/>
          <w:bCs w:val="0"/>
          <w:color w:val="auto"/>
          <w:szCs w:val="28"/>
        </w:rPr>
        <w:t xml:space="preserve"> – бірлесіп әрекет ететін, синергиялық әсер көрсететін екі немесе одан көп бактерия түрлерінің қауымдастығы</w:t>
      </w:r>
    </w:p>
    <w:p w14:paraId="7CDA0EBC">
      <w:pPr>
        <w:spacing w:after="0"/>
        <w:ind w:firstLine="709"/>
        <w:rPr>
          <w:rStyle w:val="19"/>
          <w:b w:val="0"/>
          <w:bCs w:val="0"/>
          <w:color w:val="auto"/>
          <w:szCs w:val="28"/>
        </w:rPr>
      </w:pPr>
      <w:r>
        <w:rPr>
          <w:rStyle w:val="19"/>
          <w:color w:val="auto"/>
          <w:szCs w:val="28"/>
        </w:rPr>
        <w:t>Биогенді элементтер</w:t>
      </w:r>
      <w:r>
        <w:rPr>
          <w:rStyle w:val="19"/>
          <w:b w:val="0"/>
          <w:bCs w:val="0"/>
          <w:color w:val="auto"/>
          <w:szCs w:val="28"/>
        </w:rPr>
        <w:t xml:space="preserve"> – микроорганизмдердің өсуі мен көбеюіне қажетті макроэлементтер (азот, фосфор, калий)</w:t>
      </w:r>
    </w:p>
    <w:p w14:paraId="64B37907">
      <w:pPr>
        <w:spacing w:after="0"/>
        <w:ind w:firstLine="709"/>
        <w:rPr>
          <w:rStyle w:val="19"/>
          <w:b w:val="0"/>
          <w:bCs w:val="0"/>
          <w:color w:val="auto"/>
          <w:szCs w:val="28"/>
        </w:rPr>
      </w:pPr>
      <w:r>
        <w:rPr>
          <w:rStyle w:val="19"/>
          <w:color w:val="auto"/>
          <w:szCs w:val="28"/>
        </w:rPr>
        <w:t>Биодеградация</w:t>
      </w:r>
      <w:r>
        <w:rPr>
          <w:rStyle w:val="19"/>
          <w:b w:val="0"/>
          <w:bCs w:val="0"/>
          <w:color w:val="auto"/>
          <w:szCs w:val="28"/>
        </w:rPr>
        <w:t xml:space="preserve"> – микроорганизмдер ферменттерінің әсерінен органикалық ластаушы заттардың қарапайым қосылыстарға дейін ыдырауы</w:t>
      </w:r>
    </w:p>
    <w:p w14:paraId="2DFD1E5B">
      <w:pPr>
        <w:spacing w:after="0"/>
        <w:ind w:firstLine="709"/>
        <w:rPr>
          <w:rStyle w:val="19"/>
          <w:b w:val="0"/>
          <w:bCs w:val="0"/>
          <w:color w:val="auto"/>
          <w:szCs w:val="28"/>
        </w:rPr>
      </w:pPr>
      <w:r>
        <w:rPr>
          <w:rStyle w:val="19"/>
          <w:color w:val="auto"/>
          <w:szCs w:val="28"/>
        </w:rPr>
        <w:t>Биомасса</w:t>
      </w:r>
      <w:r>
        <w:rPr>
          <w:rStyle w:val="19"/>
          <w:b w:val="0"/>
          <w:bCs w:val="0"/>
          <w:color w:val="auto"/>
          <w:szCs w:val="28"/>
        </w:rPr>
        <w:t xml:space="preserve"> – белгілі бір уақытта жинақталған микроорганизмдердің құрғақ немесе дымқыл массасы</w:t>
      </w:r>
    </w:p>
    <w:p w14:paraId="5973FEEE">
      <w:pPr>
        <w:spacing w:after="0"/>
        <w:ind w:firstLine="709"/>
        <w:rPr>
          <w:rStyle w:val="19"/>
          <w:b w:val="0"/>
          <w:bCs w:val="0"/>
          <w:color w:val="auto"/>
          <w:szCs w:val="28"/>
        </w:rPr>
      </w:pPr>
      <w:r>
        <w:rPr>
          <w:rStyle w:val="19"/>
          <w:color w:val="auto"/>
          <w:szCs w:val="28"/>
        </w:rPr>
        <w:t>Биопрепарат</w:t>
      </w:r>
      <w:r>
        <w:rPr>
          <w:rStyle w:val="19"/>
          <w:b w:val="0"/>
          <w:bCs w:val="0"/>
          <w:color w:val="auto"/>
          <w:szCs w:val="28"/>
        </w:rPr>
        <w:t xml:space="preserve"> – мұнаймен ластанған ортаны тазарту үшін қолданылатын, белсенді микроорганизмдер негізінде дайындалған құрал</w:t>
      </w:r>
    </w:p>
    <w:p w14:paraId="510EA196">
      <w:pPr>
        <w:spacing w:after="0"/>
        <w:ind w:firstLine="709"/>
        <w:rPr>
          <w:rStyle w:val="19"/>
          <w:b w:val="0"/>
          <w:bCs w:val="0"/>
          <w:color w:val="auto"/>
          <w:szCs w:val="28"/>
        </w:rPr>
      </w:pPr>
      <w:r>
        <w:rPr>
          <w:rStyle w:val="19"/>
          <w:color w:val="auto"/>
          <w:szCs w:val="28"/>
        </w:rPr>
        <w:t>Биоремедиация</w:t>
      </w:r>
      <w:r>
        <w:rPr>
          <w:rStyle w:val="19"/>
          <w:b w:val="0"/>
          <w:bCs w:val="0"/>
          <w:color w:val="auto"/>
          <w:szCs w:val="28"/>
        </w:rPr>
        <w:t xml:space="preserve"> – микроорганизмдердің метаболиттік белсенділігін пайдалану арқылы ластанған ортаны қалпына келтіру технологиясы</w:t>
      </w:r>
    </w:p>
    <w:p w14:paraId="170217C6">
      <w:pPr>
        <w:spacing w:after="0"/>
        <w:ind w:firstLine="709"/>
        <w:rPr>
          <w:rStyle w:val="19"/>
          <w:b w:val="0"/>
          <w:bCs w:val="0"/>
          <w:color w:val="auto"/>
          <w:szCs w:val="28"/>
        </w:rPr>
      </w:pPr>
      <w:r>
        <w:rPr>
          <w:rStyle w:val="19"/>
          <w:color w:val="auto"/>
          <w:szCs w:val="28"/>
        </w:rPr>
        <w:t>Биотрансформация</w:t>
      </w:r>
      <w:r>
        <w:rPr>
          <w:rStyle w:val="19"/>
          <w:b w:val="0"/>
          <w:bCs w:val="0"/>
          <w:color w:val="auto"/>
          <w:szCs w:val="28"/>
        </w:rPr>
        <w:t xml:space="preserve"> – ластаушы заттардың микроорганизмдер әсерінен химиялық құрылымының өзгеруі</w:t>
      </w:r>
    </w:p>
    <w:p w14:paraId="4C923245">
      <w:pPr>
        <w:spacing w:after="0"/>
        <w:ind w:firstLine="709"/>
        <w:rPr>
          <w:rStyle w:val="19"/>
          <w:b w:val="0"/>
          <w:bCs w:val="0"/>
          <w:color w:val="auto"/>
          <w:szCs w:val="28"/>
        </w:rPr>
      </w:pPr>
      <w:r>
        <w:rPr>
          <w:rStyle w:val="19"/>
          <w:color w:val="auto"/>
          <w:szCs w:val="28"/>
        </w:rPr>
        <w:t>Гравиметриялық әдіс</w:t>
      </w:r>
      <w:r>
        <w:rPr>
          <w:rStyle w:val="19"/>
          <w:b w:val="0"/>
          <w:bCs w:val="0"/>
          <w:color w:val="auto"/>
          <w:szCs w:val="28"/>
        </w:rPr>
        <w:t xml:space="preserve"> – мұнай өнімдерінің мөлшерін масса бойынша анықтау әдісі</w:t>
      </w:r>
    </w:p>
    <w:p w14:paraId="4CF81824">
      <w:pPr>
        <w:spacing w:after="0"/>
        <w:ind w:firstLine="709"/>
        <w:rPr>
          <w:rStyle w:val="19"/>
          <w:b w:val="0"/>
          <w:bCs w:val="0"/>
          <w:color w:val="auto"/>
          <w:szCs w:val="28"/>
        </w:rPr>
      </w:pPr>
      <w:r>
        <w:rPr>
          <w:rStyle w:val="19"/>
          <w:color w:val="auto"/>
          <w:szCs w:val="28"/>
        </w:rPr>
        <w:t>Деструкция дәрежесі</w:t>
      </w:r>
      <w:r>
        <w:rPr>
          <w:rStyle w:val="19"/>
          <w:b w:val="0"/>
          <w:bCs w:val="0"/>
          <w:color w:val="auto"/>
          <w:szCs w:val="28"/>
        </w:rPr>
        <w:t xml:space="preserve"> – бастапқы ластаушы зат мөлшеріне қатысты ыдыратылған зат мөлшерінің пайыздық көрсеткіші</w:t>
      </w:r>
    </w:p>
    <w:p w14:paraId="12EF6F86">
      <w:pPr>
        <w:spacing w:after="0"/>
        <w:ind w:firstLine="709"/>
        <w:rPr>
          <w:rStyle w:val="19"/>
          <w:b w:val="0"/>
          <w:bCs w:val="0"/>
          <w:color w:val="auto"/>
          <w:szCs w:val="28"/>
        </w:rPr>
      </w:pPr>
      <w:r>
        <w:rPr>
          <w:rStyle w:val="19"/>
          <w:color w:val="auto"/>
          <w:szCs w:val="28"/>
        </w:rPr>
        <w:t>Иммобилизация</w:t>
      </w:r>
      <w:r>
        <w:rPr>
          <w:rStyle w:val="19"/>
          <w:b w:val="0"/>
          <w:bCs w:val="0"/>
          <w:color w:val="auto"/>
          <w:szCs w:val="28"/>
        </w:rPr>
        <w:t xml:space="preserve"> – микроорганизм жасушаларын тасымалдаушы материалдың бетіне немесе ішіне бекіту процесі</w:t>
      </w:r>
    </w:p>
    <w:p w14:paraId="4551CEC7">
      <w:pPr>
        <w:spacing w:after="0"/>
        <w:ind w:firstLine="709"/>
        <w:rPr>
          <w:rStyle w:val="19"/>
          <w:b w:val="0"/>
          <w:bCs w:val="0"/>
          <w:color w:val="auto"/>
          <w:szCs w:val="28"/>
        </w:rPr>
      </w:pPr>
      <w:r>
        <w:rPr>
          <w:rStyle w:val="19"/>
          <w:color w:val="auto"/>
          <w:szCs w:val="28"/>
        </w:rPr>
        <w:t>Иммобилизацияланған микроорганизмдер</w:t>
      </w:r>
      <w:r>
        <w:rPr>
          <w:rStyle w:val="19"/>
          <w:b w:val="0"/>
          <w:bCs w:val="0"/>
          <w:color w:val="auto"/>
          <w:szCs w:val="28"/>
        </w:rPr>
        <w:t xml:space="preserve"> – тасымалдаушы матрицаға бекітілген, биологиялық белсенділігін сақтаған тірі микробтық жасушалар</w:t>
      </w:r>
    </w:p>
    <w:p w14:paraId="271EC576">
      <w:pPr>
        <w:spacing w:after="0"/>
        <w:ind w:firstLine="709"/>
        <w:rPr>
          <w:rStyle w:val="19"/>
          <w:b w:val="0"/>
          <w:bCs w:val="0"/>
          <w:color w:val="auto"/>
          <w:szCs w:val="28"/>
        </w:rPr>
      </w:pPr>
      <w:r>
        <w:rPr>
          <w:rStyle w:val="19"/>
          <w:color w:val="auto"/>
          <w:szCs w:val="28"/>
        </w:rPr>
        <w:t>Инокулят</w:t>
      </w:r>
      <w:r>
        <w:rPr>
          <w:rStyle w:val="19"/>
          <w:b w:val="0"/>
          <w:bCs w:val="0"/>
          <w:color w:val="auto"/>
          <w:szCs w:val="28"/>
        </w:rPr>
        <w:t xml:space="preserve"> – негізгі ортаны себу үшін қолданылатын микроорганизмдердің белсенді дақылы</w:t>
      </w:r>
    </w:p>
    <w:p w14:paraId="77EEECFB">
      <w:pPr>
        <w:spacing w:after="0"/>
        <w:ind w:firstLine="709"/>
        <w:rPr>
          <w:rStyle w:val="19"/>
          <w:b w:val="0"/>
          <w:bCs w:val="0"/>
          <w:color w:val="auto"/>
          <w:szCs w:val="28"/>
        </w:rPr>
      </w:pPr>
      <w:r>
        <w:rPr>
          <w:rStyle w:val="19"/>
          <w:color w:val="auto"/>
          <w:szCs w:val="28"/>
        </w:rPr>
        <w:t>ИҚ-спектроскопия</w:t>
      </w:r>
      <w:r>
        <w:rPr>
          <w:rStyle w:val="19"/>
          <w:b w:val="0"/>
          <w:bCs w:val="0"/>
          <w:color w:val="auto"/>
          <w:szCs w:val="28"/>
        </w:rPr>
        <w:t xml:space="preserve"> – көмірсутектердің инфрақызыл сәулелерді жұту қабілетіне негізделген сапалық және сандық талдау әдісі</w:t>
      </w:r>
    </w:p>
    <w:p w14:paraId="4DC3BA79">
      <w:pPr>
        <w:spacing w:after="0"/>
        <w:ind w:firstLine="709"/>
        <w:rPr>
          <w:rStyle w:val="19"/>
          <w:b w:val="0"/>
          <w:bCs w:val="0"/>
          <w:color w:val="auto"/>
          <w:szCs w:val="28"/>
        </w:rPr>
      </w:pPr>
      <w:r>
        <w:rPr>
          <w:rStyle w:val="19"/>
          <w:color w:val="auto"/>
          <w:szCs w:val="28"/>
        </w:rPr>
        <w:t>Кеуектілік</w:t>
      </w:r>
      <w:r>
        <w:rPr>
          <w:rStyle w:val="19"/>
          <w:b w:val="0"/>
          <w:bCs w:val="0"/>
          <w:color w:val="auto"/>
          <w:szCs w:val="28"/>
        </w:rPr>
        <w:t xml:space="preserve"> – материалдағы бос кеңістіктердің жалпы көлемге қатынасы, пайызбен өрнектеледі</w:t>
      </w:r>
    </w:p>
    <w:p w14:paraId="42C6EC0B">
      <w:pPr>
        <w:spacing w:after="0"/>
        <w:ind w:firstLine="709"/>
        <w:rPr>
          <w:rStyle w:val="19"/>
          <w:b w:val="0"/>
          <w:bCs w:val="0"/>
          <w:color w:val="auto"/>
          <w:szCs w:val="28"/>
        </w:rPr>
      </w:pPr>
      <w:r>
        <w:rPr>
          <w:rStyle w:val="19"/>
          <w:color w:val="auto"/>
          <w:szCs w:val="28"/>
        </w:rPr>
        <w:t>Көмірсутек тотықтырушы микроорганизмдер (КТМ)</w:t>
      </w:r>
      <w:r>
        <w:rPr>
          <w:rStyle w:val="19"/>
          <w:b w:val="0"/>
          <w:bCs w:val="0"/>
          <w:color w:val="auto"/>
          <w:szCs w:val="28"/>
        </w:rPr>
        <w:t xml:space="preserve"> – мұнай көмірсутектерін жалғыз көміртек және энергия көзі ретінде пайдалана алатын микробтар</w:t>
      </w:r>
    </w:p>
    <w:p w14:paraId="4E4516DA">
      <w:pPr>
        <w:spacing w:after="0"/>
        <w:ind w:firstLine="709"/>
        <w:rPr>
          <w:rStyle w:val="19"/>
          <w:b w:val="0"/>
          <w:bCs w:val="0"/>
          <w:color w:val="auto"/>
          <w:szCs w:val="28"/>
        </w:rPr>
      </w:pPr>
      <w:r>
        <w:rPr>
          <w:rStyle w:val="19"/>
          <w:color w:val="auto"/>
          <w:szCs w:val="28"/>
        </w:rPr>
        <w:t>Күріш қауызы</w:t>
      </w:r>
      <w:r>
        <w:rPr>
          <w:rStyle w:val="19"/>
          <w:b w:val="0"/>
          <w:bCs w:val="0"/>
          <w:color w:val="auto"/>
          <w:szCs w:val="28"/>
        </w:rPr>
        <w:t xml:space="preserve"> – күріш дәнін қоршайтын, целлюлоза мен кремнийге бай қорғаныш қабығы</w:t>
      </w:r>
    </w:p>
    <w:p w14:paraId="3A8FACCE">
      <w:pPr>
        <w:spacing w:after="0"/>
        <w:ind w:firstLine="709"/>
        <w:rPr>
          <w:rStyle w:val="19"/>
          <w:b w:val="0"/>
          <w:bCs w:val="0"/>
          <w:color w:val="auto"/>
          <w:szCs w:val="28"/>
        </w:rPr>
      </w:pPr>
      <w:r>
        <w:rPr>
          <w:rStyle w:val="19"/>
          <w:color w:val="auto"/>
          <w:szCs w:val="28"/>
        </w:rPr>
        <w:t>Метаболиттер</w:t>
      </w:r>
      <w:r>
        <w:rPr>
          <w:rStyle w:val="19"/>
          <w:b w:val="0"/>
          <w:bCs w:val="0"/>
          <w:color w:val="auto"/>
          <w:szCs w:val="28"/>
        </w:rPr>
        <w:t xml:space="preserve"> – микроорганизмдердің зат алмасу процесінде түзілетін аралық және соңғы өнімдер</w:t>
      </w:r>
    </w:p>
    <w:p w14:paraId="179E84EC">
      <w:pPr>
        <w:spacing w:after="0"/>
        <w:ind w:firstLine="709"/>
        <w:rPr>
          <w:rStyle w:val="19"/>
          <w:b w:val="0"/>
          <w:bCs w:val="0"/>
          <w:color w:val="auto"/>
          <w:szCs w:val="28"/>
        </w:rPr>
      </w:pPr>
      <w:r>
        <w:rPr>
          <w:rStyle w:val="19"/>
          <w:color w:val="auto"/>
          <w:szCs w:val="28"/>
        </w:rPr>
        <w:t>Минерализация</w:t>
      </w:r>
      <w:r>
        <w:rPr>
          <w:rStyle w:val="19"/>
          <w:b w:val="0"/>
          <w:bCs w:val="0"/>
          <w:color w:val="auto"/>
          <w:szCs w:val="28"/>
        </w:rPr>
        <w:t xml:space="preserve"> – органикалық заттардың толық ыдырауы нәтижесінде СО₂, Н₂О және минералды тұздардың түзілуі</w:t>
      </w:r>
    </w:p>
    <w:p w14:paraId="7ED10EC2">
      <w:pPr>
        <w:spacing w:after="0"/>
        <w:ind w:firstLine="709"/>
        <w:rPr>
          <w:rStyle w:val="19"/>
          <w:b w:val="0"/>
          <w:bCs w:val="0"/>
          <w:color w:val="auto"/>
          <w:szCs w:val="28"/>
        </w:rPr>
      </w:pPr>
      <w:r>
        <w:rPr>
          <w:rStyle w:val="19"/>
          <w:color w:val="auto"/>
          <w:szCs w:val="28"/>
        </w:rPr>
        <w:t>Мұнай көмірсутектері</w:t>
      </w:r>
      <w:r>
        <w:rPr>
          <w:rStyle w:val="19"/>
          <w:b w:val="0"/>
          <w:bCs w:val="0"/>
          <w:color w:val="auto"/>
          <w:szCs w:val="28"/>
        </w:rPr>
        <w:t xml:space="preserve"> – мұнай құрамына кіретін органикалық қосылыстар: алкандар, циклоалкандар, ароматты көмірсутектер және олардың туындылары</w:t>
      </w:r>
    </w:p>
    <w:p w14:paraId="41F1B331">
      <w:pPr>
        <w:spacing w:after="0"/>
        <w:ind w:firstLine="709"/>
        <w:rPr>
          <w:rStyle w:val="19"/>
          <w:b w:val="0"/>
          <w:bCs w:val="0"/>
          <w:color w:val="auto"/>
          <w:szCs w:val="28"/>
        </w:rPr>
      </w:pPr>
      <w:r>
        <w:rPr>
          <w:rStyle w:val="19"/>
          <w:color w:val="auto"/>
          <w:szCs w:val="28"/>
        </w:rPr>
        <w:t xml:space="preserve">Мұнай шламы </w:t>
      </w:r>
      <w:r>
        <w:rPr>
          <w:rStyle w:val="19"/>
          <w:b w:val="0"/>
          <w:bCs w:val="0"/>
          <w:color w:val="auto"/>
          <w:szCs w:val="28"/>
        </w:rPr>
        <w:t>– мұнай өндіру, сақтау және өңдеу процестерінде түзілетін, құрамында мұнай көмірсутектері, су және механикалық қоспалар бар қалдық</w:t>
      </w:r>
    </w:p>
    <w:p w14:paraId="48EC52C2">
      <w:pPr>
        <w:spacing w:after="0"/>
        <w:ind w:firstLine="709"/>
        <w:rPr>
          <w:rStyle w:val="19"/>
          <w:b w:val="0"/>
          <w:bCs w:val="0"/>
          <w:color w:val="auto"/>
          <w:szCs w:val="28"/>
        </w:rPr>
      </w:pPr>
      <w:r>
        <w:rPr>
          <w:rStyle w:val="19"/>
          <w:color w:val="auto"/>
          <w:szCs w:val="28"/>
        </w:rPr>
        <w:t>Мұнаймен ластанған топырақ</w:t>
      </w:r>
      <w:r>
        <w:rPr>
          <w:rStyle w:val="19"/>
          <w:b w:val="0"/>
          <w:bCs w:val="0"/>
          <w:color w:val="auto"/>
          <w:szCs w:val="28"/>
        </w:rPr>
        <w:t xml:space="preserve"> – құрамындағы мұнай өнімдерінің концентрациясы шекті жол берілетін мөлшерден асатын топырақ</w:t>
      </w:r>
    </w:p>
    <w:p w14:paraId="0832E298">
      <w:pPr>
        <w:spacing w:after="0"/>
        <w:ind w:firstLine="709"/>
        <w:rPr>
          <w:rStyle w:val="19"/>
          <w:b w:val="0"/>
          <w:bCs w:val="0"/>
          <w:color w:val="auto"/>
          <w:szCs w:val="28"/>
        </w:rPr>
      </w:pPr>
      <w:r>
        <w:rPr>
          <w:rStyle w:val="19"/>
          <w:color w:val="auto"/>
          <w:szCs w:val="28"/>
        </w:rPr>
        <w:t>Оптималды жағдайлар</w:t>
      </w:r>
      <w:r>
        <w:rPr>
          <w:rStyle w:val="19"/>
          <w:b w:val="0"/>
          <w:bCs w:val="0"/>
          <w:color w:val="auto"/>
          <w:szCs w:val="28"/>
        </w:rPr>
        <w:t xml:space="preserve"> – микроорганизмдердің максималды белсенділік көрсетуіне қажетті температура, рН, ылғалдылық және басқа параметрлер</w:t>
      </w:r>
    </w:p>
    <w:p w14:paraId="1D359E28">
      <w:pPr>
        <w:spacing w:after="0"/>
        <w:ind w:firstLine="709"/>
        <w:rPr>
          <w:rStyle w:val="19"/>
          <w:b w:val="0"/>
          <w:bCs w:val="0"/>
          <w:color w:val="auto"/>
          <w:szCs w:val="28"/>
        </w:rPr>
      </w:pPr>
      <w:r>
        <w:rPr>
          <w:rStyle w:val="19"/>
          <w:color w:val="auto"/>
          <w:szCs w:val="28"/>
        </w:rPr>
        <w:t>Рекультивация</w:t>
      </w:r>
      <w:r>
        <w:rPr>
          <w:rStyle w:val="19"/>
          <w:b w:val="0"/>
          <w:bCs w:val="0"/>
          <w:color w:val="auto"/>
          <w:szCs w:val="28"/>
        </w:rPr>
        <w:t xml:space="preserve"> – техногенді бұзылған жерлерді қалпына келтіруге бағытталған шаралар кешені</w:t>
      </w:r>
    </w:p>
    <w:p w14:paraId="4D3334F0">
      <w:pPr>
        <w:spacing w:after="0"/>
        <w:ind w:firstLine="709"/>
        <w:rPr>
          <w:rStyle w:val="19"/>
          <w:b w:val="0"/>
          <w:bCs w:val="0"/>
          <w:color w:val="auto"/>
          <w:szCs w:val="28"/>
        </w:rPr>
      </w:pPr>
      <w:r>
        <w:rPr>
          <w:rStyle w:val="19"/>
          <w:color w:val="auto"/>
          <w:szCs w:val="28"/>
        </w:rPr>
        <w:t>Синергизм</w:t>
      </w:r>
      <w:r>
        <w:rPr>
          <w:rStyle w:val="19"/>
          <w:b w:val="0"/>
          <w:bCs w:val="0"/>
          <w:color w:val="auto"/>
          <w:szCs w:val="28"/>
        </w:rPr>
        <w:t xml:space="preserve"> – бактериялық консорциум мүшелерінің бірлескен әрекетінің жеке әсерлер қосындысынан жоғары болуы</w:t>
      </w:r>
    </w:p>
    <w:p w14:paraId="7FF44217">
      <w:pPr>
        <w:spacing w:after="0"/>
        <w:ind w:firstLine="709"/>
        <w:rPr>
          <w:rStyle w:val="19"/>
          <w:b w:val="0"/>
          <w:bCs w:val="0"/>
          <w:color w:val="auto"/>
          <w:szCs w:val="28"/>
        </w:rPr>
      </w:pPr>
      <w:r>
        <w:rPr>
          <w:rStyle w:val="19"/>
          <w:color w:val="auto"/>
          <w:szCs w:val="28"/>
        </w:rPr>
        <w:t>Тасымалдаушы материал</w:t>
      </w:r>
      <w:r>
        <w:rPr>
          <w:rStyle w:val="19"/>
          <w:b w:val="0"/>
          <w:bCs w:val="0"/>
          <w:color w:val="auto"/>
          <w:szCs w:val="28"/>
        </w:rPr>
        <w:t xml:space="preserve"> – микроорганизмдерді иммобилизациялау үшін қолданылатын, кеуекті құрылымы бар субстрат</w:t>
      </w:r>
    </w:p>
    <w:p w14:paraId="3E731E8A">
      <w:pPr>
        <w:spacing w:after="0"/>
        <w:ind w:firstLine="709"/>
        <w:rPr>
          <w:rStyle w:val="19"/>
          <w:b w:val="0"/>
          <w:bCs w:val="0"/>
          <w:color w:val="auto"/>
          <w:szCs w:val="28"/>
        </w:rPr>
      </w:pPr>
      <w:r>
        <w:rPr>
          <w:rStyle w:val="19"/>
          <w:color w:val="auto"/>
          <w:szCs w:val="28"/>
        </w:rPr>
        <w:t>Ферментативті белсенділік</w:t>
      </w:r>
      <w:r>
        <w:rPr>
          <w:rStyle w:val="19"/>
          <w:b w:val="0"/>
          <w:bCs w:val="0"/>
          <w:color w:val="auto"/>
          <w:szCs w:val="28"/>
        </w:rPr>
        <w:t xml:space="preserve"> – ферменттердің субстратты өнімге айналдыру жылдамдығы</w:t>
      </w:r>
    </w:p>
    <w:p w14:paraId="6F9A0D8A">
      <w:pPr>
        <w:spacing w:after="0"/>
        <w:ind w:firstLine="709"/>
        <w:rPr>
          <w:rStyle w:val="19"/>
          <w:b w:val="0"/>
          <w:bCs w:val="0"/>
          <w:color w:val="auto"/>
          <w:szCs w:val="28"/>
        </w:rPr>
      </w:pPr>
      <w:r>
        <w:rPr>
          <w:rStyle w:val="19"/>
          <w:color w:val="auto"/>
          <w:szCs w:val="28"/>
        </w:rPr>
        <w:t>Шекті жол берілетін концентрация (ШЖК)</w:t>
      </w:r>
      <w:r>
        <w:rPr>
          <w:rStyle w:val="19"/>
          <w:b w:val="0"/>
          <w:bCs w:val="0"/>
          <w:color w:val="auto"/>
          <w:szCs w:val="28"/>
        </w:rPr>
        <w:t xml:space="preserve"> – қоршаған орта объектілеріндегі ластаушы заттың адам денсаулығы мен экожүйелерге зиян келтірмейтін ең жоғары мөлшері</w:t>
      </w:r>
    </w:p>
    <w:p w14:paraId="003C1275">
      <w:pPr>
        <w:spacing w:after="0"/>
        <w:ind w:firstLine="709"/>
        <w:rPr>
          <w:rStyle w:val="19"/>
          <w:b w:val="0"/>
          <w:bCs w:val="0"/>
          <w:color w:val="auto"/>
          <w:szCs w:val="28"/>
        </w:rPr>
      </w:pPr>
      <w:r>
        <w:rPr>
          <w:rStyle w:val="19"/>
          <w:color w:val="auto"/>
          <w:szCs w:val="28"/>
        </w:rPr>
        <w:t>Штамм</w:t>
      </w:r>
      <w:r>
        <w:rPr>
          <w:rStyle w:val="19"/>
          <w:b w:val="0"/>
          <w:bCs w:val="0"/>
          <w:color w:val="auto"/>
          <w:szCs w:val="28"/>
        </w:rPr>
        <w:t xml:space="preserve"> – белгілі бір морфологиялық және физиологиялық қасиеттері бар микроорганизмнің таза дақылы</w:t>
      </w:r>
    </w:p>
    <w:p w14:paraId="6451DDD0">
      <w:pPr>
        <w:spacing w:after="0"/>
        <w:ind w:firstLine="709"/>
        <w:rPr>
          <w:rStyle w:val="19"/>
          <w:b w:val="0"/>
          <w:bCs w:val="0"/>
          <w:color w:val="auto"/>
          <w:szCs w:val="28"/>
        </w:rPr>
      </w:pPr>
      <w:r>
        <w:rPr>
          <w:rStyle w:val="19"/>
          <w:color w:val="auto"/>
          <w:szCs w:val="28"/>
        </w:rPr>
        <w:t>Экстракция</w:t>
      </w:r>
      <w:r>
        <w:rPr>
          <w:rStyle w:val="19"/>
          <w:b w:val="0"/>
          <w:bCs w:val="0"/>
          <w:color w:val="auto"/>
          <w:szCs w:val="28"/>
        </w:rPr>
        <w:t xml:space="preserve"> – мұнай көмірсутектерін топырақтан органикалық еріткіштер көмегімен бөліп алу әдісі</w:t>
      </w:r>
    </w:p>
    <w:p w14:paraId="3F2C9A1E">
      <w:pPr>
        <w:rPr>
          <w:color w:val="auto"/>
          <w:szCs w:val="28"/>
          <w:highlight w:val="yellow"/>
        </w:rPr>
      </w:pPr>
      <w:r>
        <w:rPr>
          <w:color w:val="auto"/>
          <w:szCs w:val="28"/>
          <w:highlight w:val="yellow"/>
        </w:rPr>
        <w:br w:type="page"/>
      </w:r>
    </w:p>
    <w:p w14:paraId="7A0BA38B">
      <w:pPr>
        <w:pStyle w:val="308"/>
        <w:spacing w:before="0"/>
        <w:rPr>
          <w:color w:val="auto"/>
        </w:rPr>
      </w:pPr>
      <w:r>
        <w:rPr>
          <w:color w:val="auto"/>
        </w:rPr>
        <w:t>БЕЛГІЛЕУЛЕР МЕН ҚЫСҚАРТУЛАР</w:t>
      </w:r>
    </w:p>
    <w:p w14:paraId="2472DFB5">
      <w:pPr>
        <w:spacing w:after="0"/>
        <w:jc w:val="center"/>
        <w:rPr>
          <w:color w:val="auto"/>
          <w:szCs w:val="28"/>
        </w:rPr>
      </w:pPr>
    </w:p>
    <w:tbl>
      <w:tblPr>
        <w:tblStyle w:val="12"/>
        <w:tblW w:w="8796" w:type="dxa"/>
        <w:jc w:val="center"/>
        <w:tblLayout w:type="fixed"/>
        <w:tblCellMar>
          <w:top w:w="0" w:type="dxa"/>
          <w:left w:w="108" w:type="dxa"/>
          <w:bottom w:w="0" w:type="dxa"/>
          <w:right w:w="108" w:type="dxa"/>
        </w:tblCellMar>
      </w:tblPr>
      <w:tblGrid>
        <w:gridCol w:w="1807"/>
        <w:gridCol w:w="6989"/>
      </w:tblGrid>
      <w:tr w14:paraId="7CA31447">
        <w:tblPrEx>
          <w:tblCellMar>
            <w:top w:w="0" w:type="dxa"/>
            <w:left w:w="108" w:type="dxa"/>
            <w:bottom w:w="0" w:type="dxa"/>
            <w:right w:w="108" w:type="dxa"/>
          </w:tblCellMar>
        </w:tblPrEx>
        <w:trPr>
          <w:jc w:val="center"/>
        </w:trPr>
        <w:tc>
          <w:tcPr>
            <w:tcW w:w="1807" w:type="dxa"/>
          </w:tcPr>
          <w:p w14:paraId="4D3D6316">
            <w:pPr>
              <w:snapToGrid w:val="0"/>
              <w:spacing w:after="0"/>
              <w:ind w:right="-76" w:rightChars="-27"/>
              <w:rPr>
                <w:rFonts w:hint="default" w:ascii="Times New Roman" w:hAnsi="Times New Roman" w:cs="Times New Roman"/>
                <w:color w:val="auto"/>
                <w:sz w:val="28"/>
                <w:szCs w:val="28"/>
                <w:highlight w:val="yellow"/>
                <w:lang w:val="kk-KZ"/>
              </w:rPr>
            </w:pPr>
            <w:r>
              <w:rPr>
                <w:rFonts w:hint="default" w:ascii="Times New Roman" w:hAnsi="Times New Roman" w:cs="Times New Roman"/>
                <w:color w:val="auto"/>
                <w:sz w:val="28"/>
                <w:szCs w:val="28"/>
                <w:lang w:val="kk-KZ"/>
              </w:rPr>
              <w:t>ҚР ЭГТРМ ЭРжБК</w:t>
            </w:r>
          </w:p>
        </w:tc>
        <w:tc>
          <w:tcPr>
            <w:tcW w:w="6989" w:type="dxa"/>
          </w:tcPr>
          <w:p w14:paraId="196E7B71">
            <w:pPr>
              <w:snapToGrid w:val="0"/>
              <w:spacing w:after="0"/>
              <w:rPr>
                <w:rFonts w:hint="default" w:ascii="Times New Roman" w:hAnsi="Times New Roman" w:eastAsia="Calibri" w:cs="Times New Roman"/>
                <w:color w:val="auto"/>
                <w:sz w:val="28"/>
                <w:szCs w:val="28"/>
                <w:highlight w:val="yellow"/>
                <w:lang w:val="kk-KZ" w:eastAsia="en-US"/>
              </w:rPr>
            </w:pPr>
            <w:r>
              <w:rPr>
                <w:rStyle w:val="185"/>
                <w:rFonts w:hint="default" w:ascii="Times New Roman" w:hAnsi="Times New Roman" w:cs="Times New Roman"/>
                <w:b w:val="0"/>
                <w:bCs w:val="0"/>
                <w:color w:val="auto"/>
                <w:sz w:val="28"/>
                <w:szCs w:val="28"/>
                <w:shd w:val="clear" w:color="auto" w:fill="FFFFFF"/>
                <w:lang w:val="kk-KZ" w:eastAsia="zh-CN"/>
              </w:rPr>
              <w:t xml:space="preserve">Қазақстан Республикасы Экология, геология және табиғи ресурстар министрлігі Экологиялық реттеу және бақылау комитеті </w:t>
            </w:r>
          </w:p>
        </w:tc>
      </w:tr>
      <w:tr w14:paraId="1DD25F91">
        <w:tblPrEx>
          <w:tblCellMar>
            <w:top w:w="0" w:type="dxa"/>
            <w:left w:w="108" w:type="dxa"/>
            <w:bottom w:w="0" w:type="dxa"/>
            <w:right w:w="108" w:type="dxa"/>
          </w:tblCellMar>
        </w:tblPrEx>
        <w:trPr>
          <w:jc w:val="center"/>
        </w:trPr>
        <w:tc>
          <w:tcPr>
            <w:tcW w:w="1807" w:type="dxa"/>
          </w:tcPr>
          <w:p w14:paraId="50798D13">
            <w:pPr>
              <w:snapToGrid w:val="0"/>
              <w:spacing w:after="0"/>
              <w:rPr>
                <w:rFonts w:hint="default" w:ascii="Times New Roman" w:hAnsi="Times New Roman" w:cs="Times New Roman"/>
                <w:color w:val="auto"/>
                <w:sz w:val="28"/>
                <w:szCs w:val="28"/>
                <w:highlight w:val="yellow"/>
                <w:lang w:val="kk-KZ"/>
              </w:rPr>
            </w:pPr>
            <w:r>
              <w:rPr>
                <w:rFonts w:ascii="Times New Roman" w:hAnsi="Times New Roman" w:eastAsia="SimSun" w:cs="Times New Roman"/>
                <w:color w:val="auto"/>
                <w:sz w:val="28"/>
                <w:szCs w:val="28"/>
                <w:lang w:val="ru-RU" w:eastAsia="ru-RU" w:bidi="ar-SA"/>
              </w:rPr>
              <w:t>ОПЕК</w:t>
            </w:r>
            <w:r>
              <w:rPr>
                <w:rFonts w:hint="default" w:cs="Times New Roman"/>
                <w:color w:val="auto"/>
                <w:sz w:val="28"/>
                <w:szCs w:val="28"/>
                <w:lang w:val="kk-KZ"/>
              </w:rPr>
              <w:t>+</w:t>
            </w:r>
          </w:p>
        </w:tc>
        <w:tc>
          <w:tcPr>
            <w:tcW w:w="6989" w:type="dxa"/>
          </w:tcPr>
          <w:p w14:paraId="7716E231">
            <w:pPr>
              <w:snapToGrid w:val="0"/>
              <w:spacing w:after="0"/>
              <w:rPr>
                <w:rFonts w:hint="default" w:ascii="Times New Roman" w:hAnsi="Times New Roman" w:eastAsia="Calibri" w:cs="Times New Roman"/>
                <w:color w:val="auto"/>
                <w:sz w:val="28"/>
                <w:szCs w:val="28"/>
                <w:highlight w:val="yellow"/>
                <w:lang w:val="kk-KZ" w:eastAsia="en-US"/>
              </w:rPr>
            </w:pPr>
            <w:r>
              <w:rPr>
                <w:rStyle w:val="185"/>
                <w:rFonts w:hint="default" w:ascii="Times New Roman" w:hAnsi="Times New Roman" w:cs="Times New Roman"/>
                <w:b w:val="0"/>
                <w:bCs w:val="0"/>
                <w:color w:val="auto"/>
                <w:sz w:val="28"/>
                <w:szCs w:val="28"/>
                <w:shd w:val="clear" w:color="auto" w:fill="FFFFFF"/>
                <w:lang w:val="en-US" w:eastAsia="zh-CN"/>
              </w:rPr>
              <w:t>Organization of the Petroleum Exporting Countries</w:t>
            </w:r>
            <w:r>
              <w:rPr>
                <w:rStyle w:val="185"/>
                <w:rFonts w:hint="default" w:ascii="Times New Roman" w:hAnsi="Times New Roman" w:cs="Times New Roman"/>
                <w:b w:val="0"/>
                <w:bCs w:val="0"/>
                <w:color w:val="auto"/>
                <w:sz w:val="28"/>
                <w:szCs w:val="28"/>
                <w:shd w:val="clear" w:color="auto" w:fill="FFFFFF"/>
                <w:lang w:val="kk-KZ" w:eastAsia="zh-CN"/>
              </w:rPr>
              <w:t xml:space="preserve"> (Мұнай экспорттаушы елдер ұйымы)</w:t>
            </w:r>
          </w:p>
        </w:tc>
      </w:tr>
      <w:tr w14:paraId="4BDA5122">
        <w:tblPrEx>
          <w:tblCellMar>
            <w:top w:w="0" w:type="dxa"/>
            <w:left w:w="108" w:type="dxa"/>
            <w:bottom w:w="0" w:type="dxa"/>
            <w:right w:w="108" w:type="dxa"/>
          </w:tblCellMar>
        </w:tblPrEx>
        <w:trPr>
          <w:jc w:val="center"/>
        </w:trPr>
        <w:tc>
          <w:tcPr>
            <w:tcW w:w="1807" w:type="dxa"/>
          </w:tcPr>
          <w:p w14:paraId="64332BB5">
            <w:pPr>
              <w:snapToGrid w:val="0"/>
              <w:spacing w:after="0"/>
              <w:rPr>
                <w:rFonts w:hint="default" w:ascii="Times New Roman" w:hAnsi="Times New Roman" w:cs="Times New Roman"/>
                <w:color w:val="auto"/>
                <w:sz w:val="28"/>
                <w:szCs w:val="28"/>
                <w:highlight w:val="yellow"/>
              </w:rPr>
            </w:pPr>
            <w:r>
              <w:rPr>
                <w:rFonts w:hint="default" w:ascii="Times New Roman" w:hAnsi="Times New Roman" w:cs="Times New Roman"/>
                <w:color w:val="auto"/>
                <w:sz w:val="28"/>
                <w:szCs w:val="28"/>
              </w:rPr>
              <w:t>ЖМӨ</w:t>
            </w:r>
          </w:p>
        </w:tc>
        <w:tc>
          <w:tcPr>
            <w:tcW w:w="6989" w:type="dxa"/>
          </w:tcPr>
          <w:p w14:paraId="5D08B4B4">
            <w:pPr>
              <w:snapToGrid w:val="0"/>
              <w:spacing w:after="0"/>
              <w:rPr>
                <w:rFonts w:hint="default" w:ascii="Times New Roman" w:hAnsi="Times New Roman" w:cs="Times New Roman"/>
                <w:color w:val="auto"/>
                <w:sz w:val="28"/>
                <w:szCs w:val="28"/>
                <w:highlight w:val="yellow"/>
              </w:rPr>
            </w:pPr>
            <w:r>
              <w:rPr>
                <w:rFonts w:hint="default" w:cs="Times New Roman"/>
                <w:color w:val="auto"/>
                <w:sz w:val="28"/>
                <w:szCs w:val="28"/>
                <w:lang w:val="kk-KZ"/>
              </w:rPr>
              <w:t>ж</w:t>
            </w:r>
            <w:r>
              <w:rPr>
                <w:rFonts w:hint="default" w:ascii="Times New Roman" w:hAnsi="Times New Roman" w:cs="Times New Roman"/>
                <w:color w:val="auto"/>
                <w:sz w:val="28"/>
                <w:szCs w:val="28"/>
              </w:rPr>
              <w:t>алпы мұнай өнімдері</w:t>
            </w:r>
          </w:p>
        </w:tc>
      </w:tr>
      <w:tr w14:paraId="65CD26F7">
        <w:tblPrEx>
          <w:tblCellMar>
            <w:top w:w="0" w:type="dxa"/>
            <w:left w:w="108" w:type="dxa"/>
            <w:bottom w:w="0" w:type="dxa"/>
            <w:right w:w="108" w:type="dxa"/>
          </w:tblCellMar>
        </w:tblPrEx>
        <w:trPr>
          <w:jc w:val="center"/>
        </w:trPr>
        <w:tc>
          <w:tcPr>
            <w:tcW w:w="1807" w:type="dxa"/>
            <w:shd w:val="clear" w:color="auto" w:fill="auto"/>
            <w:vAlign w:val="top"/>
          </w:tcPr>
          <w:p w14:paraId="7FEDBE6E">
            <w:pPr>
              <w:snapToGrid w:val="0"/>
              <w:spacing w:after="0"/>
              <w:rPr>
                <w:rFonts w:hint="default" w:ascii="Times New Roman" w:hAnsi="Times New Roman" w:eastAsia="SimSun" w:cs="Times New Roman"/>
                <w:color w:val="auto"/>
                <w:sz w:val="28"/>
                <w:szCs w:val="28"/>
                <w:highlight w:val="yellow"/>
                <w:lang w:val="ru-RU" w:eastAsia="ru-RU" w:bidi="ar-SA"/>
              </w:rPr>
            </w:pPr>
            <w:r>
              <w:rPr>
                <w:rFonts w:hint="default" w:ascii="Times New Roman" w:hAnsi="Times New Roman" w:cs="Times New Roman"/>
                <w:color w:val="auto"/>
                <w:sz w:val="28"/>
                <w:szCs w:val="28"/>
              </w:rPr>
              <w:t>ШРК</w:t>
            </w:r>
          </w:p>
        </w:tc>
        <w:tc>
          <w:tcPr>
            <w:tcW w:w="6989" w:type="dxa"/>
            <w:shd w:val="clear" w:color="auto" w:fill="auto"/>
            <w:vAlign w:val="top"/>
          </w:tcPr>
          <w:p w14:paraId="26B46114">
            <w:pPr>
              <w:snapToGrid w:val="0"/>
              <w:spacing w:after="0"/>
              <w:rPr>
                <w:rFonts w:hint="default" w:ascii="Times New Roman" w:hAnsi="Times New Roman" w:eastAsia="SimSun" w:cs="Times New Roman"/>
                <w:color w:val="auto"/>
                <w:sz w:val="28"/>
                <w:szCs w:val="28"/>
                <w:highlight w:val="yellow"/>
                <w:lang w:val="kk-KZ" w:eastAsia="ru-RU" w:bidi="ar-SA"/>
              </w:rPr>
            </w:pPr>
            <w:r>
              <w:rPr>
                <w:rFonts w:hint="default" w:cs="Times New Roman"/>
                <w:color w:val="auto"/>
                <w:sz w:val="28"/>
                <w:szCs w:val="28"/>
                <w:lang w:val="kk-KZ"/>
              </w:rPr>
              <w:t>ш</w:t>
            </w:r>
            <w:r>
              <w:rPr>
                <w:rFonts w:hint="default" w:ascii="Times New Roman" w:hAnsi="Times New Roman" w:cs="Times New Roman"/>
                <w:color w:val="auto"/>
                <w:sz w:val="28"/>
                <w:szCs w:val="28"/>
              </w:rPr>
              <w:t>екті рұқсат етілген концентрация</w:t>
            </w:r>
          </w:p>
        </w:tc>
      </w:tr>
      <w:tr w14:paraId="1B892FEB">
        <w:tblPrEx>
          <w:tblCellMar>
            <w:top w:w="0" w:type="dxa"/>
            <w:left w:w="108" w:type="dxa"/>
            <w:bottom w:w="0" w:type="dxa"/>
            <w:right w:w="108" w:type="dxa"/>
          </w:tblCellMar>
        </w:tblPrEx>
        <w:trPr>
          <w:jc w:val="center"/>
        </w:trPr>
        <w:tc>
          <w:tcPr>
            <w:tcW w:w="1807" w:type="dxa"/>
            <w:shd w:val="clear" w:color="auto" w:fill="auto"/>
            <w:vAlign w:val="top"/>
          </w:tcPr>
          <w:p w14:paraId="21BDD378">
            <w:pPr>
              <w:snapToGrid w:val="0"/>
              <w:spacing w:after="0"/>
              <w:rPr>
                <w:rFonts w:hint="default" w:ascii="Times New Roman" w:hAnsi="Times New Roman" w:eastAsia="SimSun" w:cs="Times New Roman"/>
                <w:color w:val="auto"/>
                <w:sz w:val="28"/>
                <w:szCs w:val="28"/>
                <w:lang w:val="ru-RU" w:eastAsia="ru-RU" w:bidi="ar-SA"/>
              </w:rPr>
            </w:pPr>
            <w:r>
              <w:rPr>
                <w:rFonts w:hint="default" w:ascii="Times New Roman" w:hAnsi="Times New Roman" w:cs="Times New Roman"/>
                <w:color w:val="auto"/>
                <w:sz w:val="28"/>
                <w:szCs w:val="28"/>
                <w:lang w:val="kk-KZ"/>
              </w:rPr>
              <w:t>КТБ·</w:t>
            </w:r>
          </w:p>
        </w:tc>
        <w:tc>
          <w:tcPr>
            <w:tcW w:w="6989" w:type="dxa"/>
            <w:shd w:val="clear" w:color="auto" w:fill="auto"/>
            <w:vAlign w:val="top"/>
          </w:tcPr>
          <w:p w14:paraId="1B915C6A">
            <w:pPr>
              <w:pStyle w:val="23"/>
              <w:rPr>
                <w:rFonts w:hint="default" w:ascii="Times New Roman" w:hAnsi="Times New Roman" w:eastAsia="SimSun" w:cs="Times New Roman"/>
                <w:color w:val="auto"/>
                <w:sz w:val="28"/>
                <w:szCs w:val="28"/>
                <w:lang w:val="kk-KZ" w:eastAsia="ru-RU" w:bidi="ar-SA"/>
              </w:rPr>
            </w:pPr>
            <w:r>
              <w:rPr>
                <w:rFonts w:hint="default" w:cs="Times New Roman"/>
                <w:color w:val="auto"/>
                <w:sz w:val="28"/>
                <w:szCs w:val="28"/>
                <w:lang w:val="kk-KZ"/>
              </w:rPr>
              <w:t>к</w:t>
            </w:r>
            <w:r>
              <w:rPr>
                <w:rFonts w:hint="default" w:ascii="Times New Roman" w:hAnsi="Times New Roman" w:cs="Times New Roman"/>
                <w:color w:val="auto"/>
                <w:sz w:val="28"/>
                <w:szCs w:val="28"/>
                <w:lang w:val="kk-KZ"/>
              </w:rPr>
              <w:t>аллони</w:t>
            </w:r>
            <w:r>
              <w:rPr>
                <w:rFonts w:hint="default" w:cs="Times New Roman"/>
                <w:color w:val="auto"/>
                <w:sz w:val="28"/>
                <w:szCs w:val="28"/>
                <w:lang w:val="kk-KZ"/>
              </w:rPr>
              <w:t>я</w:t>
            </w:r>
            <w:r>
              <w:rPr>
                <w:rFonts w:hint="default" w:ascii="Times New Roman" w:hAnsi="Times New Roman" w:cs="Times New Roman"/>
                <w:color w:val="auto"/>
                <w:sz w:val="28"/>
                <w:szCs w:val="28"/>
                <w:lang w:val="kk-KZ"/>
              </w:rPr>
              <w:t xml:space="preserve"> түзуші бірлік</w:t>
            </w:r>
          </w:p>
        </w:tc>
      </w:tr>
      <w:tr w14:paraId="11058463">
        <w:tblPrEx>
          <w:tblCellMar>
            <w:top w:w="0" w:type="dxa"/>
            <w:left w:w="108" w:type="dxa"/>
            <w:bottom w:w="0" w:type="dxa"/>
            <w:right w:w="108" w:type="dxa"/>
          </w:tblCellMar>
        </w:tblPrEx>
        <w:trPr>
          <w:jc w:val="center"/>
        </w:trPr>
        <w:tc>
          <w:tcPr>
            <w:tcW w:w="1807" w:type="dxa"/>
            <w:shd w:val="clear" w:color="auto" w:fill="auto"/>
            <w:vAlign w:val="top"/>
          </w:tcPr>
          <w:p w14:paraId="1EC9DE1C">
            <w:pPr>
              <w:snapToGrid w:val="0"/>
              <w:spacing w:after="0"/>
              <w:rPr>
                <w:rFonts w:hint="default" w:ascii="Times New Roman" w:hAnsi="Times New Roman" w:eastAsia="SimSun" w:cs="Times New Roman"/>
                <w:color w:val="auto"/>
                <w:sz w:val="28"/>
                <w:szCs w:val="28"/>
                <w:lang w:val="kk-KZ" w:eastAsia="ru-RU" w:bidi="ar-SA"/>
              </w:rPr>
            </w:pPr>
            <w:r>
              <w:rPr>
                <w:rFonts w:hint="default" w:ascii="Times New Roman" w:hAnsi="Times New Roman" w:cs="Times New Roman"/>
                <w:color w:val="auto"/>
                <w:sz w:val="28"/>
                <w:szCs w:val="28"/>
                <w:lang w:val="kk-KZ"/>
              </w:rPr>
              <w:t>w/v</w:t>
            </w:r>
          </w:p>
        </w:tc>
        <w:tc>
          <w:tcPr>
            <w:tcW w:w="6989" w:type="dxa"/>
            <w:shd w:val="clear" w:color="auto" w:fill="auto"/>
            <w:vAlign w:val="top"/>
          </w:tcPr>
          <w:p w14:paraId="65A795E7">
            <w:pPr>
              <w:pStyle w:val="23"/>
              <w:rPr>
                <w:rFonts w:hint="default" w:ascii="Times New Roman" w:hAnsi="Times New Roman" w:eastAsia="SimSun" w:cs="Times New Roman"/>
                <w:color w:val="auto"/>
                <w:sz w:val="28"/>
                <w:szCs w:val="28"/>
                <w:lang w:val="kk-KZ" w:eastAsia="ru-RU" w:bidi="ar-SA"/>
              </w:rPr>
            </w:pPr>
            <w:r>
              <w:rPr>
                <w:rFonts w:hint="default" w:cs="Times New Roman"/>
                <w:color w:val="auto"/>
                <w:sz w:val="28"/>
                <w:szCs w:val="28"/>
                <w:lang w:val="en-GB"/>
              </w:rPr>
              <w:t>w</w:t>
            </w:r>
            <w:r>
              <w:rPr>
                <w:rFonts w:hint="default" w:ascii="Times New Roman" w:hAnsi="Times New Roman" w:cs="Times New Roman"/>
                <w:color w:val="auto"/>
                <w:sz w:val="28"/>
                <w:szCs w:val="28"/>
                <w:lang w:val="kk-KZ"/>
              </w:rPr>
              <w:t>eight/volume (масса/көлем)</w:t>
            </w:r>
          </w:p>
        </w:tc>
      </w:tr>
      <w:tr w14:paraId="1FC41B79">
        <w:tblPrEx>
          <w:tblCellMar>
            <w:top w:w="0" w:type="dxa"/>
            <w:left w:w="108" w:type="dxa"/>
            <w:bottom w:w="0" w:type="dxa"/>
            <w:right w:w="108" w:type="dxa"/>
          </w:tblCellMar>
        </w:tblPrEx>
        <w:trPr>
          <w:jc w:val="center"/>
        </w:trPr>
        <w:tc>
          <w:tcPr>
            <w:tcW w:w="1807" w:type="dxa"/>
            <w:shd w:val="clear" w:color="auto" w:fill="auto"/>
            <w:vAlign w:val="top"/>
          </w:tcPr>
          <w:p w14:paraId="3658C829">
            <w:pPr>
              <w:snapToGrid w:val="0"/>
              <w:spacing w:after="0"/>
              <w:rPr>
                <w:rFonts w:hint="default" w:ascii="Times New Roman" w:hAnsi="Times New Roman" w:eastAsia="SimSun" w:cs="Times New Roman"/>
                <w:color w:val="auto"/>
                <w:sz w:val="28"/>
                <w:szCs w:val="28"/>
                <w:lang w:val="kk-KZ" w:eastAsia="ru-RU" w:bidi="ar-SA"/>
              </w:rPr>
            </w:pPr>
            <w:r>
              <w:rPr>
                <w:rFonts w:hint="default" w:ascii="Times New Roman" w:hAnsi="Times New Roman" w:cs="Times New Roman"/>
                <w:color w:val="auto"/>
                <w:sz w:val="28"/>
                <w:szCs w:val="28"/>
              </w:rPr>
              <w:t xml:space="preserve">СЭМ </w:t>
            </w:r>
          </w:p>
        </w:tc>
        <w:tc>
          <w:tcPr>
            <w:tcW w:w="6989" w:type="dxa"/>
            <w:shd w:val="clear" w:color="auto" w:fill="auto"/>
            <w:vAlign w:val="top"/>
          </w:tcPr>
          <w:p w14:paraId="59132F0B">
            <w:pPr>
              <w:pStyle w:val="23"/>
              <w:rPr>
                <w:rFonts w:hint="default" w:ascii="Times New Roman" w:hAnsi="Times New Roman" w:eastAsia="SimSun" w:cs="Times New Roman"/>
                <w:color w:val="auto"/>
                <w:sz w:val="28"/>
                <w:szCs w:val="28"/>
                <w:lang w:val="en-GB" w:eastAsia="ru-RU" w:bidi="ar-SA"/>
              </w:rPr>
            </w:pPr>
            <w:r>
              <w:rPr>
                <w:rFonts w:hint="default" w:cs="Times New Roman"/>
                <w:color w:val="auto"/>
                <w:sz w:val="28"/>
                <w:szCs w:val="28"/>
                <w:lang w:val="en-GB"/>
              </w:rPr>
              <w:t>c</w:t>
            </w:r>
            <w:r>
              <w:rPr>
                <w:rFonts w:hint="default" w:ascii="Times New Roman" w:hAnsi="Times New Roman" w:cs="Times New Roman"/>
                <w:color w:val="auto"/>
                <w:sz w:val="28"/>
                <w:szCs w:val="28"/>
              </w:rPr>
              <w:t>канерлеуші электронды микроскоп</w:t>
            </w:r>
          </w:p>
        </w:tc>
      </w:tr>
      <w:tr w14:paraId="510253CE">
        <w:tblPrEx>
          <w:tblCellMar>
            <w:top w:w="0" w:type="dxa"/>
            <w:left w:w="108" w:type="dxa"/>
            <w:bottom w:w="0" w:type="dxa"/>
            <w:right w:w="108" w:type="dxa"/>
          </w:tblCellMar>
        </w:tblPrEx>
        <w:trPr>
          <w:jc w:val="center"/>
        </w:trPr>
        <w:tc>
          <w:tcPr>
            <w:tcW w:w="1807" w:type="dxa"/>
            <w:shd w:val="clear" w:color="auto" w:fill="auto"/>
            <w:vAlign w:val="top"/>
          </w:tcPr>
          <w:p w14:paraId="4ACB18D7">
            <w:pPr>
              <w:snapToGrid w:val="0"/>
              <w:spacing w:after="0"/>
              <w:rPr>
                <w:rFonts w:hint="default" w:ascii="Times New Roman" w:hAnsi="Times New Roman" w:eastAsia="SimSun" w:cs="Times New Roman"/>
                <w:color w:val="auto"/>
                <w:sz w:val="28"/>
                <w:szCs w:val="28"/>
                <w:lang w:val="ru-RU" w:eastAsia="ru-RU" w:bidi="ar-SA"/>
              </w:rPr>
            </w:pPr>
            <w:r>
              <w:rPr>
                <w:rFonts w:hint="default" w:ascii="Times New Roman" w:hAnsi="Times New Roman" w:cs="Times New Roman"/>
                <w:color w:val="auto"/>
                <w:sz w:val="28"/>
                <w:szCs w:val="28"/>
                <w:lang w:val="kk-KZ"/>
              </w:rPr>
              <w:t>БТЭК</w:t>
            </w:r>
          </w:p>
        </w:tc>
        <w:tc>
          <w:tcPr>
            <w:tcW w:w="6989" w:type="dxa"/>
            <w:shd w:val="clear" w:color="auto" w:fill="auto"/>
            <w:vAlign w:val="top"/>
          </w:tcPr>
          <w:p w14:paraId="4CE3DCDC">
            <w:pPr>
              <w:pStyle w:val="23"/>
              <w:rPr>
                <w:rFonts w:hint="default" w:ascii="Times New Roman" w:hAnsi="Times New Roman" w:eastAsia="SimSun" w:cs="Times New Roman"/>
                <w:color w:val="auto"/>
                <w:sz w:val="28"/>
                <w:szCs w:val="28"/>
                <w:lang w:val="en-GB" w:eastAsia="ru-RU" w:bidi="ar-SA"/>
              </w:rPr>
            </w:pPr>
            <w:r>
              <w:rPr>
                <w:rFonts w:hint="default" w:cs="Times New Roman"/>
                <w:color w:val="auto"/>
                <w:sz w:val="28"/>
                <w:szCs w:val="28"/>
                <w:lang w:val="kk-KZ"/>
              </w:rPr>
              <w:t>б</w:t>
            </w:r>
            <w:r>
              <w:rPr>
                <w:rFonts w:hint="default" w:ascii="Times New Roman" w:hAnsi="Times New Roman" w:cs="Times New Roman"/>
                <w:color w:val="auto"/>
                <w:sz w:val="28"/>
                <w:szCs w:val="28"/>
              </w:rPr>
              <w:t>ензол, толуол, этилбензол және ксилолдан тұратын ұшқыш ароматты көмірсутектер тобы</w:t>
            </w:r>
          </w:p>
        </w:tc>
      </w:tr>
      <w:tr w14:paraId="663078DB">
        <w:tblPrEx>
          <w:tblCellMar>
            <w:top w:w="0" w:type="dxa"/>
            <w:left w:w="108" w:type="dxa"/>
            <w:bottom w:w="0" w:type="dxa"/>
            <w:right w:w="108" w:type="dxa"/>
          </w:tblCellMar>
        </w:tblPrEx>
        <w:trPr>
          <w:jc w:val="center"/>
        </w:trPr>
        <w:tc>
          <w:tcPr>
            <w:tcW w:w="1807" w:type="dxa"/>
            <w:shd w:val="clear" w:color="auto" w:fill="auto"/>
            <w:vAlign w:val="top"/>
          </w:tcPr>
          <w:p w14:paraId="4250CC01">
            <w:pPr>
              <w:snapToGrid w:val="0"/>
              <w:spacing w:after="0"/>
              <w:rPr>
                <w:rFonts w:hint="default" w:ascii="Times New Roman" w:hAnsi="Times New Roman" w:eastAsia="SimSun" w:cs="Times New Roman"/>
                <w:color w:val="auto"/>
                <w:sz w:val="28"/>
                <w:szCs w:val="28"/>
                <w:lang w:val="kk-KZ" w:eastAsia="ru-RU" w:bidi="ar-SA"/>
              </w:rPr>
            </w:pPr>
            <w:r>
              <w:rPr>
                <w:rFonts w:hint="default" w:ascii="Times New Roman" w:hAnsi="Times New Roman" w:cs="Times New Roman"/>
                <w:color w:val="auto"/>
                <w:sz w:val="28"/>
                <w:szCs w:val="28"/>
                <w:lang w:val="kk-KZ"/>
              </w:rPr>
              <w:t>ПАК</w:t>
            </w:r>
          </w:p>
        </w:tc>
        <w:tc>
          <w:tcPr>
            <w:tcW w:w="6989" w:type="dxa"/>
            <w:shd w:val="clear" w:color="auto" w:fill="auto"/>
            <w:vAlign w:val="top"/>
          </w:tcPr>
          <w:p w14:paraId="63BCD812">
            <w:pPr>
              <w:pStyle w:val="23"/>
              <w:rPr>
                <w:rFonts w:hint="default" w:ascii="Times New Roman" w:hAnsi="Times New Roman" w:eastAsia="SimSun" w:cs="Times New Roman"/>
                <w:color w:val="auto"/>
                <w:sz w:val="28"/>
                <w:szCs w:val="28"/>
                <w:lang w:val="kk-KZ" w:eastAsia="ru-RU" w:bidi="ar-SA"/>
              </w:rPr>
            </w:pPr>
            <w:r>
              <w:rPr>
                <w:rFonts w:hint="default" w:cs="Times New Roman"/>
                <w:color w:val="auto"/>
                <w:sz w:val="28"/>
                <w:szCs w:val="28"/>
                <w:lang w:val="kk-KZ"/>
              </w:rPr>
              <w:t>п</w:t>
            </w:r>
            <w:r>
              <w:rPr>
                <w:rFonts w:hint="default" w:ascii="Times New Roman" w:hAnsi="Times New Roman" w:cs="Times New Roman"/>
                <w:color w:val="auto"/>
                <w:sz w:val="28"/>
                <w:szCs w:val="28"/>
              </w:rPr>
              <w:t>олициклді ароматты көмірсутектер</w:t>
            </w:r>
          </w:p>
        </w:tc>
      </w:tr>
      <w:tr w14:paraId="36598DB0">
        <w:tblPrEx>
          <w:tblCellMar>
            <w:top w:w="0" w:type="dxa"/>
            <w:left w:w="108" w:type="dxa"/>
            <w:bottom w:w="0" w:type="dxa"/>
            <w:right w:w="108" w:type="dxa"/>
          </w:tblCellMar>
        </w:tblPrEx>
        <w:trPr>
          <w:jc w:val="center"/>
        </w:trPr>
        <w:tc>
          <w:tcPr>
            <w:tcW w:w="1807" w:type="dxa"/>
            <w:shd w:val="clear" w:color="auto" w:fill="auto"/>
            <w:vAlign w:val="top"/>
          </w:tcPr>
          <w:p w14:paraId="4F3D7E5C">
            <w:pPr>
              <w:snapToGrid w:val="0"/>
              <w:spacing w:after="0"/>
              <w:rPr>
                <w:rFonts w:hint="default" w:ascii="Times New Roman" w:hAnsi="Times New Roman" w:eastAsia="SimSun" w:cs="Times New Roman"/>
                <w:color w:val="auto"/>
                <w:sz w:val="28"/>
                <w:szCs w:val="28"/>
                <w:lang w:val="kk-KZ" w:eastAsia="ru-RU" w:bidi="ar-SA"/>
              </w:rPr>
            </w:pPr>
            <w:r>
              <w:rPr>
                <w:rFonts w:hint="default" w:ascii="Times New Roman" w:hAnsi="Times New Roman" w:cs="Times New Roman"/>
                <w:color w:val="auto"/>
                <w:sz w:val="28"/>
                <w:szCs w:val="28"/>
                <w:lang w:val="kk-KZ"/>
              </w:rPr>
              <w:t>ҚҚ</w:t>
            </w:r>
          </w:p>
        </w:tc>
        <w:tc>
          <w:tcPr>
            <w:tcW w:w="6989" w:type="dxa"/>
            <w:shd w:val="clear" w:color="auto" w:fill="auto"/>
            <w:vAlign w:val="top"/>
          </w:tcPr>
          <w:p w14:paraId="00BE9222">
            <w:pPr>
              <w:pStyle w:val="23"/>
              <w:rPr>
                <w:rFonts w:hint="default" w:ascii="Times New Roman" w:hAnsi="Times New Roman" w:eastAsia="SimSun" w:cs="Times New Roman"/>
                <w:color w:val="auto"/>
                <w:sz w:val="28"/>
                <w:szCs w:val="28"/>
                <w:lang w:val="kk-KZ" w:eastAsia="ru-RU" w:bidi="ar-SA"/>
              </w:rPr>
            </w:pPr>
            <w:r>
              <w:rPr>
                <w:rFonts w:hint="default" w:cs="Times New Roman"/>
                <w:color w:val="auto"/>
                <w:sz w:val="28"/>
                <w:szCs w:val="28"/>
                <w:lang w:val="kk-KZ"/>
              </w:rPr>
              <w:t>қ</w:t>
            </w:r>
            <w:r>
              <w:rPr>
                <w:rFonts w:hint="default" w:ascii="Times New Roman" w:hAnsi="Times New Roman" w:cs="Times New Roman"/>
                <w:color w:val="auto"/>
                <w:sz w:val="28"/>
                <w:szCs w:val="28"/>
                <w:lang w:val="kk-KZ"/>
              </w:rPr>
              <w:t>арақұмық қауызы</w:t>
            </w:r>
          </w:p>
        </w:tc>
      </w:tr>
      <w:tr w14:paraId="153BEDEF">
        <w:tblPrEx>
          <w:tblCellMar>
            <w:top w:w="0" w:type="dxa"/>
            <w:left w:w="108" w:type="dxa"/>
            <w:bottom w:w="0" w:type="dxa"/>
            <w:right w:w="108" w:type="dxa"/>
          </w:tblCellMar>
        </w:tblPrEx>
        <w:trPr>
          <w:jc w:val="center"/>
        </w:trPr>
        <w:tc>
          <w:tcPr>
            <w:tcW w:w="1807" w:type="dxa"/>
            <w:shd w:val="clear" w:color="auto" w:fill="auto"/>
            <w:vAlign w:val="top"/>
          </w:tcPr>
          <w:p w14:paraId="3D0E860F">
            <w:pPr>
              <w:snapToGrid w:val="0"/>
              <w:spacing w:after="0"/>
              <w:rPr>
                <w:rFonts w:hint="default" w:ascii="Times New Roman" w:hAnsi="Times New Roman" w:eastAsia="SimSun" w:cs="Times New Roman"/>
                <w:color w:val="auto"/>
                <w:sz w:val="28"/>
                <w:szCs w:val="28"/>
                <w:lang w:val="kk-KZ" w:eastAsia="ru-RU" w:bidi="ar-SA"/>
              </w:rPr>
            </w:pPr>
            <w:r>
              <w:rPr>
                <w:rFonts w:hint="default" w:ascii="Times New Roman" w:hAnsi="Times New Roman" w:cs="Times New Roman"/>
                <w:color w:val="auto"/>
                <w:sz w:val="28"/>
                <w:szCs w:val="28"/>
                <w:lang w:val="kk-KZ"/>
              </w:rPr>
              <w:t>КҚ</w:t>
            </w:r>
          </w:p>
        </w:tc>
        <w:tc>
          <w:tcPr>
            <w:tcW w:w="6989" w:type="dxa"/>
            <w:shd w:val="clear" w:color="auto" w:fill="auto"/>
            <w:vAlign w:val="top"/>
          </w:tcPr>
          <w:p w14:paraId="2489CE98">
            <w:pPr>
              <w:pStyle w:val="23"/>
              <w:rPr>
                <w:rFonts w:hint="default" w:ascii="Times New Roman" w:hAnsi="Times New Roman" w:eastAsia="SimSun" w:cs="Times New Roman"/>
                <w:color w:val="auto"/>
                <w:sz w:val="28"/>
                <w:szCs w:val="28"/>
                <w:lang w:val="kk-KZ" w:eastAsia="ru-RU" w:bidi="ar-SA"/>
              </w:rPr>
            </w:pPr>
            <w:r>
              <w:rPr>
                <w:rFonts w:hint="default" w:cs="Times New Roman"/>
                <w:color w:val="auto"/>
                <w:sz w:val="28"/>
                <w:szCs w:val="28"/>
                <w:lang w:val="kk-KZ"/>
              </w:rPr>
              <w:t>к</w:t>
            </w:r>
            <w:r>
              <w:rPr>
                <w:rFonts w:hint="default" w:ascii="Times New Roman" w:hAnsi="Times New Roman" w:cs="Times New Roman"/>
                <w:color w:val="auto"/>
                <w:sz w:val="28"/>
                <w:szCs w:val="28"/>
                <w:lang w:val="kk-KZ"/>
              </w:rPr>
              <w:t>үріш қауызы</w:t>
            </w:r>
          </w:p>
        </w:tc>
      </w:tr>
      <w:tr w14:paraId="00A03968">
        <w:tblPrEx>
          <w:tblCellMar>
            <w:top w:w="0" w:type="dxa"/>
            <w:left w:w="108" w:type="dxa"/>
            <w:bottom w:w="0" w:type="dxa"/>
            <w:right w:w="108" w:type="dxa"/>
          </w:tblCellMar>
        </w:tblPrEx>
        <w:trPr>
          <w:jc w:val="center"/>
        </w:trPr>
        <w:tc>
          <w:tcPr>
            <w:tcW w:w="1807" w:type="dxa"/>
            <w:shd w:val="clear" w:color="auto" w:fill="auto"/>
            <w:vAlign w:val="top"/>
          </w:tcPr>
          <w:p w14:paraId="17F3A619">
            <w:pPr>
              <w:snapToGrid w:val="0"/>
              <w:spacing w:after="0"/>
              <w:rPr>
                <w:rFonts w:hint="default" w:ascii="Times New Roman" w:hAnsi="Times New Roman" w:cs="Times New Roman"/>
                <w:color w:val="auto"/>
                <w:sz w:val="28"/>
                <w:szCs w:val="28"/>
                <w:lang w:val="kk-KZ"/>
              </w:rPr>
            </w:pPr>
            <w:r>
              <w:rPr>
                <w:rFonts w:hint="default" w:ascii="Times New Roman" w:hAnsi="Times New Roman" w:cs="Times New Roman"/>
                <w:color w:val="auto"/>
                <w:sz w:val="28"/>
                <w:szCs w:val="28"/>
              </w:rPr>
              <w:t>с.е.</w:t>
            </w:r>
          </w:p>
        </w:tc>
        <w:tc>
          <w:tcPr>
            <w:tcW w:w="6989" w:type="dxa"/>
            <w:shd w:val="clear" w:color="auto" w:fill="auto"/>
            <w:vAlign w:val="top"/>
          </w:tcPr>
          <w:p w14:paraId="1674BA49">
            <w:pPr>
              <w:pStyle w:val="23"/>
              <w:rPr>
                <w:rFonts w:hint="default" w:cs="Times New Roman"/>
                <w:color w:val="auto"/>
                <w:sz w:val="28"/>
                <w:szCs w:val="28"/>
                <w:lang w:val="kk-KZ"/>
              </w:rPr>
            </w:pPr>
            <w:r>
              <w:rPr>
                <w:rFonts w:hint="default" w:cs="Times New Roman"/>
                <w:color w:val="auto"/>
                <w:sz w:val="28"/>
                <w:szCs w:val="28"/>
                <w:lang w:val="kk-KZ"/>
              </w:rPr>
              <w:t>с</w:t>
            </w:r>
            <w:r>
              <w:rPr>
                <w:rFonts w:hint="default" w:ascii="Times New Roman" w:hAnsi="Times New Roman" w:cs="Times New Roman"/>
                <w:color w:val="auto"/>
                <w:sz w:val="28"/>
                <w:szCs w:val="28"/>
              </w:rPr>
              <w:t>олтүстік ендік</w:t>
            </w:r>
          </w:p>
        </w:tc>
      </w:tr>
      <w:tr w14:paraId="48B66EE4">
        <w:tblPrEx>
          <w:tblCellMar>
            <w:top w:w="0" w:type="dxa"/>
            <w:left w:w="108" w:type="dxa"/>
            <w:bottom w:w="0" w:type="dxa"/>
            <w:right w:w="108" w:type="dxa"/>
          </w:tblCellMar>
        </w:tblPrEx>
        <w:trPr>
          <w:jc w:val="center"/>
        </w:trPr>
        <w:tc>
          <w:tcPr>
            <w:tcW w:w="1807" w:type="dxa"/>
          </w:tcPr>
          <w:p w14:paraId="674A563F">
            <w:pPr>
              <w:snapToGrid w:val="0"/>
              <w:spacing w:after="0"/>
              <w:rPr>
                <w:rFonts w:hint="default" w:ascii="Times New Roman" w:hAnsi="Times New Roman" w:cs="Times New Roman"/>
                <w:color w:val="auto"/>
                <w:sz w:val="28"/>
                <w:szCs w:val="28"/>
              </w:rPr>
            </w:pPr>
            <w:r>
              <w:rPr>
                <w:rFonts w:hint="default" w:ascii="Times New Roman" w:hAnsi="Times New Roman" w:cs="Times New Roman"/>
                <w:color w:val="auto"/>
                <w:sz w:val="28"/>
                <w:szCs w:val="28"/>
              </w:rPr>
              <w:t>ш.б.</w:t>
            </w:r>
          </w:p>
        </w:tc>
        <w:tc>
          <w:tcPr>
            <w:tcW w:w="6989" w:type="dxa"/>
          </w:tcPr>
          <w:p w14:paraId="51EB3F99">
            <w:pPr>
              <w:pStyle w:val="23"/>
              <w:rPr>
                <w:rFonts w:hint="default" w:ascii="Times New Roman" w:hAnsi="Times New Roman" w:cs="Times New Roman"/>
                <w:color w:val="auto"/>
                <w:sz w:val="28"/>
                <w:szCs w:val="28"/>
                <w:lang w:val="kk-KZ"/>
              </w:rPr>
            </w:pPr>
            <w:r>
              <w:rPr>
                <w:rFonts w:hint="default" w:ascii="Times New Roman" w:hAnsi="Times New Roman" w:cs="Times New Roman"/>
                <w:color w:val="auto"/>
                <w:sz w:val="28"/>
                <w:szCs w:val="28"/>
              </w:rPr>
              <w:t>шығыс бойлық</w:t>
            </w:r>
          </w:p>
        </w:tc>
      </w:tr>
      <w:tr w14:paraId="49813FD0">
        <w:tblPrEx>
          <w:tblCellMar>
            <w:top w:w="0" w:type="dxa"/>
            <w:left w:w="108" w:type="dxa"/>
            <w:bottom w:w="0" w:type="dxa"/>
            <w:right w:w="108" w:type="dxa"/>
          </w:tblCellMar>
        </w:tblPrEx>
        <w:trPr>
          <w:jc w:val="center"/>
        </w:trPr>
        <w:tc>
          <w:tcPr>
            <w:tcW w:w="1807" w:type="dxa"/>
            <w:shd w:val="clear" w:color="auto" w:fill="auto"/>
            <w:vAlign w:val="top"/>
          </w:tcPr>
          <w:p w14:paraId="1F31C5F2">
            <w:pPr>
              <w:snapToGrid w:val="0"/>
              <w:spacing w:after="0"/>
              <w:rPr>
                <w:rFonts w:hint="default" w:ascii="Times New Roman" w:hAnsi="Times New Roman" w:eastAsia="SimSun" w:cs="Times New Roman"/>
                <w:color w:val="auto"/>
                <w:sz w:val="28"/>
                <w:szCs w:val="28"/>
                <w:lang w:val="kk-KZ" w:eastAsia="ru-RU" w:bidi="ar-SA"/>
              </w:rPr>
            </w:pPr>
            <w:r>
              <w:rPr>
                <w:rFonts w:hint="default" w:ascii="Times New Roman" w:hAnsi="Times New Roman" w:eastAsia="SimSun" w:cs="Times New Roman"/>
                <w:color w:val="auto"/>
                <w:sz w:val="28"/>
                <w:szCs w:val="28"/>
              </w:rPr>
              <w:t>КТБ/г</w:t>
            </w:r>
          </w:p>
        </w:tc>
        <w:tc>
          <w:tcPr>
            <w:tcW w:w="6989" w:type="dxa"/>
            <w:shd w:val="clear" w:color="auto" w:fill="auto"/>
            <w:vAlign w:val="top"/>
          </w:tcPr>
          <w:p w14:paraId="0B49A8C1">
            <w:pPr>
              <w:pStyle w:val="23"/>
              <w:rPr>
                <w:rFonts w:hint="default" w:ascii="Times New Roman" w:hAnsi="Times New Roman" w:eastAsia="SimSun" w:cs="Times New Roman"/>
                <w:color w:val="auto"/>
                <w:sz w:val="28"/>
                <w:szCs w:val="28"/>
                <w:lang w:val="kk-KZ" w:eastAsia="ru-RU" w:bidi="ar-SA"/>
              </w:rPr>
            </w:pPr>
            <w:r>
              <w:rPr>
                <w:rFonts w:hint="default" w:ascii="Times New Roman" w:hAnsi="Times New Roman" w:eastAsia="SimSun" w:cs="Times New Roman"/>
                <w:color w:val="auto"/>
                <w:sz w:val="28"/>
                <w:szCs w:val="28"/>
              </w:rPr>
              <w:t>колония түзуші бірлік/грамм</w:t>
            </w:r>
          </w:p>
        </w:tc>
      </w:tr>
      <w:tr w14:paraId="27CC9BF2">
        <w:tblPrEx>
          <w:tblCellMar>
            <w:top w:w="0" w:type="dxa"/>
            <w:left w:w="108" w:type="dxa"/>
            <w:bottom w:w="0" w:type="dxa"/>
            <w:right w:w="108" w:type="dxa"/>
          </w:tblCellMar>
        </w:tblPrEx>
        <w:trPr>
          <w:jc w:val="center"/>
        </w:trPr>
        <w:tc>
          <w:tcPr>
            <w:tcW w:w="1807" w:type="dxa"/>
            <w:shd w:val="clear" w:color="auto" w:fill="auto"/>
            <w:vAlign w:val="top"/>
          </w:tcPr>
          <w:p w14:paraId="7ADBE0E9">
            <w:pPr>
              <w:snapToGrid w:val="0"/>
              <w:spacing w:after="0"/>
              <w:rPr>
                <w:rFonts w:hint="default" w:ascii="Times New Roman" w:hAnsi="Times New Roman" w:eastAsia="SimSun" w:cs="Times New Roman"/>
                <w:color w:val="auto"/>
                <w:sz w:val="28"/>
                <w:szCs w:val="28"/>
                <w:highlight w:val="yellow"/>
                <w:lang w:val="ru-RU" w:eastAsia="ru-RU" w:bidi="ar-SA"/>
              </w:rPr>
            </w:pPr>
            <w:r>
              <w:rPr>
                <w:rFonts w:hint="default" w:ascii="Times New Roman" w:hAnsi="Times New Roman" w:eastAsia="SimSun" w:cs="Times New Roman"/>
                <w:color w:val="auto"/>
                <w:sz w:val="28"/>
                <w:szCs w:val="28"/>
              </w:rPr>
              <w:t>Lg</w:t>
            </w:r>
            <w:r>
              <w:rPr>
                <w:rFonts w:hint="default" w:ascii="Times New Roman" w:hAnsi="Times New Roman" w:cs="Times New Roman"/>
                <w:color w:val="auto"/>
                <w:sz w:val="28"/>
                <w:szCs w:val="28"/>
                <w:lang w:val="kk-KZ"/>
              </w:rPr>
              <w:t xml:space="preserve"> </w:t>
            </w:r>
            <w:r>
              <w:rPr>
                <w:rFonts w:hint="default" w:ascii="Times New Roman" w:hAnsi="Times New Roman" w:eastAsia="SimSun" w:cs="Times New Roman"/>
                <w:color w:val="auto"/>
                <w:sz w:val="28"/>
                <w:szCs w:val="28"/>
              </w:rPr>
              <w:t>КТБ/г</w:t>
            </w:r>
          </w:p>
        </w:tc>
        <w:tc>
          <w:tcPr>
            <w:tcW w:w="6989" w:type="dxa"/>
            <w:shd w:val="clear" w:color="auto" w:fill="auto"/>
            <w:vAlign w:val="top"/>
          </w:tcPr>
          <w:p w14:paraId="6C8D017F">
            <w:pPr>
              <w:snapToGrid w:val="0"/>
              <w:spacing w:after="0"/>
              <w:rPr>
                <w:rFonts w:hint="default" w:ascii="Times New Roman" w:hAnsi="Times New Roman" w:eastAsia="Calibri" w:cs="Times New Roman"/>
                <w:color w:val="auto"/>
                <w:sz w:val="28"/>
                <w:szCs w:val="28"/>
                <w:highlight w:val="yellow"/>
                <w:lang w:val="kk-KZ" w:eastAsia="en-US" w:bidi="ar-SA"/>
              </w:rPr>
            </w:pPr>
            <w:r>
              <w:rPr>
                <w:rFonts w:hint="default" w:ascii="Times New Roman" w:hAnsi="Times New Roman" w:eastAsia="SimSun" w:cs="Times New Roman"/>
                <w:color w:val="auto"/>
                <w:sz w:val="28"/>
                <w:szCs w:val="28"/>
              </w:rPr>
              <w:t>колония түзуші бірлік логарифмі/грамм</w:t>
            </w:r>
          </w:p>
        </w:tc>
      </w:tr>
      <w:tr w14:paraId="707AA306">
        <w:tblPrEx>
          <w:tblCellMar>
            <w:top w:w="0" w:type="dxa"/>
            <w:left w:w="108" w:type="dxa"/>
            <w:bottom w:w="0" w:type="dxa"/>
            <w:right w:w="108" w:type="dxa"/>
          </w:tblCellMar>
        </w:tblPrEx>
        <w:trPr>
          <w:jc w:val="center"/>
        </w:trPr>
        <w:tc>
          <w:tcPr>
            <w:tcW w:w="1807" w:type="dxa"/>
            <w:shd w:val="clear" w:color="auto" w:fill="auto"/>
            <w:vAlign w:val="top"/>
          </w:tcPr>
          <w:p w14:paraId="50D3546E">
            <w:pPr>
              <w:snapToGrid w:val="0"/>
              <w:spacing w:after="0"/>
              <w:rPr>
                <w:rFonts w:hint="default" w:ascii="Times New Roman" w:hAnsi="Times New Roman" w:eastAsia="SimSun" w:cs="Times New Roman"/>
                <w:color w:val="auto"/>
                <w:sz w:val="28"/>
                <w:szCs w:val="28"/>
                <w:lang w:val="kk-KZ" w:eastAsia="ru-RU" w:bidi="ar-SA"/>
              </w:rPr>
            </w:pPr>
            <w:r>
              <w:rPr>
                <w:rFonts w:hint="default" w:ascii="Times New Roman" w:hAnsi="Times New Roman" w:eastAsia="SimSun" w:cs="Times New Roman"/>
                <w:color w:val="auto"/>
                <w:sz w:val="28"/>
                <w:szCs w:val="28"/>
              </w:rPr>
              <w:t>м²/г</w:t>
            </w:r>
          </w:p>
        </w:tc>
        <w:tc>
          <w:tcPr>
            <w:tcW w:w="6989" w:type="dxa"/>
            <w:shd w:val="clear" w:color="auto" w:fill="auto"/>
            <w:vAlign w:val="top"/>
          </w:tcPr>
          <w:p w14:paraId="0586608C">
            <w:pPr>
              <w:snapToGrid w:val="0"/>
              <w:spacing w:after="0"/>
              <w:rPr>
                <w:rFonts w:hint="default" w:ascii="Times New Roman" w:hAnsi="Times New Roman" w:eastAsia="SimSun" w:cs="Times New Roman"/>
                <w:color w:val="auto"/>
                <w:sz w:val="28"/>
                <w:szCs w:val="28"/>
                <w:lang w:val="kk-KZ" w:eastAsia="ru-RU" w:bidi="ar-SA"/>
              </w:rPr>
            </w:pPr>
            <w:r>
              <w:rPr>
                <w:rFonts w:hint="default" w:ascii="Times New Roman" w:hAnsi="Times New Roman" w:eastAsia="SimSun" w:cs="Times New Roman"/>
                <w:color w:val="auto"/>
                <w:sz w:val="28"/>
                <w:szCs w:val="28"/>
              </w:rPr>
              <w:t>шаршы метр/грамм (меншікті бет ауданы)</w:t>
            </w:r>
          </w:p>
        </w:tc>
      </w:tr>
      <w:tr w14:paraId="01F50D34">
        <w:tblPrEx>
          <w:tblCellMar>
            <w:top w:w="0" w:type="dxa"/>
            <w:left w:w="108" w:type="dxa"/>
            <w:bottom w:w="0" w:type="dxa"/>
            <w:right w:w="108" w:type="dxa"/>
          </w:tblCellMar>
        </w:tblPrEx>
        <w:trPr>
          <w:jc w:val="center"/>
        </w:trPr>
        <w:tc>
          <w:tcPr>
            <w:tcW w:w="1807" w:type="dxa"/>
            <w:shd w:val="clear" w:color="auto" w:fill="auto"/>
            <w:vAlign w:val="top"/>
          </w:tcPr>
          <w:p w14:paraId="316FF6A5">
            <w:pPr>
              <w:snapToGrid w:val="0"/>
              <w:spacing w:after="0"/>
              <w:rPr>
                <w:rFonts w:hint="default" w:ascii="Times New Roman" w:hAnsi="Times New Roman" w:eastAsia="SimSun" w:cs="Times New Roman"/>
                <w:color w:val="auto"/>
                <w:sz w:val="28"/>
                <w:szCs w:val="28"/>
                <w:lang w:val="kk-KZ" w:eastAsia="ru-RU" w:bidi="ar-SA"/>
              </w:rPr>
            </w:pPr>
            <w:r>
              <w:rPr>
                <w:rFonts w:hint="default" w:ascii="Times New Roman" w:hAnsi="Times New Roman" w:eastAsia="SimSun" w:cs="Times New Roman"/>
                <w:color w:val="auto"/>
                <w:sz w:val="28"/>
                <w:szCs w:val="28"/>
              </w:rPr>
              <w:t>см⁻¹</w:t>
            </w:r>
          </w:p>
        </w:tc>
        <w:tc>
          <w:tcPr>
            <w:tcW w:w="6989" w:type="dxa"/>
            <w:shd w:val="clear" w:color="auto" w:fill="auto"/>
            <w:vAlign w:val="top"/>
          </w:tcPr>
          <w:p w14:paraId="1464D281">
            <w:pPr>
              <w:snapToGrid w:val="0"/>
              <w:spacing w:after="0"/>
              <w:rPr>
                <w:rFonts w:hint="default" w:ascii="Times New Roman" w:hAnsi="Times New Roman" w:eastAsia="SimSun" w:cs="Times New Roman"/>
                <w:color w:val="auto"/>
                <w:sz w:val="28"/>
                <w:szCs w:val="28"/>
                <w:lang w:val="kk-KZ" w:eastAsia="ru-RU" w:bidi="ar-SA"/>
              </w:rPr>
            </w:pPr>
            <w:r>
              <w:rPr>
                <w:rFonts w:hint="default" w:ascii="Times New Roman" w:hAnsi="Times New Roman" w:eastAsia="SimSun" w:cs="Times New Roman"/>
                <w:color w:val="auto"/>
                <w:sz w:val="28"/>
                <w:szCs w:val="28"/>
              </w:rPr>
              <w:t>сантиметрге кері (толқын саны)</w:t>
            </w:r>
          </w:p>
        </w:tc>
      </w:tr>
      <w:tr w14:paraId="2983C575">
        <w:tblPrEx>
          <w:tblCellMar>
            <w:top w:w="0" w:type="dxa"/>
            <w:left w:w="108" w:type="dxa"/>
            <w:bottom w:w="0" w:type="dxa"/>
            <w:right w:w="108" w:type="dxa"/>
          </w:tblCellMar>
        </w:tblPrEx>
        <w:trPr>
          <w:jc w:val="center"/>
        </w:trPr>
        <w:tc>
          <w:tcPr>
            <w:tcW w:w="1807" w:type="dxa"/>
            <w:shd w:val="clear" w:color="auto" w:fill="auto"/>
            <w:vAlign w:val="top"/>
          </w:tcPr>
          <w:p w14:paraId="4DFED3EA">
            <w:pPr>
              <w:snapToGrid w:val="0"/>
              <w:spacing w:after="0"/>
              <w:rPr>
                <w:rFonts w:hint="default" w:ascii="Times New Roman" w:hAnsi="Times New Roman" w:eastAsia="SimSun" w:cs="Times New Roman"/>
                <w:color w:val="auto"/>
                <w:sz w:val="28"/>
                <w:szCs w:val="28"/>
                <w:highlight w:val="yellow"/>
                <w:lang w:val="ru-RU" w:eastAsia="ru-RU" w:bidi="ar-SA"/>
              </w:rPr>
            </w:pPr>
            <w:r>
              <w:rPr>
                <w:rFonts w:hint="default" w:ascii="Times New Roman" w:hAnsi="Times New Roman" w:eastAsia="SimSun" w:cs="Times New Roman"/>
                <w:color w:val="auto"/>
                <w:sz w:val="28"/>
                <w:szCs w:val="28"/>
              </w:rPr>
              <w:t>мл О₂·г⁻¹</w:t>
            </w:r>
          </w:p>
        </w:tc>
        <w:tc>
          <w:tcPr>
            <w:tcW w:w="6989" w:type="dxa"/>
            <w:shd w:val="clear" w:color="auto" w:fill="auto"/>
            <w:vAlign w:val="top"/>
          </w:tcPr>
          <w:p w14:paraId="78B222E2">
            <w:pPr>
              <w:snapToGrid w:val="0"/>
              <w:spacing w:after="0"/>
              <w:rPr>
                <w:rFonts w:hint="default" w:ascii="Times New Roman" w:hAnsi="Times New Roman" w:eastAsia="Calibri" w:cs="Times New Roman"/>
                <w:color w:val="auto"/>
                <w:sz w:val="28"/>
                <w:szCs w:val="28"/>
                <w:highlight w:val="yellow"/>
                <w:lang w:val="ru-RU" w:eastAsia="en-US" w:bidi="ar-SA"/>
              </w:rPr>
            </w:pPr>
            <w:r>
              <w:rPr>
                <w:rFonts w:hint="default" w:ascii="Times New Roman" w:hAnsi="Times New Roman" w:eastAsia="SimSun" w:cs="Times New Roman"/>
                <w:color w:val="auto"/>
                <w:sz w:val="28"/>
                <w:szCs w:val="28"/>
              </w:rPr>
              <w:t>миллилитр оттегі/грамм</w:t>
            </w:r>
          </w:p>
        </w:tc>
      </w:tr>
      <w:tr w14:paraId="3B6EAA48">
        <w:tblPrEx>
          <w:tblCellMar>
            <w:top w:w="0" w:type="dxa"/>
            <w:left w:w="108" w:type="dxa"/>
            <w:bottom w:w="0" w:type="dxa"/>
            <w:right w:w="108" w:type="dxa"/>
          </w:tblCellMar>
        </w:tblPrEx>
        <w:trPr>
          <w:jc w:val="center"/>
        </w:trPr>
        <w:tc>
          <w:tcPr>
            <w:tcW w:w="1807" w:type="dxa"/>
            <w:shd w:val="clear" w:color="auto" w:fill="auto"/>
            <w:vAlign w:val="top"/>
          </w:tcPr>
          <w:p w14:paraId="34198B69">
            <w:pPr>
              <w:snapToGrid w:val="0"/>
              <w:spacing w:after="0"/>
              <w:rPr>
                <w:rFonts w:hint="default" w:ascii="Times New Roman" w:hAnsi="Times New Roman" w:eastAsia="SimSun" w:cs="Times New Roman"/>
                <w:color w:val="auto"/>
                <w:sz w:val="28"/>
                <w:szCs w:val="28"/>
                <w:highlight w:val="yellow"/>
                <w:lang w:val="kk-KZ" w:eastAsia="ru-RU" w:bidi="ar-SA"/>
              </w:rPr>
            </w:pPr>
            <w:r>
              <w:rPr>
                <w:rFonts w:hint="default" w:ascii="Times New Roman" w:hAnsi="Times New Roman" w:eastAsia="SimSun" w:cs="Times New Roman"/>
                <w:color w:val="auto"/>
                <w:sz w:val="28"/>
                <w:szCs w:val="28"/>
              </w:rPr>
              <w:t>г⁻¹·сағ⁻¹</w:t>
            </w:r>
          </w:p>
        </w:tc>
        <w:tc>
          <w:tcPr>
            <w:tcW w:w="6989" w:type="dxa"/>
            <w:shd w:val="clear" w:color="auto" w:fill="auto"/>
            <w:vAlign w:val="top"/>
          </w:tcPr>
          <w:p w14:paraId="187CFD48">
            <w:pPr>
              <w:snapToGrid w:val="0"/>
              <w:spacing w:after="0"/>
              <w:rPr>
                <w:rFonts w:hint="default" w:ascii="Times New Roman" w:hAnsi="Times New Roman" w:eastAsia="Calibri" w:cs="Times New Roman"/>
                <w:color w:val="auto"/>
                <w:sz w:val="28"/>
                <w:szCs w:val="28"/>
                <w:highlight w:val="yellow"/>
                <w:lang w:val="kk-KZ" w:eastAsia="en-US" w:bidi="ar-SA"/>
              </w:rPr>
            </w:pPr>
            <w:r>
              <w:rPr>
                <w:rFonts w:hint="default" w:ascii="Times New Roman" w:hAnsi="Times New Roman" w:eastAsia="SimSun" w:cs="Times New Roman"/>
                <w:color w:val="auto"/>
                <w:sz w:val="28"/>
                <w:szCs w:val="28"/>
              </w:rPr>
              <w:t>грамм/сағат (меншікті белсенділік бірлігі)</w:t>
            </w:r>
          </w:p>
        </w:tc>
      </w:tr>
      <w:tr w14:paraId="4D56B96A">
        <w:tblPrEx>
          <w:tblCellMar>
            <w:top w:w="0" w:type="dxa"/>
            <w:left w:w="108" w:type="dxa"/>
            <w:bottom w:w="0" w:type="dxa"/>
            <w:right w:w="108" w:type="dxa"/>
          </w:tblCellMar>
        </w:tblPrEx>
        <w:trPr>
          <w:jc w:val="center"/>
        </w:trPr>
        <w:tc>
          <w:tcPr>
            <w:tcW w:w="1807" w:type="dxa"/>
            <w:shd w:val="clear" w:color="auto" w:fill="auto"/>
            <w:vAlign w:val="top"/>
          </w:tcPr>
          <w:p w14:paraId="03DB6050">
            <w:pPr>
              <w:snapToGrid w:val="0"/>
              <w:spacing w:after="0"/>
              <w:rPr>
                <w:rFonts w:hint="default" w:ascii="Times New Roman" w:hAnsi="Times New Roman" w:eastAsia="SimSun" w:cs="Times New Roman"/>
                <w:color w:val="auto"/>
                <w:sz w:val="28"/>
                <w:szCs w:val="28"/>
                <w:lang w:val="kk-KZ" w:eastAsia="ru-RU" w:bidi="ar-SA"/>
              </w:rPr>
            </w:pPr>
            <w:r>
              <w:rPr>
                <w:rFonts w:hint="default" w:ascii="Times New Roman" w:hAnsi="Times New Roman" w:eastAsia="SimSun" w:cs="Times New Roman"/>
                <w:color w:val="auto"/>
                <w:sz w:val="28"/>
                <w:szCs w:val="28"/>
              </w:rPr>
              <w:t>мм/жыл</w:t>
            </w:r>
          </w:p>
        </w:tc>
        <w:tc>
          <w:tcPr>
            <w:tcW w:w="6989" w:type="dxa"/>
            <w:shd w:val="clear" w:color="auto" w:fill="auto"/>
            <w:vAlign w:val="top"/>
          </w:tcPr>
          <w:p w14:paraId="4446734A">
            <w:pPr>
              <w:snapToGrid w:val="0"/>
              <w:spacing w:after="0"/>
              <w:rPr>
                <w:rFonts w:hint="default" w:ascii="Times New Roman" w:hAnsi="Times New Roman" w:eastAsia="SimSun" w:cs="Times New Roman"/>
                <w:color w:val="auto"/>
                <w:sz w:val="28"/>
                <w:szCs w:val="28"/>
                <w:lang w:val="kk-KZ" w:eastAsia="ru-RU" w:bidi="ar-SA"/>
              </w:rPr>
            </w:pPr>
            <w:r>
              <w:rPr>
                <w:rFonts w:hint="default" w:ascii="Times New Roman" w:hAnsi="Times New Roman" w:eastAsia="SimSun" w:cs="Times New Roman"/>
                <w:color w:val="auto"/>
                <w:sz w:val="28"/>
                <w:szCs w:val="28"/>
              </w:rPr>
              <w:t>миллиметр/жыл</w:t>
            </w:r>
          </w:p>
        </w:tc>
      </w:tr>
    </w:tbl>
    <w:p w14:paraId="277B2191">
      <w:pPr>
        <w:rPr>
          <w:color w:val="auto"/>
          <w:szCs w:val="28"/>
        </w:rPr>
        <w:sectPr>
          <w:footerReference r:id="rId6" w:type="first"/>
          <w:headerReference r:id="rId4" w:type="default"/>
          <w:footerReference r:id="rId5" w:type="default"/>
          <w:pgSz w:w="11906" w:h="16838"/>
          <w:pgMar w:top="1134" w:right="850" w:bottom="1134" w:left="1701" w:header="0" w:footer="709" w:gutter="0"/>
          <w:pgBorders>
            <w:top w:val="none" w:sz="0" w:space="0"/>
            <w:left w:val="none" w:sz="0" w:space="0"/>
            <w:bottom w:val="none" w:sz="0" w:space="0"/>
            <w:right w:val="none" w:sz="0" w:space="0"/>
          </w:pgBorders>
          <w:cols w:space="0" w:num="1"/>
          <w:formProt w:val="0"/>
          <w:titlePg/>
          <w:docGrid w:linePitch="360" w:charSpace="0"/>
        </w:sectPr>
      </w:pPr>
    </w:p>
    <w:p w14:paraId="50D4C6A6">
      <w:pPr>
        <w:pStyle w:val="308"/>
        <w:spacing w:before="0"/>
        <w:rPr>
          <w:color w:val="auto"/>
        </w:rPr>
      </w:pPr>
      <w:r>
        <w:rPr>
          <w:color w:val="auto"/>
        </w:rPr>
        <w:t>КІРІСПЕ</w:t>
      </w:r>
    </w:p>
    <w:p w14:paraId="163BAD2F">
      <w:pPr>
        <w:spacing w:after="0"/>
        <w:jc w:val="center"/>
        <w:rPr>
          <w:color w:val="auto"/>
          <w:szCs w:val="28"/>
        </w:rPr>
      </w:pPr>
    </w:p>
    <w:p w14:paraId="2F798AAC">
      <w:pPr>
        <w:pStyle w:val="301"/>
        <w:adjustRightInd w:val="0"/>
        <w:spacing w:before="0" w:after="0"/>
        <w:ind w:firstLine="709"/>
        <w:rPr>
          <w:color w:val="auto"/>
          <w:sz w:val="28"/>
          <w:szCs w:val="28"/>
        </w:rPr>
      </w:pPr>
      <w:r>
        <w:rPr>
          <w:b/>
          <w:color w:val="auto"/>
          <w:sz w:val="28"/>
          <w:szCs w:val="28"/>
          <w:lang w:val="kk-KZ"/>
        </w:rPr>
        <w:t>Зерттеу тақырыбының өзектілігі</w:t>
      </w:r>
      <w:r>
        <w:rPr>
          <w:b/>
          <w:color w:val="auto"/>
          <w:sz w:val="28"/>
          <w:szCs w:val="28"/>
        </w:rPr>
        <w:t>.</w:t>
      </w:r>
      <w:r>
        <w:rPr>
          <w:i/>
          <w:color w:val="auto"/>
          <w:sz w:val="28"/>
          <w:szCs w:val="28"/>
        </w:rPr>
        <w:t xml:space="preserve"> </w:t>
      </w:r>
      <w:r>
        <w:rPr>
          <w:color w:val="auto"/>
          <w:sz w:val="28"/>
          <w:szCs w:val="28"/>
        </w:rPr>
        <w:t>Қазақстан Республикасы 2050 жылға қарай заманауи экономикасы бар әлемнің ең дамыған 30 елінің қатарына кіруді көздейді [1]. Аталған стратегиялық мақсатқа жету "жасыл экономикаға" көшусіз мүмкін емес. 2013 жылы қабылданған Қазақстан Республикасының "жасыл экономикаға" көшу жөніндегі тұжырымдамасы елде "жасыл өсуді" бастамалау үшін негізгі құжат болып табылады [2]. Бұл стратегия ресурстарды тиімді пайдалана отырып, төмен көміртекті тұрақты экономикаға көшудің жаңа мүмкіндіктері мен әдістерін сипаттайды.</w:t>
      </w:r>
    </w:p>
    <w:p w14:paraId="6E131A8F">
      <w:pPr>
        <w:pStyle w:val="301"/>
        <w:adjustRightInd w:val="0"/>
        <w:spacing w:before="0" w:after="0"/>
        <w:ind w:firstLine="709"/>
        <w:rPr>
          <w:color w:val="auto"/>
          <w:sz w:val="28"/>
          <w:szCs w:val="28"/>
        </w:rPr>
      </w:pPr>
      <w:r>
        <w:rPr>
          <w:color w:val="auto"/>
          <w:sz w:val="28"/>
          <w:szCs w:val="28"/>
        </w:rPr>
        <w:t>Қазақстан Республикасы келесі негізгі салаларда іс-шаралар кешенін іске асыру арқылы "жасыл экономикаға" көше алады: су ресурстарын басқару, ауыл шаруашылығы, қалдықтарды утилизациялау, электр энергетикасы, энергия тиімділігі және ауа ластануын төмендету. Аталған бағыттардың ішінде өндірістік қалдықтарды тиімді басқару, ластанған аумақтарды қалпына келтіру және экожүйелерді қорғау басым міндеттер ретінде белгіленген.</w:t>
      </w:r>
    </w:p>
    <w:p w14:paraId="4208D9A6">
      <w:pPr>
        <w:pStyle w:val="301"/>
        <w:adjustRightInd w:val="0"/>
        <w:spacing w:before="0" w:after="0"/>
        <w:ind w:firstLine="709"/>
        <w:rPr>
          <w:color w:val="auto"/>
          <w:sz w:val="28"/>
          <w:szCs w:val="28"/>
        </w:rPr>
      </w:pPr>
      <w:r>
        <w:rPr>
          <w:color w:val="auto"/>
          <w:sz w:val="28"/>
          <w:szCs w:val="28"/>
        </w:rPr>
        <w:t>Қазақстан Республикасының экономикасында мұнай-газ секторы жетекші орын алады және мемлекеттік бюджетке қомақты түсімдер әкеледі. Дегенмен көмірсутегі шикізатын қарқынды өндіру топырақ ресурстарының кең ауқымды антропогендік ластануына әкеп соғады. Қазіргі уақытта республикада 4,3 миллион гектардан астам бұзылған жер анықталған, оның ішінде 0,6 миллион гектары мұнаймен ластанған аумақты құрайды [3].</w:t>
      </w:r>
    </w:p>
    <w:p w14:paraId="5A2928BD">
      <w:pPr>
        <w:pStyle w:val="301"/>
        <w:adjustRightInd w:val="0"/>
        <w:spacing w:before="0" w:after="0"/>
        <w:ind w:firstLine="709"/>
        <w:rPr>
          <w:color w:val="auto"/>
          <w:sz w:val="28"/>
          <w:szCs w:val="28"/>
        </w:rPr>
      </w:pPr>
      <w:r>
        <w:rPr>
          <w:color w:val="auto"/>
          <w:sz w:val="28"/>
          <w:szCs w:val="28"/>
        </w:rPr>
        <w:t>Ресми статистикалық деректер бойынша, Батыс Қазақстан аймағында мұнаймен ластанған аумақтың жалпы көлемі 194 мың гектарды құрайды [3]. Каспий маңы аймағында, әсіресе Атырау және Маңғыстау облыстарында мұнаймен ластанған жерлерді тазарту ерекше өзекті мәселе болып табылады. Маңғыстау облысының аумағында ғана 118 мың тоннадан астам мұнай қалдықтары жинақталған [4]. Аталған өңірде топырақты қалпына келтіру жұмыстарын жүргізудің ерекше қиындығы аймақтың аридті климаттық жағдайларымен, топырақтың жоғары тұздануымен және төмен биологиялық белсенділігімен анықталады.</w:t>
      </w:r>
    </w:p>
    <w:p w14:paraId="33EF5B7E">
      <w:pPr>
        <w:pStyle w:val="35"/>
        <w:shd w:val="clear" w:color="auto" w:fill="FFFFFF"/>
        <w:adjustRightInd w:val="0"/>
        <w:spacing w:beforeAutospacing="0" w:afterAutospacing="0"/>
        <w:ind w:firstLine="709"/>
        <w:jc w:val="both"/>
        <w:rPr>
          <w:rFonts w:eastAsia="Segoe UI"/>
          <w:color w:val="auto"/>
          <w:sz w:val="28"/>
          <w:szCs w:val="28"/>
          <w:shd w:val="clear" w:color="auto" w:fill="FFFFFF"/>
          <w:lang w:val="ru-RU"/>
        </w:rPr>
      </w:pPr>
      <w:r>
        <w:rPr>
          <w:rFonts w:eastAsia="Segoe UI"/>
          <w:color w:val="auto"/>
          <w:sz w:val="28"/>
          <w:szCs w:val="28"/>
          <w:shd w:val="clear" w:color="auto" w:fill="FFFFFF"/>
          <w:lang w:val="ru-RU"/>
        </w:rPr>
        <w:t xml:space="preserve">Әлемдік тәжірибеде микроорганизмдерді иммобилизациялау үшін әртүрлі тасымалдағыштар қолданылады: минералды (бентонит, цеолит), синтетикалық (полиуретан көбігі) және органикалық (шымтезек, хитин). </w:t>
      </w:r>
    </w:p>
    <w:p w14:paraId="6667D309">
      <w:pPr>
        <w:pStyle w:val="35"/>
        <w:shd w:val="clear" w:color="auto" w:fill="FFFFFF"/>
        <w:adjustRightInd w:val="0"/>
        <w:spacing w:beforeAutospacing="0" w:afterAutospacing="0"/>
        <w:ind w:firstLine="709"/>
        <w:jc w:val="both"/>
        <w:rPr>
          <w:rFonts w:eastAsia="Segoe UI"/>
          <w:color w:val="auto"/>
          <w:sz w:val="28"/>
          <w:szCs w:val="28"/>
          <w:shd w:val="clear" w:color="auto" w:fill="FFFFFF"/>
          <w:lang w:val="ru-RU"/>
        </w:rPr>
      </w:pPr>
      <w:r>
        <w:rPr>
          <w:rFonts w:eastAsia="Segoe UI"/>
          <w:color w:val="auto"/>
          <w:sz w:val="28"/>
          <w:szCs w:val="28"/>
          <w:shd w:val="clear" w:color="auto" w:fill="FFFFFF"/>
          <w:lang w:val="ru-RU"/>
        </w:rPr>
        <w:t>Қазақстанда бентонит негізінде «Бакойл-</w:t>
      </w:r>
      <w:r>
        <w:rPr>
          <w:rFonts w:eastAsia="Segoe UI"/>
          <w:color w:val="auto"/>
          <w:sz w:val="28"/>
          <w:szCs w:val="28"/>
          <w:shd w:val="clear" w:color="auto" w:fill="FFFFFF"/>
        </w:rPr>
        <w:t>KZ</w:t>
      </w:r>
      <w:r>
        <w:rPr>
          <w:rFonts w:eastAsia="Segoe UI"/>
          <w:color w:val="auto"/>
          <w:sz w:val="28"/>
          <w:szCs w:val="28"/>
          <w:shd w:val="clear" w:color="auto" w:fill="FFFFFF"/>
          <w:lang w:val="ru-RU"/>
        </w:rPr>
        <w:t xml:space="preserve">» препараттары әзірленген [5] және модификацияланған шунгитті қолдану зерттелуде. Дегенмен, агроөнеркәсіптік кешеннің өсімдік тектес қалдықтары (күріш қауызы, жеміс ағаштарының тұқымдары) мұнайды ыдырататын микроорганизмдерді иммобилизациялау үшін </w:t>
      </w:r>
      <w:r>
        <w:rPr>
          <w:rFonts w:eastAsia="Segoe UI"/>
          <w:color w:val="auto"/>
          <w:sz w:val="28"/>
          <w:szCs w:val="28"/>
          <w:shd w:val="clear" w:color="auto" w:fill="FFFFFF"/>
          <w:lang w:val="kk-KZ"/>
        </w:rPr>
        <w:t>тасымалдаушы</w:t>
      </w:r>
      <w:r>
        <w:rPr>
          <w:rFonts w:eastAsia="Segoe UI"/>
          <w:color w:val="auto"/>
          <w:sz w:val="28"/>
          <w:szCs w:val="28"/>
          <w:shd w:val="clear" w:color="auto" w:fill="FFFFFF"/>
          <w:lang w:val="ru-RU"/>
        </w:rPr>
        <w:t xml:space="preserve"> ретінде жеткілікті зерттелмеген. Көмірсутектерді тотықтыратын микроорганизмдердің өсімдік материалдарымен әрекеттесу механизмдері және олардың құрғақ аймақтардың сортаң топырақтары жағдайындағы тиімділігі туралы деректер жеткіліксіз.</w:t>
      </w:r>
    </w:p>
    <w:p w14:paraId="11C9166E">
      <w:pPr>
        <w:pStyle w:val="35"/>
        <w:shd w:val="clear" w:color="auto" w:fill="FFFFFF"/>
        <w:adjustRightInd w:val="0"/>
        <w:spacing w:beforeAutospacing="0" w:afterAutospacing="0"/>
        <w:ind w:firstLine="709"/>
        <w:jc w:val="both"/>
        <w:rPr>
          <w:rFonts w:eastAsia="Segoe UI"/>
          <w:color w:val="auto"/>
          <w:sz w:val="28"/>
          <w:szCs w:val="28"/>
          <w:shd w:val="clear" w:color="auto" w:fill="FFFFFF"/>
          <w:lang w:val="ru-RU"/>
        </w:rPr>
      </w:pPr>
      <w:r>
        <w:rPr>
          <w:rFonts w:eastAsia="Segoe UI"/>
          <w:b/>
          <w:bCs/>
          <w:color w:val="auto"/>
          <w:sz w:val="28"/>
          <w:szCs w:val="28"/>
          <w:shd w:val="clear" w:color="auto" w:fill="FFFFFF"/>
          <w:lang w:val="ru-RU"/>
        </w:rPr>
        <w:t>Зерттеудің мақсаты</w:t>
      </w:r>
      <w:r>
        <w:rPr>
          <w:rFonts w:eastAsia="Segoe UI"/>
          <w:b/>
          <w:bCs/>
          <w:color w:val="auto"/>
          <w:sz w:val="28"/>
          <w:szCs w:val="28"/>
          <w:shd w:val="clear" w:color="auto" w:fill="FFFFFF"/>
          <w:lang w:val="kk-KZ"/>
        </w:rPr>
        <w:t>.</w:t>
      </w:r>
      <w:r>
        <w:rPr>
          <w:rFonts w:eastAsia="Segoe UI"/>
          <w:b/>
          <w:bCs/>
          <w:color w:val="auto"/>
          <w:sz w:val="28"/>
          <w:szCs w:val="28"/>
          <w:shd w:val="clear" w:color="auto" w:fill="FFFFFF"/>
          <w:lang w:val="ru-RU"/>
        </w:rPr>
        <w:t xml:space="preserve"> </w:t>
      </w:r>
      <w:r>
        <w:rPr>
          <w:bCs/>
          <w:color w:val="auto"/>
          <w:sz w:val="28"/>
          <w:szCs w:val="28"/>
          <w:lang w:val="ru-RU"/>
        </w:rPr>
        <w:t>Мұнаймен ластанған топырақты адсорбциялық-иммобилизацияланған микроорганизм</w:t>
      </w:r>
      <w:r>
        <w:rPr>
          <w:bCs/>
          <w:color w:val="auto"/>
          <w:sz w:val="28"/>
          <w:szCs w:val="28"/>
          <w:lang w:val="kk-KZ"/>
        </w:rPr>
        <w:t xml:space="preserve"> -</w:t>
      </w:r>
      <w:r>
        <w:rPr>
          <w:bCs/>
          <w:color w:val="auto"/>
          <w:sz w:val="28"/>
          <w:szCs w:val="28"/>
          <w:lang w:val="ru-RU"/>
        </w:rPr>
        <w:t xml:space="preserve"> деструкторлармен </w:t>
      </w:r>
      <w:r>
        <w:rPr>
          <w:bCs/>
          <w:color w:val="auto"/>
          <w:sz w:val="28"/>
          <w:szCs w:val="28"/>
          <w:lang w:val="kk-KZ"/>
        </w:rPr>
        <w:t xml:space="preserve">минералды және </w:t>
      </w:r>
      <w:r>
        <w:rPr>
          <w:rFonts w:eastAsia="Segoe UI"/>
          <w:color w:val="auto"/>
          <w:sz w:val="28"/>
          <w:szCs w:val="28"/>
          <w:shd w:val="clear" w:color="auto" w:fill="FFFFFF"/>
          <w:lang w:val="ru-RU"/>
        </w:rPr>
        <w:t xml:space="preserve">өсімдік тасымалдағыштарында иммобилизациялау негізінде </w:t>
      </w:r>
      <w:r>
        <w:rPr>
          <w:bCs/>
          <w:color w:val="auto"/>
          <w:sz w:val="28"/>
          <w:szCs w:val="28"/>
          <w:lang w:val="ru-RU"/>
        </w:rPr>
        <w:t>тазарту әдісін әзірлеу</w:t>
      </w:r>
      <w:r>
        <w:rPr>
          <w:bCs/>
          <w:color w:val="auto"/>
          <w:sz w:val="28"/>
          <w:szCs w:val="28"/>
          <w:lang w:val="kk-KZ"/>
        </w:rPr>
        <w:t>.</w:t>
      </w:r>
    </w:p>
    <w:p w14:paraId="4BBFE483">
      <w:pPr>
        <w:adjustRightInd w:val="0"/>
        <w:spacing w:after="0"/>
        <w:ind w:firstLine="709"/>
        <w:rPr>
          <w:color w:val="auto"/>
          <w:szCs w:val="28"/>
        </w:rPr>
      </w:pPr>
      <w:r>
        <w:rPr>
          <w:b/>
          <w:color w:val="auto"/>
          <w:szCs w:val="28"/>
        </w:rPr>
        <w:t xml:space="preserve">Зерттеудің </w:t>
      </w:r>
      <w:r>
        <w:rPr>
          <w:b/>
          <w:color w:val="auto"/>
          <w:szCs w:val="28"/>
          <w:lang w:val="kk-KZ"/>
        </w:rPr>
        <w:t xml:space="preserve">негізгі </w:t>
      </w:r>
      <w:r>
        <w:rPr>
          <w:b/>
          <w:color w:val="auto"/>
          <w:szCs w:val="28"/>
        </w:rPr>
        <w:t>міндеттері</w:t>
      </w:r>
    </w:p>
    <w:p w14:paraId="5E254216">
      <w:pPr>
        <w:pStyle w:val="35"/>
        <w:adjustRightInd w:val="0"/>
        <w:spacing w:beforeAutospacing="0" w:afterAutospacing="0"/>
        <w:ind w:firstLine="709"/>
        <w:jc w:val="both"/>
        <w:rPr>
          <w:rFonts w:eastAsia="Segoe UI"/>
          <w:color w:val="auto"/>
          <w:sz w:val="28"/>
          <w:szCs w:val="28"/>
          <w:shd w:val="clear" w:color="auto" w:fill="FFFFFF"/>
          <w:lang w:val="ru-RU"/>
        </w:rPr>
      </w:pPr>
      <w:r>
        <w:rPr>
          <w:rFonts w:eastAsia="Segoe UI"/>
          <w:color w:val="auto"/>
          <w:sz w:val="28"/>
          <w:szCs w:val="28"/>
          <w:shd w:val="clear" w:color="auto" w:fill="FFFFFF"/>
          <w:lang w:val="ru-RU"/>
        </w:rPr>
        <w:t>- Мұнай көмірсутектерін деструкциялаушы микроорганизмдерді иммобилизациялау үшін минералды (цеолит, керамзит) және өсімдік (күріш қауызы, қарақұмық қауызы) тасымалдағыштарының физика-химиялық, адсорбциялық және морфологиялық қасиеттерін зерттеу.</w:t>
      </w:r>
    </w:p>
    <w:p w14:paraId="1FBC818E">
      <w:pPr>
        <w:pStyle w:val="35"/>
        <w:adjustRightInd w:val="0"/>
        <w:spacing w:beforeAutospacing="0" w:afterAutospacing="0"/>
        <w:ind w:firstLine="709"/>
        <w:jc w:val="both"/>
        <w:rPr>
          <w:rFonts w:eastAsia="Segoe UI"/>
          <w:color w:val="auto"/>
          <w:sz w:val="28"/>
          <w:szCs w:val="28"/>
          <w:shd w:val="clear" w:color="auto" w:fill="FFFFFF"/>
          <w:lang w:val="ru-RU"/>
        </w:rPr>
      </w:pPr>
      <w:r>
        <w:rPr>
          <w:rFonts w:eastAsia="Segoe UI"/>
          <w:color w:val="auto"/>
          <w:sz w:val="28"/>
          <w:szCs w:val="28"/>
          <w:shd w:val="clear" w:color="auto" w:fill="FFFFFF"/>
          <w:lang w:val="ru-RU"/>
        </w:rPr>
        <w:t xml:space="preserve">- </w:t>
      </w:r>
      <w:r>
        <w:rPr>
          <w:rFonts w:eastAsia="Segoe UI"/>
          <w:i/>
          <w:iCs/>
          <w:color w:val="auto"/>
          <w:sz w:val="28"/>
          <w:szCs w:val="28"/>
          <w:shd w:val="clear" w:color="auto" w:fill="FFFFFF"/>
          <w:lang w:val="ru-RU"/>
        </w:rPr>
        <w:t xml:space="preserve">Dietzia maris 22K және Rhodococcus erythropolis AT7 </w:t>
      </w:r>
      <w:r>
        <w:rPr>
          <w:rFonts w:eastAsia="Segoe UI"/>
          <w:color w:val="auto"/>
          <w:sz w:val="28"/>
          <w:szCs w:val="28"/>
          <w:shd w:val="clear" w:color="auto" w:fill="FFFFFF"/>
          <w:lang w:val="ru-RU"/>
        </w:rPr>
        <w:t>штаммдарының өсімдік тасымалдағыштарына адсорбциялық иммобилизациялау процесінің параметрлерін анықтау және иммобилизация тиімділігін бағалау.</w:t>
      </w:r>
    </w:p>
    <w:p w14:paraId="20912605">
      <w:pPr>
        <w:pStyle w:val="35"/>
        <w:adjustRightInd w:val="0"/>
        <w:spacing w:beforeAutospacing="0" w:afterAutospacing="0"/>
        <w:ind w:firstLine="709"/>
        <w:jc w:val="both"/>
        <w:rPr>
          <w:rFonts w:eastAsia="Segoe UI"/>
          <w:color w:val="auto"/>
          <w:sz w:val="28"/>
          <w:szCs w:val="28"/>
          <w:shd w:val="clear" w:color="auto" w:fill="FFFFFF"/>
          <w:lang w:val="ru-RU"/>
        </w:rPr>
      </w:pPr>
      <w:r>
        <w:rPr>
          <w:rFonts w:eastAsia="Segoe UI"/>
          <w:color w:val="auto"/>
          <w:sz w:val="28"/>
          <w:szCs w:val="28"/>
          <w:shd w:val="clear" w:color="auto" w:fill="FFFFFF"/>
          <w:lang w:val="ru-RU"/>
        </w:rPr>
        <w:t>- Стандартты және стресстік жағдайларда (жоғары температура, тұздылық) иммобилизацияланған микроорганизмдердің мұнай көмірсутектерін биодеградациялау кинетикасы мен тиімділігін зерттеу.</w:t>
      </w:r>
    </w:p>
    <w:p w14:paraId="4C2B784F">
      <w:pPr>
        <w:pStyle w:val="35"/>
        <w:adjustRightInd w:val="0"/>
        <w:spacing w:beforeAutospacing="0" w:afterAutospacing="0"/>
        <w:ind w:firstLine="709"/>
        <w:jc w:val="both"/>
        <w:rPr>
          <w:rFonts w:eastAsia="Segoe UI"/>
          <w:color w:val="auto"/>
          <w:sz w:val="28"/>
          <w:szCs w:val="28"/>
          <w:shd w:val="clear" w:color="auto" w:fill="FFFFFF"/>
          <w:lang w:val="ru-RU"/>
        </w:rPr>
      </w:pPr>
      <w:r>
        <w:rPr>
          <w:rFonts w:eastAsia="Segoe UI"/>
          <w:color w:val="auto"/>
          <w:sz w:val="28"/>
          <w:szCs w:val="28"/>
          <w:shd w:val="clear" w:color="auto" w:fill="FFFFFF"/>
          <w:lang w:val="ru-RU"/>
        </w:rPr>
        <w:t>- Модельдік мұнай</w:t>
      </w:r>
      <w:r>
        <w:rPr>
          <w:rFonts w:eastAsia="Segoe UI"/>
          <w:color w:val="auto"/>
          <w:sz w:val="28"/>
          <w:szCs w:val="28"/>
          <w:shd w:val="clear" w:color="auto" w:fill="FFFFFF"/>
          <w:lang w:val="kk-KZ"/>
        </w:rPr>
        <w:t>мен ластанған</w:t>
      </w:r>
      <w:r>
        <w:rPr>
          <w:rFonts w:eastAsia="Segoe UI"/>
          <w:color w:val="auto"/>
          <w:sz w:val="28"/>
          <w:szCs w:val="28"/>
          <w:shd w:val="clear" w:color="auto" w:fill="FFFFFF"/>
          <w:lang w:val="ru-RU"/>
        </w:rPr>
        <w:t xml:space="preserve"> топырақты биоремедиациялауда минералды және өсімдік тасымалдағыштарға иммобилизацияланған микроорганизмдердің, сондай-ақ </w:t>
      </w:r>
      <w:r>
        <w:rPr>
          <w:rFonts w:eastAsia="Segoe UI"/>
          <w:color w:val="auto"/>
          <w:sz w:val="28"/>
          <w:szCs w:val="28"/>
          <w:shd w:val="clear" w:color="auto" w:fill="FFFFFF"/>
          <w:lang w:val="kk-KZ"/>
        </w:rPr>
        <w:t>бос</w:t>
      </w:r>
      <w:r>
        <w:rPr>
          <w:rFonts w:eastAsia="Segoe UI"/>
          <w:color w:val="auto"/>
          <w:sz w:val="28"/>
          <w:szCs w:val="28"/>
          <w:shd w:val="clear" w:color="auto" w:fill="FFFFFF"/>
          <w:lang w:val="ru-RU"/>
        </w:rPr>
        <w:t xml:space="preserve"> жасушалардың тиімділігін салыстырмалы бағалау.</w:t>
      </w:r>
    </w:p>
    <w:p w14:paraId="37DCFAD6">
      <w:pPr>
        <w:pStyle w:val="35"/>
        <w:adjustRightInd w:val="0"/>
        <w:spacing w:beforeAutospacing="0" w:afterAutospacing="0"/>
        <w:ind w:firstLine="709"/>
        <w:jc w:val="both"/>
        <w:rPr>
          <w:rFonts w:eastAsia="Segoe UI"/>
          <w:b/>
          <w:bCs/>
          <w:color w:val="auto"/>
          <w:sz w:val="28"/>
          <w:szCs w:val="28"/>
          <w:shd w:val="clear" w:color="auto" w:fill="FFFFFF"/>
          <w:lang w:val="kk-KZ"/>
        </w:rPr>
      </w:pPr>
      <w:r>
        <w:rPr>
          <w:rFonts w:eastAsia="Segoe UI"/>
          <w:b/>
          <w:bCs/>
          <w:color w:val="auto"/>
          <w:sz w:val="28"/>
          <w:szCs w:val="28"/>
          <w:shd w:val="clear" w:color="auto" w:fill="FFFFFF"/>
          <w:lang w:val="kk-KZ"/>
        </w:rPr>
        <w:t xml:space="preserve">Зерттеу кезеңдері:  </w:t>
      </w:r>
    </w:p>
    <w:p w14:paraId="73A0C811">
      <w:pPr>
        <w:pStyle w:val="35"/>
        <w:adjustRightInd w:val="0"/>
        <w:spacing w:beforeAutospacing="0" w:afterAutospacing="0"/>
        <w:ind w:firstLine="709"/>
        <w:jc w:val="both"/>
        <w:rPr>
          <w:rFonts w:eastAsia="Segoe UI"/>
          <w:color w:val="auto"/>
          <w:sz w:val="28"/>
          <w:szCs w:val="28"/>
          <w:shd w:val="clear" w:color="auto" w:fill="FFFFFF"/>
          <w:lang w:val="kk-KZ"/>
        </w:rPr>
      </w:pPr>
      <w:r>
        <w:rPr>
          <w:rFonts w:eastAsia="Segoe UI"/>
          <w:color w:val="auto"/>
          <w:sz w:val="28"/>
          <w:szCs w:val="28"/>
          <w:shd w:val="clear" w:color="auto" w:fill="FFFFFF"/>
          <w:lang w:val="kk-KZ"/>
        </w:rPr>
        <w:t>Диссертациялық жұмыс екі кезеңде жүргізілді:</w:t>
      </w:r>
    </w:p>
    <w:p w14:paraId="7A10F161">
      <w:pPr>
        <w:pStyle w:val="35"/>
        <w:adjustRightInd w:val="0"/>
        <w:spacing w:beforeAutospacing="0" w:afterAutospacing="0"/>
        <w:ind w:firstLine="709"/>
        <w:jc w:val="both"/>
        <w:rPr>
          <w:rFonts w:eastAsia="Segoe UI"/>
          <w:color w:val="auto"/>
          <w:sz w:val="28"/>
          <w:szCs w:val="28"/>
          <w:shd w:val="clear" w:color="auto" w:fill="FFFFFF"/>
          <w:lang w:val="kk-KZ"/>
        </w:rPr>
      </w:pPr>
      <w:r>
        <w:rPr>
          <w:rFonts w:eastAsia="Segoe UI"/>
          <w:color w:val="auto"/>
          <w:sz w:val="28"/>
          <w:szCs w:val="28"/>
          <w:shd w:val="clear" w:color="auto" w:fill="FFFFFF"/>
          <w:lang w:val="kk-KZ"/>
        </w:rPr>
        <w:t xml:space="preserve">Бірінші кезең (2020-2021 жж.): Минералды тасымалдағыштарда (цеолит, керамзит) иммобилизацияланған </w:t>
      </w:r>
      <w:r>
        <w:rPr>
          <w:rFonts w:eastAsia="Segoe UI"/>
          <w:i/>
          <w:iCs/>
          <w:color w:val="auto"/>
          <w:sz w:val="28"/>
          <w:szCs w:val="28"/>
          <w:shd w:val="clear" w:color="auto" w:fill="FFFFFF"/>
          <w:lang w:val="kk-KZ"/>
        </w:rPr>
        <w:t>Dietzia</w:t>
      </w:r>
      <w:r>
        <w:rPr>
          <w:rFonts w:eastAsia="Segoe UI"/>
          <w:color w:val="auto"/>
          <w:sz w:val="28"/>
          <w:szCs w:val="28"/>
          <w:shd w:val="clear" w:color="auto" w:fill="FFFFFF"/>
          <w:lang w:val="kk-KZ"/>
        </w:rPr>
        <w:t xml:space="preserve"> </w:t>
      </w:r>
      <w:r>
        <w:rPr>
          <w:rFonts w:eastAsia="Segoe UI"/>
          <w:color w:val="auto"/>
          <w:sz w:val="28"/>
          <w:szCs w:val="28"/>
          <w:shd w:val="clear" w:color="auto" w:fill="FFFFFF"/>
          <w:lang w:val="ru-RU"/>
        </w:rPr>
        <w:t>т</w:t>
      </w:r>
      <w:r>
        <w:rPr>
          <w:rFonts w:hint="default" w:eastAsia="Segoe UI"/>
          <w:color w:val="auto"/>
          <w:sz w:val="28"/>
          <w:szCs w:val="28"/>
          <w:shd w:val="clear" w:color="auto" w:fill="FFFFFF"/>
          <w:lang w:val="kk-KZ"/>
        </w:rPr>
        <w:t xml:space="preserve">үрінің </w:t>
      </w:r>
      <w:r>
        <w:rPr>
          <w:rFonts w:eastAsia="Segoe UI"/>
          <w:color w:val="auto"/>
          <w:sz w:val="28"/>
          <w:szCs w:val="28"/>
          <w:shd w:val="clear" w:color="auto" w:fill="FFFFFF"/>
          <w:lang w:val="kk-KZ"/>
        </w:rPr>
        <w:t>консорциумы (</w:t>
      </w:r>
      <w:r>
        <w:rPr>
          <w:rFonts w:eastAsia="Segoe UI"/>
          <w:i/>
          <w:iCs/>
          <w:color w:val="auto"/>
          <w:sz w:val="28"/>
          <w:szCs w:val="28"/>
          <w:shd w:val="clear" w:color="auto" w:fill="FFFFFF"/>
          <w:lang w:val="kk-KZ"/>
        </w:rPr>
        <w:t>Dietzia maris U</w:t>
      </w:r>
      <w:r>
        <w:rPr>
          <w:rFonts w:eastAsia="Segoe UI"/>
          <w:i/>
          <w:iCs/>
          <w:color w:val="auto"/>
          <w:sz w:val="28"/>
          <w:szCs w:val="28"/>
          <w:shd w:val="clear" w:color="auto" w:fill="FFFFFF"/>
          <w:lang w:val="ru-RU"/>
        </w:rPr>
        <w:t>2,</w:t>
      </w:r>
      <w:r>
        <w:rPr>
          <w:rFonts w:eastAsia="Segoe UI"/>
          <w:i/>
          <w:iCs/>
          <w:color w:val="auto"/>
          <w:sz w:val="28"/>
          <w:szCs w:val="28"/>
          <w:shd w:val="clear" w:color="auto" w:fill="FFFFFF"/>
          <w:lang w:val="kk-KZ"/>
        </w:rPr>
        <w:t>1, Dietzia sp U</w:t>
      </w:r>
      <w:r>
        <w:rPr>
          <w:rFonts w:eastAsia="Segoe UI"/>
          <w:i/>
          <w:iCs/>
          <w:color w:val="auto"/>
          <w:sz w:val="28"/>
          <w:szCs w:val="28"/>
          <w:shd w:val="clear" w:color="auto" w:fill="FFFFFF"/>
          <w:lang w:val="ru-RU"/>
        </w:rPr>
        <w:t>2,</w:t>
      </w:r>
      <w:r>
        <w:rPr>
          <w:rFonts w:eastAsia="Segoe UI"/>
          <w:i/>
          <w:iCs/>
          <w:color w:val="auto"/>
          <w:sz w:val="28"/>
          <w:szCs w:val="28"/>
          <w:shd w:val="clear" w:color="auto" w:fill="FFFFFF"/>
          <w:lang w:val="kk-KZ"/>
        </w:rPr>
        <w:t>6, Dietzia sp MB3, Dietzia maris KU1</w:t>
      </w:r>
      <w:r>
        <w:rPr>
          <w:rFonts w:eastAsia="Segoe UI"/>
          <w:color w:val="auto"/>
          <w:sz w:val="28"/>
          <w:szCs w:val="28"/>
          <w:shd w:val="clear" w:color="auto" w:fill="FFFFFF"/>
          <w:lang w:val="kk-KZ"/>
        </w:rPr>
        <w:t xml:space="preserve">) қолданылды. Зертханалық эксперименттер барысында мұнай көмірсутектерінің деструкциясы 42%-ға (цеолит) және 23%-ға (керамзит) дейін жеткені көрсетілді. Алайда, минералды тасымалдаушылардың бірқатар кемшіліктері анықталды: жоғары құны (цеолит - 150-200 теңге/кг, керамзит - 80-120 теңге/кг), утилизациялаудағы экологиялық проблемалар, шектеулі қолжетімділік және төмен биодеградация тиімділігі. </w:t>
      </w:r>
    </w:p>
    <w:p w14:paraId="28A5C3C7">
      <w:pPr>
        <w:pStyle w:val="35"/>
        <w:adjustRightInd w:val="0"/>
        <w:spacing w:beforeAutospacing="0" w:afterAutospacing="0"/>
        <w:ind w:firstLine="709"/>
        <w:jc w:val="both"/>
        <w:rPr>
          <w:rFonts w:eastAsia="Segoe UI"/>
          <w:color w:val="auto"/>
          <w:sz w:val="28"/>
          <w:szCs w:val="28"/>
          <w:shd w:val="clear" w:color="auto" w:fill="FFFFFF"/>
          <w:lang w:val="kk-KZ"/>
        </w:rPr>
      </w:pPr>
      <w:r>
        <w:rPr>
          <w:rFonts w:eastAsia="Segoe UI"/>
          <w:color w:val="auto"/>
          <w:sz w:val="28"/>
          <w:szCs w:val="28"/>
          <w:shd w:val="clear" w:color="auto" w:fill="FFFFFF"/>
          <w:lang w:val="kk-KZ"/>
        </w:rPr>
        <w:t xml:space="preserve">Екінші кезең (2022-2024 жж.): Алынған нәтижелер негізінде ауылшаруашылық қалдықтары (күріш пен қарақұмық қауызы) негізіндегі балама, тиімдірек және экологиялық таза органикалық тасымалдағыштарды іздеу қажеттілігі туындады. Бұл кезеңде </w:t>
      </w:r>
      <w:r>
        <w:rPr>
          <w:rFonts w:eastAsia="Segoe UI"/>
          <w:i/>
          <w:iCs/>
          <w:color w:val="auto"/>
          <w:sz w:val="28"/>
          <w:szCs w:val="28"/>
          <w:shd w:val="clear" w:color="auto" w:fill="FFFFFF"/>
          <w:lang w:val="kk-KZ"/>
        </w:rPr>
        <w:t>Rhodococcus erythropolis AT7 және Dietzia maris 22K</w:t>
      </w:r>
      <w:r>
        <w:rPr>
          <w:rFonts w:eastAsia="Segoe UI"/>
          <w:color w:val="auto"/>
          <w:sz w:val="28"/>
          <w:szCs w:val="28"/>
          <w:shd w:val="clear" w:color="auto" w:fill="FFFFFF"/>
          <w:lang w:val="kk-KZ"/>
        </w:rPr>
        <w:t xml:space="preserve"> штаммдарының консорциумы таңдалды. Аталған штаммдар Қаражанбас кен орнының экстремалды жағдайларына (жоғары температура, тұздылық) бейімделген және өсімдік тасымалдағыштарында (күріш пен қарақұмық қауызы) иммобилизацияланды. Органикалық тасымалдағыштарды қолдану биодеградация тиімділігін 52,1-58,4%-ға дейін арттыруға мүмкіндік берді, бұл минералды тасымалдағыштармен салыстырғанда 16-35% жоғары нәтиже болып табылады.</w:t>
      </w:r>
    </w:p>
    <w:p w14:paraId="32C34D2F">
      <w:pPr>
        <w:tabs>
          <w:tab w:val="left" w:pos="709"/>
          <w:tab w:val="left" w:pos="851"/>
        </w:tabs>
        <w:adjustRightInd w:val="0"/>
        <w:spacing w:after="0"/>
        <w:ind w:firstLine="709"/>
        <w:rPr>
          <w:color w:val="auto"/>
          <w:szCs w:val="28"/>
          <w:lang w:val="kk-KZ"/>
        </w:rPr>
      </w:pPr>
      <w:r>
        <w:rPr>
          <w:b/>
          <w:color w:val="auto"/>
          <w:szCs w:val="28"/>
          <w:lang w:val="kk-KZ"/>
        </w:rPr>
        <w:tab/>
      </w:r>
      <w:r>
        <w:rPr>
          <w:b/>
          <w:color w:val="auto"/>
          <w:szCs w:val="28"/>
          <w:lang w:val="kk-KZ"/>
        </w:rPr>
        <w:t>Зерттеу нысаны.</w:t>
      </w:r>
      <w:r>
        <w:rPr>
          <w:color w:val="auto"/>
          <w:szCs w:val="28"/>
          <w:lang w:val="kk-KZ"/>
        </w:rPr>
        <w:t xml:space="preserve"> </w:t>
      </w:r>
      <w:r>
        <w:rPr>
          <w:rFonts w:eastAsia="Segoe UI"/>
          <w:color w:val="auto"/>
          <w:szCs w:val="28"/>
          <w:shd w:val="clear" w:color="auto" w:fill="FFFFFF"/>
          <w:lang w:val="kk-KZ"/>
        </w:rPr>
        <w:t xml:space="preserve"> Көмірсутекті тотықтыратын микроорганизмдер консорциум коллекциялары;  минералды, өсімдік (күріш қауызы, қарақұмық қауызы) тасымалдауыштар; Маңғыстау облысындағы мұнай кен орындарының ластанған топырақтары; Қаражанбас кен орнының мұнайы.</w:t>
      </w:r>
    </w:p>
    <w:p w14:paraId="0BF9D5FF">
      <w:pPr>
        <w:adjustRightInd w:val="0"/>
        <w:spacing w:after="0"/>
        <w:ind w:firstLine="709"/>
        <w:rPr>
          <w:color w:val="auto"/>
          <w:szCs w:val="28"/>
          <w:lang w:val="kk-KZ"/>
        </w:rPr>
      </w:pPr>
      <w:r>
        <w:rPr>
          <w:b/>
          <w:color w:val="auto"/>
          <w:szCs w:val="28"/>
          <w:lang w:val="kk-KZ"/>
        </w:rPr>
        <w:t>Зерттеу пәні.</w:t>
      </w:r>
      <w:r>
        <w:rPr>
          <w:color w:val="auto"/>
          <w:szCs w:val="28"/>
          <w:lang w:val="kk-KZ"/>
        </w:rPr>
        <w:t xml:space="preserve"> </w:t>
      </w:r>
      <w:r>
        <w:rPr>
          <w:rFonts w:eastAsia="Segoe UI"/>
          <w:color w:val="auto"/>
          <w:szCs w:val="28"/>
          <w:shd w:val="clear" w:color="auto" w:fill="FFFFFF"/>
          <w:lang w:val="kk-KZ"/>
        </w:rPr>
        <w:t>Өсімдік тасымалдағыштарында мұнайды ыдырататын микроорганизмдердің адсорбциялық иммобилизациясы процестері және иммобилизацияланған жүйелердің мұнай көмірсутектерін биодеградациялау қабілеті.</w:t>
      </w:r>
    </w:p>
    <w:p w14:paraId="4D16376F">
      <w:pPr>
        <w:pStyle w:val="301"/>
        <w:adjustRightInd w:val="0"/>
        <w:spacing w:before="0" w:after="0"/>
        <w:ind w:firstLine="709"/>
        <w:rPr>
          <w:color w:val="auto"/>
          <w:sz w:val="28"/>
          <w:szCs w:val="28"/>
          <w:lang w:val="kk-KZ"/>
        </w:rPr>
      </w:pPr>
      <w:r>
        <w:rPr>
          <w:b/>
          <w:color w:val="auto"/>
          <w:sz w:val="28"/>
          <w:szCs w:val="28"/>
          <w:lang w:val="kk-KZ"/>
        </w:rPr>
        <w:t xml:space="preserve">Зерттеудің теориялық және әдіснамалық базасы. </w:t>
      </w:r>
      <w:r>
        <w:rPr>
          <w:color w:val="auto"/>
          <w:sz w:val="28"/>
          <w:szCs w:val="28"/>
          <w:lang w:val="kk-KZ"/>
        </w:rPr>
        <w:t>Зерттеу заманауи микробиологиялық, физика-химиялық және аналитикалық әдістер кешенін қолдану арқылы жүргізілді. Микроорганизмдерді культивациялау әдістері, колониялар санын анықтау (КТБ), сканерлеуші электронды микроскопия (СЭМ), Фурье түрлендіруі инфрақызыл спектроскопиясы (FTIR), адсорбция зерттеулері, ферменттік белсенділікті анықтау әдістері (каталаза, липаза), деградация кинетикасын модельдеу, статистикалық деректерді талдау қолданылды.</w:t>
      </w:r>
    </w:p>
    <w:p w14:paraId="7CECB3B1">
      <w:pPr>
        <w:pStyle w:val="301"/>
        <w:keepNext w:val="0"/>
        <w:keepLines w:val="0"/>
        <w:pageBreakBefore w:val="0"/>
        <w:widowControl/>
        <w:kinsoku/>
        <w:wordWrap/>
        <w:overflowPunct/>
        <w:topLinePunct w:val="0"/>
        <w:autoSpaceDE/>
        <w:autoSpaceDN/>
        <w:bidi w:val="0"/>
        <w:adjustRightInd w:val="0"/>
        <w:snapToGrid/>
        <w:spacing w:before="0" w:after="0"/>
        <w:ind w:firstLine="709"/>
        <w:textAlignment w:val="auto"/>
        <w:rPr>
          <w:rFonts w:hint="default"/>
          <w:color w:val="auto"/>
          <w:sz w:val="28"/>
          <w:szCs w:val="28"/>
          <w:highlight w:val="none"/>
          <w:lang w:val="kk-KZ"/>
        </w:rPr>
      </w:pPr>
      <w:r>
        <w:rPr>
          <w:color w:val="auto"/>
          <w:sz w:val="28"/>
          <w:szCs w:val="28"/>
          <w:lang w:val="kk-KZ"/>
        </w:rPr>
        <w:t>Тәжірибелік зерттеулер зертханалық жағдайларда модельдік мұнайласқан топырақта жүргізілді.</w:t>
      </w:r>
      <w:r>
        <w:rPr>
          <w:color w:val="auto"/>
          <w:sz w:val="28"/>
          <w:szCs w:val="28"/>
          <w:highlight w:val="none"/>
          <w:lang w:val="kk-KZ"/>
        </w:rPr>
        <w:t xml:space="preserve"> </w:t>
      </w:r>
      <w:r>
        <w:rPr>
          <w:rFonts w:hint="default"/>
          <w:color w:val="auto"/>
          <w:sz w:val="28"/>
          <w:szCs w:val="28"/>
          <w:highlight w:val="none"/>
          <w:lang w:val="kk-KZ"/>
        </w:rPr>
        <w:t>Статистикалық талдау Statistica 1</w:t>
      </w:r>
      <w:r>
        <w:rPr>
          <w:rFonts w:hint="default"/>
          <w:color w:val="auto"/>
          <w:sz w:val="28"/>
          <w:szCs w:val="28"/>
          <w:highlight w:val="none"/>
          <w:lang w:val="ru-RU"/>
        </w:rPr>
        <w:t>0,</w:t>
      </w:r>
      <w:r>
        <w:rPr>
          <w:rFonts w:hint="default"/>
          <w:color w:val="auto"/>
          <w:sz w:val="28"/>
          <w:szCs w:val="28"/>
          <w:highlight w:val="none"/>
          <w:lang w:val="kk-KZ"/>
        </w:rPr>
        <w:t>0 бағдарламасында орындалды. Топтар арасындағы айырмашылықтар бір факторлы дисперсиялық талдау (ANOVA) арқылы бағаланып, жұптық салыстырулар Tukey HSD сынағымен жүргізілді (p &lt; 0,05)."</w:t>
      </w:r>
    </w:p>
    <w:p w14:paraId="1904EE6D">
      <w:pPr>
        <w:pStyle w:val="364"/>
        <w:keepNext w:val="0"/>
        <w:keepLines w:val="0"/>
        <w:pageBreakBefore w:val="0"/>
        <w:widowControl/>
        <w:kinsoku/>
        <w:wordWrap/>
        <w:overflowPunct/>
        <w:topLinePunct w:val="0"/>
        <w:autoSpaceDE/>
        <w:autoSpaceDN/>
        <w:bidi w:val="0"/>
        <w:adjustRightInd w:val="0"/>
        <w:snapToGrid/>
        <w:spacing w:after="0"/>
        <w:ind w:firstLine="709"/>
        <w:textAlignment w:val="auto"/>
        <w:rPr>
          <w:color w:val="auto"/>
          <w:sz w:val="28"/>
          <w:szCs w:val="28"/>
        </w:rPr>
      </w:pPr>
      <w:r>
        <w:rPr>
          <w:b/>
          <w:bCs/>
          <w:color w:val="auto"/>
          <w:sz w:val="28"/>
          <w:szCs w:val="28"/>
        </w:rPr>
        <w:t>Ғылыми жаңалығы.</w:t>
      </w:r>
      <w:r>
        <w:rPr>
          <w:rFonts w:hint="default"/>
          <w:b/>
          <w:bCs/>
          <w:color w:val="auto"/>
          <w:sz w:val="28"/>
          <w:szCs w:val="28"/>
          <w:lang w:val="kk-KZ"/>
        </w:rPr>
        <w:t xml:space="preserve"> </w:t>
      </w:r>
      <w:r>
        <w:rPr>
          <w:color w:val="auto"/>
          <w:sz w:val="28"/>
          <w:szCs w:val="28"/>
        </w:rPr>
        <w:t>Диссертациялық зерттеу барысында оның ғылыми жаңалығын анықтайтын келесі ғылыми нәтижелер алынды:</w:t>
      </w:r>
    </w:p>
    <w:p w14:paraId="28A4E79B">
      <w:pPr>
        <w:keepNext w:val="0"/>
        <w:keepLines w:val="0"/>
        <w:pageBreakBefore w:val="0"/>
        <w:widowControl/>
        <w:numPr>
          <w:ilvl w:val="0"/>
          <w:numId w:val="0"/>
        </w:numPr>
        <w:kinsoku/>
        <w:wordWrap/>
        <w:overflowPunct/>
        <w:topLinePunct w:val="0"/>
        <w:autoSpaceDE/>
        <w:autoSpaceDN/>
        <w:bidi w:val="0"/>
        <w:adjustRightInd/>
        <w:snapToGrid/>
        <w:spacing w:after="0"/>
        <w:ind w:firstLine="709" w:firstLineChars="0"/>
        <w:jc w:val="both"/>
        <w:textAlignment w:val="auto"/>
        <w:rPr>
          <w:rFonts w:hint="default" w:ascii="Times New Roman" w:hAnsi="Times New Roman" w:eastAsia="SimSun" w:cs="Times New Roman"/>
          <w:color w:val="auto"/>
          <w:sz w:val="28"/>
          <w:szCs w:val="28"/>
        </w:rPr>
      </w:pPr>
      <w:r>
        <w:rPr>
          <w:rFonts w:hint="default" w:ascii="Times New Roman" w:hAnsi="Times New Roman" w:cs="Times New Roman"/>
          <w:color w:val="auto"/>
          <w:sz w:val="28"/>
          <w:szCs w:val="28"/>
          <w:lang w:val="kk-KZ"/>
        </w:rPr>
        <w:t xml:space="preserve">- </w:t>
      </w:r>
      <w:r>
        <w:rPr>
          <w:rFonts w:hint="default" w:ascii="Times New Roman" w:hAnsi="Times New Roman" w:eastAsia="SimSun" w:cs="Times New Roman"/>
          <w:color w:val="auto"/>
          <w:sz w:val="28"/>
          <w:szCs w:val="28"/>
        </w:rPr>
        <w:t xml:space="preserve">Алғашқы рет стандартты зертханалық жағдайларда (25-28°C, рН 7,0-7,5) минералды (цеолит, керамзит) және агроөнеркәсіптік қалдықтарға (қарақұмық және күріш қауыздары) иммобилизацияланған </w:t>
      </w:r>
      <w:r>
        <w:rPr>
          <w:rFonts w:hint="default" w:ascii="Times New Roman" w:hAnsi="Times New Roman" w:eastAsia="SimSun" w:cs="Times New Roman"/>
          <w:i/>
          <w:iCs/>
          <w:color w:val="auto"/>
          <w:sz w:val="28"/>
          <w:szCs w:val="28"/>
        </w:rPr>
        <w:t xml:space="preserve">Dietzia maris 22K </w:t>
      </w:r>
      <w:r>
        <w:rPr>
          <w:rFonts w:hint="default" w:ascii="Times New Roman" w:hAnsi="Times New Roman" w:eastAsia="SimSun" w:cs="Times New Roman"/>
          <w:color w:val="auto"/>
          <w:sz w:val="28"/>
          <w:szCs w:val="28"/>
        </w:rPr>
        <w:t xml:space="preserve">және </w:t>
      </w:r>
      <w:r>
        <w:rPr>
          <w:rFonts w:hint="default" w:ascii="Times New Roman" w:hAnsi="Times New Roman" w:eastAsia="SimSun" w:cs="Times New Roman"/>
          <w:i/>
          <w:iCs/>
          <w:color w:val="auto"/>
          <w:sz w:val="28"/>
          <w:szCs w:val="28"/>
        </w:rPr>
        <w:t>Rhodococcus erythropolis AT7</w:t>
      </w:r>
      <w:r>
        <w:rPr>
          <w:rFonts w:hint="default" w:ascii="Times New Roman" w:hAnsi="Times New Roman" w:eastAsia="SimSun" w:cs="Times New Roman"/>
          <w:color w:val="auto"/>
          <w:sz w:val="28"/>
          <w:szCs w:val="28"/>
        </w:rPr>
        <w:t xml:space="preserve"> консорциумының биодеградация тиімділігі салыстырылып, органикалық тасымалдағыштардың 1,3-4,7 есе артықшылығы анықталды (қарақұмық қауызы 58,4%, күріш қауызы 52,1% салыстырмалы цеолит 42%, керамзит 23%).</w:t>
      </w:r>
    </w:p>
    <w:p w14:paraId="7149F192">
      <w:pPr>
        <w:keepNext w:val="0"/>
        <w:keepLines w:val="0"/>
        <w:pageBreakBefore w:val="0"/>
        <w:widowControl/>
        <w:numPr>
          <w:ilvl w:val="0"/>
          <w:numId w:val="0"/>
        </w:numPr>
        <w:kinsoku/>
        <w:wordWrap/>
        <w:overflowPunct/>
        <w:topLinePunct w:val="0"/>
        <w:autoSpaceDE/>
        <w:autoSpaceDN/>
        <w:bidi w:val="0"/>
        <w:adjustRightInd/>
        <w:snapToGrid/>
        <w:spacing w:after="0"/>
        <w:ind w:firstLine="709" w:firstLineChars="0"/>
        <w:jc w:val="both"/>
        <w:textAlignment w:val="auto"/>
        <w:rPr>
          <w:rFonts w:hint="default" w:ascii="Times New Roman" w:hAnsi="Times New Roman" w:eastAsia="SimSun" w:cs="Times New Roman"/>
          <w:color w:val="auto"/>
          <w:sz w:val="28"/>
          <w:szCs w:val="28"/>
        </w:rPr>
      </w:pPr>
      <w:r>
        <w:rPr>
          <w:rFonts w:hint="default" w:ascii="Times New Roman" w:hAnsi="Times New Roman" w:cs="Times New Roman"/>
          <w:color w:val="auto"/>
          <w:sz w:val="28"/>
          <w:szCs w:val="28"/>
          <w:lang w:val="kk-KZ"/>
        </w:rPr>
        <w:t xml:space="preserve">- </w:t>
      </w:r>
      <w:r>
        <w:rPr>
          <w:rFonts w:hint="default" w:ascii="Times New Roman" w:hAnsi="Times New Roman" w:eastAsia="SimSun" w:cs="Times New Roman"/>
          <w:color w:val="auto"/>
          <w:sz w:val="28"/>
          <w:szCs w:val="28"/>
        </w:rPr>
        <w:t xml:space="preserve">Адсорбциялық иммобилизация мен жергілікті агроөнеркәсіптік қалдықтарды біріктіру негізінде Маңғыстау облысының аридті жағдайларына бейімделген мұнаймен ластанған топырақты биоремедиациялау әдісі әзірленді. Әдісте тасымалдағыш ретінде қарақұмық және күріш қауыздары салыстырмалы зерттелді, нәтижесінде қарақұмық қауызы оңтайлы тасымалдағыш ретінде анықталды (целлюлоза 20-27%, лигнин 8-15%, рутин ≥28,0 мг/100г; иммобилизация тиімділігі 92,3%, бекіну тығыздығы 3,2±0,4×10⁶ </w:t>
      </w:r>
      <w:r>
        <w:rPr>
          <w:rFonts w:hint="default" w:ascii="Times New Roman" w:hAnsi="Times New Roman" w:cs="Times New Roman"/>
          <w:color w:val="auto"/>
          <w:sz w:val="28"/>
          <w:szCs w:val="28"/>
          <w:lang w:val="kk-KZ"/>
        </w:rPr>
        <w:t>клетка</w:t>
      </w:r>
      <w:r>
        <w:rPr>
          <w:rFonts w:hint="default" w:ascii="Times New Roman" w:hAnsi="Times New Roman" w:eastAsia="SimSun" w:cs="Times New Roman"/>
          <w:color w:val="auto"/>
          <w:sz w:val="28"/>
          <w:szCs w:val="28"/>
        </w:rPr>
        <w:t xml:space="preserve">/см²). Әдістің тиімділігі далалық сынақтарда расталды: қарақұмық қауызы негізіндегі биопрепарат 94,0% </w:t>
      </w:r>
      <w:r>
        <w:rPr>
          <w:rFonts w:hint="default" w:cs="Times New Roman"/>
          <w:color w:val="auto"/>
          <w:sz w:val="28"/>
          <w:szCs w:val="28"/>
          <w:lang w:val="kk-KZ"/>
        </w:rPr>
        <w:t>Ж</w:t>
      </w:r>
      <w:r>
        <w:rPr>
          <w:rFonts w:hint="default" w:ascii="Times New Roman" w:hAnsi="Times New Roman" w:eastAsia="SimSun" w:cs="Times New Roman"/>
          <w:color w:val="auto"/>
          <w:sz w:val="28"/>
          <w:szCs w:val="28"/>
        </w:rPr>
        <w:t xml:space="preserve">МӨ деградация тиімділігін көрсетті. </w:t>
      </w:r>
    </w:p>
    <w:p w14:paraId="637BAC7A">
      <w:pPr>
        <w:keepNext w:val="0"/>
        <w:keepLines w:val="0"/>
        <w:pageBreakBefore w:val="0"/>
        <w:widowControl/>
        <w:numPr>
          <w:ilvl w:val="0"/>
          <w:numId w:val="0"/>
        </w:numPr>
        <w:kinsoku/>
        <w:wordWrap/>
        <w:overflowPunct/>
        <w:topLinePunct w:val="0"/>
        <w:autoSpaceDE/>
        <w:autoSpaceDN/>
        <w:bidi w:val="0"/>
        <w:snapToGrid/>
        <w:spacing w:after="0"/>
        <w:ind w:firstLine="709" w:firstLineChars="0"/>
        <w:jc w:val="both"/>
        <w:textAlignment w:val="auto"/>
        <w:rPr>
          <w:rFonts w:hint="default"/>
          <w:color w:val="auto"/>
          <w:sz w:val="28"/>
          <w:szCs w:val="28"/>
          <w:highlight w:val="none"/>
          <w:lang w:val="kk-KZ"/>
        </w:rPr>
      </w:pPr>
      <w:r>
        <w:rPr>
          <w:rFonts w:hint="default" w:ascii="Times New Roman" w:hAnsi="Times New Roman" w:cs="Times New Roman"/>
          <w:color w:val="auto"/>
          <w:sz w:val="28"/>
          <w:szCs w:val="28"/>
          <w:lang w:val="kk-KZ"/>
        </w:rPr>
        <w:t xml:space="preserve">- </w:t>
      </w:r>
      <w:r>
        <w:rPr>
          <w:rFonts w:hint="default" w:ascii="Times New Roman" w:hAnsi="Times New Roman" w:eastAsia="SimSun" w:cs="Times New Roman"/>
          <w:color w:val="auto"/>
          <w:sz w:val="28"/>
          <w:szCs w:val="28"/>
        </w:rPr>
        <w:t xml:space="preserve">Қарақұмық қауызындағы рутиннің (28,8 мг/100г) микроорганизмдерді қорғаудағы рөлі негізделді. Қарақұмық қауызы барлық зерттелген жағдайларда күріш қауызынан басым болды: стандартты жағдайда 58,4% </w:t>
      </w:r>
      <w:r>
        <w:rPr>
          <w:rFonts w:hint="default" w:cs="Times New Roman"/>
          <w:color w:val="auto"/>
          <w:sz w:val="28"/>
          <w:szCs w:val="28"/>
          <w:lang w:val="kk-KZ"/>
        </w:rPr>
        <w:t xml:space="preserve">керісінше </w:t>
      </w:r>
      <w:r>
        <w:rPr>
          <w:rFonts w:hint="default" w:ascii="Times New Roman" w:hAnsi="Times New Roman" w:eastAsia="SimSun" w:cs="Times New Roman"/>
          <w:color w:val="auto"/>
          <w:sz w:val="28"/>
          <w:szCs w:val="28"/>
        </w:rPr>
        <w:t xml:space="preserve">52,1%, оңтайлы температурада жоғары тұздылықта (+32°C, 10% NaCl) 75,0% </w:t>
      </w:r>
      <w:r>
        <w:rPr>
          <w:rFonts w:hint="default" w:cs="Times New Roman"/>
          <w:color w:val="auto"/>
          <w:sz w:val="28"/>
          <w:szCs w:val="28"/>
          <w:lang w:val="kk-KZ"/>
        </w:rPr>
        <w:t>керісінше</w:t>
      </w:r>
      <w:r>
        <w:rPr>
          <w:rFonts w:hint="default" w:ascii="Times New Roman" w:hAnsi="Times New Roman" w:eastAsia="SimSun" w:cs="Times New Roman"/>
          <w:color w:val="auto"/>
          <w:sz w:val="28"/>
          <w:szCs w:val="28"/>
        </w:rPr>
        <w:t xml:space="preserve"> 35,0%, комбинирленген стресте (+42°C, 10% NaCl) 54,0% </w:t>
      </w:r>
      <w:r>
        <w:rPr>
          <w:rFonts w:hint="default" w:cs="Times New Roman"/>
          <w:color w:val="auto"/>
          <w:sz w:val="28"/>
          <w:szCs w:val="28"/>
          <w:lang w:val="kk-KZ"/>
        </w:rPr>
        <w:t>керісінше</w:t>
      </w:r>
      <w:r>
        <w:rPr>
          <w:rFonts w:hint="default" w:ascii="Times New Roman" w:hAnsi="Times New Roman" w:eastAsia="SimSun" w:cs="Times New Roman"/>
          <w:color w:val="auto"/>
          <w:sz w:val="28"/>
          <w:szCs w:val="28"/>
        </w:rPr>
        <w:t xml:space="preserve"> 38,4%. Алайда, экстремалды жағдайлар күшейген сайын қарақұмықтың басымдылық дәрежесі төмендейді: +32°C кезінде 2,1 есе, +42°C кезінде 1,4 есе айырма, бұл рутиннің антиоксидантты қорғаныс қабілетінің шегі бар екенін көрсетеді. Далалық сынақтарда (+22-28°C) қарақұмық қауызының басымдылығы расталды: 94,0% </w:t>
      </w:r>
      <w:r>
        <w:rPr>
          <w:rFonts w:hint="default" w:ascii="Times New Roman" w:hAnsi="Times New Roman" w:eastAsia="SimSun" w:cs="Times New Roman"/>
          <w:color w:val="auto"/>
          <w:sz w:val="28"/>
          <w:szCs w:val="28"/>
          <w:lang w:val="kk-KZ"/>
        </w:rPr>
        <w:t>керісінше</w:t>
      </w:r>
      <w:r>
        <w:rPr>
          <w:rFonts w:hint="default" w:ascii="Times New Roman" w:hAnsi="Times New Roman" w:eastAsia="SimSun" w:cs="Times New Roman"/>
          <w:color w:val="auto"/>
          <w:sz w:val="28"/>
          <w:szCs w:val="28"/>
        </w:rPr>
        <w:t xml:space="preserve"> 57,9% (1,6 есе).</w:t>
      </w:r>
    </w:p>
    <w:p w14:paraId="698424ED">
      <w:pPr>
        <w:keepNext w:val="0"/>
        <w:keepLines w:val="0"/>
        <w:pageBreakBefore w:val="0"/>
        <w:widowControl/>
        <w:kinsoku/>
        <w:wordWrap/>
        <w:overflowPunct/>
        <w:topLinePunct w:val="0"/>
        <w:autoSpaceDE/>
        <w:autoSpaceDN/>
        <w:bidi w:val="0"/>
        <w:adjustRightInd w:val="0"/>
        <w:snapToGrid/>
        <w:spacing w:after="0"/>
        <w:ind w:firstLine="709"/>
        <w:textAlignment w:val="auto"/>
        <w:rPr>
          <w:b/>
          <w:bCs/>
          <w:color w:val="auto"/>
          <w:szCs w:val="28"/>
          <w:highlight w:val="none"/>
          <w:lang w:val="kk-KZ"/>
        </w:rPr>
      </w:pPr>
      <w:r>
        <w:rPr>
          <w:b/>
          <w:bCs/>
          <w:color w:val="auto"/>
          <w:szCs w:val="28"/>
          <w:highlight w:val="none"/>
          <w:lang w:val="kk-KZ"/>
        </w:rPr>
        <w:t>Қорғауға шығарылатын негізгі қағидалар:</w:t>
      </w:r>
    </w:p>
    <w:p w14:paraId="1575B38C">
      <w:pPr>
        <w:keepNext w:val="0"/>
        <w:keepLines w:val="0"/>
        <w:pageBreakBefore w:val="0"/>
        <w:widowControl/>
        <w:kinsoku/>
        <w:wordWrap/>
        <w:overflowPunct/>
        <w:topLinePunct w:val="0"/>
        <w:autoSpaceDE/>
        <w:autoSpaceDN/>
        <w:bidi w:val="0"/>
        <w:adjustRightInd w:val="0"/>
        <w:snapToGrid/>
        <w:spacing w:after="0"/>
        <w:ind w:firstLine="709"/>
        <w:textAlignment w:val="auto"/>
        <w:rPr>
          <w:rFonts w:hint="default"/>
          <w:b w:val="0"/>
          <w:bCs w:val="0"/>
          <w:color w:val="auto"/>
          <w:szCs w:val="28"/>
          <w:highlight w:val="none"/>
          <w:lang w:val="kk-KZ"/>
        </w:rPr>
      </w:pPr>
      <w:r>
        <w:rPr>
          <w:rFonts w:hint="default"/>
          <w:b w:val="0"/>
          <w:bCs w:val="0"/>
          <w:color w:val="auto"/>
          <w:szCs w:val="28"/>
          <w:highlight w:val="none"/>
          <w:lang w:val="kk-KZ"/>
        </w:rPr>
        <w:t xml:space="preserve">- </w:t>
      </w:r>
      <w:r>
        <w:rPr>
          <w:rFonts w:hint="default"/>
          <w:b w:val="0"/>
          <w:bCs w:val="0"/>
          <w:i/>
          <w:iCs/>
          <w:color w:val="auto"/>
          <w:szCs w:val="28"/>
          <w:highlight w:val="none"/>
          <w:lang w:val="kk-KZ"/>
        </w:rPr>
        <w:t>Dietzia maris 22K және Rhodococcus erythropolis AT7</w:t>
      </w:r>
      <w:r>
        <w:rPr>
          <w:rFonts w:hint="default"/>
          <w:b w:val="0"/>
          <w:bCs w:val="0"/>
          <w:color w:val="auto"/>
          <w:szCs w:val="28"/>
          <w:highlight w:val="none"/>
          <w:lang w:val="kk-KZ"/>
        </w:rPr>
        <w:t xml:space="preserve"> консорциумын минералды (цеолит, керамзит) және органикалық (қарақұмық, күріш қауыздары) тасымалдағыштарға иммобилизациялау арқылы жүргізілген салыстырмалы зерттеу нәтижесінде органикалық тасымалдағыштардың мұнай көмірсутектерін биодеградациялау тиімділігі минералды тасымалдағыштардан 1,3-4,7 есе жоғары екені анықталды: қарақұмық қауызы — 58,4%, күріш қауызы — 52,1%, цеолит — 42%, керамзит — 23% (стандартты жағдай: 25-28°C, рН 7,0-7,5).</w:t>
      </w:r>
    </w:p>
    <w:p w14:paraId="62C9E4DD">
      <w:pPr>
        <w:keepNext w:val="0"/>
        <w:keepLines w:val="0"/>
        <w:pageBreakBefore w:val="0"/>
        <w:widowControl/>
        <w:kinsoku/>
        <w:wordWrap/>
        <w:overflowPunct/>
        <w:topLinePunct w:val="0"/>
        <w:autoSpaceDE/>
        <w:autoSpaceDN/>
        <w:bidi w:val="0"/>
        <w:adjustRightInd w:val="0"/>
        <w:snapToGrid/>
        <w:spacing w:after="0"/>
        <w:ind w:firstLine="709"/>
        <w:textAlignment w:val="auto"/>
        <w:rPr>
          <w:rFonts w:hint="default"/>
          <w:b w:val="0"/>
          <w:bCs w:val="0"/>
          <w:color w:val="auto"/>
          <w:szCs w:val="28"/>
          <w:highlight w:val="none"/>
          <w:lang w:val="kk-KZ"/>
        </w:rPr>
      </w:pPr>
      <w:r>
        <w:rPr>
          <w:rFonts w:hint="default"/>
          <w:b w:val="0"/>
          <w:bCs w:val="0"/>
          <w:color w:val="auto"/>
          <w:szCs w:val="28"/>
          <w:highlight w:val="none"/>
          <w:lang w:val="kk-KZ"/>
        </w:rPr>
        <w:t>- Жергілікті агроөнеркәсіптік қалдықтарды адсорбциялық иммобилизация тасымалдағышы ретінде пайдалануға негізделген мұнаймен ластанған топырақты биоремедиациялау әдісі әзірленді. Қарақұмық қауызы оңтайлы тасымалдағыш ретінде негізделді: целлюлоза құрамы 20-27%, лигнин 8-15%, иммобилизация тиімділігі 92,3%, бекіну тығыздығы 3,2±0,4×10⁶ КТБ/см². Деградация бірінші ретті кинетикаға сәйкес келеді (R²&gt;0,95, k=0,0187 тәулік⁻¹). Әдістің тиімділігі Маңғыстау облысының далалық жағдайында расталды — жалпы мұнай өнімдерінің деградациясы 94,0%-ға жетті.</w:t>
      </w:r>
    </w:p>
    <w:p w14:paraId="45E5579C">
      <w:pPr>
        <w:keepNext w:val="0"/>
        <w:keepLines w:val="0"/>
        <w:pageBreakBefore w:val="0"/>
        <w:widowControl/>
        <w:kinsoku/>
        <w:wordWrap/>
        <w:overflowPunct/>
        <w:topLinePunct w:val="0"/>
        <w:autoSpaceDE/>
        <w:autoSpaceDN/>
        <w:bidi w:val="0"/>
        <w:adjustRightInd w:val="0"/>
        <w:snapToGrid/>
        <w:spacing w:after="0"/>
        <w:ind w:firstLine="709"/>
        <w:textAlignment w:val="auto"/>
        <w:rPr>
          <w:b w:val="0"/>
          <w:bCs w:val="0"/>
          <w:color w:val="auto"/>
          <w:szCs w:val="28"/>
          <w:highlight w:val="none"/>
          <w:lang w:val="kk-KZ"/>
        </w:rPr>
      </w:pPr>
      <w:r>
        <w:rPr>
          <w:rFonts w:hint="default"/>
          <w:b w:val="0"/>
          <w:bCs w:val="0"/>
          <w:color w:val="auto"/>
          <w:szCs w:val="28"/>
          <w:highlight w:val="none"/>
          <w:lang w:val="kk-KZ"/>
        </w:rPr>
        <w:t>- Қарақұмық қауызындағы рутиннің (28,8 мг/100г) микроорганизмдерді абиотикалық стресстен қорғаудағы рөлі эксперименттік түрде дәлелденді. Қарақұмық қауызының биодеградация тиімділігі барлық зерттелген жағдайларда күріш қауызынан басым болды: стандартты жағдайда 1,1 есе (58,4% және 52,1%), жоғары тұздылық пен температурада (+32°C, 10% NaCl) 2,1 есе (75,0% және 35,0%), комбинирленген стресте (+42°C, 10% NaCl) 1,4 есе (54,0% және 38,4%). Экстремалды жағдайлар күшейген сайын рутиннің антиоксидантты қорғаныс қабілетінің шектеулі екені көрсетілді.</w:t>
      </w:r>
    </w:p>
    <w:p w14:paraId="23700818">
      <w:pPr>
        <w:adjustRightInd w:val="0"/>
        <w:spacing w:after="0"/>
        <w:ind w:firstLine="709"/>
        <w:rPr>
          <w:color w:val="auto"/>
          <w:szCs w:val="28"/>
          <w:lang w:val="kk-KZ"/>
        </w:rPr>
      </w:pPr>
      <w:r>
        <w:rPr>
          <w:b/>
          <w:color w:val="auto"/>
          <w:szCs w:val="28"/>
          <w:lang w:val="kk-KZ"/>
        </w:rPr>
        <w:t xml:space="preserve">Жұмыстың тәжірибелік маңызы. </w:t>
      </w:r>
      <w:r>
        <w:rPr>
          <w:color w:val="auto"/>
          <w:szCs w:val="28"/>
          <w:lang w:val="kk-KZ"/>
        </w:rPr>
        <w:t>Диссертациялық зерттеу барысында алынған нәтижелер мұнаймен ластанған топырақтарды биоремедиялаудың әдісінің теориялық және әдіснамалық негіздерін дамытуға маңызды үлес қосады.</w:t>
      </w:r>
    </w:p>
    <w:p w14:paraId="3B845146">
      <w:pPr>
        <w:adjustRightInd w:val="0"/>
        <w:spacing w:after="0"/>
        <w:ind w:firstLine="709"/>
        <w:rPr>
          <w:color w:val="auto"/>
          <w:szCs w:val="28"/>
          <w:lang w:val="kk-KZ"/>
        </w:rPr>
      </w:pPr>
      <w:r>
        <w:rPr>
          <w:color w:val="auto"/>
          <w:szCs w:val="28"/>
          <w:lang w:val="kk-KZ"/>
        </w:rPr>
        <w:t>Зерттеу барысында микроорганизмдердің өсімдік материалдарына адсорбциялық иммобилизациясының механизмдері, аридті климаттың абиотикалық факторларының (жоғары температура, тұздылық) иммобилизацияланған биодеструкторлардың белсенділігіне әсер ету заңдылықтары, мұнайласқан топырақтардағы мұнай көмірсутектерінің биодеградациясының кинетикалық заңдылықтары, сондай-ақ өсімдік тасымалдаушылардың биохимиялық құрамының (рутин, лигнин) микробтық белсенділікке жағдайларға тәуелді әсері туралы жаңа ғылыми білім алынды.</w:t>
      </w:r>
    </w:p>
    <w:p w14:paraId="43C80FF8">
      <w:pPr>
        <w:adjustRightInd w:val="0"/>
        <w:spacing w:after="0"/>
        <w:ind w:firstLine="709"/>
        <w:rPr>
          <w:color w:val="auto"/>
          <w:szCs w:val="28"/>
          <w:lang w:val="kk-KZ"/>
        </w:rPr>
      </w:pPr>
      <w:r>
        <w:rPr>
          <w:color w:val="auto"/>
          <w:szCs w:val="28"/>
          <w:lang w:val="kk-KZ"/>
        </w:rPr>
        <w:t>Диссертациялық зерттеудің нәтижелері агроөнеркәсіптік қалдықтарды пайдалану, биоремедиацияның инновациялық әдістерін әзірлеу және "жасыл экономикаға" көшу принциптерін іске асыру саласында жаңа фундаменталды және қолданбалы зерттеу міндеттерін қою үшін теориялық және әдіснамалық негіз бола алады.</w:t>
      </w:r>
    </w:p>
    <w:p w14:paraId="06E3C894">
      <w:pPr>
        <w:adjustRightInd w:val="0"/>
        <w:spacing w:after="0"/>
        <w:ind w:firstLine="709"/>
        <w:rPr>
          <w:color w:val="auto"/>
          <w:szCs w:val="28"/>
          <w:lang w:val="kk-KZ"/>
        </w:rPr>
      </w:pPr>
      <w:r>
        <w:rPr>
          <w:color w:val="auto"/>
          <w:szCs w:val="28"/>
          <w:lang w:val="kk-KZ"/>
        </w:rPr>
        <w:t>Әзірленген әдіс Батыс Қазақстанның мұнай өндіруші өңірлерінде (Маңғыстау, Атырау облыстары) мұнаймен ластанған топырақтарды, өнеркәсіптік алаңдарды, шламжинақтағыштарды тазартуда, сондай-ақ мұнай мен мұнай өнімдерінің апаттық төгілуінің салдарын жоюда қолданылуы мүмкін. Әдістің экономикалық тиімділігі қол жетімді өсімдік шикізатын (күріш және қарақұмық қауыздары) пайдалану және қымбат жабдықтарды қажет етпеуі себепті дәстүрлі физика-химиялық әдістермен салыстырғанда 30-40% құрайды.</w:t>
      </w:r>
    </w:p>
    <w:p w14:paraId="2DB69296">
      <w:pPr>
        <w:adjustRightInd w:val="0"/>
        <w:spacing w:after="0"/>
        <w:ind w:firstLine="709"/>
        <w:rPr>
          <w:color w:val="auto"/>
          <w:szCs w:val="28"/>
          <w:lang w:val="kk-KZ"/>
        </w:rPr>
      </w:pPr>
      <w:r>
        <w:rPr>
          <w:color w:val="auto"/>
          <w:szCs w:val="28"/>
          <w:lang w:val="kk-KZ"/>
        </w:rPr>
        <w:t>Әзірленген әдіс бойынша Қазақстан Республикасының пайдалы үлгісіне патент алуға өтінім берілді, бұл әдістің инновациялық сипатын және өнеркәсіпте қолдану мүмкіндігін растайды.</w:t>
      </w:r>
    </w:p>
    <w:p w14:paraId="363245F3">
      <w:pPr>
        <w:adjustRightInd w:val="0"/>
        <w:spacing w:after="0"/>
        <w:ind w:firstLine="709"/>
        <w:rPr>
          <w:color w:val="auto"/>
          <w:szCs w:val="28"/>
          <w:lang w:val="kk-KZ"/>
        </w:rPr>
      </w:pPr>
      <w:r>
        <w:rPr>
          <w:color w:val="auto"/>
          <w:szCs w:val="28"/>
          <w:lang w:val="kk-KZ"/>
        </w:rPr>
        <w:t>Диссертациялық жұмыстың материалдары жоғары оқу орындарында «Экология», «Биотехнология», «Қоршаған ортаны қорғау және табиғи ресурстарды ұтымды пайдалану» мамандықтары бойынша студенттерді даярлауда, сондай-ақ мұнай-газ компанияларының экологиялық қызметкерлерін оқытуда пайдаланылуы мүмкін.</w:t>
      </w:r>
    </w:p>
    <w:p w14:paraId="43608007">
      <w:pPr>
        <w:adjustRightInd w:val="0"/>
        <w:spacing w:after="0"/>
        <w:ind w:firstLine="709"/>
        <w:rPr>
          <w:color w:val="auto"/>
          <w:szCs w:val="28"/>
          <w:lang w:val="kk-KZ"/>
        </w:rPr>
      </w:pPr>
      <w:r>
        <w:rPr>
          <w:b/>
          <w:bCs/>
          <w:color w:val="auto"/>
          <w:szCs w:val="28"/>
          <w:lang w:val="kk-KZ" w:eastAsia="zh-CN"/>
        </w:rPr>
        <w:t>Автордың жеке үлесі.</w:t>
      </w:r>
      <w:r>
        <w:rPr>
          <w:color w:val="auto"/>
          <w:szCs w:val="28"/>
          <w:lang w:val="kk-KZ" w:eastAsia="zh-CN"/>
        </w:rPr>
        <w:t xml:space="preserve"> Автор мұнаймен ластанған топырақтарды биоремедиялауды (Маңғыстау облысы) зерттеу міндеттерін анықтап, сынама үлгілерін алып, зертханалық микробиологиялық және физика-химиялық талдауларды жүргізді. </w:t>
      </w:r>
      <w:r>
        <w:rPr>
          <w:color w:val="auto"/>
          <w:szCs w:val="28"/>
          <w:lang w:val="kk-KZ" w:eastAsia="zh-CN"/>
        </w:rPr>
        <w:t>Өсімдік тасымалдағыштарына микроорганизмдерді иммобилизациялау, оңтайлы параметрлерді анықтау және биодеградация кинетикасын зерттеу бойынша тәжірибелік жұмыстар орындады. Алынған нәтижелерге статистикалық талдау мен кешенді жалпылау жүргізді.</w:t>
      </w:r>
    </w:p>
    <w:p w14:paraId="349D19A1">
      <w:pPr>
        <w:adjustRightInd w:val="0"/>
        <w:spacing w:after="0"/>
        <w:ind w:firstLine="709"/>
        <w:rPr>
          <w:color w:val="auto"/>
          <w:szCs w:val="28"/>
          <w:lang w:val="kk-KZ" w:eastAsia="zh-CN"/>
        </w:rPr>
      </w:pPr>
      <w:r>
        <w:rPr>
          <w:b/>
          <w:bCs/>
          <w:iCs/>
          <w:color w:val="auto"/>
          <w:szCs w:val="28"/>
          <w:lang w:val="kk-KZ"/>
        </w:rPr>
        <w:t xml:space="preserve">Жұмыстың апробациясы. </w:t>
      </w:r>
      <w:r>
        <w:rPr>
          <w:color w:val="auto"/>
          <w:szCs w:val="28"/>
          <w:lang w:val="kk-KZ" w:eastAsia="zh-CN" w:bidi="ar"/>
        </w:rPr>
        <w:t xml:space="preserve">Зерттеу нәтижелері келесі халықаралық ғылыми-тәжірибелік конференцияларда баяндалды және талқыланды: </w:t>
      </w:r>
      <w:r>
        <w:rPr>
          <w:color w:val="auto"/>
          <w:szCs w:val="28"/>
          <w:lang w:val="kk-KZ" w:eastAsia="zh-CN"/>
        </w:rPr>
        <w:t xml:space="preserve">«Қазіргі ғылым: жаңа тәсілдер және өзекті зерттеулер» (Modern science: New approaches and actual studies) халықаралық ғылыми-тәжірибелік конференциясында, «Биологиялық ғылымдар» секциясындағы «Үздік ғылыми жұмыс» байқауына қатысқаны үшін 3-ші дәрежелі диплом; 21 сәуір 2020 жылы, Чехия, Прага қаласы; «Жастар, ғылым және инновация» атты студенттер, магистранттар, PhD докторанттардың XVI Республикалық ғылыми-тәжірибелік конференциясы»; 9 сәуір 2020 жылы, Ақтөбе, «Фараби Әлемі» студенттер мен жас ғалымдардың халықаралық ғылыми конференциясы; 6-9 сәуір 2020 жылы, Алматы қаласы, </w:t>
      </w:r>
      <w:r>
        <w:rPr>
          <w:color w:val="auto"/>
          <w:szCs w:val="28"/>
          <w:lang w:val="kk" w:eastAsia="zh-CN"/>
        </w:rPr>
        <w:t>«Каспий өңірі дәуірлер мен мәдениеттер тоғысында: тұрақты даму парадигмасының мәселелері мен перспективалары» атты Халықаралық ғылым-білім беру форумы</w:t>
      </w:r>
      <w:r>
        <w:rPr>
          <w:color w:val="auto"/>
          <w:szCs w:val="28"/>
          <w:lang w:val="kk-KZ" w:eastAsia="zh-CN"/>
        </w:rPr>
        <w:t>,</w:t>
      </w:r>
      <w:r>
        <w:rPr>
          <w:color w:val="auto"/>
          <w:szCs w:val="28"/>
          <w:lang w:val="kk" w:eastAsia="zh-CN"/>
        </w:rPr>
        <w:t xml:space="preserve"> 22-26 қыркүйе</w:t>
      </w:r>
      <w:r>
        <w:rPr>
          <w:color w:val="auto"/>
          <w:szCs w:val="28"/>
          <w:lang w:val="kk-KZ" w:eastAsia="zh-CN"/>
        </w:rPr>
        <w:t xml:space="preserve">к, </w:t>
      </w:r>
      <w:r>
        <w:rPr>
          <w:color w:val="auto"/>
          <w:szCs w:val="28"/>
          <w:lang w:val="kk" w:eastAsia="zh-CN"/>
        </w:rPr>
        <w:t>2025 жыл</w:t>
      </w:r>
      <w:r>
        <w:rPr>
          <w:color w:val="auto"/>
          <w:szCs w:val="28"/>
          <w:lang w:val="kk-KZ" w:eastAsia="zh-CN"/>
        </w:rPr>
        <w:t>ы</w:t>
      </w:r>
      <w:r>
        <w:rPr>
          <w:color w:val="auto"/>
          <w:szCs w:val="28"/>
          <w:lang w:val="kk" w:eastAsia="zh-CN"/>
        </w:rPr>
        <w:t xml:space="preserve"> Ақтау қаласы</w:t>
      </w:r>
      <w:r>
        <w:rPr>
          <w:color w:val="auto"/>
          <w:szCs w:val="28"/>
          <w:lang w:val="kk-KZ" w:eastAsia="zh-CN"/>
        </w:rPr>
        <w:t xml:space="preserve">; 6-8 наурыз, 2026 жылы, Фукуока, Жапония еліндегі 16-шы Халықаралық "Болашақ қоршаған орта және энергетика" (ICFEE 2026) (Scopus индекстелінген E3S Web of Conferences басылымында жарияланады) конференциясына мақала қабылданды. </w:t>
      </w:r>
    </w:p>
    <w:p w14:paraId="321C0EBF">
      <w:pPr>
        <w:adjustRightInd w:val="0"/>
        <w:spacing w:after="0"/>
        <w:ind w:firstLine="709"/>
        <w:rPr>
          <w:color w:val="auto"/>
          <w:szCs w:val="28"/>
          <w:lang w:val="kk-KZ" w:eastAsia="zh-CN" w:bidi="ar"/>
        </w:rPr>
      </w:pPr>
      <w:r>
        <w:rPr>
          <w:b/>
          <w:color w:val="auto"/>
          <w:szCs w:val="28"/>
          <w:lang w:val="kk-KZ"/>
        </w:rPr>
        <w:t>Бұл жұмыстың басқа ғылыми-зерттеу жұмыстарымен байланысы.</w:t>
      </w:r>
      <w:r>
        <w:rPr>
          <w:color w:val="auto"/>
          <w:szCs w:val="28"/>
          <w:lang w:val="kk-KZ"/>
        </w:rPr>
        <w:t xml:space="preserve"> </w:t>
      </w:r>
      <w:r>
        <w:rPr>
          <w:color w:val="auto"/>
          <w:szCs w:val="28"/>
          <w:lang w:val="kk-KZ" w:eastAsia="zh-CN" w:bidi="ar"/>
        </w:rPr>
        <w:t>Диссертациялық жұмыс ҚР «Жас ғалым» жобасы ГҚ 2025-2027 жылдарға арналған ИРН AP257960069 «</w:t>
      </w:r>
      <w:r>
        <w:rPr>
          <w:color w:val="auto"/>
          <w:szCs w:val="28"/>
          <w:lang w:val="kk-KZ"/>
        </w:rPr>
        <w:t>Иммобилизацияланған көмірсутек тотықтырғыш микроорганизмдерді қолдану арқылы мұнаймен ластанған топырақты биоремедиациялау процесін жетілдіру</w:t>
      </w:r>
      <w:r>
        <w:rPr>
          <w:color w:val="auto"/>
          <w:szCs w:val="28"/>
          <w:lang w:val="kk-KZ" w:eastAsia="zh-CN" w:bidi="ar"/>
        </w:rPr>
        <w:t xml:space="preserve">» жобасы </w:t>
      </w:r>
      <w:r>
        <w:rPr>
          <w:color w:val="auto"/>
          <w:szCs w:val="28"/>
          <w:lang w:val="kk-KZ"/>
        </w:rPr>
        <w:t>аясында жүргізілді</w:t>
      </w:r>
      <w:r>
        <w:rPr>
          <w:color w:val="auto"/>
          <w:szCs w:val="28"/>
          <w:lang w:val="kk-KZ" w:eastAsia="zh-CN" w:bidi="ar"/>
        </w:rPr>
        <w:t>.</w:t>
      </w:r>
    </w:p>
    <w:p w14:paraId="06A280AC">
      <w:pPr>
        <w:adjustRightInd w:val="0"/>
        <w:spacing w:after="0"/>
        <w:ind w:left="-1" w:firstLine="709"/>
        <w:rPr>
          <w:color w:val="auto"/>
          <w:szCs w:val="28"/>
          <w:lang w:val="kk-KZ"/>
        </w:rPr>
      </w:pPr>
      <w:r>
        <w:rPr>
          <w:b/>
          <w:color w:val="auto"/>
          <w:szCs w:val="28"/>
          <w:lang w:val="kk-KZ"/>
        </w:rPr>
        <w:t>Зерттеу нәтижелерін апробациялау.</w:t>
      </w:r>
      <w:r>
        <w:rPr>
          <w:i/>
          <w:color w:val="auto"/>
          <w:szCs w:val="28"/>
          <w:lang w:val="kk-KZ"/>
        </w:rPr>
        <w:t xml:space="preserve"> </w:t>
      </w:r>
      <w:r>
        <w:rPr>
          <w:color w:val="auto"/>
          <w:szCs w:val="28"/>
          <w:lang w:val="kk-KZ" w:eastAsia="zh-CN" w:bidi="ar"/>
        </w:rPr>
        <w:t xml:space="preserve">Диссертация материалдары бойынша 10 ғылыми жұмыс жарияланды, оның ішінде: 3 мақала </w:t>
      </w:r>
      <w:r>
        <w:rPr>
          <w:rFonts w:hint="default" w:ascii="Times New Roman" w:hAnsi="Times New Roman" w:cs="Times New Roman"/>
          <w:b w:val="0"/>
          <w:bCs w:val="0"/>
          <w:color w:val="auto"/>
          <w:sz w:val="24"/>
          <w:szCs w:val="24"/>
          <w:lang w:val="kk-KZ"/>
        </w:rPr>
        <w:t>Қ</w:t>
      </w:r>
      <w:r>
        <w:rPr>
          <w:rFonts w:hint="default" w:ascii="Times New Roman" w:hAnsi="Times New Roman" w:cs="Times New Roman"/>
          <w:b w:val="0"/>
          <w:bCs w:val="0"/>
          <w:color w:val="auto"/>
          <w:sz w:val="24"/>
          <w:szCs w:val="24"/>
        </w:rPr>
        <w:t>Р ҒЖБМ ҒЖБССҚК</w:t>
      </w:r>
      <w:r>
        <w:rPr>
          <w:color w:val="auto"/>
          <w:szCs w:val="28"/>
          <w:lang w:val="kk-KZ" w:eastAsia="zh-CN" w:bidi="ar"/>
        </w:rPr>
        <w:t xml:space="preserve"> ұсынған журналдарда, Scopus мәліметтер базасына енген журналдарда 2 жарияланым жарияланды. Басқа мақалалар халықаралық ғылыми және ғылыми-практикалық конференциялар жинақтарындағы басылымға шықты.</w:t>
      </w:r>
    </w:p>
    <w:p w14:paraId="49B7E8F0">
      <w:pPr>
        <w:adjustRightInd w:val="0"/>
        <w:spacing w:after="0"/>
        <w:ind w:firstLine="709"/>
        <w:rPr>
          <w:color w:val="auto"/>
          <w:szCs w:val="28"/>
          <w:highlight w:val="none"/>
          <w:lang w:val="kk-KZ"/>
        </w:rPr>
      </w:pPr>
      <w:r>
        <w:rPr>
          <w:b/>
          <w:color w:val="auto"/>
          <w:szCs w:val="28"/>
          <w:lang w:val="kk-KZ"/>
        </w:rPr>
        <w:t>Диссертацияның құрылымы мен көлемі.</w:t>
      </w:r>
      <w:r>
        <w:rPr>
          <w:i/>
          <w:color w:val="auto"/>
          <w:szCs w:val="28"/>
          <w:highlight w:val="none"/>
          <w:lang w:val="kk-KZ"/>
        </w:rPr>
        <w:t xml:space="preserve"> </w:t>
      </w:r>
      <w:r>
        <w:rPr>
          <w:color w:val="auto"/>
          <w:szCs w:val="28"/>
          <w:highlight w:val="none"/>
          <w:lang w:val="kk-KZ"/>
        </w:rPr>
        <w:t xml:space="preserve">Диссертация кіріспеден, төрт тараудан, қорытындыдан, </w:t>
      </w:r>
      <w:r>
        <w:rPr>
          <w:rFonts w:hint="default"/>
          <w:color w:val="auto"/>
          <w:szCs w:val="28"/>
          <w:highlight w:val="none"/>
          <w:lang w:val="kk-KZ"/>
        </w:rPr>
        <w:t xml:space="preserve">194 </w:t>
      </w:r>
      <w:r>
        <w:rPr>
          <w:color w:val="auto"/>
          <w:szCs w:val="28"/>
          <w:highlight w:val="none"/>
          <w:lang w:val="kk-KZ"/>
        </w:rPr>
        <w:t xml:space="preserve">пайдаланылған әдебиеттер тізімінен және қосымшалардан тұрады. Жұмыстың жалпы көлемі </w:t>
      </w:r>
      <w:r>
        <w:rPr>
          <w:rFonts w:hint="default"/>
          <w:color w:val="auto"/>
          <w:szCs w:val="28"/>
          <w:highlight w:val="none"/>
          <w:lang w:val="kk-KZ"/>
        </w:rPr>
        <w:t xml:space="preserve">27 </w:t>
      </w:r>
      <w:r>
        <w:rPr>
          <w:color w:val="auto"/>
          <w:szCs w:val="28"/>
          <w:highlight w:val="none"/>
          <w:lang w:val="kk-KZ"/>
        </w:rPr>
        <w:t xml:space="preserve">кестелерден және </w:t>
      </w:r>
      <w:r>
        <w:rPr>
          <w:rFonts w:hint="default"/>
          <w:color w:val="auto"/>
          <w:szCs w:val="28"/>
          <w:highlight w:val="none"/>
          <w:lang w:val="kk-KZ"/>
        </w:rPr>
        <w:t xml:space="preserve">15 </w:t>
      </w:r>
      <w:r>
        <w:rPr>
          <w:color w:val="auto"/>
          <w:szCs w:val="28"/>
          <w:highlight w:val="none"/>
          <w:lang w:val="kk-KZ"/>
        </w:rPr>
        <w:t>суреттерді</w:t>
      </w:r>
      <w:r>
        <w:rPr>
          <w:rFonts w:hint="default"/>
          <w:color w:val="auto"/>
          <w:szCs w:val="28"/>
          <w:highlight w:val="none"/>
          <w:lang w:val="kk-KZ"/>
        </w:rPr>
        <w:t xml:space="preserve"> </w:t>
      </w:r>
      <w:r>
        <w:rPr>
          <w:color w:val="auto"/>
          <w:szCs w:val="28"/>
          <w:highlight w:val="none"/>
          <w:lang w:val="kk-KZ"/>
        </w:rPr>
        <w:t xml:space="preserve"> қоса алғанда, </w:t>
      </w:r>
      <w:r>
        <w:rPr>
          <w:rFonts w:hint="default"/>
          <w:color w:val="auto"/>
          <w:szCs w:val="28"/>
          <w:highlight w:val="none"/>
          <w:lang w:val="kk-KZ"/>
        </w:rPr>
        <w:t xml:space="preserve">124 </w:t>
      </w:r>
      <w:r>
        <w:rPr>
          <w:color w:val="auto"/>
          <w:szCs w:val="28"/>
          <w:highlight w:val="none"/>
          <w:lang w:val="kk-KZ"/>
        </w:rPr>
        <w:t>беттен</w:t>
      </w:r>
      <w:r>
        <w:rPr>
          <w:rFonts w:hint="default"/>
          <w:color w:val="auto"/>
          <w:szCs w:val="28"/>
          <w:highlight w:val="none"/>
          <w:lang w:val="kk-KZ"/>
        </w:rPr>
        <w:t xml:space="preserve"> тұрады.</w:t>
      </w:r>
    </w:p>
    <w:p w14:paraId="6AAC7784">
      <w:pPr>
        <w:rPr>
          <w:color w:val="auto"/>
          <w:szCs w:val="28"/>
          <w:lang w:val="kk-KZ"/>
        </w:rPr>
      </w:pPr>
      <w:r>
        <w:rPr>
          <w:color w:val="auto"/>
          <w:szCs w:val="28"/>
          <w:highlight w:val="none"/>
          <w:lang w:val="kk-KZ"/>
        </w:rPr>
        <w:br w:type="page"/>
      </w:r>
    </w:p>
    <w:p w14:paraId="4627F163">
      <w:pPr>
        <w:pStyle w:val="309"/>
        <w:tabs>
          <w:tab w:val="left" w:pos="142"/>
        </w:tabs>
        <w:spacing w:before="0"/>
        <w:ind w:firstLine="709"/>
        <w:rPr>
          <w:color w:val="auto"/>
          <w:lang w:val="kk-KZ"/>
        </w:rPr>
      </w:pPr>
      <w:r>
        <w:rPr>
          <w:color w:val="auto"/>
          <w:lang w:val="kk-KZ"/>
        </w:rPr>
        <w:t>1 МҰНАЙМЕН ЛАСТАНҒАН ТОПЫРАҚТАРДЫҢ БИОРЕМЕДИАЦИЯСЫНЫҢ ТЕОРИЯЛЫҚ НЕГІЗДЕРІ</w:t>
      </w:r>
    </w:p>
    <w:p w14:paraId="2CD5F879">
      <w:pPr>
        <w:pStyle w:val="294"/>
        <w:ind w:firstLine="709"/>
        <w:rPr>
          <w:b/>
          <w:color w:val="auto"/>
          <w:lang w:val="kk-KZ"/>
        </w:rPr>
      </w:pPr>
    </w:p>
    <w:p w14:paraId="3BA47279">
      <w:pPr>
        <w:pStyle w:val="3"/>
        <w:keepNext w:val="0"/>
        <w:keepLines w:val="0"/>
        <w:numPr>
          <w:ilvl w:val="1"/>
          <w:numId w:val="0"/>
        </w:numPr>
        <w:spacing w:before="0"/>
        <w:ind w:firstLine="709"/>
        <w:rPr>
          <w:color w:val="auto"/>
          <w:lang w:val="kk-KZ"/>
        </w:rPr>
      </w:pPr>
      <w:r>
        <w:rPr>
          <w:rFonts w:ascii="Times New Roman" w:hAnsi="Times New Roman"/>
          <w:b/>
          <w:bCs/>
          <w:color w:val="auto"/>
          <w:sz w:val="28"/>
          <w:szCs w:val="28"/>
          <w:lang w:val="kk-KZ"/>
        </w:rPr>
        <w:t>1.1 Мұнай өнімдерімен топырақтың ластану көздері мен масштабтарына шолу</w:t>
      </w:r>
    </w:p>
    <w:p w14:paraId="2C606315">
      <w:pPr>
        <w:spacing w:after="0"/>
        <w:ind w:firstLine="709"/>
        <w:rPr>
          <w:color w:val="auto"/>
          <w:szCs w:val="28"/>
          <w:lang w:val="kk-KZ"/>
        </w:rPr>
      </w:pPr>
      <w:r>
        <w:rPr>
          <w:color w:val="auto"/>
          <w:szCs w:val="28"/>
          <w:lang w:val="kk-KZ"/>
        </w:rPr>
        <w:t>Топырақтың мұнай көмірсутектерімен ластануы қазіргі заманның ең күрделі экологиялық мәселелерінің бірі болып табылады. Әлемдік деңгейде мұнай көмірсутектерімен ластанған территориялар жер бетінің 5 миллион км² астамын қамтиды [6]. Бұл проблема әсіресе мұнай өндіруші аймақтарда өткір сипат алады, өйткені кен орындарын қарқынды игеру топырақ ресурстарының ауқымды деградациясымен қатар жүреді.</w:t>
      </w:r>
    </w:p>
    <w:p w14:paraId="5C7AC15C">
      <w:pPr>
        <w:spacing w:after="0"/>
        <w:ind w:firstLine="709"/>
        <w:rPr>
          <w:color w:val="auto"/>
          <w:szCs w:val="28"/>
          <w:lang w:val="kk-KZ"/>
        </w:rPr>
      </w:pPr>
      <w:r>
        <w:rPr>
          <w:color w:val="auto"/>
          <w:szCs w:val="28"/>
          <w:lang w:val="kk-KZ"/>
        </w:rPr>
        <w:t>Әлемдегі ең ірі мұнай өндіруші мемлекеттердің бірі болып табылатын Қазақстан Республикасында топырақтың мұнай өнімдерімен ластануы ерекше өзектілікке ие. Қазақстан Республикасы Экология, геология және табиғи ресурстар министрлігінің деректері бойынша, Каспий маңы аймағында ластанған территориялардың жалпы алқабы 43 000 км² асады, оның ішінде 6 000 км² тікелей мұнай өнімдерімен ластанған [3]. Маңғыстау облысында ғана 118 мың тоннадан астам мұнай қалдықтары жинақталған, бұл аймақтың экожүйесіне елеулі қауіп төндіруде.</w:t>
      </w:r>
    </w:p>
    <w:p w14:paraId="25B659EA">
      <w:pPr>
        <w:spacing w:after="0"/>
        <w:ind w:firstLine="709"/>
        <w:rPr>
          <w:rFonts w:hint="default"/>
          <w:color w:val="auto"/>
          <w:szCs w:val="28"/>
          <w:highlight w:val="none"/>
          <w:lang w:val="kk-KZ"/>
        </w:rPr>
      </w:pPr>
      <w:r>
        <w:rPr>
          <w:rFonts w:hint="default"/>
          <w:color w:val="auto"/>
          <w:szCs w:val="28"/>
          <w:highlight w:val="none"/>
          <w:lang w:val="kk-KZ"/>
        </w:rPr>
        <w:t>Қазақстан Республикасы мұнай қалдықтарын жинақтау көлемі бойынша Орталық Азия өңіріндегі мұнай өндіруші елдер арасында алдыңғы қатарда тұр. Қазақстан Республикасының 2022 жылғы қоршаған ортаны қорғау және табиғи ресурстарды пайдалану жөніндегі ұлттық баяндамасына сәйкес, 2023 жылдың 1 қаңтарына дейінгі жағдай бойынша елімізде 31,6 миллиард тонна өнеркәсіптік қалдықтар жинақталған, ал жылдық өсім шамамен 1 миллиард тоннаны құрайды [4].</w:t>
      </w:r>
    </w:p>
    <w:p w14:paraId="0837E67E">
      <w:pPr>
        <w:spacing w:after="0"/>
        <w:ind w:firstLine="709"/>
        <w:rPr>
          <w:rFonts w:hint="default"/>
          <w:color w:val="auto"/>
          <w:szCs w:val="28"/>
          <w:highlight w:val="yellow"/>
          <w:lang w:val="kk-KZ"/>
        </w:rPr>
      </w:pPr>
    </w:p>
    <w:p w14:paraId="68642055">
      <w:pPr>
        <w:spacing w:after="0"/>
        <w:ind w:firstLine="709"/>
        <w:jc w:val="center"/>
        <w:rPr>
          <w:color w:val="auto"/>
          <w:szCs w:val="28"/>
        </w:rPr>
      </w:pPr>
      <w:r>
        <w:rPr>
          <w:color w:val="auto"/>
          <w:szCs w:val="28"/>
        </w:rPr>
        <w:drawing>
          <wp:inline distT="0" distB="0" distL="0" distR="0">
            <wp:extent cx="4384040" cy="2510155"/>
            <wp:effectExtent l="0" t="0" r="5080" b="4445"/>
            <wp:docPr id="1" name="Изображение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4"/>
                    <pic:cNvPicPr>
                      <a:picLocks noChangeAspect="1" noChangeArrowheads="1"/>
                    </pic:cNvPicPr>
                  </pic:nvPicPr>
                  <pic:blipFill>
                    <a:blip r:embed="rId8"/>
                    <a:srcRect l="1068" t="989" r="806" b="491"/>
                    <a:stretch>
                      <a:fillRect/>
                    </a:stretch>
                  </pic:blipFill>
                  <pic:spPr>
                    <a:xfrm>
                      <a:off x="0" y="0"/>
                      <a:ext cx="4384040" cy="2510155"/>
                    </a:xfrm>
                    <a:prstGeom prst="rect">
                      <a:avLst/>
                    </a:prstGeom>
                  </pic:spPr>
                </pic:pic>
              </a:graphicData>
            </a:graphic>
          </wp:inline>
        </w:drawing>
      </w:r>
    </w:p>
    <w:p w14:paraId="3732D4E9">
      <w:pPr>
        <w:spacing w:after="0"/>
        <w:ind w:firstLine="709"/>
        <w:rPr>
          <w:color w:val="auto"/>
          <w:szCs w:val="28"/>
        </w:rPr>
      </w:pPr>
    </w:p>
    <w:p w14:paraId="75467D20">
      <w:pPr>
        <w:spacing w:after="0"/>
        <w:ind w:firstLine="709"/>
        <w:jc w:val="center"/>
        <w:rPr>
          <w:rFonts w:hint="default"/>
          <w:color w:val="auto"/>
          <w:szCs w:val="28"/>
          <w:lang w:val="kk-KZ"/>
        </w:rPr>
      </w:pPr>
      <w:r>
        <w:rPr>
          <w:color w:val="auto"/>
          <w:szCs w:val="28"/>
          <w:lang w:val="kk-KZ"/>
        </w:rPr>
        <w:t>С</w:t>
      </w:r>
      <w:r>
        <w:rPr>
          <w:color w:val="auto"/>
          <w:szCs w:val="28"/>
        </w:rPr>
        <w:t>урет</w:t>
      </w:r>
      <w:r>
        <w:rPr>
          <w:color w:val="auto"/>
          <w:szCs w:val="28"/>
          <w:lang w:val="kk-KZ"/>
        </w:rPr>
        <w:t xml:space="preserve"> 1</w:t>
      </w:r>
      <w:r>
        <w:rPr>
          <w:color w:val="auto"/>
          <w:szCs w:val="28"/>
        </w:rPr>
        <w:t xml:space="preserve"> - Мұнай өндіру динамикасы</w:t>
      </w:r>
      <w:r>
        <w:rPr>
          <w:rFonts w:hint="default"/>
          <w:color w:val="auto"/>
          <w:szCs w:val="28"/>
          <w:lang w:val="kk-KZ"/>
        </w:rPr>
        <w:t xml:space="preserve"> (1995 - 2024 жж.)</w:t>
      </w:r>
    </w:p>
    <w:p w14:paraId="52AB8F30">
      <w:pPr>
        <w:spacing w:after="0"/>
        <w:ind w:firstLine="709"/>
        <w:jc w:val="center"/>
        <w:rPr>
          <w:color w:val="auto"/>
          <w:szCs w:val="28"/>
        </w:rPr>
      </w:pPr>
    </w:p>
    <w:p w14:paraId="02EA97DA">
      <w:pPr>
        <w:pStyle w:val="3"/>
        <w:keepNext w:val="0"/>
        <w:keepLines w:val="0"/>
        <w:numPr>
          <w:ilvl w:val="0"/>
          <w:numId w:val="0"/>
        </w:numPr>
        <w:spacing w:before="0"/>
        <w:ind w:firstLine="709"/>
        <w:rPr>
          <w:rFonts w:ascii="Times New Roman" w:hAnsi="Times New Roman" w:eastAsia="SimSun" w:cs="Times New Roman"/>
          <w:color w:val="auto"/>
          <w:sz w:val="28"/>
          <w:szCs w:val="28"/>
          <w:lang w:val="ru-RU" w:eastAsia="ru-RU" w:bidi="ar-SA"/>
        </w:rPr>
      </w:pPr>
      <w:r>
        <w:rPr>
          <w:rFonts w:ascii="Times New Roman" w:hAnsi="Times New Roman" w:eastAsia="SimSun" w:cs="Times New Roman"/>
          <w:color w:val="auto"/>
          <w:sz w:val="28"/>
          <w:szCs w:val="28"/>
          <w:lang w:val="ru-RU" w:eastAsia="ru-RU" w:bidi="ar-SA"/>
        </w:rPr>
        <w:t>Қазақстанда мұнай өндіру 2000 жылдардың басынан бері тұрақты өсу үрдісімен сипатталады (1-сурет). 1995 жылдан 2018 жылға дейінгі кезеңде өндіріс көлемі 30 млн тоннадан 90 млн тоннаға дейін өсіп, шамамен үш есе артты. 2023 жылдың қорытындысы бойынша мұнай өндіру 87,56 млн тоннаны құрады, бұл өткен жылмен салыстырғанда 2,7%-ға төмендеуді көрсетті [5]. 2024 жылдың қорытындысы бойынша мұнай өндіру 87,8 млн тоннаны құрап, алдыңғы жылмен салыстырғанда тұрақты деңгейде сақталды. Бұл төмендеу ОПЕК+ өндірісті ерікті түрде қысқарту туралы келісім аясындағы Қазақстанның міндеттемелерін орындауымен байланысты [7</w:t>
      </w:r>
      <w:r>
        <w:rPr>
          <w:rFonts w:hint="default" w:ascii="Times New Roman" w:hAnsi="Times New Roman" w:cs="Times New Roman"/>
          <w:color w:val="auto"/>
          <w:sz w:val="28"/>
          <w:szCs w:val="28"/>
          <w:lang w:val="en-US" w:eastAsia="ru-RU" w:bidi="ar-SA"/>
        </w:rPr>
        <w:t>,8</w:t>
      </w:r>
      <w:r>
        <w:rPr>
          <w:rFonts w:ascii="Times New Roman" w:hAnsi="Times New Roman" w:eastAsia="SimSun" w:cs="Times New Roman"/>
          <w:color w:val="auto"/>
          <w:sz w:val="28"/>
          <w:szCs w:val="28"/>
          <w:lang w:val="ru-RU" w:eastAsia="ru-RU" w:bidi="ar-SA"/>
        </w:rPr>
        <w:t>].</w:t>
      </w:r>
    </w:p>
    <w:p w14:paraId="5B75B9FB">
      <w:pPr>
        <w:pStyle w:val="3"/>
        <w:keepNext w:val="0"/>
        <w:keepLines w:val="0"/>
        <w:numPr>
          <w:ilvl w:val="0"/>
          <w:numId w:val="0"/>
        </w:numPr>
        <w:spacing w:before="0"/>
        <w:ind w:firstLine="709"/>
        <w:rPr>
          <w:rFonts w:ascii="Times New Roman" w:hAnsi="Times New Roman"/>
          <w:color w:val="auto"/>
          <w:sz w:val="28"/>
          <w:szCs w:val="28"/>
        </w:rPr>
      </w:pPr>
      <w:r>
        <w:rPr>
          <w:rFonts w:ascii="Times New Roman" w:hAnsi="Times New Roman"/>
          <w:color w:val="auto"/>
          <w:sz w:val="28"/>
          <w:szCs w:val="28"/>
        </w:rPr>
        <w:t>Қазақстандағы мұнай қалдықтарының негізгі түрлері төмендегідей жіктеледі :</w:t>
      </w:r>
    </w:p>
    <w:p w14:paraId="232BE4B4">
      <w:pPr>
        <w:pStyle w:val="3"/>
        <w:keepNext w:val="0"/>
        <w:keepLines w:val="0"/>
        <w:numPr>
          <w:ilvl w:val="0"/>
          <w:numId w:val="0"/>
        </w:numPr>
        <w:spacing w:before="0"/>
        <w:ind w:firstLine="709"/>
        <w:rPr>
          <w:rFonts w:ascii="Times New Roman" w:hAnsi="Times New Roman"/>
          <w:color w:val="auto"/>
          <w:sz w:val="28"/>
          <w:szCs w:val="28"/>
        </w:rPr>
      </w:pPr>
      <w:r>
        <w:rPr>
          <w:rFonts w:ascii="Times New Roman" w:hAnsi="Times New Roman"/>
          <w:color w:val="auto"/>
          <w:sz w:val="28"/>
          <w:szCs w:val="28"/>
        </w:rPr>
        <w:t>Мұнай шламдары – мұнайды, резервуарларды және технологиялық жабдықтарды тазалау процесінде түзілетін өнімдер, жалпы мұнай қалдықтарының ең үлкен үлесін құрайды;</w:t>
      </w:r>
    </w:p>
    <w:p w14:paraId="7C7B3E9C">
      <w:pPr>
        <w:pStyle w:val="3"/>
        <w:keepNext w:val="0"/>
        <w:keepLines w:val="0"/>
        <w:numPr>
          <w:ilvl w:val="0"/>
          <w:numId w:val="0"/>
        </w:numPr>
        <w:spacing w:before="0"/>
        <w:ind w:firstLine="709"/>
        <w:rPr>
          <w:rFonts w:ascii="Times New Roman" w:hAnsi="Times New Roman"/>
          <w:color w:val="auto"/>
          <w:sz w:val="28"/>
          <w:szCs w:val="28"/>
        </w:rPr>
      </w:pPr>
      <w:r>
        <w:rPr>
          <w:rFonts w:ascii="Times New Roman" w:hAnsi="Times New Roman"/>
          <w:color w:val="auto"/>
          <w:sz w:val="28"/>
          <w:szCs w:val="28"/>
        </w:rPr>
        <w:t>Бұрғылау шламдары – кен орындарын геологиялық барлау және игеру кезіндегі бұрғылау жұмыстарының қалдықтары;</w:t>
      </w:r>
    </w:p>
    <w:p w14:paraId="48DE3033">
      <w:pPr>
        <w:pStyle w:val="3"/>
        <w:keepNext w:val="0"/>
        <w:keepLines w:val="0"/>
        <w:numPr>
          <w:ilvl w:val="0"/>
          <w:numId w:val="0"/>
        </w:numPr>
        <w:spacing w:before="0"/>
        <w:ind w:firstLine="709"/>
        <w:rPr>
          <w:rFonts w:ascii="Times New Roman" w:hAnsi="Times New Roman"/>
          <w:color w:val="auto"/>
          <w:sz w:val="28"/>
          <w:szCs w:val="28"/>
        </w:rPr>
      </w:pPr>
      <w:r>
        <w:rPr>
          <w:rFonts w:ascii="Times New Roman" w:hAnsi="Times New Roman"/>
          <w:color w:val="auto"/>
          <w:sz w:val="28"/>
          <w:szCs w:val="28"/>
        </w:rPr>
        <w:t>Мұнаймен ластанған топырақтар – апаттық төгілулер мен техногендік авариялардың салдарынан пайда болатын ластанған топырақ массалары;</w:t>
      </w:r>
    </w:p>
    <w:p w14:paraId="5A98B7EC">
      <w:pPr>
        <w:pStyle w:val="3"/>
        <w:keepNext w:val="0"/>
        <w:keepLines w:val="0"/>
        <w:numPr>
          <w:ilvl w:val="0"/>
          <w:numId w:val="0"/>
        </w:numPr>
        <w:spacing w:before="0"/>
        <w:ind w:firstLine="709"/>
        <w:rPr>
          <w:rFonts w:ascii="Times New Roman" w:hAnsi="Times New Roman"/>
          <w:color w:val="auto"/>
          <w:sz w:val="28"/>
          <w:szCs w:val="28"/>
        </w:rPr>
      </w:pPr>
      <w:r>
        <w:rPr>
          <w:rFonts w:ascii="Times New Roman" w:hAnsi="Times New Roman"/>
          <w:color w:val="auto"/>
          <w:sz w:val="28"/>
          <w:szCs w:val="28"/>
        </w:rPr>
        <w:t>Басқа да мұнай қалдықтары – пайдаланылған майлар, құрамында мұнай өнімдері бар ағын сулар және өзге де қалдықтар.</w:t>
      </w:r>
    </w:p>
    <w:p w14:paraId="757342A7">
      <w:pPr>
        <w:pStyle w:val="3"/>
        <w:keepNext w:val="0"/>
        <w:keepLines w:val="0"/>
        <w:numPr>
          <w:ilvl w:val="0"/>
          <w:numId w:val="0"/>
        </w:numPr>
        <w:spacing w:before="0"/>
        <w:ind w:firstLine="709"/>
        <w:rPr>
          <w:rFonts w:ascii="Times New Roman" w:hAnsi="Times New Roman"/>
          <w:color w:val="auto"/>
          <w:sz w:val="28"/>
          <w:szCs w:val="28"/>
        </w:rPr>
      </w:pPr>
      <w:r>
        <w:rPr>
          <w:rFonts w:ascii="Times New Roman" w:hAnsi="Times New Roman"/>
          <w:color w:val="auto"/>
          <w:sz w:val="28"/>
          <w:szCs w:val="28"/>
        </w:rPr>
        <w:t>Халықаралық тәжірибе бойынша мұнайды өндіру және қайта өңдеу процесінде мұнай қалдықтарының түзілу коэффициенті өндіріс көлемінің 2-3%-ын құрайды [</w:t>
      </w:r>
      <w:r>
        <w:rPr>
          <w:rFonts w:hint="default" w:ascii="Times New Roman" w:hAnsi="Times New Roman"/>
          <w:color w:val="auto"/>
          <w:sz w:val="28"/>
          <w:szCs w:val="28"/>
          <w:lang w:val="ru-RU"/>
        </w:rPr>
        <w:t>9</w:t>
      </w:r>
      <w:r>
        <w:rPr>
          <w:rFonts w:ascii="Times New Roman" w:hAnsi="Times New Roman"/>
          <w:color w:val="auto"/>
          <w:sz w:val="28"/>
          <w:szCs w:val="28"/>
        </w:rPr>
        <w:t>]. Осыған сәйкес, 2023 жылы өндірілген 87,56 миллион тонна мұнайға байланысты Қазақстанда түзілген мұнай қалдықтарының болжамды көлемі жылына 1,75-тен 2,63 миллион тоннаға дейін ауытқып, орташа есеппен жылына 2,2 миллион тоннаны құрайды.</w:t>
      </w:r>
    </w:p>
    <w:p w14:paraId="4A33516E">
      <w:pPr>
        <w:pStyle w:val="3"/>
        <w:keepNext w:val="0"/>
        <w:keepLines w:val="0"/>
        <w:numPr>
          <w:ilvl w:val="0"/>
          <w:numId w:val="0"/>
        </w:numPr>
        <w:spacing w:before="0"/>
        <w:ind w:firstLine="709"/>
        <w:rPr>
          <w:rFonts w:ascii="Times New Roman" w:hAnsi="Times New Roman"/>
          <w:color w:val="auto"/>
          <w:sz w:val="28"/>
          <w:szCs w:val="28"/>
        </w:rPr>
      </w:pPr>
      <w:r>
        <w:rPr>
          <w:rFonts w:ascii="Times New Roman" w:hAnsi="Times New Roman"/>
          <w:color w:val="auto"/>
          <w:sz w:val="28"/>
          <w:szCs w:val="28"/>
        </w:rPr>
        <w:t>Мұнай қалдықтарының ең көп шоғырлануы республиканың батыс мұнай өндіруші аймақтарында байқалады (2-сурет) [</w:t>
      </w:r>
      <w:r>
        <w:rPr>
          <w:rFonts w:hint="default" w:ascii="Times New Roman" w:hAnsi="Times New Roman"/>
          <w:color w:val="auto"/>
          <w:sz w:val="28"/>
          <w:szCs w:val="28"/>
          <w:lang w:val="ru-RU"/>
        </w:rPr>
        <w:t>10</w:t>
      </w:r>
      <w:r>
        <w:rPr>
          <w:rFonts w:ascii="Times New Roman" w:hAnsi="Times New Roman"/>
          <w:color w:val="auto"/>
          <w:sz w:val="28"/>
          <w:szCs w:val="28"/>
        </w:rPr>
        <w:t>]:</w:t>
      </w:r>
    </w:p>
    <w:p w14:paraId="6348B980">
      <w:pPr>
        <w:pStyle w:val="3"/>
        <w:keepNext w:val="0"/>
        <w:keepLines w:val="0"/>
        <w:numPr>
          <w:ilvl w:val="0"/>
          <w:numId w:val="4"/>
        </w:numPr>
        <w:spacing w:before="0"/>
        <w:ind w:firstLine="709"/>
        <w:rPr>
          <w:rFonts w:ascii="Times New Roman" w:hAnsi="Times New Roman"/>
          <w:color w:val="auto"/>
          <w:sz w:val="28"/>
          <w:szCs w:val="28"/>
        </w:rPr>
      </w:pPr>
      <w:r>
        <w:rPr>
          <w:rFonts w:ascii="Times New Roman" w:hAnsi="Times New Roman"/>
          <w:color w:val="auto"/>
          <w:sz w:val="28"/>
          <w:szCs w:val="28"/>
        </w:rPr>
        <w:t>Атырау облысы – мұнай қалдықтарының жалпы көлемінің 38%-ын құрайды, бұл Теңіз кен орны мен Каспий маңы кен орындарын қарқынды игерумен байланысты;</w:t>
      </w:r>
    </w:p>
    <w:p w14:paraId="3CD1E87D">
      <w:pPr>
        <w:pStyle w:val="3"/>
        <w:keepNext w:val="0"/>
        <w:keepLines w:val="0"/>
        <w:numPr>
          <w:ilvl w:val="0"/>
          <w:numId w:val="4"/>
        </w:numPr>
        <w:spacing w:before="0"/>
        <w:ind w:firstLine="709"/>
        <w:rPr>
          <w:rFonts w:ascii="Times New Roman" w:hAnsi="Times New Roman"/>
          <w:color w:val="auto"/>
          <w:sz w:val="28"/>
          <w:szCs w:val="28"/>
        </w:rPr>
      </w:pPr>
      <w:r>
        <w:rPr>
          <w:rFonts w:ascii="Times New Roman" w:hAnsi="Times New Roman"/>
          <w:color w:val="auto"/>
          <w:sz w:val="28"/>
          <w:szCs w:val="28"/>
        </w:rPr>
        <w:t>Маңғыстау облысы – шамамен 28%, Қашаған және Қаражанбас кен орындарын қоса алғанда;</w:t>
      </w:r>
    </w:p>
    <w:p w14:paraId="5AC80ECE">
      <w:pPr>
        <w:pStyle w:val="3"/>
        <w:keepNext w:val="0"/>
        <w:keepLines w:val="0"/>
        <w:numPr>
          <w:ilvl w:val="0"/>
          <w:numId w:val="4"/>
        </w:numPr>
        <w:spacing w:before="0"/>
        <w:ind w:firstLine="709"/>
        <w:rPr>
          <w:rFonts w:ascii="Times New Roman" w:hAnsi="Times New Roman"/>
          <w:color w:val="auto"/>
          <w:sz w:val="28"/>
          <w:szCs w:val="28"/>
        </w:rPr>
      </w:pPr>
      <w:r>
        <w:rPr>
          <w:rFonts w:ascii="Times New Roman" w:hAnsi="Times New Roman"/>
          <w:color w:val="auto"/>
          <w:sz w:val="28"/>
          <w:szCs w:val="28"/>
        </w:rPr>
        <w:t>Ақтөбе облысы – шамамен 12%, аймақтағы кен орындарының белсенді игерілуіне байланысты;</w:t>
      </w:r>
    </w:p>
    <w:p w14:paraId="51C26611">
      <w:pPr>
        <w:pStyle w:val="3"/>
        <w:keepNext w:val="0"/>
        <w:keepLines w:val="0"/>
        <w:numPr>
          <w:ilvl w:val="0"/>
          <w:numId w:val="4"/>
        </w:numPr>
        <w:spacing w:before="0"/>
        <w:ind w:firstLine="709"/>
        <w:rPr>
          <w:rFonts w:ascii="Times New Roman" w:hAnsi="Times New Roman"/>
          <w:color w:val="auto"/>
          <w:sz w:val="28"/>
          <w:szCs w:val="28"/>
        </w:rPr>
      </w:pPr>
      <w:r>
        <w:rPr>
          <w:rFonts w:ascii="Times New Roman" w:hAnsi="Times New Roman"/>
          <w:color w:val="auto"/>
          <w:sz w:val="28"/>
          <w:szCs w:val="28"/>
        </w:rPr>
        <w:t>Батыс Қазақстан облысы – шамамен 10%, Қарашығанақ кен орнын игеруді қоса алғанда;</w:t>
      </w:r>
    </w:p>
    <w:p w14:paraId="6865FCCC">
      <w:pPr>
        <w:pStyle w:val="3"/>
        <w:keepNext w:val="0"/>
        <w:keepLines w:val="0"/>
        <w:numPr>
          <w:ilvl w:val="0"/>
          <w:numId w:val="4"/>
        </w:numPr>
        <w:spacing w:before="0"/>
        <w:ind w:firstLine="709"/>
        <w:rPr>
          <w:rFonts w:ascii="Times New Roman" w:hAnsi="Times New Roman"/>
          <w:color w:val="auto"/>
          <w:sz w:val="28"/>
          <w:szCs w:val="28"/>
        </w:rPr>
      </w:pPr>
      <w:r>
        <w:rPr>
          <w:rFonts w:ascii="Times New Roman" w:hAnsi="Times New Roman"/>
          <w:color w:val="auto"/>
          <w:sz w:val="28"/>
          <w:szCs w:val="28"/>
        </w:rPr>
        <w:t>Қызылорда облысы – шамамен 7%, Құмкөл кен орнын қоса алғанда;</w:t>
      </w:r>
    </w:p>
    <w:p w14:paraId="557D5FAE">
      <w:pPr>
        <w:pStyle w:val="3"/>
        <w:keepNext w:val="0"/>
        <w:keepLines w:val="0"/>
        <w:numPr>
          <w:ilvl w:val="0"/>
          <w:numId w:val="4"/>
        </w:numPr>
        <w:spacing w:before="0"/>
        <w:ind w:firstLine="709"/>
        <w:rPr>
          <w:rFonts w:ascii="Times New Roman" w:hAnsi="Times New Roman"/>
          <w:color w:val="auto"/>
          <w:sz w:val="28"/>
          <w:szCs w:val="28"/>
        </w:rPr>
      </w:pPr>
      <w:r>
        <w:rPr>
          <w:rFonts w:ascii="Times New Roman" w:hAnsi="Times New Roman"/>
          <w:color w:val="auto"/>
          <w:sz w:val="28"/>
          <w:szCs w:val="28"/>
        </w:rPr>
        <w:t>Басқа аймақтар – қалған 5%, жергілікті шағын кен орындары.</w:t>
      </w:r>
    </w:p>
    <w:p w14:paraId="19A4FB47">
      <w:pPr>
        <w:pStyle w:val="35"/>
        <w:spacing w:beforeAutospacing="0"/>
        <w:ind w:firstLine="709"/>
        <w:rPr>
          <w:color w:val="auto"/>
          <w:sz w:val="28"/>
          <w:szCs w:val="28"/>
        </w:rPr>
      </w:pPr>
      <w:r>
        <w:rPr>
          <w:color w:val="auto"/>
          <w:lang w:val="ru-RU" w:eastAsia="ru-RU"/>
        </w:rPr>
        <w:drawing>
          <wp:inline distT="0" distB="0" distL="114300" distR="114300">
            <wp:extent cx="4973955" cy="2464435"/>
            <wp:effectExtent l="0" t="0" r="0" b="0"/>
            <wp:docPr id="125" name="Изображение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Изображение 1" descr="IMG_256"/>
                    <pic:cNvPicPr>
                      <a:picLocks noChangeAspect="1"/>
                    </pic:cNvPicPr>
                  </pic:nvPicPr>
                  <pic:blipFill>
                    <a:blip r:embed="rId9"/>
                    <a:srcRect t="8553"/>
                    <a:stretch>
                      <a:fillRect/>
                    </a:stretch>
                  </pic:blipFill>
                  <pic:spPr>
                    <a:xfrm>
                      <a:off x="0" y="0"/>
                      <a:ext cx="4973955" cy="2464435"/>
                    </a:xfrm>
                    <a:prstGeom prst="rect">
                      <a:avLst/>
                    </a:prstGeom>
                    <a:noFill/>
                    <a:ln w="9525">
                      <a:noFill/>
                    </a:ln>
                  </pic:spPr>
                </pic:pic>
              </a:graphicData>
            </a:graphic>
          </wp:inline>
        </w:drawing>
      </w:r>
    </w:p>
    <w:p w14:paraId="46B4E454">
      <w:pPr>
        <w:spacing w:after="0"/>
        <w:ind w:firstLine="709"/>
        <w:jc w:val="center"/>
        <w:rPr>
          <w:color w:val="auto"/>
          <w:szCs w:val="28"/>
          <w:lang w:val="en-US"/>
        </w:rPr>
      </w:pPr>
      <w:r>
        <w:rPr>
          <w:color w:val="auto"/>
          <w:szCs w:val="28"/>
          <w:lang w:val="kk-KZ"/>
        </w:rPr>
        <w:t>С</w:t>
      </w:r>
      <w:r>
        <w:rPr>
          <w:color w:val="auto"/>
          <w:szCs w:val="28"/>
        </w:rPr>
        <w:t>урет</w:t>
      </w:r>
      <w:r>
        <w:rPr>
          <w:color w:val="auto"/>
          <w:szCs w:val="28"/>
          <w:lang w:val="kk-KZ"/>
        </w:rPr>
        <w:t xml:space="preserve"> 2</w:t>
      </w:r>
      <w:r>
        <w:rPr>
          <w:color w:val="auto"/>
          <w:szCs w:val="28"/>
          <w:lang w:val="en-US"/>
        </w:rPr>
        <w:t xml:space="preserve"> - </w:t>
      </w:r>
      <w:r>
        <w:rPr>
          <w:color w:val="auto"/>
          <w:szCs w:val="28"/>
        </w:rPr>
        <w:t>Мұнай</w:t>
      </w:r>
      <w:r>
        <w:rPr>
          <w:color w:val="auto"/>
          <w:szCs w:val="28"/>
          <w:lang w:val="en-US"/>
        </w:rPr>
        <w:t xml:space="preserve"> </w:t>
      </w:r>
      <w:r>
        <w:rPr>
          <w:color w:val="auto"/>
          <w:szCs w:val="28"/>
        </w:rPr>
        <w:t>қалдықтарының</w:t>
      </w:r>
      <w:r>
        <w:rPr>
          <w:color w:val="auto"/>
          <w:szCs w:val="28"/>
          <w:lang w:val="en-US"/>
        </w:rPr>
        <w:t xml:space="preserve"> </w:t>
      </w:r>
      <w:r>
        <w:rPr>
          <w:color w:val="auto"/>
          <w:szCs w:val="28"/>
        </w:rPr>
        <w:t>аймақтық</w:t>
      </w:r>
      <w:r>
        <w:rPr>
          <w:color w:val="auto"/>
          <w:szCs w:val="28"/>
          <w:lang w:val="en-US"/>
        </w:rPr>
        <w:t xml:space="preserve"> </w:t>
      </w:r>
      <w:r>
        <w:rPr>
          <w:color w:val="auto"/>
          <w:szCs w:val="28"/>
        </w:rPr>
        <w:t>таралуы</w:t>
      </w:r>
    </w:p>
    <w:p w14:paraId="2EBA39E9">
      <w:pPr>
        <w:spacing w:after="0"/>
        <w:ind w:firstLine="709"/>
        <w:rPr>
          <w:color w:val="auto"/>
          <w:szCs w:val="28"/>
          <w:lang w:val="en-US"/>
        </w:rPr>
      </w:pPr>
    </w:p>
    <w:p w14:paraId="051F2446">
      <w:pPr>
        <w:spacing w:after="0"/>
        <w:ind w:firstLine="709"/>
        <w:rPr>
          <w:color w:val="auto"/>
          <w:szCs w:val="28"/>
          <w:lang w:val="en-US"/>
        </w:rPr>
      </w:pPr>
      <w:r>
        <w:rPr>
          <w:color w:val="auto"/>
          <w:szCs w:val="28"/>
          <w:lang w:val="en-US"/>
        </w:rPr>
        <w:t xml:space="preserve"> </w:t>
      </w:r>
      <w:r>
        <w:rPr>
          <w:color w:val="auto"/>
          <w:szCs w:val="28"/>
        </w:rPr>
        <w:t>Жер</w:t>
      </w:r>
      <w:r>
        <w:rPr>
          <w:color w:val="auto"/>
          <w:szCs w:val="28"/>
          <w:lang w:val="en-US"/>
        </w:rPr>
        <w:t xml:space="preserve"> </w:t>
      </w:r>
      <w:r>
        <w:rPr>
          <w:color w:val="auto"/>
          <w:szCs w:val="28"/>
        </w:rPr>
        <w:t>балансының</w:t>
      </w:r>
      <w:r>
        <w:rPr>
          <w:color w:val="auto"/>
          <w:szCs w:val="28"/>
          <w:lang w:val="en-US"/>
        </w:rPr>
        <w:t xml:space="preserve"> </w:t>
      </w:r>
      <w:r>
        <w:rPr>
          <w:color w:val="auto"/>
          <w:szCs w:val="28"/>
        </w:rPr>
        <w:t>деректеріне</w:t>
      </w:r>
      <w:r>
        <w:rPr>
          <w:color w:val="auto"/>
          <w:szCs w:val="28"/>
          <w:lang w:val="en-US"/>
        </w:rPr>
        <w:t xml:space="preserve"> </w:t>
      </w:r>
      <w:r>
        <w:rPr>
          <w:color w:val="auto"/>
          <w:szCs w:val="28"/>
        </w:rPr>
        <w:t>сәйкес</w:t>
      </w:r>
      <w:r>
        <w:rPr>
          <w:color w:val="auto"/>
          <w:szCs w:val="28"/>
          <w:lang w:val="en-US"/>
        </w:rPr>
        <w:t xml:space="preserve">, </w:t>
      </w:r>
      <w:r>
        <w:rPr>
          <w:color w:val="auto"/>
          <w:szCs w:val="28"/>
        </w:rPr>
        <w:t>республикада</w:t>
      </w:r>
      <w:r>
        <w:rPr>
          <w:color w:val="auto"/>
          <w:szCs w:val="28"/>
          <w:lang w:val="en-US"/>
        </w:rPr>
        <w:t xml:space="preserve"> 244,8 </w:t>
      </w:r>
      <w:r>
        <w:rPr>
          <w:color w:val="auto"/>
          <w:szCs w:val="28"/>
        </w:rPr>
        <w:t>мың</w:t>
      </w:r>
      <w:r>
        <w:rPr>
          <w:color w:val="auto"/>
          <w:szCs w:val="28"/>
          <w:lang w:val="en-US"/>
        </w:rPr>
        <w:t xml:space="preserve"> </w:t>
      </w:r>
      <w:r>
        <w:rPr>
          <w:color w:val="auto"/>
          <w:szCs w:val="28"/>
        </w:rPr>
        <w:t>гектар</w:t>
      </w:r>
      <w:r>
        <w:rPr>
          <w:color w:val="auto"/>
          <w:szCs w:val="28"/>
          <w:lang w:val="en-US"/>
        </w:rPr>
        <w:t xml:space="preserve"> </w:t>
      </w:r>
      <w:r>
        <w:rPr>
          <w:color w:val="auto"/>
          <w:szCs w:val="28"/>
        </w:rPr>
        <w:t>бүлінген</w:t>
      </w:r>
      <w:r>
        <w:rPr>
          <w:color w:val="auto"/>
          <w:szCs w:val="28"/>
          <w:lang w:val="en-US"/>
        </w:rPr>
        <w:t xml:space="preserve"> </w:t>
      </w:r>
      <w:r>
        <w:rPr>
          <w:color w:val="auto"/>
          <w:szCs w:val="28"/>
        </w:rPr>
        <w:t>жер</w:t>
      </w:r>
      <w:r>
        <w:rPr>
          <w:color w:val="auto"/>
          <w:szCs w:val="28"/>
          <w:lang w:val="en-US"/>
        </w:rPr>
        <w:t xml:space="preserve"> </w:t>
      </w:r>
      <w:r>
        <w:rPr>
          <w:color w:val="auto"/>
          <w:szCs w:val="28"/>
        </w:rPr>
        <w:t>тіркелген</w:t>
      </w:r>
      <w:r>
        <w:rPr>
          <w:color w:val="auto"/>
          <w:szCs w:val="28"/>
          <w:lang w:val="en-US"/>
        </w:rPr>
        <w:t xml:space="preserve">, </w:t>
      </w:r>
      <w:r>
        <w:rPr>
          <w:color w:val="auto"/>
          <w:szCs w:val="28"/>
        </w:rPr>
        <w:t>онда</w:t>
      </w:r>
      <w:r>
        <w:rPr>
          <w:color w:val="auto"/>
          <w:szCs w:val="28"/>
          <w:lang w:val="en-US"/>
        </w:rPr>
        <w:t xml:space="preserve"> </w:t>
      </w:r>
      <w:r>
        <w:rPr>
          <w:color w:val="auto"/>
          <w:szCs w:val="28"/>
        </w:rPr>
        <w:t>карьерлер</w:t>
      </w:r>
      <w:r>
        <w:rPr>
          <w:color w:val="auto"/>
          <w:szCs w:val="28"/>
          <w:lang w:val="en-US"/>
        </w:rPr>
        <w:t xml:space="preserve"> </w:t>
      </w:r>
      <w:r>
        <w:rPr>
          <w:color w:val="auto"/>
          <w:szCs w:val="28"/>
        </w:rPr>
        <w:t>мен</w:t>
      </w:r>
      <w:r>
        <w:rPr>
          <w:color w:val="auto"/>
          <w:szCs w:val="28"/>
          <w:lang w:val="en-US"/>
        </w:rPr>
        <w:t xml:space="preserve"> </w:t>
      </w:r>
      <w:r>
        <w:rPr>
          <w:color w:val="auto"/>
          <w:szCs w:val="28"/>
        </w:rPr>
        <w:t>тау</w:t>
      </w:r>
      <w:r>
        <w:rPr>
          <w:color w:val="auto"/>
          <w:szCs w:val="28"/>
          <w:lang w:val="en-US"/>
        </w:rPr>
        <w:t xml:space="preserve"> </w:t>
      </w:r>
      <w:r>
        <w:rPr>
          <w:color w:val="auto"/>
          <w:szCs w:val="28"/>
        </w:rPr>
        <w:t>жыныстарының</w:t>
      </w:r>
      <w:r>
        <w:rPr>
          <w:color w:val="auto"/>
          <w:szCs w:val="28"/>
          <w:lang w:val="en-US"/>
        </w:rPr>
        <w:t xml:space="preserve"> </w:t>
      </w:r>
      <w:r>
        <w:rPr>
          <w:color w:val="auto"/>
          <w:szCs w:val="28"/>
        </w:rPr>
        <w:t>үйінділері</w:t>
      </w:r>
      <w:r>
        <w:rPr>
          <w:color w:val="auto"/>
          <w:szCs w:val="28"/>
          <w:lang w:val="en-US"/>
        </w:rPr>
        <w:t xml:space="preserve">, </w:t>
      </w:r>
      <w:r>
        <w:rPr>
          <w:color w:val="auto"/>
          <w:szCs w:val="28"/>
        </w:rPr>
        <w:t>қалдық</w:t>
      </w:r>
      <w:r>
        <w:rPr>
          <w:color w:val="auto"/>
          <w:szCs w:val="28"/>
          <w:lang w:val="en-US"/>
        </w:rPr>
        <w:t xml:space="preserve"> </w:t>
      </w:r>
      <w:r>
        <w:rPr>
          <w:color w:val="auto"/>
          <w:szCs w:val="28"/>
        </w:rPr>
        <w:t>қоймалары</w:t>
      </w:r>
      <w:r>
        <w:rPr>
          <w:color w:val="auto"/>
          <w:szCs w:val="28"/>
          <w:lang w:val="en-US"/>
        </w:rPr>
        <w:t xml:space="preserve">, </w:t>
      </w:r>
      <w:r>
        <w:rPr>
          <w:color w:val="auto"/>
          <w:szCs w:val="28"/>
        </w:rPr>
        <w:t>күл</w:t>
      </w:r>
      <w:r>
        <w:rPr>
          <w:color w:val="auto"/>
          <w:szCs w:val="28"/>
          <w:lang w:val="en-US"/>
        </w:rPr>
        <w:t xml:space="preserve"> </w:t>
      </w:r>
      <w:r>
        <w:rPr>
          <w:color w:val="auto"/>
          <w:szCs w:val="28"/>
        </w:rPr>
        <w:t>үйінділері</w:t>
      </w:r>
      <w:r>
        <w:rPr>
          <w:color w:val="auto"/>
          <w:szCs w:val="28"/>
          <w:lang w:val="en-US"/>
        </w:rPr>
        <w:t xml:space="preserve">, </w:t>
      </w:r>
      <w:r>
        <w:rPr>
          <w:color w:val="auto"/>
          <w:szCs w:val="28"/>
        </w:rPr>
        <w:t>көмір</w:t>
      </w:r>
      <w:r>
        <w:rPr>
          <w:color w:val="auto"/>
          <w:szCs w:val="28"/>
          <w:lang w:val="en-US"/>
        </w:rPr>
        <w:t xml:space="preserve"> </w:t>
      </w:r>
      <w:r>
        <w:rPr>
          <w:color w:val="auto"/>
          <w:szCs w:val="28"/>
        </w:rPr>
        <w:t>және</w:t>
      </w:r>
      <w:r>
        <w:rPr>
          <w:color w:val="auto"/>
          <w:szCs w:val="28"/>
          <w:lang w:val="en-US"/>
        </w:rPr>
        <w:t xml:space="preserve"> </w:t>
      </w:r>
      <w:r>
        <w:rPr>
          <w:color w:val="auto"/>
          <w:szCs w:val="28"/>
        </w:rPr>
        <w:t>тау</w:t>
      </w:r>
      <w:r>
        <w:rPr>
          <w:color w:val="auto"/>
          <w:szCs w:val="28"/>
          <w:lang w:val="en-US"/>
        </w:rPr>
        <w:t>-</w:t>
      </w:r>
      <w:r>
        <w:rPr>
          <w:color w:val="auto"/>
          <w:szCs w:val="28"/>
        </w:rPr>
        <w:t>кен</w:t>
      </w:r>
      <w:r>
        <w:rPr>
          <w:color w:val="auto"/>
          <w:szCs w:val="28"/>
          <w:lang w:val="en-US"/>
        </w:rPr>
        <w:t xml:space="preserve"> </w:t>
      </w:r>
      <w:r>
        <w:rPr>
          <w:color w:val="auto"/>
          <w:szCs w:val="28"/>
        </w:rPr>
        <w:t>қазбаларының</w:t>
      </w:r>
      <w:r>
        <w:rPr>
          <w:color w:val="auto"/>
          <w:szCs w:val="28"/>
          <w:lang w:val="en-US"/>
        </w:rPr>
        <w:t xml:space="preserve"> </w:t>
      </w:r>
      <w:r>
        <w:rPr>
          <w:color w:val="auto"/>
          <w:szCs w:val="28"/>
        </w:rPr>
        <w:t>шұңқырлары</w:t>
      </w:r>
      <w:r>
        <w:rPr>
          <w:color w:val="auto"/>
          <w:szCs w:val="28"/>
          <w:lang w:val="en-US"/>
        </w:rPr>
        <w:t xml:space="preserve">, </w:t>
      </w:r>
      <w:r>
        <w:rPr>
          <w:color w:val="auto"/>
          <w:szCs w:val="28"/>
        </w:rPr>
        <w:t>сондай</w:t>
      </w:r>
      <w:r>
        <w:rPr>
          <w:color w:val="auto"/>
          <w:szCs w:val="28"/>
          <w:lang w:val="en-US"/>
        </w:rPr>
        <w:t>-</w:t>
      </w:r>
      <w:r>
        <w:rPr>
          <w:color w:val="auto"/>
          <w:szCs w:val="28"/>
        </w:rPr>
        <w:t>ақ</w:t>
      </w:r>
      <w:r>
        <w:rPr>
          <w:color w:val="auto"/>
          <w:szCs w:val="28"/>
          <w:lang w:val="en-US"/>
        </w:rPr>
        <w:t xml:space="preserve"> </w:t>
      </w:r>
      <w:r>
        <w:rPr>
          <w:color w:val="auto"/>
          <w:szCs w:val="28"/>
        </w:rPr>
        <w:t>мұнай</w:t>
      </w:r>
      <w:r>
        <w:rPr>
          <w:color w:val="auto"/>
          <w:szCs w:val="28"/>
          <w:lang w:val="en-US"/>
        </w:rPr>
        <w:t xml:space="preserve"> </w:t>
      </w:r>
      <w:r>
        <w:rPr>
          <w:color w:val="auto"/>
          <w:szCs w:val="28"/>
        </w:rPr>
        <w:t>кен</w:t>
      </w:r>
      <w:r>
        <w:rPr>
          <w:color w:val="auto"/>
          <w:szCs w:val="28"/>
          <w:lang w:val="en-US"/>
        </w:rPr>
        <w:t xml:space="preserve"> </w:t>
      </w:r>
      <w:r>
        <w:rPr>
          <w:color w:val="auto"/>
          <w:szCs w:val="28"/>
        </w:rPr>
        <w:t>орындары</w:t>
      </w:r>
      <w:r>
        <w:rPr>
          <w:color w:val="auto"/>
          <w:szCs w:val="28"/>
          <w:lang w:val="en-US"/>
        </w:rPr>
        <w:t xml:space="preserve"> </w:t>
      </w:r>
      <w:r>
        <w:rPr>
          <w:color w:val="auto"/>
          <w:szCs w:val="28"/>
        </w:rPr>
        <w:t>мен</w:t>
      </w:r>
      <w:r>
        <w:rPr>
          <w:color w:val="auto"/>
          <w:szCs w:val="28"/>
          <w:lang w:val="en-US"/>
        </w:rPr>
        <w:t xml:space="preserve"> </w:t>
      </w:r>
      <w:r>
        <w:rPr>
          <w:color w:val="auto"/>
          <w:szCs w:val="28"/>
        </w:rPr>
        <w:t>мұнай</w:t>
      </w:r>
      <w:r>
        <w:rPr>
          <w:color w:val="auto"/>
          <w:szCs w:val="28"/>
          <w:lang w:val="en-US"/>
        </w:rPr>
        <w:t xml:space="preserve"> </w:t>
      </w:r>
      <w:r>
        <w:rPr>
          <w:color w:val="auto"/>
          <w:szCs w:val="28"/>
        </w:rPr>
        <w:t>амбарлары</w:t>
      </w:r>
      <w:r>
        <w:rPr>
          <w:color w:val="auto"/>
          <w:szCs w:val="28"/>
          <w:lang w:val="en-US"/>
        </w:rPr>
        <w:t xml:space="preserve"> </w:t>
      </w:r>
      <w:r>
        <w:rPr>
          <w:color w:val="auto"/>
          <w:szCs w:val="28"/>
        </w:rPr>
        <w:t>орналасқан</w:t>
      </w:r>
      <w:r>
        <w:rPr>
          <w:color w:val="auto"/>
          <w:szCs w:val="28"/>
          <w:lang w:val="en-US"/>
        </w:rPr>
        <w:t xml:space="preserve"> [3]. </w:t>
      </w:r>
      <w:r>
        <w:rPr>
          <w:color w:val="auto"/>
          <w:szCs w:val="28"/>
        </w:rPr>
        <w:t>Бүлінген</w:t>
      </w:r>
      <w:r>
        <w:rPr>
          <w:color w:val="auto"/>
          <w:szCs w:val="28"/>
          <w:lang w:val="en-US"/>
        </w:rPr>
        <w:t xml:space="preserve"> </w:t>
      </w:r>
      <w:r>
        <w:rPr>
          <w:color w:val="auto"/>
          <w:szCs w:val="28"/>
        </w:rPr>
        <w:t>жерлердің</w:t>
      </w:r>
      <w:r>
        <w:rPr>
          <w:color w:val="auto"/>
          <w:szCs w:val="28"/>
          <w:lang w:val="en-US"/>
        </w:rPr>
        <w:t xml:space="preserve"> </w:t>
      </w:r>
      <w:r>
        <w:rPr>
          <w:color w:val="auto"/>
          <w:szCs w:val="28"/>
        </w:rPr>
        <w:t>ең</w:t>
      </w:r>
      <w:r>
        <w:rPr>
          <w:color w:val="auto"/>
          <w:szCs w:val="28"/>
          <w:lang w:val="en-US"/>
        </w:rPr>
        <w:t xml:space="preserve"> </w:t>
      </w:r>
      <w:r>
        <w:rPr>
          <w:color w:val="auto"/>
          <w:szCs w:val="28"/>
        </w:rPr>
        <w:t>үлкен</w:t>
      </w:r>
      <w:r>
        <w:rPr>
          <w:color w:val="auto"/>
          <w:szCs w:val="28"/>
          <w:lang w:val="en-US"/>
        </w:rPr>
        <w:t xml:space="preserve"> </w:t>
      </w:r>
      <w:r>
        <w:rPr>
          <w:color w:val="auto"/>
          <w:szCs w:val="28"/>
        </w:rPr>
        <w:t>алқаптары</w:t>
      </w:r>
      <w:r>
        <w:rPr>
          <w:color w:val="auto"/>
          <w:szCs w:val="28"/>
          <w:lang w:val="en-US"/>
        </w:rPr>
        <w:t xml:space="preserve"> </w:t>
      </w:r>
      <w:r>
        <w:rPr>
          <w:color w:val="auto"/>
          <w:szCs w:val="28"/>
        </w:rPr>
        <w:t>Маңғыстау</w:t>
      </w:r>
      <w:r>
        <w:rPr>
          <w:color w:val="auto"/>
          <w:szCs w:val="28"/>
          <w:lang w:val="en-US"/>
        </w:rPr>
        <w:t xml:space="preserve">, </w:t>
      </w:r>
      <w:r>
        <w:rPr>
          <w:color w:val="auto"/>
          <w:szCs w:val="28"/>
        </w:rPr>
        <w:t>Қарағанды</w:t>
      </w:r>
      <w:r>
        <w:rPr>
          <w:color w:val="auto"/>
          <w:szCs w:val="28"/>
          <w:lang w:val="en-US"/>
        </w:rPr>
        <w:t xml:space="preserve">, </w:t>
      </w:r>
      <w:r>
        <w:rPr>
          <w:color w:val="auto"/>
          <w:szCs w:val="28"/>
        </w:rPr>
        <w:t>Қостанай</w:t>
      </w:r>
      <w:r>
        <w:rPr>
          <w:color w:val="auto"/>
          <w:szCs w:val="28"/>
          <w:lang w:val="en-US"/>
        </w:rPr>
        <w:t xml:space="preserve">, </w:t>
      </w:r>
      <w:r>
        <w:rPr>
          <w:color w:val="auto"/>
          <w:szCs w:val="28"/>
        </w:rPr>
        <w:t>Ақмола</w:t>
      </w:r>
      <w:r>
        <w:rPr>
          <w:color w:val="auto"/>
          <w:szCs w:val="28"/>
          <w:lang w:val="en-US"/>
        </w:rPr>
        <w:t xml:space="preserve">, </w:t>
      </w:r>
      <w:r>
        <w:rPr>
          <w:color w:val="auto"/>
          <w:szCs w:val="28"/>
        </w:rPr>
        <w:t>Шығыс</w:t>
      </w:r>
      <w:r>
        <w:rPr>
          <w:color w:val="auto"/>
          <w:szCs w:val="28"/>
          <w:lang w:val="en-US"/>
        </w:rPr>
        <w:t xml:space="preserve"> </w:t>
      </w:r>
      <w:r>
        <w:rPr>
          <w:color w:val="auto"/>
          <w:szCs w:val="28"/>
        </w:rPr>
        <w:t>Қазақстан</w:t>
      </w:r>
      <w:r>
        <w:rPr>
          <w:color w:val="auto"/>
          <w:szCs w:val="28"/>
          <w:lang w:val="en-US"/>
        </w:rPr>
        <w:t xml:space="preserve">, </w:t>
      </w:r>
      <w:r>
        <w:rPr>
          <w:color w:val="auto"/>
          <w:szCs w:val="28"/>
        </w:rPr>
        <w:t>Ақтөбе</w:t>
      </w:r>
      <w:r>
        <w:rPr>
          <w:color w:val="auto"/>
          <w:szCs w:val="28"/>
          <w:lang w:val="en-US"/>
        </w:rPr>
        <w:t xml:space="preserve">  </w:t>
      </w:r>
      <w:r>
        <w:rPr>
          <w:color w:val="auto"/>
          <w:szCs w:val="28"/>
        </w:rPr>
        <w:t>облыстарында</w:t>
      </w:r>
      <w:r>
        <w:rPr>
          <w:color w:val="auto"/>
          <w:szCs w:val="28"/>
          <w:lang w:val="en-US"/>
        </w:rPr>
        <w:t xml:space="preserve"> </w:t>
      </w:r>
      <w:r>
        <w:rPr>
          <w:color w:val="auto"/>
          <w:szCs w:val="28"/>
        </w:rPr>
        <w:t>шоғырланған</w:t>
      </w:r>
      <w:r>
        <w:rPr>
          <w:color w:val="auto"/>
          <w:szCs w:val="28"/>
          <w:lang w:val="en-US"/>
        </w:rPr>
        <w:t>.</w:t>
      </w:r>
    </w:p>
    <w:p w14:paraId="5708166F">
      <w:pPr>
        <w:spacing w:after="0"/>
        <w:ind w:firstLine="709"/>
        <w:rPr>
          <w:color w:val="auto"/>
          <w:szCs w:val="28"/>
          <w:lang w:val="en-US"/>
        </w:rPr>
      </w:pPr>
      <w:r>
        <w:rPr>
          <w:color w:val="auto"/>
          <w:szCs w:val="28"/>
        </w:rPr>
        <w:t>Жинақталған</w:t>
      </w:r>
      <w:r>
        <w:rPr>
          <w:color w:val="auto"/>
          <w:szCs w:val="28"/>
          <w:lang w:val="en-US"/>
        </w:rPr>
        <w:t xml:space="preserve"> 31,6 </w:t>
      </w:r>
      <w:r>
        <w:rPr>
          <w:color w:val="auto"/>
          <w:szCs w:val="28"/>
        </w:rPr>
        <w:t>м</w:t>
      </w:r>
      <w:r>
        <w:rPr>
          <w:color w:val="auto"/>
          <w:szCs w:val="28"/>
          <w:lang w:val="kk-KZ"/>
        </w:rPr>
        <w:t>иллиард</w:t>
      </w:r>
      <w:r>
        <w:rPr>
          <w:color w:val="auto"/>
          <w:szCs w:val="28"/>
          <w:lang w:val="en-US"/>
        </w:rPr>
        <w:t xml:space="preserve"> </w:t>
      </w:r>
      <w:r>
        <w:rPr>
          <w:color w:val="auto"/>
          <w:szCs w:val="28"/>
        </w:rPr>
        <w:t>тонна</w:t>
      </w:r>
      <w:r>
        <w:rPr>
          <w:color w:val="auto"/>
          <w:szCs w:val="28"/>
          <w:lang w:val="en-US"/>
        </w:rPr>
        <w:t xml:space="preserve"> </w:t>
      </w:r>
      <w:r>
        <w:rPr>
          <w:color w:val="auto"/>
          <w:szCs w:val="28"/>
        </w:rPr>
        <w:t>өнеркәсіптік</w:t>
      </w:r>
      <w:r>
        <w:rPr>
          <w:color w:val="auto"/>
          <w:szCs w:val="28"/>
          <w:lang w:val="en-US"/>
        </w:rPr>
        <w:t xml:space="preserve"> </w:t>
      </w:r>
      <w:r>
        <w:rPr>
          <w:color w:val="auto"/>
          <w:szCs w:val="28"/>
        </w:rPr>
        <w:t>қалдықтардың</w:t>
      </w:r>
      <w:r>
        <w:rPr>
          <w:color w:val="auto"/>
          <w:szCs w:val="28"/>
          <w:lang w:val="en-US"/>
        </w:rPr>
        <w:t xml:space="preserve"> </w:t>
      </w:r>
      <w:r>
        <w:rPr>
          <w:color w:val="auto"/>
          <w:szCs w:val="28"/>
        </w:rPr>
        <w:t>құрылымдық</w:t>
      </w:r>
      <w:r>
        <w:rPr>
          <w:color w:val="auto"/>
          <w:szCs w:val="28"/>
          <w:lang w:val="en-US"/>
        </w:rPr>
        <w:t xml:space="preserve"> </w:t>
      </w:r>
      <w:r>
        <w:rPr>
          <w:color w:val="auto"/>
          <w:szCs w:val="28"/>
        </w:rPr>
        <w:t>үлесі</w:t>
      </w:r>
      <w:r>
        <w:rPr>
          <w:color w:val="auto"/>
          <w:szCs w:val="28"/>
          <w:lang w:val="en-US"/>
        </w:rPr>
        <w:t xml:space="preserve"> </w:t>
      </w:r>
      <w:r>
        <w:rPr>
          <w:color w:val="auto"/>
          <w:szCs w:val="28"/>
        </w:rPr>
        <w:t>төмендегідей</w:t>
      </w:r>
      <w:r>
        <w:rPr>
          <w:color w:val="auto"/>
          <w:szCs w:val="28"/>
          <w:lang w:val="en-US"/>
        </w:rPr>
        <w:t xml:space="preserve"> [</w:t>
      </w:r>
      <w:r>
        <w:rPr>
          <w:rFonts w:hint="default"/>
          <w:color w:val="auto"/>
          <w:szCs w:val="28"/>
          <w:lang w:val="ru-RU"/>
        </w:rPr>
        <w:t>10</w:t>
      </w:r>
      <w:r>
        <w:rPr>
          <w:color w:val="auto"/>
          <w:szCs w:val="28"/>
          <w:lang w:val="en-US"/>
        </w:rPr>
        <w:t>]:</w:t>
      </w:r>
    </w:p>
    <w:p w14:paraId="24435C82">
      <w:pPr>
        <w:spacing w:after="0"/>
        <w:ind w:firstLine="709"/>
        <w:rPr>
          <w:color w:val="auto"/>
          <w:szCs w:val="28"/>
          <w:lang w:val="en-US"/>
        </w:rPr>
      </w:pPr>
      <w:r>
        <w:rPr>
          <w:color w:val="auto"/>
          <w:szCs w:val="28"/>
          <w:lang w:val="en-US"/>
        </w:rPr>
        <w:t xml:space="preserve">70% – </w:t>
      </w:r>
      <w:r>
        <w:rPr>
          <w:color w:val="auto"/>
          <w:szCs w:val="28"/>
        </w:rPr>
        <w:t>техногендік</w:t>
      </w:r>
      <w:r>
        <w:rPr>
          <w:color w:val="auto"/>
          <w:szCs w:val="28"/>
          <w:lang w:val="en-US"/>
        </w:rPr>
        <w:t>-</w:t>
      </w:r>
      <w:r>
        <w:rPr>
          <w:color w:val="auto"/>
          <w:szCs w:val="28"/>
        </w:rPr>
        <w:t>минералдық</w:t>
      </w:r>
      <w:r>
        <w:rPr>
          <w:color w:val="auto"/>
          <w:szCs w:val="28"/>
          <w:lang w:val="en-US"/>
        </w:rPr>
        <w:t xml:space="preserve"> </w:t>
      </w:r>
      <w:r>
        <w:rPr>
          <w:color w:val="auto"/>
          <w:szCs w:val="28"/>
        </w:rPr>
        <w:t>түзілімдер</w:t>
      </w:r>
      <w:r>
        <w:rPr>
          <w:color w:val="auto"/>
          <w:szCs w:val="28"/>
          <w:lang w:val="en-US"/>
        </w:rPr>
        <w:t xml:space="preserve"> (</w:t>
      </w:r>
      <w:r>
        <w:rPr>
          <w:color w:val="auto"/>
          <w:szCs w:val="28"/>
        </w:rPr>
        <w:t>аршымалы</w:t>
      </w:r>
      <w:r>
        <w:rPr>
          <w:color w:val="auto"/>
          <w:szCs w:val="28"/>
          <w:lang w:val="en-US"/>
        </w:rPr>
        <w:t xml:space="preserve"> </w:t>
      </w:r>
      <w:r>
        <w:rPr>
          <w:color w:val="auto"/>
          <w:szCs w:val="28"/>
        </w:rPr>
        <w:t>жыныстар</w:t>
      </w:r>
      <w:r>
        <w:rPr>
          <w:color w:val="auto"/>
          <w:szCs w:val="28"/>
          <w:lang w:val="en-US"/>
        </w:rPr>
        <w:t xml:space="preserve">, </w:t>
      </w:r>
      <w:r>
        <w:rPr>
          <w:color w:val="auto"/>
          <w:szCs w:val="28"/>
        </w:rPr>
        <w:t>күл</w:t>
      </w:r>
      <w:r>
        <w:rPr>
          <w:color w:val="auto"/>
          <w:szCs w:val="28"/>
          <w:lang w:val="en-US"/>
        </w:rPr>
        <w:t>-</w:t>
      </w:r>
      <w:r>
        <w:rPr>
          <w:color w:val="auto"/>
          <w:szCs w:val="28"/>
        </w:rPr>
        <w:t>қож</w:t>
      </w:r>
      <w:r>
        <w:rPr>
          <w:color w:val="auto"/>
          <w:szCs w:val="28"/>
          <w:lang w:val="en-US"/>
        </w:rPr>
        <w:t xml:space="preserve"> </w:t>
      </w:r>
      <w:r>
        <w:rPr>
          <w:color w:val="auto"/>
          <w:szCs w:val="28"/>
        </w:rPr>
        <w:t>қалдықтары</w:t>
      </w:r>
      <w:r>
        <w:rPr>
          <w:color w:val="auto"/>
          <w:szCs w:val="28"/>
          <w:lang w:val="en-US"/>
        </w:rPr>
        <w:t>);</w:t>
      </w:r>
    </w:p>
    <w:p w14:paraId="049ADC10">
      <w:pPr>
        <w:spacing w:after="0"/>
        <w:ind w:firstLine="709"/>
        <w:rPr>
          <w:color w:val="auto"/>
          <w:szCs w:val="28"/>
          <w:lang w:val="en-US"/>
        </w:rPr>
      </w:pPr>
      <w:r>
        <w:rPr>
          <w:color w:val="auto"/>
          <w:szCs w:val="28"/>
          <w:lang w:val="en-US"/>
        </w:rPr>
        <w:t xml:space="preserve">10% – </w:t>
      </w:r>
      <w:r>
        <w:rPr>
          <w:color w:val="auto"/>
          <w:szCs w:val="28"/>
        </w:rPr>
        <w:t>өңдеу</w:t>
      </w:r>
      <w:r>
        <w:rPr>
          <w:color w:val="auto"/>
          <w:szCs w:val="28"/>
          <w:lang w:val="en-US"/>
        </w:rPr>
        <w:t xml:space="preserve"> </w:t>
      </w:r>
      <w:r>
        <w:rPr>
          <w:color w:val="auto"/>
          <w:szCs w:val="28"/>
        </w:rPr>
        <w:t>өнеркәсібінің</w:t>
      </w:r>
      <w:r>
        <w:rPr>
          <w:color w:val="auto"/>
          <w:szCs w:val="28"/>
          <w:lang w:val="en-US"/>
        </w:rPr>
        <w:t xml:space="preserve"> </w:t>
      </w:r>
      <w:r>
        <w:rPr>
          <w:color w:val="auto"/>
          <w:szCs w:val="28"/>
        </w:rPr>
        <w:t>қалдықтары</w:t>
      </w:r>
      <w:r>
        <w:rPr>
          <w:color w:val="auto"/>
          <w:szCs w:val="28"/>
          <w:lang w:val="en-US"/>
        </w:rPr>
        <w:t>;</w:t>
      </w:r>
    </w:p>
    <w:p w14:paraId="5CFA0E21">
      <w:pPr>
        <w:spacing w:after="0"/>
        <w:ind w:firstLine="709"/>
        <w:rPr>
          <w:color w:val="auto"/>
          <w:szCs w:val="28"/>
          <w:lang w:val="en-US"/>
        </w:rPr>
      </w:pPr>
      <w:r>
        <w:rPr>
          <w:color w:val="auto"/>
          <w:szCs w:val="28"/>
          <w:lang w:val="en-US"/>
        </w:rPr>
        <w:t xml:space="preserve">20% – </w:t>
      </w:r>
      <w:r>
        <w:rPr>
          <w:color w:val="auto"/>
          <w:szCs w:val="28"/>
        </w:rPr>
        <w:t>мұнай</w:t>
      </w:r>
      <w:r>
        <w:rPr>
          <w:color w:val="auto"/>
          <w:szCs w:val="28"/>
          <w:lang w:val="en-US"/>
        </w:rPr>
        <w:t xml:space="preserve"> </w:t>
      </w:r>
      <w:r>
        <w:rPr>
          <w:color w:val="auto"/>
          <w:szCs w:val="28"/>
        </w:rPr>
        <w:t>қалдықтары</w:t>
      </w:r>
      <w:r>
        <w:rPr>
          <w:color w:val="auto"/>
          <w:szCs w:val="28"/>
          <w:lang w:val="en-US"/>
        </w:rPr>
        <w:t xml:space="preserve"> </w:t>
      </w:r>
      <w:r>
        <w:rPr>
          <w:color w:val="auto"/>
          <w:szCs w:val="28"/>
        </w:rPr>
        <w:t>және</w:t>
      </w:r>
      <w:r>
        <w:rPr>
          <w:color w:val="auto"/>
          <w:szCs w:val="28"/>
          <w:lang w:val="en-US"/>
        </w:rPr>
        <w:t xml:space="preserve"> </w:t>
      </w:r>
      <w:r>
        <w:rPr>
          <w:color w:val="auto"/>
          <w:szCs w:val="28"/>
        </w:rPr>
        <w:t>өзге</w:t>
      </w:r>
      <w:r>
        <w:rPr>
          <w:color w:val="auto"/>
          <w:szCs w:val="28"/>
          <w:lang w:val="en-US"/>
        </w:rPr>
        <w:t xml:space="preserve"> </w:t>
      </w:r>
      <w:r>
        <w:rPr>
          <w:color w:val="auto"/>
          <w:szCs w:val="28"/>
        </w:rPr>
        <w:t>де</w:t>
      </w:r>
      <w:r>
        <w:rPr>
          <w:color w:val="auto"/>
          <w:szCs w:val="28"/>
          <w:lang w:val="en-US"/>
        </w:rPr>
        <w:t xml:space="preserve"> </w:t>
      </w:r>
      <w:r>
        <w:rPr>
          <w:color w:val="auto"/>
          <w:szCs w:val="28"/>
        </w:rPr>
        <w:t>қалдық</w:t>
      </w:r>
      <w:r>
        <w:rPr>
          <w:color w:val="auto"/>
          <w:szCs w:val="28"/>
          <w:lang w:val="en-US"/>
        </w:rPr>
        <w:t xml:space="preserve"> </w:t>
      </w:r>
      <w:r>
        <w:rPr>
          <w:color w:val="auto"/>
          <w:szCs w:val="28"/>
        </w:rPr>
        <w:t>түрлері</w:t>
      </w:r>
      <w:r>
        <w:rPr>
          <w:color w:val="auto"/>
          <w:szCs w:val="28"/>
          <w:lang w:val="en-US"/>
        </w:rPr>
        <w:t>.</w:t>
      </w:r>
    </w:p>
    <w:p w14:paraId="214AEBC3">
      <w:pPr>
        <w:spacing w:after="0"/>
        <w:ind w:firstLine="709"/>
        <w:rPr>
          <w:color w:val="auto"/>
          <w:szCs w:val="28"/>
          <w:lang w:val="en-US"/>
        </w:rPr>
      </w:pPr>
      <w:r>
        <w:rPr>
          <w:color w:val="auto"/>
          <w:szCs w:val="28"/>
        </w:rPr>
        <w:t>Осыған</w:t>
      </w:r>
      <w:r>
        <w:rPr>
          <w:color w:val="auto"/>
          <w:szCs w:val="28"/>
          <w:lang w:val="en-US"/>
        </w:rPr>
        <w:t xml:space="preserve"> </w:t>
      </w:r>
      <w:r>
        <w:rPr>
          <w:color w:val="auto"/>
          <w:szCs w:val="28"/>
        </w:rPr>
        <w:t>сәйкес</w:t>
      </w:r>
      <w:r>
        <w:rPr>
          <w:color w:val="auto"/>
          <w:szCs w:val="28"/>
          <w:lang w:val="en-US"/>
        </w:rPr>
        <w:t xml:space="preserve">, </w:t>
      </w:r>
      <w:r>
        <w:rPr>
          <w:color w:val="auto"/>
          <w:szCs w:val="28"/>
        </w:rPr>
        <w:t>Қазақстанда</w:t>
      </w:r>
      <w:r>
        <w:rPr>
          <w:color w:val="auto"/>
          <w:szCs w:val="28"/>
          <w:lang w:val="en-US"/>
        </w:rPr>
        <w:t xml:space="preserve"> </w:t>
      </w:r>
      <w:r>
        <w:rPr>
          <w:color w:val="auto"/>
          <w:szCs w:val="28"/>
        </w:rPr>
        <w:t>жинақталған</w:t>
      </w:r>
      <w:r>
        <w:rPr>
          <w:color w:val="auto"/>
          <w:szCs w:val="28"/>
          <w:lang w:val="en-US"/>
        </w:rPr>
        <w:t xml:space="preserve"> </w:t>
      </w:r>
      <w:r>
        <w:rPr>
          <w:color w:val="auto"/>
          <w:szCs w:val="28"/>
        </w:rPr>
        <w:t>мұнай</w:t>
      </w:r>
      <w:r>
        <w:rPr>
          <w:color w:val="auto"/>
          <w:szCs w:val="28"/>
          <w:lang w:val="en-US"/>
        </w:rPr>
        <w:t xml:space="preserve"> </w:t>
      </w:r>
      <w:r>
        <w:rPr>
          <w:color w:val="auto"/>
          <w:szCs w:val="28"/>
        </w:rPr>
        <w:t>қалдықтарының</w:t>
      </w:r>
      <w:r>
        <w:rPr>
          <w:color w:val="auto"/>
          <w:szCs w:val="28"/>
          <w:lang w:val="en-US"/>
        </w:rPr>
        <w:t xml:space="preserve"> </w:t>
      </w:r>
      <w:r>
        <w:rPr>
          <w:color w:val="auto"/>
          <w:szCs w:val="28"/>
        </w:rPr>
        <w:t>болжамды</w:t>
      </w:r>
      <w:r>
        <w:rPr>
          <w:color w:val="auto"/>
          <w:szCs w:val="28"/>
          <w:lang w:val="en-US"/>
        </w:rPr>
        <w:t xml:space="preserve"> </w:t>
      </w:r>
      <w:r>
        <w:rPr>
          <w:color w:val="auto"/>
          <w:szCs w:val="28"/>
        </w:rPr>
        <w:t>көлемі</w:t>
      </w:r>
      <w:r>
        <w:rPr>
          <w:color w:val="auto"/>
          <w:szCs w:val="28"/>
          <w:lang w:val="en-US"/>
        </w:rPr>
        <w:t xml:space="preserve"> </w:t>
      </w:r>
      <w:r>
        <w:rPr>
          <w:color w:val="auto"/>
          <w:szCs w:val="28"/>
        </w:rPr>
        <w:t>шамамен</w:t>
      </w:r>
      <w:r>
        <w:rPr>
          <w:color w:val="auto"/>
          <w:szCs w:val="28"/>
          <w:lang w:val="en-US"/>
        </w:rPr>
        <w:t xml:space="preserve"> 6,3 </w:t>
      </w:r>
      <w:r>
        <w:rPr>
          <w:color w:val="auto"/>
          <w:szCs w:val="28"/>
        </w:rPr>
        <w:t>млрд</w:t>
      </w:r>
      <w:r>
        <w:rPr>
          <w:color w:val="auto"/>
          <w:szCs w:val="28"/>
          <w:lang w:val="en-US"/>
        </w:rPr>
        <w:t xml:space="preserve"> </w:t>
      </w:r>
      <w:r>
        <w:rPr>
          <w:color w:val="auto"/>
          <w:szCs w:val="28"/>
        </w:rPr>
        <w:t>тоннаны</w:t>
      </w:r>
      <w:r>
        <w:rPr>
          <w:color w:val="auto"/>
          <w:szCs w:val="28"/>
          <w:lang w:val="en-US"/>
        </w:rPr>
        <w:t xml:space="preserve"> </w:t>
      </w:r>
      <w:r>
        <w:rPr>
          <w:color w:val="auto"/>
          <w:szCs w:val="28"/>
        </w:rPr>
        <w:t>құрайды</w:t>
      </w:r>
      <w:r>
        <w:rPr>
          <w:color w:val="auto"/>
          <w:szCs w:val="28"/>
          <w:lang w:val="en-US"/>
        </w:rPr>
        <w:t xml:space="preserve"> (</w:t>
      </w:r>
      <w:r>
        <w:rPr>
          <w:color w:val="auto"/>
          <w:szCs w:val="28"/>
        </w:rPr>
        <w:t>жалпы</w:t>
      </w:r>
      <w:r>
        <w:rPr>
          <w:color w:val="auto"/>
          <w:szCs w:val="28"/>
          <w:lang w:val="en-US"/>
        </w:rPr>
        <w:t xml:space="preserve"> </w:t>
      </w:r>
      <w:r>
        <w:rPr>
          <w:color w:val="auto"/>
          <w:szCs w:val="28"/>
        </w:rPr>
        <w:t>көлемнің</w:t>
      </w:r>
      <w:r>
        <w:rPr>
          <w:color w:val="auto"/>
          <w:szCs w:val="28"/>
          <w:lang w:val="en-US"/>
        </w:rPr>
        <w:t xml:space="preserve"> 31,6 </w:t>
      </w:r>
      <w:r>
        <w:rPr>
          <w:color w:val="auto"/>
          <w:szCs w:val="28"/>
        </w:rPr>
        <w:t>млрд</w:t>
      </w:r>
      <w:r>
        <w:rPr>
          <w:color w:val="auto"/>
          <w:szCs w:val="28"/>
          <w:lang w:val="en-US"/>
        </w:rPr>
        <w:t xml:space="preserve"> </w:t>
      </w:r>
      <w:r>
        <w:rPr>
          <w:color w:val="auto"/>
          <w:szCs w:val="28"/>
        </w:rPr>
        <w:t>тоннасының</w:t>
      </w:r>
      <w:r>
        <w:rPr>
          <w:color w:val="auto"/>
          <w:szCs w:val="28"/>
          <w:lang w:val="en-US"/>
        </w:rPr>
        <w:t xml:space="preserve"> 20%-</w:t>
      </w:r>
      <w:r>
        <w:rPr>
          <w:color w:val="auto"/>
          <w:szCs w:val="28"/>
        </w:rPr>
        <w:t>ы</w:t>
      </w:r>
      <w:r>
        <w:rPr>
          <w:color w:val="auto"/>
          <w:szCs w:val="28"/>
          <w:lang w:val="en-US"/>
        </w:rPr>
        <w:t xml:space="preserve">). </w:t>
      </w:r>
      <w:r>
        <w:rPr>
          <w:color w:val="auto"/>
          <w:szCs w:val="28"/>
        </w:rPr>
        <w:t>Алайда</w:t>
      </w:r>
      <w:r>
        <w:rPr>
          <w:color w:val="auto"/>
          <w:szCs w:val="28"/>
          <w:lang w:val="en-US"/>
        </w:rPr>
        <w:t xml:space="preserve">, 2024 </w:t>
      </w:r>
      <w:r>
        <w:rPr>
          <w:color w:val="auto"/>
          <w:szCs w:val="28"/>
        </w:rPr>
        <w:t>жылы</w:t>
      </w:r>
      <w:r>
        <w:rPr>
          <w:color w:val="auto"/>
          <w:szCs w:val="28"/>
          <w:lang w:val="en-US"/>
        </w:rPr>
        <w:t xml:space="preserve"> </w:t>
      </w:r>
      <w:r>
        <w:rPr>
          <w:color w:val="auto"/>
          <w:szCs w:val="28"/>
        </w:rPr>
        <w:t>өнеркәсіптік</w:t>
      </w:r>
      <w:r>
        <w:rPr>
          <w:color w:val="auto"/>
          <w:szCs w:val="28"/>
          <w:lang w:val="en-US"/>
        </w:rPr>
        <w:t xml:space="preserve"> </w:t>
      </w:r>
      <w:r>
        <w:rPr>
          <w:color w:val="auto"/>
          <w:szCs w:val="28"/>
        </w:rPr>
        <w:t>қалдықтарды</w:t>
      </w:r>
      <w:r>
        <w:rPr>
          <w:color w:val="auto"/>
          <w:szCs w:val="28"/>
          <w:lang w:val="en-US"/>
        </w:rPr>
        <w:t xml:space="preserve"> </w:t>
      </w:r>
      <w:r>
        <w:rPr>
          <w:color w:val="auto"/>
          <w:szCs w:val="28"/>
        </w:rPr>
        <w:t>қайта</w:t>
      </w:r>
      <w:r>
        <w:rPr>
          <w:color w:val="auto"/>
          <w:szCs w:val="28"/>
          <w:lang w:val="en-US"/>
        </w:rPr>
        <w:t xml:space="preserve"> </w:t>
      </w:r>
      <w:r>
        <w:rPr>
          <w:color w:val="auto"/>
          <w:szCs w:val="28"/>
        </w:rPr>
        <w:t>өңдеу</w:t>
      </w:r>
      <w:r>
        <w:rPr>
          <w:color w:val="auto"/>
          <w:szCs w:val="28"/>
          <w:lang w:val="en-US"/>
        </w:rPr>
        <w:t xml:space="preserve"> </w:t>
      </w:r>
      <w:r>
        <w:rPr>
          <w:color w:val="auto"/>
          <w:szCs w:val="28"/>
        </w:rPr>
        <w:t>және</w:t>
      </w:r>
      <w:r>
        <w:rPr>
          <w:color w:val="auto"/>
          <w:szCs w:val="28"/>
          <w:lang w:val="en-US"/>
        </w:rPr>
        <w:t xml:space="preserve"> </w:t>
      </w:r>
      <w:r>
        <w:rPr>
          <w:color w:val="auto"/>
          <w:szCs w:val="28"/>
        </w:rPr>
        <w:t>кәдеге</w:t>
      </w:r>
      <w:r>
        <w:rPr>
          <w:color w:val="auto"/>
          <w:szCs w:val="28"/>
          <w:lang w:val="en-US"/>
        </w:rPr>
        <w:t xml:space="preserve"> </w:t>
      </w:r>
      <w:r>
        <w:rPr>
          <w:color w:val="auto"/>
          <w:szCs w:val="28"/>
        </w:rPr>
        <w:t>жарату</w:t>
      </w:r>
      <w:r>
        <w:rPr>
          <w:color w:val="auto"/>
          <w:szCs w:val="28"/>
          <w:lang w:val="en-US"/>
        </w:rPr>
        <w:t xml:space="preserve"> </w:t>
      </w:r>
      <w:r>
        <w:rPr>
          <w:color w:val="auto"/>
          <w:szCs w:val="28"/>
        </w:rPr>
        <w:t>деңгейі</w:t>
      </w:r>
      <w:r>
        <w:rPr>
          <w:color w:val="auto"/>
          <w:szCs w:val="28"/>
          <w:lang w:val="en-US"/>
        </w:rPr>
        <w:t xml:space="preserve"> </w:t>
      </w:r>
      <w:r>
        <w:rPr>
          <w:color w:val="auto"/>
          <w:szCs w:val="28"/>
        </w:rPr>
        <w:t>жыл</w:t>
      </w:r>
      <w:r>
        <w:rPr>
          <w:color w:val="auto"/>
          <w:szCs w:val="28"/>
          <w:lang w:val="en-US"/>
        </w:rPr>
        <w:t xml:space="preserve"> </w:t>
      </w:r>
      <w:r>
        <w:rPr>
          <w:color w:val="auto"/>
          <w:szCs w:val="28"/>
        </w:rPr>
        <w:t>сайын</w:t>
      </w:r>
      <w:r>
        <w:rPr>
          <w:color w:val="auto"/>
          <w:szCs w:val="28"/>
          <w:lang w:val="en-US"/>
        </w:rPr>
        <w:t xml:space="preserve"> </w:t>
      </w:r>
      <w:r>
        <w:rPr>
          <w:color w:val="auto"/>
          <w:szCs w:val="28"/>
        </w:rPr>
        <w:t>түзілетін</w:t>
      </w:r>
      <w:r>
        <w:rPr>
          <w:color w:val="auto"/>
          <w:szCs w:val="28"/>
          <w:lang w:val="en-US"/>
        </w:rPr>
        <w:t xml:space="preserve"> </w:t>
      </w:r>
      <w:r>
        <w:rPr>
          <w:color w:val="auto"/>
          <w:szCs w:val="28"/>
        </w:rPr>
        <w:t>көлемнің</w:t>
      </w:r>
      <w:r>
        <w:rPr>
          <w:color w:val="auto"/>
          <w:szCs w:val="28"/>
          <w:lang w:val="en-US"/>
        </w:rPr>
        <w:t xml:space="preserve"> </w:t>
      </w:r>
      <w:r>
        <w:rPr>
          <w:color w:val="auto"/>
          <w:szCs w:val="28"/>
        </w:rPr>
        <w:t>небәрі</w:t>
      </w:r>
      <w:r>
        <w:rPr>
          <w:color w:val="auto"/>
          <w:szCs w:val="28"/>
          <w:lang w:val="en-US"/>
        </w:rPr>
        <w:t xml:space="preserve"> 27,5%-</w:t>
      </w:r>
      <w:r>
        <w:rPr>
          <w:color w:val="auto"/>
          <w:szCs w:val="28"/>
        </w:rPr>
        <w:t>ын</w:t>
      </w:r>
      <w:r>
        <w:rPr>
          <w:color w:val="auto"/>
          <w:szCs w:val="28"/>
          <w:lang w:val="en-US"/>
        </w:rPr>
        <w:t xml:space="preserve"> </w:t>
      </w:r>
      <w:r>
        <w:rPr>
          <w:color w:val="auto"/>
          <w:szCs w:val="28"/>
        </w:rPr>
        <w:t>ғана</w:t>
      </w:r>
      <w:r>
        <w:rPr>
          <w:color w:val="auto"/>
          <w:szCs w:val="28"/>
          <w:lang w:val="en-US"/>
        </w:rPr>
        <w:t xml:space="preserve"> </w:t>
      </w:r>
      <w:r>
        <w:rPr>
          <w:color w:val="auto"/>
          <w:szCs w:val="28"/>
        </w:rPr>
        <w:t>құрап</w:t>
      </w:r>
      <w:r>
        <w:rPr>
          <w:color w:val="auto"/>
          <w:szCs w:val="28"/>
          <w:lang w:val="en-US"/>
        </w:rPr>
        <w:t xml:space="preserve"> </w:t>
      </w:r>
      <w:r>
        <w:rPr>
          <w:color w:val="auto"/>
          <w:szCs w:val="28"/>
        </w:rPr>
        <w:t>отыр</w:t>
      </w:r>
      <w:r>
        <w:rPr>
          <w:color w:val="auto"/>
          <w:szCs w:val="28"/>
          <w:lang w:val="en-US"/>
        </w:rPr>
        <w:t xml:space="preserve">. </w:t>
      </w:r>
      <w:r>
        <w:rPr>
          <w:color w:val="auto"/>
          <w:szCs w:val="28"/>
        </w:rPr>
        <w:t>Бұл</w:t>
      </w:r>
      <w:r>
        <w:rPr>
          <w:color w:val="auto"/>
          <w:szCs w:val="28"/>
          <w:lang w:val="en-US"/>
        </w:rPr>
        <w:t xml:space="preserve"> </w:t>
      </w:r>
      <w:r>
        <w:rPr>
          <w:color w:val="auto"/>
          <w:szCs w:val="28"/>
        </w:rPr>
        <w:t>жағдай</w:t>
      </w:r>
      <w:r>
        <w:rPr>
          <w:color w:val="auto"/>
          <w:szCs w:val="28"/>
          <w:lang w:val="en-US"/>
        </w:rPr>
        <w:t xml:space="preserve"> </w:t>
      </w:r>
      <w:r>
        <w:rPr>
          <w:color w:val="auto"/>
          <w:szCs w:val="28"/>
        </w:rPr>
        <w:t>мұнай</w:t>
      </w:r>
      <w:r>
        <w:rPr>
          <w:color w:val="auto"/>
          <w:szCs w:val="28"/>
          <w:lang w:val="en-US"/>
        </w:rPr>
        <w:t xml:space="preserve"> </w:t>
      </w:r>
      <w:r>
        <w:rPr>
          <w:color w:val="auto"/>
          <w:szCs w:val="28"/>
        </w:rPr>
        <w:t>қалдықтарын</w:t>
      </w:r>
      <w:r>
        <w:rPr>
          <w:color w:val="auto"/>
          <w:szCs w:val="28"/>
          <w:lang w:val="en-US"/>
        </w:rPr>
        <w:t xml:space="preserve"> </w:t>
      </w:r>
      <w:r>
        <w:rPr>
          <w:color w:val="auto"/>
          <w:szCs w:val="28"/>
        </w:rPr>
        <w:t>қайта</w:t>
      </w:r>
      <w:r>
        <w:rPr>
          <w:color w:val="auto"/>
          <w:szCs w:val="28"/>
          <w:lang w:val="en-US"/>
        </w:rPr>
        <w:t xml:space="preserve"> </w:t>
      </w:r>
      <w:r>
        <w:rPr>
          <w:color w:val="auto"/>
          <w:szCs w:val="28"/>
        </w:rPr>
        <w:t>өңдеу</w:t>
      </w:r>
      <w:r>
        <w:rPr>
          <w:color w:val="auto"/>
          <w:szCs w:val="28"/>
          <w:lang w:val="en-US"/>
        </w:rPr>
        <w:t xml:space="preserve"> </w:t>
      </w:r>
      <w:r>
        <w:rPr>
          <w:color w:val="auto"/>
          <w:szCs w:val="28"/>
        </w:rPr>
        <w:t>мен</w:t>
      </w:r>
      <w:r>
        <w:rPr>
          <w:color w:val="auto"/>
          <w:szCs w:val="28"/>
          <w:lang w:val="en-US"/>
        </w:rPr>
        <w:t xml:space="preserve"> </w:t>
      </w:r>
      <w:r>
        <w:rPr>
          <w:color w:val="auto"/>
          <w:szCs w:val="28"/>
        </w:rPr>
        <w:t>биоремедиациялаудың</w:t>
      </w:r>
      <w:r>
        <w:rPr>
          <w:color w:val="auto"/>
          <w:szCs w:val="28"/>
          <w:lang w:val="en-US"/>
        </w:rPr>
        <w:t xml:space="preserve"> </w:t>
      </w:r>
      <w:r>
        <w:rPr>
          <w:color w:val="auto"/>
          <w:szCs w:val="28"/>
        </w:rPr>
        <w:t>тиімді</w:t>
      </w:r>
      <w:r>
        <w:rPr>
          <w:color w:val="auto"/>
          <w:szCs w:val="28"/>
          <w:lang w:val="en-US"/>
        </w:rPr>
        <w:t xml:space="preserve"> </w:t>
      </w:r>
      <w:r>
        <w:rPr>
          <w:color w:val="auto"/>
          <w:szCs w:val="28"/>
        </w:rPr>
        <w:t>технологияларын</w:t>
      </w:r>
      <w:r>
        <w:rPr>
          <w:color w:val="auto"/>
          <w:szCs w:val="28"/>
          <w:lang w:val="en-US"/>
        </w:rPr>
        <w:t xml:space="preserve"> </w:t>
      </w:r>
      <w:r>
        <w:rPr>
          <w:color w:val="auto"/>
          <w:szCs w:val="28"/>
        </w:rPr>
        <w:t>әзірлеу</w:t>
      </w:r>
      <w:r>
        <w:rPr>
          <w:color w:val="auto"/>
          <w:szCs w:val="28"/>
          <w:lang w:val="en-US"/>
        </w:rPr>
        <w:t xml:space="preserve"> </w:t>
      </w:r>
      <w:r>
        <w:rPr>
          <w:color w:val="auto"/>
          <w:szCs w:val="28"/>
        </w:rPr>
        <w:t>және</w:t>
      </w:r>
      <w:r>
        <w:rPr>
          <w:color w:val="auto"/>
          <w:szCs w:val="28"/>
          <w:lang w:val="en-US"/>
        </w:rPr>
        <w:t xml:space="preserve"> </w:t>
      </w:r>
      <w:r>
        <w:rPr>
          <w:color w:val="auto"/>
          <w:szCs w:val="28"/>
        </w:rPr>
        <w:t>енгізудің</w:t>
      </w:r>
      <w:r>
        <w:rPr>
          <w:color w:val="auto"/>
          <w:szCs w:val="28"/>
          <w:lang w:val="en-US"/>
        </w:rPr>
        <w:t xml:space="preserve"> </w:t>
      </w:r>
      <w:r>
        <w:rPr>
          <w:color w:val="auto"/>
          <w:szCs w:val="28"/>
        </w:rPr>
        <w:t>шұғыл</w:t>
      </w:r>
      <w:r>
        <w:rPr>
          <w:color w:val="auto"/>
          <w:szCs w:val="28"/>
          <w:lang w:val="en-US"/>
        </w:rPr>
        <w:t xml:space="preserve"> </w:t>
      </w:r>
      <w:r>
        <w:rPr>
          <w:color w:val="auto"/>
          <w:szCs w:val="28"/>
        </w:rPr>
        <w:t>қажеттілігін</w:t>
      </w:r>
      <w:r>
        <w:rPr>
          <w:color w:val="auto"/>
          <w:szCs w:val="28"/>
          <w:lang w:val="en-US"/>
        </w:rPr>
        <w:t xml:space="preserve"> </w:t>
      </w:r>
      <w:r>
        <w:rPr>
          <w:color w:val="auto"/>
          <w:szCs w:val="28"/>
        </w:rPr>
        <w:t>көрсетеді</w:t>
      </w:r>
      <w:r>
        <w:rPr>
          <w:color w:val="auto"/>
          <w:szCs w:val="28"/>
          <w:lang w:val="en-US"/>
        </w:rPr>
        <w:t>.</w:t>
      </w:r>
    </w:p>
    <w:p w14:paraId="7A61F4A8">
      <w:pPr>
        <w:spacing w:after="0"/>
        <w:ind w:firstLine="709"/>
        <w:rPr>
          <w:color w:val="auto"/>
          <w:szCs w:val="28"/>
          <w:lang w:val="en-US"/>
        </w:rPr>
      </w:pPr>
      <w:r>
        <w:rPr>
          <w:color w:val="auto"/>
          <w:szCs w:val="28"/>
        </w:rPr>
        <w:t>Қоршаған</w:t>
      </w:r>
      <w:r>
        <w:rPr>
          <w:color w:val="auto"/>
          <w:szCs w:val="28"/>
          <w:lang w:val="en-US"/>
        </w:rPr>
        <w:t xml:space="preserve"> </w:t>
      </w:r>
      <w:r>
        <w:rPr>
          <w:color w:val="auto"/>
          <w:szCs w:val="28"/>
        </w:rPr>
        <w:t>ортаның</w:t>
      </w:r>
      <w:r>
        <w:rPr>
          <w:color w:val="auto"/>
          <w:szCs w:val="28"/>
          <w:lang w:val="en-US"/>
        </w:rPr>
        <w:t xml:space="preserve"> </w:t>
      </w:r>
      <w:r>
        <w:rPr>
          <w:color w:val="auto"/>
          <w:szCs w:val="28"/>
        </w:rPr>
        <w:t>жай</w:t>
      </w:r>
      <w:r>
        <w:rPr>
          <w:color w:val="auto"/>
          <w:szCs w:val="28"/>
          <w:lang w:val="en-US"/>
        </w:rPr>
        <w:t>-</w:t>
      </w:r>
      <w:r>
        <w:rPr>
          <w:color w:val="auto"/>
          <w:szCs w:val="28"/>
        </w:rPr>
        <w:t>күйі</w:t>
      </w:r>
      <w:r>
        <w:rPr>
          <w:color w:val="auto"/>
          <w:szCs w:val="28"/>
          <w:lang w:val="en-US"/>
        </w:rPr>
        <w:t xml:space="preserve"> </w:t>
      </w:r>
      <w:r>
        <w:rPr>
          <w:color w:val="auto"/>
          <w:szCs w:val="28"/>
        </w:rPr>
        <w:t>туралы</w:t>
      </w:r>
      <w:r>
        <w:rPr>
          <w:color w:val="auto"/>
          <w:szCs w:val="28"/>
          <w:lang w:val="en-US"/>
        </w:rPr>
        <w:t xml:space="preserve"> </w:t>
      </w:r>
      <w:r>
        <w:rPr>
          <w:color w:val="auto"/>
          <w:szCs w:val="28"/>
        </w:rPr>
        <w:t>ұлттық</w:t>
      </w:r>
      <w:r>
        <w:rPr>
          <w:color w:val="auto"/>
          <w:szCs w:val="28"/>
          <w:lang w:val="en-US"/>
        </w:rPr>
        <w:t xml:space="preserve"> </w:t>
      </w:r>
      <w:r>
        <w:rPr>
          <w:color w:val="auto"/>
          <w:szCs w:val="28"/>
        </w:rPr>
        <w:t>баяндамаға</w:t>
      </w:r>
      <w:r>
        <w:rPr>
          <w:color w:val="auto"/>
          <w:szCs w:val="28"/>
          <w:lang w:val="en-US"/>
        </w:rPr>
        <w:t xml:space="preserve"> </w:t>
      </w:r>
      <w:r>
        <w:rPr>
          <w:color w:val="auto"/>
          <w:szCs w:val="28"/>
        </w:rPr>
        <w:t>сәйкес</w:t>
      </w:r>
      <w:r>
        <w:rPr>
          <w:color w:val="auto"/>
          <w:szCs w:val="28"/>
          <w:lang w:val="en-US"/>
        </w:rPr>
        <w:t xml:space="preserve"> [3], </w:t>
      </w:r>
      <w:r>
        <w:rPr>
          <w:color w:val="auto"/>
          <w:szCs w:val="28"/>
        </w:rPr>
        <w:t>мұнай</w:t>
      </w:r>
      <w:r>
        <w:rPr>
          <w:color w:val="auto"/>
          <w:szCs w:val="28"/>
          <w:lang w:val="en-US"/>
        </w:rPr>
        <w:t xml:space="preserve"> </w:t>
      </w:r>
      <w:r>
        <w:rPr>
          <w:color w:val="auto"/>
          <w:szCs w:val="28"/>
        </w:rPr>
        <w:t>қалдықтарының</w:t>
      </w:r>
      <w:r>
        <w:rPr>
          <w:color w:val="auto"/>
          <w:szCs w:val="28"/>
          <w:lang w:val="en-US"/>
        </w:rPr>
        <w:t xml:space="preserve"> </w:t>
      </w:r>
      <w:r>
        <w:rPr>
          <w:color w:val="auto"/>
          <w:szCs w:val="28"/>
        </w:rPr>
        <w:t>жиналуына</w:t>
      </w:r>
      <w:r>
        <w:rPr>
          <w:color w:val="auto"/>
          <w:szCs w:val="28"/>
          <w:lang w:val="en-US"/>
        </w:rPr>
        <w:t xml:space="preserve"> </w:t>
      </w:r>
      <w:r>
        <w:rPr>
          <w:color w:val="auto"/>
          <w:szCs w:val="28"/>
        </w:rPr>
        <w:t>байланысты</w:t>
      </w:r>
      <w:r>
        <w:rPr>
          <w:color w:val="auto"/>
          <w:szCs w:val="28"/>
          <w:lang w:val="en-US"/>
        </w:rPr>
        <w:t xml:space="preserve"> </w:t>
      </w:r>
      <w:r>
        <w:rPr>
          <w:color w:val="auto"/>
          <w:szCs w:val="28"/>
        </w:rPr>
        <w:t>негізгі</w:t>
      </w:r>
      <w:r>
        <w:rPr>
          <w:color w:val="auto"/>
          <w:szCs w:val="28"/>
          <w:lang w:val="en-US"/>
        </w:rPr>
        <w:t xml:space="preserve"> </w:t>
      </w:r>
      <w:r>
        <w:rPr>
          <w:color w:val="auto"/>
          <w:szCs w:val="28"/>
        </w:rPr>
        <w:t>экологиялық</w:t>
      </w:r>
      <w:r>
        <w:rPr>
          <w:color w:val="auto"/>
          <w:szCs w:val="28"/>
          <w:lang w:val="en-US"/>
        </w:rPr>
        <w:t xml:space="preserve"> </w:t>
      </w:r>
      <w:r>
        <w:rPr>
          <w:color w:val="auto"/>
          <w:szCs w:val="28"/>
        </w:rPr>
        <w:t>проблемалар</w:t>
      </w:r>
      <w:r>
        <w:rPr>
          <w:color w:val="auto"/>
          <w:szCs w:val="28"/>
          <w:lang w:val="en-US"/>
        </w:rPr>
        <w:t xml:space="preserve"> </w:t>
      </w:r>
      <w:r>
        <w:rPr>
          <w:color w:val="auto"/>
          <w:szCs w:val="28"/>
        </w:rPr>
        <w:t>төмендегідей</w:t>
      </w:r>
      <w:r>
        <w:rPr>
          <w:color w:val="auto"/>
          <w:szCs w:val="28"/>
          <w:lang w:val="en-US"/>
        </w:rPr>
        <w:t>:</w:t>
      </w:r>
    </w:p>
    <w:p w14:paraId="0C614774">
      <w:pPr>
        <w:spacing w:after="0"/>
        <w:ind w:firstLine="709"/>
        <w:rPr>
          <w:color w:val="auto"/>
          <w:szCs w:val="28"/>
          <w:lang w:val="en-US"/>
        </w:rPr>
      </w:pPr>
      <w:r>
        <w:rPr>
          <w:color w:val="auto"/>
          <w:szCs w:val="28"/>
        </w:rPr>
        <w:t>Жердің</w:t>
      </w:r>
      <w:r>
        <w:rPr>
          <w:color w:val="auto"/>
          <w:szCs w:val="28"/>
          <w:lang w:val="en-US"/>
        </w:rPr>
        <w:t xml:space="preserve"> </w:t>
      </w:r>
      <w:r>
        <w:rPr>
          <w:color w:val="auto"/>
          <w:szCs w:val="28"/>
        </w:rPr>
        <w:t>деградациясы</w:t>
      </w:r>
      <w:r>
        <w:rPr>
          <w:color w:val="auto"/>
          <w:szCs w:val="28"/>
          <w:lang w:val="en-US"/>
        </w:rPr>
        <w:t xml:space="preserve"> – </w:t>
      </w:r>
      <w:r>
        <w:rPr>
          <w:color w:val="auto"/>
          <w:szCs w:val="28"/>
        </w:rPr>
        <w:t>мұнай</w:t>
      </w:r>
      <w:r>
        <w:rPr>
          <w:color w:val="auto"/>
          <w:szCs w:val="28"/>
          <w:lang w:val="en-US"/>
        </w:rPr>
        <w:t xml:space="preserve"> </w:t>
      </w:r>
      <w:r>
        <w:rPr>
          <w:color w:val="auto"/>
          <w:szCs w:val="28"/>
        </w:rPr>
        <w:t>кен</w:t>
      </w:r>
      <w:r>
        <w:rPr>
          <w:color w:val="auto"/>
          <w:szCs w:val="28"/>
          <w:lang w:val="en-US"/>
        </w:rPr>
        <w:t xml:space="preserve"> </w:t>
      </w:r>
      <w:r>
        <w:rPr>
          <w:color w:val="auto"/>
          <w:szCs w:val="28"/>
        </w:rPr>
        <w:t>орындары</w:t>
      </w:r>
      <w:r>
        <w:rPr>
          <w:color w:val="auto"/>
          <w:szCs w:val="28"/>
          <w:lang w:val="en-US"/>
        </w:rPr>
        <w:t xml:space="preserve"> </w:t>
      </w:r>
      <w:r>
        <w:rPr>
          <w:color w:val="auto"/>
          <w:szCs w:val="28"/>
        </w:rPr>
        <w:t>мен</w:t>
      </w:r>
      <w:r>
        <w:rPr>
          <w:color w:val="auto"/>
          <w:szCs w:val="28"/>
          <w:lang w:val="en-US"/>
        </w:rPr>
        <w:t xml:space="preserve"> </w:t>
      </w:r>
      <w:r>
        <w:rPr>
          <w:color w:val="auto"/>
          <w:szCs w:val="28"/>
        </w:rPr>
        <w:t>амбарларды</w:t>
      </w:r>
      <w:r>
        <w:rPr>
          <w:color w:val="auto"/>
          <w:szCs w:val="28"/>
          <w:lang w:val="en-US"/>
        </w:rPr>
        <w:t xml:space="preserve"> </w:t>
      </w:r>
      <w:r>
        <w:rPr>
          <w:color w:val="auto"/>
          <w:szCs w:val="28"/>
        </w:rPr>
        <w:t>қоса</w:t>
      </w:r>
      <w:r>
        <w:rPr>
          <w:color w:val="auto"/>
          <w:szCs w:val="28"/>
          <w:lang w:val="en-US"/>
        </w:rPr>
        <w:t xml:space="preserve"> </w:t>
      </w:r>
      <w:r>
        <w:rPr>
          <w:color w:val="auto"/>
          <w:szCs w:val="28"/>
        </w:rPr>
        <w:t>алғанда</w:t>
      </w:r>
      <w:r>
        <w:rPr>
          <w:color w:val="auto"/>
          <w:szCs w:val="28"/>
          <w:lang w:val="en-US"/>
        </w:rPr>
        <w:t xml:space="preserve">, 244,8 </w:t>
      </w:r>
      <w:r>
        <w:rPr>
          <w:color w:val="auto"/>
          <w:szCs w:val="28"/>
        </w:rPr>
        <w:t>мың</w:t>
      </w:r>
      <w:r>
        <w:rPr>
          <w:color w:val="auto"/>
          <w:szCs w:val="28"/>
          <w:lang w:val="en-US"/>
        </w:rPr>
        <w:t xml:space="preserve"> </w:t>
      </w:r>
      <w:r>
        <w:rPr>
          <w:color w:val="auto"/>
          <w:szCs w:val="28"/>
        </w:rPr>
        <w:t>га</w:t>
      </w:r>
      <w:r>
        <w:rPr>
          <w:color w:val="auto"/>
          <w:szCs w:val="28"/>
          <w:lang w:val="en-US"/>
        </w:rPr>
        <w:t xml:space="preserve"> </w:t>
      </w:r>
      <w:r>
        <w:rPr>
          <w:color w:val="auto"/>
          <w:szCs w:val="28"/>
        </w:rPr>
        <w:t>бүлінген</w:t>
      </w:r>
      <w:r>
        <w:rPr>
          <w:color w:val="auto"/>
          <w:szCs w:val="28"/>
          <w:lang w:val="en-US"/>
        </w:rPr>
        <w:t xml:space="preserve"> </w:t>
      </w:r>
      <w:r>
        <w:rPr>
          <w:color w:val="auto"/>
          <w:szCs w:val="28"/>
        </w:rPr>
        <w:t>жер</w:t>
      </w:r>
      <w:r>
        <w:rPr>
          <w:color w:val="auto"/>
          <w:szCs w:val="28"/>
          <w:lang w:val="en-US"/>
        </w:rPr>
        <w:t>;</w:t>
      </w:r>
    </w:p>
    <w:p w14:paraId="3BB066E6">
      <w:pPr>
        <w:spacing w:after="0"/>
        <w:ind w:firstLine="709"/>
        <w:rPr>
          <w:color w:val="auto"/>
          <w:szCs w:val="28"/>
          <w:lang w:val="en-US"/>
        </w:rPr>
      </w:pPr>
      <w:r>
        <w:rPr>
          <w:color w:val="auto"/>
          <w:szCs w:val="28"/>
        </w:rPr>
        <w:t>Топырақтың</w:t>
      </w:r>
      <w:r>
        <w:rPr>
          <w:color w:val="auto"/>
          <w:szCs w:val="28"/>
          <w:lang w:val="en-US"/>
        </w:rPr>
        <w:t xml:space="preserve"> </w:t>
      </w:r>
      <w:r>
        <w:rPr>
          <w:color w:val="auto"/>
          <w:szCs w:val="28"/>
        </w:rPr>
        <w:t>ластануы</w:t>
      </w:r>
      <w:r>
        <w:rPr>
          <w:color w:val="auto"/>
          <w:szCs w:val="28"/>
          <w:lang w:val="en-US"/>
        </w:rPr>
        <w:t xml:space="preserve"> – </w:t>
      </w:r>
      <w:r>
        <w:rPr>
          <w:color w:val="auto"/>
          <w:szCs w:val="28"/>
        </w:rPr>
        <w:t>мұнай</w:t>
      </w:r>
      <w:r>
        <w:rPr>
          <w:color w:val="auto"/>
          <w:szCs w:val="28"/>
          <w:lang w:val="en-US"/>
        </w:rPr>
        <w:t xml:space="preserve"> </w:t>
      </w:r>
      <w:r>
        <w:rPr>
          <w:color w:val="auto"/>
          <w:szCs w:val="28"/>
        </w:rPr>
        <w:t>өнімдері</w:t>
      </w:r>
      <w:r>
        <w:rPr>
          <w:color w:val="auto"/>
          <w:szCs w:val="28"/>
          <w:lang w:val="en-US"/>
        </w:rPr>
        <w:t xml:space="preserve">, </w:t>
      </w:r>
      <w:r>
        <w:rPr>
          <w:color w:val="auto"/>
          <w:szCs w:val="28"/>
        </w:rPr>
        <w:t>ауыр</w:t>
      </w:r>
      <w:r>
        <w:rPr>
          <w:color w:val="auto"/>
          <w:szCs w:val="28"/>
          <w:lang w:val="en-US"/>
        </w:rPr>
        <w:t xml:space="preserve"> </w:t>
      </w:r>
      <w:r>
        <w:rPr>
          <w:color w:val="auto"/>
          <w:szCs w:val="28"/>
        </w:rPr>
        <w:t>металдар</w:t>
      </w:r>
      <w:r>
        <w:rPr>
          <w:color w:val="auto"/>
          <w:szCs w:val="28"/>
          <w:lang w:val="en-US"/>
        </w:rPr>
        <w:t xml:space="preserve"> </w:t>
      </w:r>
      <w:r>
        <w:rPr>
          <w:color w:val="auto"/>
          <w:szCs w:val="28"/>
        </w:rPr>
        <w:t>және</w:t>
      </w:r>
      <w:r>
        <w:rPr>
          <w:color w:val="auto"/>
          <w:szCs w:val="28"/>
          <w:lang w:val="en-US"/>
        </w:rPr>
        <w:t xml:space="preserve"> </w:t>
      </w:r>
      <w:r>
        <w:rPr>
          <w:color w:val="auto"/>
          <w:szCs w:val="28"/>
        </w:rPr>
        <w:t>уытты</w:t>
      </w:r>
      <w:r>
        <w:rPr>
          <w:color w:val="auto"/>
          <w:szCs w:val="28"/>
          <w:lang w:val="en-US"/>
        </w:rPr>
        <w:t xml:space="preserve"> </w:t>
      </w:r>
      <w:r>
        <w:rPr>
          <w:color w:val="auto"/>
          <w:szCs w:val="28"/>
        </w:rPr>
        <w:t>химиялық</w:t>
      </w:r>
      <w:r>
        <w:rPr>
          <w:color w:val="auto"/>
          <w:szCs w:val="28"/>
          <w:lang w:val="en-US"/>
        </w:rPr>
        <w:t xml:space="preserve"> </w:t>
      </w:r>
      <w:r>
        <w:rPr>
          <w:color w:val="auto"/>
          <w:szCs w:val="28"/>
        </w:rPr>
        <w:t>қосылыстар</w:t>
      </w:r>
      <w:r>
        <w:rPr>
          <w:color w:val="auto"/>
          <w:szCs w:val="28"/>
          <w:lang w:val="en-US"/>
        </w:rPr>
        <w:t>;</w:t>
      </w:r>
    </w:p>
    <w:p w14:paraId="56F608E5">
      <w:pPr>
        <w:spacing w:after="0"/>
        <w:ind w:firstLine="709"/>
        <w:rPr>
          <w:color w:val="auto"/>
          <w:szCs w:val="28"/>
          <w:lang w:val="en-US"/>
        </w:rPr>
      </w:pPr>
      <w:r>
        <w:rPr>
          <w:color w:val="auto"/>
          <w:szCs w:val="28"/>
        </w:rPr>
        <w:t>Су</w:t>
      </w:r>
      <w:r>
        <w:rPr>
          <w:color w:val="auto"/>
          <w:szCs w:val="28"/>
          <w:lang w:val="en-US"/>
        </w:rPr>
        <w:t xml:space="preserve"> </w:t>
      </w:r>
      <w:r>
        <w:rPr>
          <w:color w:val="auto"/>
          <w:szCs w:val="28"/>
        </w:rPr>
        <w:t>ресурстарының</w:t>
      </w:r>
      <w:r>
        <w:rPr>
          <w:color w:val="auto"/>
          <w:szCs w:val="28"/>
          <w:lang w:val="en-US"/>
        </w:rPr>
        <w:t xml:space="preserve"> </w:t>
      </w:r>
      <w:r>
        <w:rPr>
          <w:color w:val="auto"/>
          <w:szCs w:val="28"/>
        </w:rPr>
        <w:t>ластануы</w:t>
      </w:r>
      <w:r>
        <w:rPr>
          <w:color w:val="auto"/>
          <w:szCs w:val="28"/>
          <w:lang w:val="en-US"/>
        </w:rPr>
        <w:t xml:space="preserve"> – </w:t>
      </w:r>
      <w:r>
        <w:rPr>
          <w:color w:val="auto"/>
          <w:szCs w:val="28"/>
        </w:rPr>
        <w:t>мұнай</w:t>
      </w:r>
      <w:r>
        <w:rPr>
          <w:color w:val="auto"/>
          <w:szCs w:val="28"/>
          <w:lang w:val="en-US"/>
        </w:rPr>
        <w:t xml:space="preserve"> </w:t>
      </w:r>
      <w:r>
        <w:rPr>
          <w:color w:val="auto"/>
          <w:szCs w:val="28"/>
        </w:rPr>
        <w:t>өнімдерінің</w:t>
      </w:r>
      <w:r>
        <w:rPr>
          <w:color w:val="auto"/>
          <w:szCs w:val="28"/>
          <w:lang w:val="en-US"/>
        </w:rPr>
        <w:t xml:space="preserve"> </w:t>
      </w:r>
      <w:r>
        <w:rPr>
          <w:color w:val="auto"/>
          <w:szCs w:val="28"/>
        </w:rPr>
        <w:t>жер</w:t>
      </w:r>
      <w:r>
        <w:rPr>
          <w:color w:val="auto"/>
          <w:szCs w:val="28"/>
          <w:lang w:val="en-US"/>
        </w:rPr>
        <w:t xml:space="preserve"> </w:t>
      </w:r>
      <w:r>
        <w:rPr>
          <w:color w:val="auto"/>
          <w:szCs w:val="28"/>
        </w:rPr>
        <w:t>асты</w:t>
      </w:r>
      <w:r>
        <w:rPr>
          <w:color w:val="auto"/>
          <w:szCs w:val="28"/>
          <w:lang w:val="en-US"/>
        </w:rPr>
        <w:t xml:space="preserve"> </w:t>
      </w:r>
      <w:r>
        <w:rPr>
          <w:color w:val="auto"/>
          <w:szCs w:val="28"/>
        </w:rPr>
        <w:t>су</w:t>
      </w:r>
      <w:r>
        <w:rPr>
          <w:color w:val="auto"/>
          <w:szCs w:val="28"/>
          <w:lang w:val="en-US"/>
        </w:rPr>
        <w:t xml:space="preserve"> </w:t>
      </w:r>
      <w:r>
        <w:rPr>
          <w:color w:val="auto"/>
          <w:szCs w:val="28"/>
        </w:rPr>
        <w:t>қабаттарына</w:t>
      </w:r>
      <w:r>
        <w:rPr>
          <w:color w:val="auto"/>
          <w:szCs w:val="28"/>
          <w:lang w:val="en-US"/>
        </w:rPr>
        <w:t xml:space="preserve"> </w:t>
      </w:r>
      <w:r>
        <w:rPr>
          <w:color w:val="auto"/>
          <w:szCs w:val="28"/>
        </w:rPr>
        <w:t>инфильтрациясы</w:t>
      </w:r>
      <w:r>
        <w:rPr>
          <w:color w:val="auto"/>
          <w:szCs w:val="28"/>
          <w:lang w:val="en-US"/>
        </w:rPr>
        <w:t>;</w:t>
      </w:r>
    </w:p>
    <w:p w14:paraId="084EE4F5">
      <w:pPr>
        <w:spacing w:after="0"/>
        <w:ind w:firstLine="709"/>
        <w:rPr>
          <w:color w:val="auto"/>
          <w:szCs w:val="28"/>
          <w:lang w:val="en-US"/>
        </w:rPr>
      </w:pPr>
      <w:r>
        <w:rPr>
          <w:color w:val="auto"/>
          <w:szCs w:val="28"/>
        </w:rPr>
        <w:t>Атмосфералық</w:t>
      </w:r>
      <w:r>
        <w:rPr>
          <w:color w:val="auto"/>
          <w:szCs w:val="28"/>
          <w:lang w:val="en-US"/>
        </w:rPr>
        <w:t xml:space="preserve"> </w:t>
      </w:r>
      <w:r>
        <w:rPr>
          <w:color w:val="auto"/>
          <w:szCs w:val="28"/>
        </w:rPr>
        <w:t>ауаның</w:t>
      </w:r>
      <w:r>
        <w:rPr>
          <w:color w:val="auto"/>
          <w:szCs w:val="28"/>
          <w:lang w:val="en-US"/>
        </w:rPr>
        <w:t xml:space="preserve"> </w:t>
      </w:r>
      <w:r>
        <w:rPr>
          <w:color w:val="auto"/>
          <w:szCs w:val="28"/>
        </w:rPr>
        <w:t>ластануы</w:t>
      </w:r>
      <w:r>
        <w:rPr>
          <w:color w:val="auto"/>
          <w:szCs w:val="28"/>
          <w:lang w:val="en-US"/>
        </w:rPr>
        <w:t xml:space="preserve"> – </w:t>
      </w:r>
      <w:r>
        <w:rPr>
          <w:color w:val="auto"/>
          <w:szCs w:val="28"/>
        </w:rPr>
        <w:t>мұнай</w:t>
      </w:r>
      <w:r>
        <w:rPr>
          <w:color w:val="auto"/>
          <w:szCs w:val="28"/>
          <w:lang w:val="en-US"/>
        </w:rPr>
        <w:t xml:space="preserve"> </w:t>
      </w:r>
      <w:r>
        <w:rPr>
          <w:color w:val="auto"/>
          <w:szCs w:val="28"/>
        </w:rPr>
        <w:t>шламы</w:t>
      </w:r>
      <w:r>
        <w:rPr>
          <w:color w:val="auto"/>
          <w:szCs w:val="28"/>
          <w:lang w:val="en-US"/>
        </w:rPr>
        <w:t xml:space="preserve"> </w:t>
      </w:r>
      <w:r>
        <w:rPr>
          <w:color w:val="auto"/>
          <w:szCs w:val="28"/>
        </w:rPr>
        <w:t>қоймаларынан</w:t>
      </w:r>
      <w:r>
        <w:rPr>
          <w:color w:val="auto"/>
          <w:szCs w:val="28"/>
          <w:lang w:val="en-US"/>
        </w:rPr>
        <w:t xml:space="preserve"> </w:t>
      </w:r>
      <w:r>
        <w:rPr>
          <w:color w:val="auto"/>
          <w:szCs w:val="28"/>
        </w:rPr>
        <w:t>ұшпа</w:t>
      </w:r>
      <w:r>
        <w:rPr>
          <w:color w:val="auto"/>
          <w:szCs w:val="28"/>
          <w:lang w:val="en-US"/>
        </w:rPr>
        <w:t xml:space="preserve"> </w:t>
      </w:r>
      <w:r>
        <w:rPr>
          <w:color w:val="auto"/>
          <w:szCs w:val="28"/>
        </w:rPr>
        <w:t>органикалық</w:t>
      </w:r>
      <w:r>
        <w:rPr>
          <w:color w:val="auto"/>
          <w:szCs w:val="28"/>
          <w:lang w:val="en-US"/>
        </w:rPr>
        <w:t xml:space="preserve"> </w:t>
      </w:r>
      <w:r>
        <w:rPr>
          <w:color w:val="auto"/>
          <w:szCs w:val="28"/>
        </w:rPr>
        <w:t>қосылыстардың</w:t>
      </w:r>
      <w:r>
        <w:rPr>
          <w:color w:val="auto"/>
          <w:szCs w:val="28"/>
          <w:lang w:val="en-US"/>
        </w:rPr>
        <w:t xml:space="preserve"> </w:t>
      </w:r>
      <w:r>
        <w:rPr>
          <w:color w:val="auto"/>
          <w:szCs w:val="28"/>
        </w:rPr>
        <w:t>эмиссиясы</w:t>
      </w:r>
      <w:r>
        <w:rPr>
          <w:color w:val="auto"/>
          <w:szCs w:val="28"/>
          <w:lang w:val="en-US"/>
        </w:rPr>
        <w:t>.</w:t>
      </w:r>
    </w:p>
    <w:p w14:paraId="2E41C6F7">
      <w:pPr>
        <w:spacing w:after="0"/>
        <w:ind w:firstLine="709"/>
        <w:rPr>
          <w:color w:val="auto"/>
          <w:szCs w:val="28"/>
          <w:lang w:val="en-US"/>
        </w:rPr>
      </w:pPr>
      <w:r>
        <w:rPr>
          <w:color w:val="auto"/>
          <w:szCs w:val="28"/>
        </w:rPr>
        <w:t>Мұнай</w:t>
      </w:r>
      <w:r>
        <w:rPr>
          <w:color w:val="auto"/>
          <w:szCs w:val="28"/>
          <w:lang w:val="en-US"/>
        </w:rPr>
        <w:t xml:space="preserve"> </w:t>
      </w:r>
      <w:r>
        <w:rPr>
          <w:color w:val="auto"/>
          <w:szCs w:val="28"/>
        </w:rPr>
        <w:t>қалдықтарының</w:t>
      </w:r>
      <w:r>
        <w:rPr>
          <w:color w:val="auto"/>
          <w:szCs w:val="28"/>
          <w:lang w:val="en-US"/>
        </w:rPr>
        <w:t xml:space="preserve"> </w:t>
      </w:r>
      <w:r>
        <w:rPr>
          <w:color w:val="auto"/>
          <w:szCs w:val="28"/>
        </w:rPr>
        <w:t>жиналуына</w:t>
      </w:r>
      <w:r>
        <w:rPr>
          <w:color w:val="auto"/>
          <w:szCs w:val="28"/>
          <w:lang w:val="en-US"/>
        </w:rPr>
        <w:t xml:space="preserve"> </w:t>
      </w:r>
      <w:r>
        <w:rPr>
          <w:color w:val="auto"/>
          <w:szCs w:val="28"/>
        </w:rPr>
        <w:t>байланысты</w:t>
      </w:r>
      <w:r>
        <w:rPr>
          <w:color w:val="auto"/>
          <w:szCs w:val="28"/>
          <w:lang w:val="en-US"/>
        </w:rPr>
        <w:t xml:space="preserve"> </w:t>
      </w:r>
      <w:r>
        <w:rPr>
          <w:color w:val="auto"/>
          <w:szCs w:val="28"/>
        </w:rPr>
        <w:t>ең</w:t>
      </w:r>
      <w:r>
        <w:rPr>
          <w:color w:val="auto"/>
          <w:szCs w:val="28"/>
          <w:lang w:val="en-US"/>
        </w:rPr>
        <w:t xml:space="preserve"> </w:t>
      </w:r>
      <w:r>
        <w:rPr>
          <w:color w:val="auto"/>
          <w:szCs w:val="28"/>
        </w:rPr>
        <w:t>өткір</w:t>
      </w:r>
      <w:r>
        <w:rPr>
          <w:color w:val="auto"/>
          <w:szCs w:val="28"/>
          <w:lang w:val="en-US"/>
        </w:rPr>
        <w:t xml:space="preserve"> </w:t>
      </w:r>
      <w:r>
        <w:rPr>
          <w:color w:val="auto"/>
          <w:szCs w:val="28"/>
        </w:rPr>
        <w:t>экологиялық</w:t>
      </w:r>
      <w:r>
        <w:rPr>
          <w:color w:val="auto"/>
          <w:szCs w:val="28"/>
          <w:lang w:val="en-US"/>
        </w:rPr>
        <w:t xml:space="preserve"> </w:t>
      </w:r>
      <w:r>
        <w:rPr>
          <w:color w:val="auto"/>
          <w:szCs w:val="28"/>
        </w:rPr>
        <w:t>жағдай</w:t>
      </w:r>
      <w:r>
        <w:rPr>
          <w:color w:val="auto"/>
          <w:szCs w:val="28"/>
          <w:lang w:val="en-US"/>
        </w:rPr>
        <w:t xml:space="preserve"> </w:t>
      </w:r>
      <w:r>
        <w:rPr>
          <w:color w:val="auto"/>
          <w:szCs w:val="28"/>
        </w:rPr>
        <w:t>елдің</w:t>
      </w:r>
      <w:r>
        <w:rPr>
          <w:color w:val="auto"/>
          <w:szCs w:val="28"/>
          <w:lang w:val="en-US"/>
        </w:rPr>
        <w:t xml:space="preserve"> </w:t>
      </w:r>
      <w:r>
        <w:rPr>
          <w:color w:val="auto"/>
          <w:szCs w:val="28"/>
        </w:rPr>
        <w:t>негізгі</w:t>
      </w:r>
      <w:r>
        <w:rPr>
          <w:color w:val="auto"/>
          <w:szCs w:val="28"/>
          <w:lang w:val="en-US"/>
        </w:rPr>
        <w:t xml:space="preserve"> </w:t>
      </w:r>
      <w:r>
        <w:rPr>
          <w:color w:val="auto"/>
          <w:szCs w:val="28"/>
        </w:rPr>
        <w:t>мұнай</w:t>
      </w:r>
      <w:r>
        <w:rPr>
          <w:color w:val="auto"/>
          <w:szCs w:val="28"/>
          <w:lang w:val="en-US"/>
        </w:rPr>
        <w:t xml:space="preserve"> </w:t>
      </w:r>
      <w:r>
        <w:rPr>
          <w:color w:val="auto"/>
          <w:szCs w:val="28"/>
        </w:rPr>
        <w:t>өндіру</w:t>
      </w:r>
      <w:r>
        <w:rPr>
          <w:color w:val="auto"/>
          <w:szCs w:val="28"/>
          <w:lang w:val="en-US"/>
        </w:rPr>
        <w:t xml:space="preserve"> </w:t>
      </w:r>
      <w:r>
        <w:rPr>
          <w:color w:val="auto"/>
          <w:szCs w:val="28"/>
        </w:rPr>
        <w:t>қуаттары</w:t>
      </w:r>
      <w:r>
        <w:rPr>
          <w:color w:val="auto"/>
          <w:szCs w:val="28"/>
          <w:lang w:val="en-US"/>
        </w:rPr>
        <w:t xml:space="preserve"> </w:t>
      </w:r>
      <w:r>
        <w:rPr>
          <w:color w:val="auto"/>
          <w:szCs w:val="28"/>
        </w:rPr>
        <w:t>шоғырланған</w:t>
      </w:r>
      <w:r>
        <w:rPr>
          <w:color w:val="auto"/>
          <w:szCs w:val="28"/>
          <w:lang w:val="en-US"/>
        </w:rPr>
        <w:t xml:space="preserve"> </w:t>
      </w:r>
      <w:r>
        <w:rPr>
          <w:color w:val="auto"/>
          <w:szCs w:val="28"/>
        </w:rPr>
        <w:t>Атырау</w:t>
      </w:r>
      <w:r>
        <w:rPr>
          <w:color w:val="auto"/>
          <w:szCs w:val="28"/>
          <w:lang w:val="en-US"/>
        </w:rPr>
        <w:t xml:space="preserve"> </w:t>
      </w:r>
      <w:r>
        <w:rPr>
          <w:color w:val="auto"/>
          <w:szCs w:val="28"/>
        </w:rPr>
        <w:t>және</w:t>
      </w:r>
      <w:r>
        <w:rPr>
          <w:color w:val="auto"/>
          <w:szCs w:val="28"/>
          <w:lang w:val="en-US"/>
        </w:rPr>
        <w:t xml:space="preserve"> </w:t>
      </w:r>
      <w:r>
        <w:rPr>
          <w:color w:val="auto"/>
          <w:szCs w:val="28"/>
        </w:rPr>
        <w:t>Маңғыстау</w:t>
      </w:r>
      <w:r>
        <w:rPr>
          <w:color w:val="auto"/>
          <w:szCs w:val="28"/>
          <w:lang w:val="en-US"/>
        </w:rPr>
        <w:t xml:space="preserve"> </w:t>
      </w:r>
      <w:r>
        <w:rPr>
          <w:color w:val="auto"/>
          <w:szCs w:val="28"/>
        </w:rPr>
        <w:t>облыстарында</w:t>
      </w:r>
      <w:r>
        <w:rPr>
          <w:color w:val="auto"/>
          <w:szCs w:val="28"/>
          <w:lang w:val="en-US"/>
        </w:rPr>
        <w:t xml:space="preserve"> </w:t>
      </w:r>
      <w:r>
        <w:rPr>
          <w:color w:val="auto"/>
          <w:szCs w:val="28"/>
        </w:rPr>
        <w:t>байқалады</w:t>
      </w:r>
      <w:r>
        <w:rPr>
          <w:color w:val="auto"/>
          <w:szCs w:val="28"/>
          <w:lang w:val="en-US"/>
        </w:rPr>
        <w:t xml:space="preserve">. </w:t>
      </w:r>
      <w:r>
        <w:rPr>
          <w:color w:val="auto"/>
          <w:szCs w:val="28"/>
        </w:rPr>
        <w:t>Осы</w:t>
      </w:r>
      <w:r>
        <w:rPr>
          <w:color w:val="auto"/>
          <w:szCs w:val="28"/>
          <w:lang w:val="en-US"/>
        </w:rPr>
        <w:t xml:space="preserve"> </w:t>
      </w:r>
      <w:r>
        <w:rPr>
          <w:color w:val="auto"/>
          <w:szCs w:val="28"/>
        </w:rPr>
        <w:t>аймақтарда</w:t>
      </w:r>
      <w:r>
        <w:rPr>
          <w:color w:val="auto"/>
          <w:szCs w:val="28"/>
          <w:lang w:val="en-US"/>
        </w:rPr>
        <w:t xml:space="preserve"> </w:t>
      </w:r>
      <w:r>
        <w:rPr>
          <w:color w:val="auto"/>
          <w:szCs w:val="28"/>
        </w:rPr>
        <w:t>бүлінген</w:t>
      </w:r>
      <w:r>
        <w:rPr>
          <w:color w:val="auto"/>
          <w:szCs w:val="28"/>
          <w:lang w:val="en-US"/>
        </w:rPr>
        <w:t xml:space="preserve"> </w:t>
      </w:r>
      <w:r>
        <w:rPr>
          <w:color w:val="auto"/>
          <w:szCs w:val="28"/>
        </w:rPr>
        <w:t>жерлерді</w:t>
      </w:r>
      <w:r>
        <w:rPr>
          <w:color w:val="auto"/>
          <w:szCs w:val="28"/>
          <w:lang w:val="en-US"/>
        </w:rPr>
        <w:t xml:space="preserve"> </w:t>
      </w:r>
      <w:r>
        <w:rPr>
          <w:color w:val="auto"/>
          <w:szCs w:val="28"/>
        </w:rPr>
        <w:t>қалпына</w:t>
      </w:r>
      <w:r>
        <w:rPr>
          <w:color w:val="auto"/>
          <w:szCs w:val="28"/>
          <w:lang w:val="en-US"/>
        </w:rPr>
        <w:t xml:space="preserve"> </w:t>
      </w:r>
      <w:r>
        <w:rPr>
          <w:color w:val="auto"/>
          <w:szCs w:val="28"/>
        </w:rPr>
        <w:t>келтіру</w:t>
      </w:r>
      <w:r>
        <w:rPr>
          <w:color w:val="auto"/>
          <w:szCs w:val="28"/>
          <w:lang w:val="en-US"/>
        </w:rPr>
        <w:t xml:space="preserve"> </w:t>
      </w:r>
      <w:r>
        <w:rPr>
          <w:color w:val="auto"/>
          <w:szCs w:val="28"/>
        </w:rPr>
        <w:t>және</w:t>
      </w:r>
      <w:r>
        <w:rPr>
          <w:color w:val="auto"/>
          <w:szCs w:val="28"/>
          <w:lang w:val="en-US"/>
        </w:rPr>
        <w:t xml:space="preserve"> </w:t>
      </w:r>
      <w:r>
        <w:rPr>
          <w:color w:val="auto"/>
          <w:szCs w:val="28"/>
        </w:rPr>
        <w:t>экологиялық</w:t>
      </w:r>
      <w:r>
        <w:rPr>
          <w:color w:val="auto"/>
          <w:szCs w:val="28"/>
          <w:lang w:val="en-US"/>
        </w:rPr>
        <w:t xml:space="preserve"> </w:t>
      </w:r>
      <w:r>
        <w:rPr>
          <w:color w:val="auto"/>
          <w:szCs w:val="28"/>
        </w:rPr>
        <w:t>жағдайдың</w:t>
      </w:r>
      <w:r>
        <w:rPr>
          <w:color w:val="auto"/>
          <w:szCs w:val="28"/>
          <w:lang w:val="en-US"/>
        </w:rPr>
        <w:t xml:space="preserve"> </w:t>
      </w:r>
      <w:r>
        <w:rPr>
          <w:color w:val="auto"/>
          <w:szCs w:val="28"/>
        </w:rPr>
        <w:t>одан</w:t>
      </w:r>
      <w:r>
        <w:rPr>
          <w:color w:val="auto"/>
          <w:szCs w:val="28"/>
          <w:lang w:val="en-US"/>
        </w:rPr>
        <w:t xml:space="preserve"> </w:t>
      </w:r>
      <w:r>
        <w:rPr>
          <w:color w:val="auto"/>
          <w:szCs w:val="28"/>
        </w:rPr>
        <w:t>әрі</w:t>
      </w:r>
      <w:r>
        <w:rPr>
          <w:color w:val="auto"/>
          <w:szCs w:val="28"/>
          <w:lang w:val="en-US"/>
        </w:rPr>
        <w:t xml:space="preserve"> </w:t>
      </w:r>
      <w:r>
        <w:rPr>
          <w:color w:val="auto"/>
          <w:szCs w:val="28"/>
        </w:rPr>
        <w:t>деградациясына</w:t>
      </w:r>
      <w:r>
        <w:rPr>
          <w:color w:val="auto"/>
          <w:szCs w:val="28"/>
          <w:lang w:val="en-US"/>
        </w:rPr>
        <w:t xml:space="preserve"> </w:t>
      </w:r>
      <w:r>
        <w:rPr>
          <w:color w:val="auto"/>
          <w:szCs w:val="28"/>
        </w:rPr>
        <w:t>жол</w:t>
      </w:r>
      <w:r>
        <w:rPr>
          <w:color w:val="auto"/>
          <w:szCs w:val="28"/>
          <w:lang w:val="en-US"/>
        </w:rPr>
        <w:t xml:space="preserve"> </w:t>
      </w:r>
      <w:r>
        <w:rPr>
          <w:color w:val="auto"/>
          <w:szCs w:val="28"/>
        </w:rPr>
        <w:t>бермеу</w:t>
      </w:r>
      <w:r>
        <w:rPr>
          <w:color w:val="auto"/>
          <w:szCs w:val="28"/>
          <w:lang w:val="en-US"/>
        </w:rPr>
        <w:t xml:space="preserve"> </w:t>
      </w:r>
      <w:r>
        <w:rPr>
          <w:color w:val="auto"/>
          <w:szCs w:val="28"/>
        </w:rPr>
        <w:t>мақсатында</w:t>
      </w:r>
      <w:r>
        <w:rPr>
          <w:color w:val="auto"/>
          <w:szCs w:val="28"/>
          <w:lang w:val="en-US"/>
        </w:rPr>
        <w:t xml:space="preserve"> </w:t>
      </w:r>
      <w:r>
        <w:rPr>
          <w:color w:val="auto"/>
          <w:szCs w:val="28"/>
        </w:rPr>
        <w:t>биоремедиация</w:t>
      </w:r>
      <w:r>
        <w:rPr>
          <w:color w:val="auto"/>
          <w:szCs w:val="28"/>
          <w:lang w:val="en-US"/>
        </w:rPr>
        <w:t xml:space="preserve"> </w:t>
      </w:r>
      <w:r>
        <w:rPr>
          <w:color w:val="auto"/>
          <w:szCs w:val="28"/>
        </w:rPr>
        <w:t>технологияларын</w:t>
      </w:r>
      <w:r>
        <w:rPr>
          <w:color w:val="auto"/>
          <w:szCs w:val="28"/>
          <w:lang w:val="en-US"/>
        </w:rPr>
        <w:t xml:space="preserve"> </w:t>
      </w:r>
      <w:r>
        <w:rPr>
          <w:color w:val="auto"/>
          <w:szCs w:val="28"/>
        </w:rPr>
        <w:t>бірінші</w:t>
      </w:r>
      <w:r>
        <w:rPr>
          <w:color w:val="auto"/>
          <w:szCs w:val="28"/>
          <w:lang w:val="en-US"/>
        </w:rPr>
        <w:t xml:space="preserve"> </w:t>
      </w:r>
      <w:r>
        <w:rPr>
          <w:color w:val="auto"/>
          <w:szCs w:val="28"/>
        </w:rPr>
        <w:t>кезекте</w:t>
      </w:r>
      <w:r>
        <w:rPr>
          <w:color w:val="auto"/>
          <w:szCs w:val="28"/>
          <w:lang w:val="en-US"/>
        </w:rPr>
        <w:t xml:space="preserve"> </w:t>
      </w:r>
      <w:r>
        <w:rPr>
          <w:color w:val="auto"/>
          <w:szCs w:val="28"/>
        </w:rPr>
        <w:t>енгізу</w:t>
      </w:r>
      <w:r>
        <w:rPr>
          <w:color w:val="auto"/>
          <w:szCs w:val="28"/>
          <w:lang w:val="en-US"/>
        </w:rPr>
        <w:t xml:space="preserve"> </w:t>
      </w:r>
      <w:r>
        <w:rPr>
          <w:color w:val="auto"/>
          <w:szCs w:val="28"/>
        </w:rPr>
        <w:t>қажеттілігі</w:t>
      </w:r>
      <w:r>
        <w:rPr>
          <w:color w:val="auto"/>
          <w:szCs w:val="28"/>
          <w:lang w:val="en-US"/>
        </w:rPr>
        <w:t xml:space="preserve"> </w:t>
      </w:r>
      <w:r>
        <w:rPr>
          <w:color w:val="auto"/>
          <w:szCs w:val="28"/>
        </w:rPr>
        <w:t>туындайды</w:t>
      </w:r>
      <w:r>
        <w:rPr>
          <w:color w:val="auto"/>
          <w:szCs w:val="28"/>
          <w:lang w:val="en-US"/>
        </w:rPr>
        <w:t>.</w:t>
      </w:r>
    </w:p>
    <w:p w14:paraId="6B63EBF3">
      <w:pPr>
        <w:spacing w:after="0"/>
        <w:ind w:firstLine="709"/>
        <w:rPr>
          <w:color w:val="auto"/>
          <w:szCs w:val="28"/>
          <w:lang w:val="en-US"/>
        </w:rPr>
      </w:pPr>
      <w:r>
        <w:rPr>
          <w:color w:val="auto"/>
          <w:szCs w:val="28"/>
        </w:rPr>
        <w:t>Құрғақ</w:t>
      </w:r>
      <w:r>
        <w:rPr>
          <w:color w:val="auto"/>
          <w:szCs w:val="28"/>
          <w:lang w:val="en-US"/>
        </w:rPr>
        <w:t xml:space="preserve"> </w:t>
      </w:r>
      <w:r>
        <w:rPr>
          <w:color w:val="auto"/>
          <w:szCs w:val="28"/>
        </w:rPr>
        <w:t>климатты</w:t>
      </w:r>
      <w:r>
        <w:rPr>
          <w:color w:val="auto"/>
          <w:szCs w:val="28"/>
          <w:lang w:val="en-US"/>
        </w:rPr>
        <w:t xml:space="preserve"> </w:t>
      </w:r>
      <w:r>
        <w:rPr>
          <w:color w:val="auto"/>
          <w:szCs w:val="28"/>
        </w:rPr>
        <w:t>аймақтардағы</w:t>
      </w:r>
      <w:r>
        <w:rPr>
          <w:color w:val="auto"/>
          <w:szCs w:val="28"/>
          <w:lang w:val="en-US"/>
        </w:rPr>
        <w:t xml:space="preserve"> </w:t>
      </w:r>
      <w:r>
        <w:rPr>
          <w:color w:val="auto"/>
          <w:szCs w:val="28"/>
        </w:rPr>
        <w:t>топырақтың</w:t>
      </w:r>
      <w:r>
        <w:rPr>
          <w:color w:val="auto"/>
          <w:szCs w:val="28"/>
          <w:lang w:val="en-US"/>
        </w:rPr>
        <w:t xml:space="preserve"> </w:t>
      </w:r>
      <w:r>
        <w:rPr>
          <w:color w:val="auto"/>
          <w:szCs w:val="28"/>
        </w:rPr>
        <w:t>мұнаймен</w:t>
      </w:r>
      <w:r>
        <w:rPr>
          <w:color w:val="auto"/>
          <w:szCs w:val="28"/>
          <w:lang w:val="en-US"/>
        </w:rPr>
        <w:t xml:space="preserve"> </w:t>
      </w:r>
      <w:r>
        <w:rPr>
          <w:color w:val="auto"/>
          <w:szCs w:val="28"/>
        </w:rPr>
        <w:t>ластануының</w:t>
      </w:r>
      <w:r>
        <w:rPr>
          <w:color w:val="auto"/>
          <w:szCs w:val="28"/>
          <w:lang w:val="en-US"/>
        </w:rPr>
        <w:t xml:space="preserve"> </w:t>
      </w:r>
      <w:r>
        <w:rPr>
          <w:color w:val="auto"/>
          <w:szCs w:val="28"/>
        </w:rPr>
        <w:t>негізгі</w:t>
      </w:r>
      <w:r>
        <w:rPr>
          <w:color w:val="auto"/>
          <w:szCs w:val="28"/>
          <w:lang w:val="en-US"/>
        </w:rPr>
        <w:t xml:space="preserve"> </w:t>
      </w:r>
      <w:r>
        <w:rPr>
          <w:color w:val="auto"/>
          <w:szCs w:val="28"/>
        </w:rPr>
        <w:t>көздері</w:t>
      </w:r>
      <w:r>
        <w:rPr>
          <w:color w:val="auto"/>
          <w:szCs w:val="28"/>
          <w:lang w:val="en-US"/>
        </w:rPr>
        <w:t xml:space="preserve"> </w:t>
      </w:r>
      <w:r>
        <w:rPr>
          <w:color w:val="auto"/>
          <w:szCs w:val="28"/>
        </w:rPr>
        <w:t>төмендегідей</w:t>
      </w:r>
      <w:r>
        <w:rPr>
          <w:color w:val="auto"/>
          <w:szCs w:val="28"/>
          <w:lang w:val="en-US"/>
        </w:rPr>
        <w:t xml:space="preserve">: </w:t>
      </w:r>
      <w:r>
        <w:rPr>
          <w:color w:val="auto"/>
          <w:szCs w:val="28"/>
        </w:rPr>
        <w:t>мұнайды</w:t>
      </w:r>
      <w:r>
        <w:rPr>
          <w:color w:val="auto"/>
          <w:szCs w:val="28"/>
          <w:lang w:val="en-US"/>
        </w:rPr>
        <w:t xml:space="preserve"> </w:t>
      </w:r>
      <w:r>
        <w:rPr>
          <w:color w:val="auto"/>
          <w:szCs w:val="28"/>
        </w:rPr>
        <w:t>өндіру</w:t>
      </w:r>
      <w:r>
        <w:rPr>
          <w:color w:val="auto"/>
          <w:szCs w:val="28"/>
          <w:lang w:val="en-US"/>
        </w:rPr>
        <w:t xml:space="preserve">, </w:t>
      </w:r>
      <w:r>
        <w:rPr>
          <w:color w:val="auto"/>
          <w:szCs w:val="28"/>
        </w:rPr>
        <w:t>тасымалдау</w:t>
      </w:r>
      <w:r>
        <w:rPr>
          <w:color w:val="auto"/>
          <w:szCs w:val="28"/>
          <w:lang w:val="en-US"/>
        </w:rPr>
        <w:t xml:space="preserve"> </w:t>
      </w:r>
      <w:r>
        <w:rPr>
          <w:color w:val="auto"/>
          <w:szCs w:val="28"/>
        </w:rPr>
        <w:t>және</w:t>
      </w:r>
      <w:r>
        <w:rPr>
          <w:color w:val="auto"/>
          <w:szCs w:val="28"/>
          <w:lang w:val="en-US"/>
        </w:rPr>
        <w:t xml:space="preserve"> </w:t>
      </w:r>
      <w:r>
        <w:rPr>
          <w:color w:val="auto"/>
          <w:szCs w:val="28"/>
        </w:rPr>
        <w:t>өңдеу</w:t>
      </w:r>
      <w:r>
        <w:rPr>
          <w:color w:val="auto"/>
          <w:szCs w:val="28"/>
          <w:lang w:val="en-US"/>
        </w:rPr>
        <w:t xml:space="preserve"> </w:t>
      </w:r>
      <w:r>
        <w:rPr>
          <w:color w:val="auto"/>
          <w:szCs w:val="28"/>
        </w:rPr>
        <w:t>процесіндегі</w:t>
      </w:r>
      <w:r>
        <w:rPr>
          <w:color w:val="auto"/>
          <w:szCs w:val="28"/>
          <w:lang w:val="en-US"/>
        </w:rPr>
        <w:t xml:space="preserve"> </w:t>
      </w:r>
      <w:r>
        <w:rPr>
          <w:color w:val="auto"/>
          <w:szCs w:val="28"/>
        </w:rPr>
        <w:t>авариялық</w:t>
      </w:r>
      <w:r>
        <w:rPr>
          <w:color w:val="auto"/>
          <w:szCs w:val="28"/>
          <w:lang w:val="en-US"/>
        </w:rPr>
        <w:t xml:space="preserve"> </w:t>
      </w:r>
      <w:r>
        <w:rPr>
          <w:color w:val="auto"/>
          <w:szCs w:val="28"/>
        </w:rPr>
        <w:t>төгілулер</w:t>
      </w:r>
      <w:r>
        <w:rPr>
          <w:color w:val="auto"/>
          <w:szCs w:val="28"/>
          <w:lang w:val="en-US"/>
        </w:rPr>
        <w:t xml:space="preserve">; </w:t>
      </w:r>
      <w:r>
        <w:rPr>
          <w:color w:val="auto"/>
          <w:szCs w:val="28"/>
        </w:rPr>
        <w:t>мұнай</w:t>
      </w:r>
      <w:r>
        <w:rPr>
          <w:color w:val="auto"/>
          <w:szCs w:val="28"/>
          <w:lang w:val="en-US"/>
        </w:rPr>
        <w:t xml:space="preserve"> </w:t>
      </w:r>
      <w:r>
        <w:rPr>
          <w:color w:val="auto"/>
          <w:szCs w:val="28"/>
        </w:rPr>
        <w:t>құбырлары</w:t>
      </w:r>
      <w:r>
        <w:rPr>
          <w:color w:val="auto"/>
          <w:szCs w:val="28"/>
          <w:lang w:val="en-US"/>
        </w:rPr>
        <w:t xml:space="preserve"> </w:t>
      </w:r>
      <w:r>
        <w:rPr>
          <w:color w:val="auto"/>
          <w:szCs w:val="28"/>
        </w:rPr>
        <w:t>мен</w:t>
      </w:r>
      <w:r>
        <w:rPr>
          <w:color w:val="auto"/>
          <w:szCs w:val="28"/>
          <w:lang w:val="en-US"/>
        </w:rPr>
        <w:t xml:space="preserve"> </w:t>
      </w:r>
      <w:r>
        <w:rPr>
          <w:color w:val="auto"/>
          <w:szCs w:val="28"/>
        </w:rPr>
        <w:t>сақтауға</w:t>
      </w:r>
      <w:r>
        <w:rPr>
          <w:color w:val="auto"/>
          <w:szCs w:val="28"/>
          <w:lang w:val="en-US"/>
        </w:rPr>
        <w:t xml:space="preserve"> </w:t>
      </w:r>
      <w:r>
        <w:rPr>
          <w:color w:val="auto"/>
          <w:szCs w:val="28"/>
        </w:rPr>
        <w:t>арналған</w:t>
      </w:r>
      <w:r>
        <w:rPr>
          <w:color w:val="auto"/>
          <w:szCs w:val="28"/>
          <w:lang w:val="en-US"/>
        </w:rPr>
        <w:t xml:space="preserve"> </w:t>
      </w:r>
      <w:r>
        <w:rPr>
          <w:color w:val="auto"/>
          <w:szCs w:val="28"/>
        </w:rPr>
        <w:t>резервуарлардан</w:t>
      </w:r>
      <w:r>
        <w:rPr>
          <w:color w:val="auto"/>
          <w:szCs w:val="28"/>
          <w:lang w:val="en-US"/>
        </w:rPr>
        <w:t xml:space="preserve"> </w:t>
      </w:r>
      <w:r>
        <w:rPr>
          <w:color w:val="auto"/>
          <w:szCs w:val="28"/>
        </w:rPr>
        <w:t>ағып</w:t>
      </w:r>
      <w:r>
        <w:rPr>
          <w:color w:val="auto"/>
          <w:szCs w:val="28"/>
          <w:lang w:val="en-US"/>
        </w:rPr>
        <w:t xml:space="preserve"> </w:t>
      </w:r>
      <w:r>
        <w:rPr>
          <w:color w:val="auto"/>
          <w:szCs w:val="28"/>
        </w:rPr>
        <w:t>кетулер</w:t>
      </w:r>
      <w:r>
        <w:rPr>
          <w:color w:val="auto"/>
          <w:szCs w:val="28"/>
          <w:lang w:val="en-US"/>
        </w:rPr>
        <w:t xml:space="preserve">; </w:t>
      </w:r>
      <w:r>
        <w:rPr>
          <w:color w:val="auto"/>
          <w:szCs w:val="28"/>
        </w:rPr>
        <w:t>құрамында</w:t>
      </w:r>
      <w:r>
        <w:rPr>
          <w:color w:val="auto"/>
          <w:szCs w:val="28"/>
          <w:lang w:val="en-US"/>
        </w:rPr>
        <w:t xml:space="preserve"> </w:t>
      </w:r>
      <w:r>
        <w:rPr>
          <w:color w:val="auto"/>
          <w:szCs w:val="28"/>
        </w:rPr>
        <w:t>мұнай</w:t>
      </w:r>
      <w:r>
        <w:rPr>
          <w:color w:val="auto"/>
          <w:szCs w:val="28"/>
          <w:lang w:val="en-US"/>
        </w:rPr>
        <w:t xml:space="preserve"> </w:t>
      </w:r>
      <w:r>
        <w:rPr>
          <w:color w:val="auto"/>
          <w:szCs w:val="28"/>
        </w:rPr>
        <w:t>өнімдері</w:t>
      </w:r>
      <w:r>
        <w:rPr>
          <w:color w:val="auto"/>
          <w:szCs w:val="28"/>
          <w:lang w:val="en-US"/>
        </w:rPr>
        <w:t xml:space="preserve"> </w:t>
      </w:r>
      <w:r>
        <w:rPr>
          <w:color w:val="auto"/>
          <w:szCs w:val="28"/>
        </w:rPr>
        <w:t>бар</w:t>
      </w:r>
      <w:r>
        <w:rPr>
          <w:color w:val="auto"/>
          <w:szCs w:val="28"/>
          <w:lang w:val="en-US"/>
        </w:rPr>
        <w:t xml:space="preserve"> </w:t>
      </w:r>
      <w:r>
        <w:rPr>
          <w:color w:val="auto"/>
          <w:szCs w:val="28"/>
        </w:rPr>
        <w:t>қалдықтарды</w:t>
      </w:r>
      <w:r>
        <w:rPr>
          <w:color w:val="auto"/>
          <w:szCs w:val="28"/>
          <w:lang w:val="en-US"/>
        </w:rPr>
        <w:t xml:space="preserve"> </w:t>
      </w:r>
      <w:r>
        <w:rPr>
          <w:color w:val="auto"/>
          <w:szCs w:val="28"/>
        </w:rPr>
        <w:t>рұқсатсыз</w:t>
      </w:r>
      <w:r>
        <w:rPr>
          <w:color w:val="auto"/>
          <w:szCs w:val="28"/>
          <w:lang w:val="en-US"/>
        </w:rPr>
        <w:t xml:space="preserve"> </w:t>
      </w:r>
      <w:r>
        <w:rPr>
          <w:color w:val="auto"/>
          <w:szCs w:val="28"/>
        </w:rPr>
        <w:t>төгу</w:t>
      </w:r>
      <w:r>
        <w:rPr>
          <w:color w:val="auto"/>
          <w:szCs w:val="28"/>
          <w:lang w:val="en-US"/>
        </w:rPr>
        <w:t xml:space="preserve">; </w:t>
      </w:r>
      <w:r>
        <w:rPr>
          <w:color w:val="auto"/>
          <w:szCs w:val="28"/>
        </w:rPr>
        <w:t>мұнай</w:t>
      </w:r>
      <w:r>
        <w:rPr>
          <w:color w:val="auto"/>
          <w:szCs w:val="28"/>
          <w:lang w:val="en-US"/>
        </w:rPr>
        <w:t xml:space="preserve"> </w:t>
      </w:r>
      <w:r>
        <w:rPr>
          <w:color w:val="auto"/>
          <w:szCs w:val="28"/>
        </w:rPr>
        <w:t>өңдеу</w:t>
      </w:r>
      <w:r>
        <w:rPr>
          <w:color w:val="auto"/>
          <w:szCs w:val="28"/>
          <w:lang w:val="en-US"/>
        </w:rPr>
        <w:t xml:space="preserve"> </w:t>
      </w:r>
      <w:r>
        <w:rPr>
          <w:color w:val="auto"/>
          <w:szCs w:val="28"/>
        </w:rPr>
        <w:t>зауыттарындағы</w:t>
      </w:r>
      <w:r>
        <w:rPr>
          <w:color w:val="auto"/>
          <w:szCs w:val="28"/>
          <w:lang w:val="en-US"/>
        </w:rPr>
        <w:t xml:space="preserve"> </w:t>
      </w:r>
      <w:r>
        <w:rPr>
          <w:color w:val="auto"/>
          <w:szCs w:val="28"/>
        </w:rPr>
        <w:t>техногендік</w:t>
      </w:r>
      <w:r>
        <w:rPr>
          <w:color w:val="auto"/>
          <w:szCs w:val="28"/>
          <w:lang w:val="en-US"/>
        </w:rPr>
        <w:t xml:space="preserve"> </w:t>
      </w:r>
      <w:r>
        <w:rPr>
          <w:color w:val="auto"/>
          <w:szCs w:val="28"/>
        </w:rPr>
        <w:t>апаттар</w:t>
      </w:r>
      <w:r>
        <w:rPr>
          <w:color w:val="auto"/>
          <w:szCs w:val="28"/>
          <w:lang w:val="en-US"/>
        </w:rPr>
        <w:t xml:space="preserve">; </w:t>
      </w:r>
      <w:r>
        <w:rPr>
          <w:color w:val="auto"/>
          <w:szCs w:val="28"/>
        </w:rPr>
        <w:t>әскери</w:t>
      </w:r>
      <w:r>
        <w:rPr>
          <w:color w:val="auto"/>
          <w:szCs w:val="28"/>
          <w:lang w:val="en-US"/>
        </w:rPr>
        <w:t xml:space="preserve"> </w:t>
      </w:r>
      <w:r>
        <w:rPr>
          <w:color w:val="auto"/>
          <w:szCs w:val="28"/>
        </w:rPr>
        <w:t>қақтығыстар</w:t>
      </w:r>
      <w:r>
        <w:rPr>
          <w:color w:val="auto"/>
          <w:szCs w:val="28"/>
          <w:lang w:val="en-US"/>
        </w:rPr>
        <w:t xml:space="preserve"> </w:t>
      </w:r>
      <w:r>
        <w:rPr>
          <w:color w:val="auto"/>
          <w:szCs w:val="28"/>
        </w:rPr>
        <w:t>нәтижесінде</w:t>
      </w:r>
      <w:r>
        <w:rPr>
          <w:color w:val="auto"/>
          <w:szCs w:val="28"/>
          <w:lang w:val="en-US"/>
        </w:rPr>
        <w:t xml:space="preserve"> </w:t>
      </w:r>
      <w:r>
        <w:rPr>
          <w:color w:val="auto"/>
          <w:szCs w:val="28"/>
        </w:rPr>
        <w:t>пайда</w:t>
      </w:r>
      <w:r>
        <w:rPr>
          <w:color w:val="auto"/>
          <w:szCs w:val="28"/>
          <w:lang w:val="en-US"/>
        </w:rPr>
        <w:t xml:space="preserve"> </w:t>
      </w:r>
      <w:r>
        <w:rPr>
          <w:color w:val="auto"/>
          <w:szCs w:val="28"/>
        </w:rPr>
        <w:t>болатын</w:t>
      </w:r>
      <w:r>
        <w:rPr>
          <w:color w:val="auto"/>
          <w:szCs w:val="28"/>
          <w:lang w:val="en-US"/>
        </w:rPr>
        <w:t xml:space="preserve"> </w:t>
      </w:r>
      <w:r>
        <w:rPr>
          <w:color w:val="auto"/>
          <w:szCs w:val="28"/>
        </w:rPr>
        <w:t>ластану</w:t>
      </w:r>
      <w:r>
        <w:rPr>
          <w:color w:val="auto"/>
          <w:szCs w:val="28"/>
          <w:lang w:val="en-US"/>
        </w:rPr>
        <w:t xml:space="preserve"> [1</w:t>
      </w:r>
      <w:r>
        <w:rPr>
          <w:rFonts w:hint="default"/>
          <w:color w:val="auto"/>
          <w:szCs w:val="28"/>
          <w:lang w:val="ru-RU"/>
        </w:rPr>
        <w:t>1</w:t>
      </w:r>
      <w:r>
        <w:rPr>
          <w:color w:val="auto"/>
          <w:szCs w:val="28"/>
          <w:lang w:val="en-US"/>
        </w:rPr>
        <w:t>].</w:t>
      </w:r>
    </w:p>
    <w:p w14:paraId="651D88B5">
      <w:pPr>
        <w:spacing w:after="0"/>
        <w:ind w:firstLine="709"/>
        <w:rPr>
          <w:color w:val="auto"/>
          <w:szCs w:val="28"/>
          <w:lang w:val="en-US"/>
        </w:rPr>
      </w:pPr>
      <w:r>
        <w:rPr>
          <w:color w:val="auto"/>
          <w:szCs w:val="28"/>
        </w:rPr>
        <w:t>Ластанудың</w:t>
      </w:r>
      <w:r>
        <w:rPr>
          <w:color w:val="auto"/>
          <w:szCs w:val="28"/>
          <w:lang w:val="en-US"/>
        </w:rPr>
        <w:t xml:space="preserve"> </w:t>
      </w:r>
      <w:r>
        <w:rPr>
          <w:color w:val="auto"/>
          <w:szCs w:val="28"/>
        </w:rPr>
        <w:t>кеңістіктік</w:t>
      </w:r>
      <w:r>
        <w:rPr>
          <w:color w:val="auto"/>
          <w:szCs w:val="28"/>
          <w:lang w:val="en-US"/>
        </w:rPr>
        <w:t xml:space="preserve"> </w:t>
      </w:r>
      <w:r>
        <w:rPr>
          <w:color w:val="auto"/>
          <w:szCs w:val="28"/>
        </w:rPr>
        <w:t>таралуын</w:t>
      </w:r>
      <w:r>
        <w:rPr>
          <w:color w:val="auto"/>
          <w:szCs w:val="28"/>
          <w:lang w:val="en-US"/>
        </w:rPr>
        <w:t xml:space="preserve"> </w:t>
      </w:r>
      <w:r>
        <w:rPr>
          <w:color w:val="auto"/>
          <w:szCs w:val="28"/>
        </w:rPr>
        <w:t>талдау</w:t>
      </w:r>
      <w:r>
        <w:rPr>
          <w:color w:val="auto"/>
          <w:szCs w:val="28"/>
          <w:lang w:val="en-US"/>
        </w:rPr>
        <w:t xml:space="preserve"> </w:t>
      </w:r>
      <w:r>
        <w:rPr>
          <w:color w:val="auto"/>
          <w:szCs w:val="28"/>
        </w:rPr>
        <w:t>нәтижелері</w:t>
      </w:r>
      <w:r>
        <w:rPr>
          <w:color w:val="auto"/>
          <w:szCs w:val="28"/>
          <w:lang w:val="en-US"/>
        </w:rPr>
        <w:t xml:space="preserve"> </w:t>
      </w:r>
      <w:r>
        <w:rPr>
          <w:color w:val="auto"/>
          <w:szCs w:val="28"/>
        </w:rPr>
        <w:t>көрсеткендей</w:t>
      </w:r>
      <w:r>
        <w:rPr>
          <w:color w:val="auto"/>
          <w:szCs w:val="28"/>
          <w:lang w:val="en-US"/>
        </w:rPr>
        <w:t xml:space="preserve">, </w:t>
      </w:r>
      <w:r>
        <w:rPr>
          <w:color w:val="auto"/>
          <w:szCs w:val="28"/>
        </w:rPr>
        <w:t>ең</w:t>
      </w:r>
      <w:r>
        <w:rPr>
          <w:color w:val="auto"/>
          <w:szCs w:val="28"/>
          <w:lang w:val="en-US"/>
        </w:rPr>
        <w:t xml:space="preserve"> </w:t>
      </w:r>
      <w:r>
        <w:rPr>
          <w:color w:val="auto"/>
          <w:szCs w:val="28"/>
        </w:rPr>
        <w:t>жоғары</w:t>
      </w:r>
      <w:r>
        <w:rPr>
          <w:color w:val="auto"/>
          <w:szCs w:val="28"/>
          <w:lang w:val="en-US"/>
        </w:rPr>
        <w:t xml:space="preserve"> </w:t>
      </w:r>
      <w:r>
        <w:rPr>
          <w:color w:val="auto"/>
          <w:szCs w:val="28"/>
        </w:rPr>
        <w:t>ластану</w:t>
      </w:r>
      <w:r>
        <w:rPr>
          <w:color w:val="auto"/>
          <w:szCs w:val="28"/>
          <w:lang w:val="en-US"/>
        </w:rPr>
        <w:t xml:space="preserve"> </w:t>
      </w:r>
      <w:r>
        <w:rPr>
          <w:color w:val="auto"/>
          <w:szCs w:val="28"/>
        </w:rPr>
        <w:t>деңгейі</w:t>
      </w:r>
      <w:r>
        <w:rPr>
          <w:color w:val="auto"/>
          <w:szCs w:val="28"/>
          <w:lang w:val="en-US"/>
        </w:rPr>
        <w:t xml:space="preserve"> </w:t>
      </w:r>
      <w:r>
        <w:rPr>
          <w:color w:val="auto"/>
          <w:szCs w:val="28"/>
        </w:rPr>
        <w:t>ірі</w:t>
      </w:r>
      <w:r>
        <w:rPr>
          <w:color w:val="auto"/>
          <w:szCs w:val="28"/>
          <w:lang w:val="en-US"/>
        </w:rPr>
        <w:t xml:space="preserve"> </w:t>
      </w:r>
      <w:r>
        <w:rPr>
          <w:color w:val="auto"/>
          <w:szCs w:val="28"/>
        </w:rPr>
        <w:t>мұнай</w:t>
      </w:r>
      <w:r>
        <w:rPr>
          <w:color w:val="auto"/>
          <w:szCs w:val="28"/>
          <w:lang w:val="en-US"/>
        </w:rPr>
        <w:t xml:space="preserve"> </w:t>
      </w:r>
      <w:r>
        <w:rPr>
          <w:color w:val="auto"/>
          <w:szCs w:val="28"/>
        </w:rPr>
        <w:t>кен</w:t>
      </w:r>
      <w:r>
        <w:rPr>
          <w:color w:val="auto"/>
          <w:szCs w:val="28"/>
          <w:lang w:val="en-US"/>
        </w:rPr>
        <w:t xml:space="preserve"> </w:t>
      </w:r>
      <w:r>
        <w:rPr>
          <w:color w:val="auto"/>
          <w:szCs w:val="28"/>
        </w:rPr>
        <w:t>орындарынан</w:t>
      </w:r>
      <w:r>
        <w:rPr>
          <w:color w:val="auto"/>
          <w:szCs w:val="28"/>
          <w:lang w:val="en-US"/>
        </w:rPr>
        <w:t xml:space="preserve"> 15-20 </w:t>
      </w:r>
      <w:r>
        <w:rPr>
          <w:color w:val="auto"/>
          <w:szCs w:val="28"/>
        </w:rPr>
        <w:t>км</w:t>
      </w:r>
      <w:r>
        <w:rPr>
          <w:color w:val="auto"/>
          <w:szCs w:val="28"/>
          <w:lang w:val="en-US"/>
        </w:rPr>
        <w:t xml:space="preserve"> </w:t>
      </w:r>
      <w:r>
        <w:rPr>
          <w:color w:val="auto"/>
          <w:szCs w:val="28"/>
        </w:rPr>
        <w:t>радиустағы</w:t>
      </w:r>
      <w:r>
        <w:rPr>
          <w:color w:val="auto"/>
          <w:szCs w:val="28"/>
          <w:lang w:val="en-US"/>
        </w:rPr>
        <w:t xml:space="preserve"> </w:t>
      </w:r>
      <w:r>
        <w:rPr>
          <w:color w:val="auto"/>
          <w:szCs w:val="28"/>
        </w:rPr>
        <w:t>аумақтарда</w:t>
      </w:r>
      <w:r>
        <w:rPr>
          <w:color w:val="auto"/>
          <w:szCs w:val="28"/>
          <w:lang w:val="en-US"/>
        </w:rPr>
        <w:t xml:space="preserve"> </w:t>
      </w:r>
      <w:r>
        <w:rPr>
          <w:color w:val="auto"/>
          <w:szCs w:val="28"/>
        </w:rPr>
        <w:t>байқалады</w:t>
      </w:r>
      <w:r>
        <w:rPr>
          <w:color w:val="auto"/>
          <w:szCs w:val="28"/>
          <w:lang w:val="en-US"/>
        </w:rPr>
        <w:t xml:space="preserve">. </w:t>
      </w:r>
      <w:r>
        <w:rPr>
          <w:color w:val="auto"/>
          <w:szCs w:val="28"/>
        </w:rPr>
        <w:t>Бұл</w:t>
      </w:r>
      <w:r>
        <w:rPr>
          <w:color w:val="auto"/>
          <w:szCs w:val="28"/>
          <w:lang w:val="en-US"/>
        </w:rPr>
        <w:t xml:space="preserve"> </w:t>
      </w:r>
      <w:r>
        <w:rPr>
          <w:color w:val="auto"/>
          <w:szCs w:val="28"/>
        </w:rPr>
        <w:t>аймақтарда</w:t>
      </w:r>
      <w:r>
        <w:rPr>
          <w:color w:val="auto"/>
          <w:szCs w:val="28"/>
          <w:lang w:val="en-US"/>
        </w:rPr>
        <w:t xml:space="preserve"> </w:t>
      </w:r>
      <w:r>
        <w:rPr>
          <w:color w:val="auto"/>
          <w:szCs w:val="28"/>
        </w:rPr>
        <w:t>топырақтағы</w:t>
      </w:r>
      <w:r>
        <w:rPr>
          <w:color w:val="auto"/>
          <w:szCs w:val="28"/>
          <w:lang w:val="en-US"/>
        </w:rPr>
        <w:t xml:space="preserve"> </w:t>
      </w:r>
      <w:r>
        <w:rPr>
          <w:color w:val="auto"/>
          <w:szCs w:val="28"/>
        </w:rPr>
        <w:t>жалпы</w:t>
      </w:r>
      <w:r>
        <w:rPr>
          <w:color w:val="auto"/>
          <w:szCs w:val="28"/>
          <w:lang w:val="en-US"/>
        </w:rPr>
        <w:t xml:space="preserve"> </w:t>
      </w:r>
      <w:r>
        <w:rPr>
          <w:color w:val="auto"/>
          <w:szCs w:val="28"/>
        </w:rPr>
        <w:t>мұнай</w:t>
      </w:r>
      <w:r>
        <w:rPr>
          <w:color w:val="auto"/>
          <w:szCs w:val="28"/>
          <w:lang w:val="en-US"/>
        </w:rPr>
        <w:t xml:space="preserve"> </w:t>
      </w:r>
      <w:r>
        <w:rPr>
          <w:color w:val="auto"/>
          <w:szCs w:val="28"/>
        </w:rPr>
        <w:t>өнімдерінің</w:t>
      </w:r>
      <w:r>
        <w:rPr>
          <w:color w:val="auto"/>
          <w:szCs w:val="28"/>
          <w:lang w:val="en-US"/>
        </w:rPr>
        <w:t xml:space="preserve"> (</w:t>
      </w:r>
      <w:r>
        <w:rPr>
          <w:color w:val="auto"/>
          <w:szCs w:val="28"/>
        </w:rPr>
        <w:t>ЖМӨ</w:t>
      </w:r>
      <w:r>
        <w:rPr>
          <w:color w:val="auto"/>
          <w:szCs w:val="28"/>
          <w:lang w:val="en-US"/>
        </w:rPr>
        <w:t xml:space="preserve">) </w:t>
      </w:r>
      <w:r>
        <w:rPr>
          <w:color w:val="auto"/>
          <w:szCs w:val="28"/>
        </w:rPr>
        <w:t>концентрациясы</w:t>
      </w:r>
      <w:r>
        <w:rPr>
          <w:color w:val="auto"/>
          <w:szCs w:val="28"/>
          <w:lang w:val="en-US"/>
        </w:rPr>
        <w:t xml:space="preserve"> 1 </w:t>
      </w:r>
      <w:r>
        <w:rPr>
          <w:color w:val="auto"/>
          <w:szCs w:val="28"/>
        </w:rPr>
        <w:t>г</w:t>
      </w:r>
      <w:r>
        <w:rPr>
          <w:color w:val="auto"/>
          <w:szCs w:val="28"/>
          <w:lang w:val="en-US"/>
        </w:rPr>
        <w:t>/</w:t>
      </w:r>
      <w:r>
        <w:rPr>
          <w:color w:val="auto"/>
          <w:szCs w:val="28"/>
        </w:rPr>
        <w:t>кг</w:t>
      </w:r>
      <w:r>
        <w:rPr>
          <w:color w:val="auto"/>
          <w:szCs w:val="28"/>
          <w:lang w:val="en-US"/>
        </w:rPr>
        <w:t xml:space="preserve"> </w:t>
      </w:r>
      <w:r>
        <w:rPr>
          <w:color w:val="auto"/>
          <w:szCs w:val="28"/>
        </w:rPr>
        <w:t>шекті</w:t>
      </w:r>
      <w:r>
        <w:rPr>
          <w:color w:val="auto"/>
          <w:szCs w:val="28"/>
          <w:lang w:val="en-US"/>
        </w:rPr>
        <w:t xml:space="preserve"> </w:t>
      </w:r>
      <w:r>
        <w:rPr>
          <w:color w:val="auto"/>
          <w:szCs w:val="28"/>
        </w:rPr>
        <w:t>рұқсат</w:t>
      </w:r>
      <w:r>
        <w:rPr>
          <w:color w:val="auto"/>
          <w:szCs w:val="28"/>
          <w:lang w:val="en-US"/>
        </w:rPr>
        <w:t xml:space="preserve"> </w:t>
      </w:r>
      <w:r>
        <w:rPr>
          <w:color w:val="auto"/>
          <w:szCs w:val="28"/>
        </w:rPr>
        <w:t>етілген</w:t>
      </w:r>
      <w:r>
        <w:rPr>
          <w:color w:val="auto"/>
          <w:szCs w:val="28"/>
          <w:lang w:val="en-US"/>
        </w:rPr>
        <w:t xml:space="preserve"> </w:t>
      </w:r>
      <w:r>
        <w:rPr>
          <w:color w:val="auto"/>
          <w:szCs w:val="28"/>
        </w:rPr>
        <w:t>концентрация</w:t>
      </w:r>
      <w:r>
        <w:rPr>
          <w:color w:val="auto"/>
          <w:szCs w:val="28"/>
          <w:lang w:val="en-US"/>
        </w:rPr>
        <w:t xml:space="preserve"> (</w:t>
      </w:r>
      <w:r>
        <w:rPr>
          <w:color w:val="auto"/>
          <w:szCs w:val="28"/>
        </w:rPr>
        <w:t>ШРК</w:t>
      </w:r>
      <w:r>
        <w:rPr>
          <w:color w:val="auto"/>
          <w:szCs w:val="28"/>
          <w:lang w:val="en-US"/>
        </w:rPr>
        <w:t xml:space="preserve">) </w:t>
      </w:r>
      <w:r>
        <w:rPr>
          <w:color w:val="auto"/>
          <w:szCs w:val="28"/>
        </w:rPr>
        <w:t>кезінде</w:t>
      </w:r>
      <w:r>
        <w:rPr>
          <w:color w:val="auto"/>
          <w:szCs w:val="28"/>
          <w:lang w:val="en-US"/>
        </w:rPr>
        <w:t xml:space="preserve"> 50-100 </w:t>
      </w:r>
      <w:r>
        <w:rPr>
          <w:color w:val="auto"/>
          <w:szCs w:val="28"/>
        </w:rPr>
        <w:t>г</w:t>
      </w:r>
      <w:r>
        <w:rPr>
          <w:color w:val="auto"/>
          <w:szCs w:val="28"/>
          <w:lang w:val="en-US"/>
        </w:rPr>
        <w:t>/</w:t>
      </w:r>
      <w:r>
        <w:rPr>
          <w:color w:val="auto"/>
          <w:szCs w:val="28"/>
        </w:rPr>
        <w:t>кг</w:t>
      </w:r>
      <w:r>
        <w:rPr>
          <w:color w:val="auto"/>
          <w:szCs w:val="28"/>
          <w:lang w:val="en-US"/>
        </w:rPr>
        <w:t xml:space="preserve"> </w:t>
      </w:r>
      <w:r>
        <w:rPr>
          <w:color w:val="auto"/>
          <w:szCs w:val="28"/>
        </w:rPr>
        <w:t>жетуі</w:t>
      </w:r>
      <w:r>
        <w:rPr>
          <w:color w:val="auto"/>
          <w:szCs w:val="28"/>
          <w:lang w:val="en-US"/>
        </w:rPr>
        <w:t xml:space="preserve"> </w:t>
      </w:r>
      <w:r>
        <w:rPr>
          <w:color w:val="auto"/>
          <w:szCs w:val="28"/>
        </w:rPr>
        <w:t>мүмкін</w:t>
      </w:r>
      <w:r>
        <w:rPr>
          <w:color w:val="auto"/>
          <w:szCs w:val="28"/>
          <w:lang w:val="en-US"/>
        </w:rPr>
        <w:t xml:space="preserve"> [11].</w:t>
      </w:r>
    </w:p>
    <w:p w14:paraId="4215DB90">
      <w:pPr>
        <w:spacing w:after="0"/>
        <w:ind w:firstLine="709"/>
        <w:rPr>
          <w:color w:val="auto"/>
          <w:szCs w:val="28"/>
          <w:lang w:val="en-US"/>
        </w:rPr>
      </w:pPr>
      <w:r>
        <w:rPr>
          <w:color w:val="auto"/>
          <w:szCs w:val="28"/>
        </w:rPr>
        <w:t>Шикі</w:t>
      </w:r>
      <w:r>
        <w:rPr>
          <w:color w:val="auto"/>
          <w:szCs w:val="28"/>
          <w:lang w:val="en-US"/>
        </w:rPr>
        <w:t xml:space="preserve"> </w:t>
      </w:r>
      <w:r>
        <w:rPr>
          <w:color w:val="auto"/>
          <w:szCs w:val="28"/>
        </w:rPr>
        <w:t>мұнай</w:t>
      </w:r>
      <w:r>
        <w:rPr>
          <w:color w:val="auto"/>
          <w:szCs w:val="28"/>
          <w:lang w:val="en-US"/>
        </w:rPr>
        <w:t xml:space="preserve"> </w:t>
      </w:r>
      <w:r>
        <w:rPr>
          <w:color w:val="auto"/>
          <w:szCs w:val="28"/>
        </w:rPr>
        <w:t>күрделі</w:t>
      </w:r>
      <w:r>
        <w:rPr>
          <w:color w:val="auto"/>
          <w:szCs w:val="28"/>
          <w:lang w:val="en-US"/>
        </w:rPr>
        <w:t xml:space="preserve"> </w:t>
      </w:r>
      <w:r>
        <w:rPr>
          <w:color w:val="auto"/>
          <w:szCs w:val="28"/>
        </w:rPr>
        <w:t>полидисперсті</w:t>
      </w:r>
      <w:r>
        <w:rPr>
          <w:color w:val="auto"/>
          <w:szCs w:val="28"/>
          <w:lang w:val="en-US"/>
        </w:rPr>
        <w:t xml:space="preserve"> </w:t>
      </w:r>
      <w:r>
        <w:rPr>
          <w:color w:val="auto"/>
          <w:szCs w:val="28"/>
        </w:rPr>
        <w:t>жүйе</w:t>
      </w:r>
      <w:r>
        <w:rPr>
          <w:color w:val="auto"/>
          <w:szCs w:val="28"/>
          <w:lang w:val="en-US"/>
        </w:rPr>
        <w:t xml:space="preserve"> </w:t>
      </w:r>
      <w:r>
        <w:rPr>
          <w:color w:val="auto"/>
          <w:szCs w:val="28"/>
        </w:rPr>
        <w:t>болып</w:t>
      </w:r>
      <w:r>
        <w:rPr>
          <w:color w:val="auto"/>
          <w:szCs w:val="28"/>
          <w:lang w:val="en-US"/>
        </w:rPr>
        <w:t xml:space="preserve"> </w:t>
      </w:r>
      <w:r>
        <w:rPr>
          <w:color w:val="auto"/>
          <w:szCs w:val="28"/>
        </w:rPr>
        <w:t>табылады</w:t>
      </w:r>
      <w:r>
        <w:rPr>
          <w:color w:val="auto"/>
          <w:szCs w:val="28"/>
          <w:lang w:val="en-US"/>
        </w:rPr>
        <w:t xml:space="preserve"> </w:t>
      </w:r>
      <w:r>
        <w:rPr>
          <w:color w:val="auto"/>
          <w:szCs w:val="28"/>
        </w:rPr>
        <w:t>және</w:t>
      </w:r>
      <w:r>
        <w:rPr>
          <w:color w:val="auto"/>
          <w:szCs w:val="28"/>
          <w:lang w:val="en-US"/>
        </w:rPr>
        <w:t xml:space="preserve"> 500-</w:t>
      </w:r>
      <w:r>
        <w:rPr>
          <w:color w:val="auto"/>
          <w:szCs w:val="28"/>
        </w:rPr>
        <w:t>ден</w:t>
      </w:r>
      <w:r>
        <w:rPr>
          <w:color w:val="auto"/>
          <w:szCs w:val="28"/>
          <w:lang w:val="en-US"/>
        </w:rPr>
        <w:t xml:space="preserve"> </w:t>
      </w:r>
      <w:r>
        <w:rPr>
          <w:color w:val="auto"/>
          <w:szCs w:val="28"/>
        </w:rPr>
        <w:t>астам</w:t>
      </w:r>
      <w:r>
        <w:rPr>
          <w:color w:val="auto"/>
          <w:szCs w:val="28"/>
          <w:lang w:val="en-US"/>
        </w:rPr>
        <w:t xml:space="preserve"> </w:t>
      </w:r>
      <w:r>
        <w:rPr>
          <w:color w:val="auto"/>
          <w:szCs w:val="28"/>
        </w:rPr>
        <w:t>әртүрлі</w:t>
      </w:r>
      <w:r>
        <w:rPr>
          <w:color w:val="auto"/>
          <w:szCs w:val="28"/>
          <w:lang w:val="en-US"/>
        </w:rPr>
        <w:t xml:space="preserve"> </w:t>
      </w:r>
      <w:r>
        <w:rPr>
          <w:color w:val="auto"/>
          <w:szCs w:val="28"/>
        </w:rPr>
        <w:t>органикалық</w:t>
      </w:r>
      <w:r>
        <w:rPr>
          <w:color w:val="auto"/>
          <w:szCs w:val="28"/>
          <w:lang w:val="en-US"/>
        </w:rPr>
        <w:t xml:space="preserve"> </w:t>
      </w:r>
      <w:r>
        <w:rPr>
          <w:color w:val="auto"/>
          <w:szCs w:val="28"/>
        </w:rPr>
        <w:t>қосылыстардан</w:t>
      </w:r>
      <w:r>
        <w:rPr>
          <w:color w:val="auto"/>
          <w:szCs w:val="28"/>
          <w:lang w:val="en-US"/>
        </w:rPr>
        <w:t xml:space="preserve"> </w:t>
      </w:r>
      <w:r>
        <w:rPr>
          <w:color w:val="auto"/>
          <w:szCs w:val="28"/>
        </w:rPr>
        <w:t>тұрады</w:t>
      </w:r>
      <w:r>
        <w:rPr>
          <w:rFonts w:hint="default"/>
          <w:color w:val="auto"/>
          <w:szCs w:val="28"/>
          <w:lang w:val="en-US"/>
        </w:rPr>
        <w:t xml:space="preserve"> </w:t>
      </w:r>
      <w:r>
        <w:rPr>
          <w:rFonts w:hint="default"/>
          <w:color w:val="auto"/>
          <w:szCs w:val="28"/>
          <w:lang w:val="kk-KZ"/>
        </w:rPr>
        <w:t>(кесте 1)</w:t>
      </w:r>
      <w:r>
        <w:rPr>
          <w:color w:val="auto"/>
          <w:szCs w:val="28"/>
          <w:lang w:val="en-US"/>
        </w:rPr>
        <w:t xml:space="preserve"> </w:t>
      </w:r>
      <w:r>
        <w:rPr>
          <w:color w:val="auto"/>
          <w:szCs w:val="28"/>
        </w:rPr>
        <w:t>Мұнайдың</w:t>
      </w:r>
      <w:r>
        <w:rPr>
          <w:color w:val="auto"/>
          <w:szCs w:val="28"/>
          <w:lang w:val="en-US"/>
        </w:rPr>
        <w:t xml:space="preserve"> </w:t>
      </w:r>
      <w:r>
        <w:rPr>
          <w:color w:val="auto"/>
          <w:szCs w:val="28"/>
        </w:rPr>
        <w:t>негізгі</w:t>
      </w:r>
      <w:r>
        <w:rPr>
          <w:color w:val="auto"/>
          <w:szCs w:val="28"/>
          <w:lang w:val="en-US"/>
        </w:rPr>
        <w:t xml:space="preserve"> </w:t>
      </w:r>
      <w:r>
        <w:rPr>
          <w:color w:val="auto"/>
          <w:szCs w:val="28"/>
        </w:rPr>
        <w:t>құрамын</w:t>
      </w:r>
      <w:r>
        <w:rPr>
          <w:color w:val="auto"/>
          <w:szCs w:val="28"/>
          <w:lang w:val="en-US"/>
        </w:rPr>
        <w:t xml:space="preserve"> </w:t>
      </w:r>
      <w:r>
        <w:rPr>
          <w:color w:val="auto"/>
          <w:szCs w:val="28"/>
        </w:rPr>
        <w:t>әртүрлі</w:t>
      </w:r>
      <w:r>
        <w:rPr>
          <w:color w:val="auto"/>
          <w:szCs w:val="28"/>
          <w:lang w:val="en-US"/>
        </w:rPr>
        <w:t xml:space="preserve"> </w:t>
      </w:r>
      <w:r>
        <w:rPr>
          <w:color w:val="auto"/>
          <w:szCs w:val="28"/>
        </w:rPr>
        <w:t>кластағы</w:t>
      </w:r>
      <w:r>
        <w:rPr>
          <w:color w:val="auto"/>
          <w:szCs w:val="28"/>
          <w:lang w:val="en-US"/>
        </w:rPr>
        <w:t xml:space="preserve"> </w:t>
      </w:r>
      <w:r>
        <w:rPr>
          <w:color w:val="auto"/>
          <w:szCs w:val="28"/>
        </w:rPr>
        <w:t>көмірсутектер</w:t>
      </w:r>
      <w:r>
        <w:rPr>
          <w:color w:val="auto"/>
          <w:szCs w:val="28"/>
          <w:lang w:val="en-US"/>
        </w:rPr>
        <w:t xml:space="preserve"> </w:t>
      </w:r>
      <w:r>
        <w:rPr>
          <w:color w:val="auto"/>
          <w:szCs w:val="28"/>
        </w:rPr>
        <w:t>құрайды</w:t>
      </w:r>
      <w:r>
        <w:rPr>
          <w:color w:val="auto"/>
          <w:szCs w:val="28"/>
          <w:lang w:val="en-US"/>
        </w:rPr>
        <w:t xml:space="preserve">, </w:t>
      </w:r>
      <w:r>
        <w:rPr>
          <w:color w:val="auto"/>
          <w:szCs w:val="28"/>
        </w:rPr>
        <w:t>олардың</w:t>
      </w:r>
      <w:r>
        <w:rPr>
          <w:color w:val="auto"/>
          <w:szCs w:val="28"/>
          <w:lang w:val="en-US"/>
        </w:rPr>
        <w:t xml:space="preserve"> </w:t>
      </w:r>
      <w:r>
        <w:rPr>
          <w:color w:val="auto"/>
          <w:szCs w:val="28"/>
        </w:rPr>
        <w:t>сандық</w:t>
      </w:r>
      <w:r>
        <w:rPr>
          <w:color w:val="auto"/>
          <w:szCs w:val="28"/>
          <w:lang w:val="en-US"/>
        </w:rPr>
        <w:t>-</w:t>
      </w:r>
      <w:r>
        <w:rPr>
          <w:color w:val="auto"/>
          <w:szCs w:val="28"/>
        </w:rPr>
        <w:t>сапалық</w:t>
      </w:r>
      <w:r>
        <w:rPr>
          <w:color w:val="auto"/>
          <w:szCs w:val="28"/>
          <w:lang w:val="en-US"/>
        </w:rPr>
        <w:t xml:space="preserve"> </w:t>
      </w:r>
      <w:r>
        <w:rPr>
          <w:color w:val="auto"/>
          <w:szCs w:val="28"/>
        </w:rPr>
        <w:t>қатынасы</w:t>
      </w:r>
      <w:r>
        <w:rPr>
          <w:color w:val="auto"/>
          <w:szCs w:val="28"/>
          <w:lang w:val="en-US"/>
        </w:rPr>
        <w:t xml:space="preserve"> </w:t>
      </w:r>
      <w:r>
        <w:rPr>
          <w:color w:val="auto"/>
          <w:szCs w:val="28"/>
        </w:rPr>
        <w:t>ластаушы</w:t>
      </w:r>
      <w:r>
        <w:rPr>
          <w:color w:val="auto"/>
          <w:szCs w:val="28"/>
          <w:lang w:val="en-US"/>
        </w:rPr>
        <w:t xml:space="preserve"> </w:t>
      </w:r>
      <w:r>
        <w:rPr>
          <w:color w:val="auto"/>
          <w:szCs w:val="28"/>
        </w:rPr>
        <w:t>заттың</w:t>
      </w:r>
      <w:r>
        <w:rPr>
          <w:color w:val="auto"/>
          <w:szCs w:val="28"/>
          <w:lang w:val="en-US"/>
        </w:rPr>
        <w:t xml:space="preserve"> </w:t>
      </w:r>
      <w:r>
        <w:rPr>
          <w:color w:val="auto"/>
          <w:szCs w:val="28"/>
        </w:rPr>
        <w:t>токсикологиялық</w:t>
      </w:r>
      <w:r>
        <w:rPr>
          <w:color w:val="auto"/>
          <w:szCs w:val="28"/>
          <w:lang w:val="en-US"/>
        </w:rPr>
        <w:t xml:space="preserve"> </w:t>
      </w:r>
      <w:r>
        <w:rPr>
          <w:color w:val="auto"/>
          <w:szCs w:val="28"/>
        </w:rPr>
        <w:t>және</w:t>
      </w:r>
      <w:r>
        <w:rPr>
          <w:color w:val="auto"/>
          <w:szCs w:val="28"/>
          <w:lang w:val="en-US"/>
        </w:rPr>
        <w:t xml:space="preserve"> </w:t>
      </w:r>
      <w:r>
        <w:rPr>
          <w:color w:val="auto"/>
          <w:szCs w:val="28"/>
        </w:rPr>
        <w:t>физика</w:t>
      </w:r>
      <w:r>
        <w:rPr>
          <w:color w:val="auto"/>
          <w:szCs w:val="28"/>
          <w:lang w:val="en-US"/>
        </w:rPr>
        <w:t>-</w:t>
      </w:r>
      <w:r>
        <w:rPr>
          <w:color w:val="auto"/>
          <w:szCs w:val="28"/>
        </w:rPr>
        <w:t>химиялық</w:t>
      </w:r>
      <w:r>
        <w:rPr>
          <w:color w:val="auto"/>
          <w:szCs w:val="28"/>
          <w:lang w:val="en-US"/>
        </w:rPr>
        <w:t xml:space="preserve"> </w:t>
      </w:r>
      <w:r>
        <w:rPr>
          <w:color w:val="auto"/>
          <w:szCs w:val="28"/>
        </w:rPr>
        <w:t>қасиеттерін</w:t>
      </w:r>
      <w:r>
        <w:rPr>
          <w:color w:val="auto"/>
          <w:szCs w:val="28"/>
          <w:lang w:val="en-US"/>
        </w:rPr>
        <w:t xml:space="preserve"> </w:t>
      </w:r>
      <w:r>
        <w:rPr>
          <w:color w:val="auto"/>
          <w:szCs w:val="28"/>
        </w:rPr>
        <w:t>анықтайды</w:t>
      </w:r>
      <w:r>
        <w:rPr>
          <w:color w:val="auto"/>
          <w:szCs w:val="28"/>
          <w:lang w:val="en-US"/>
        </w:rPr>
        <w:t xml:space="preserve"> [12].</w:t>
      </w:r>
    </w:p>
    <w:p w14:paraId="50E07229">
      <w:pPr>
        <w:spacing w:after="0"/>
        <w:ind w:firstLine="709"/>
        <w:rPr>
          <w:color w:val="auto"/>
          <w:szCs w:val="28"/>
          <w:lang w:val="en-US"/>
        </w:rPr>
      </w:pPr>
      <w:r>
        <w:rPr>
          <w:color w:val="auto"/>
          <w:szCs w:val="28"/>
        </w:rPr>
        <w:t>Қазіргі</w:t>
      </w:r>
      <w:r>
        <w:rPr>
          <w:color w:val="auto"/>
          <w:szCs w:val="28"/>
          <w:lang w:val="en-US"/>
        </w:rPr>
        <w:t xml:space="preserve"> </w:t>
      </w:r>
      <w:r>
        <w:rPr>
          <w:color w:val="auto"/>
          <w:szCs w:val="28"/>
        </w:rPr>
        <w:t>заманғы</w:t>
      </w:r>
      <w:r>
        <w:rPr>
          <w:color w:val="auto"/>
          <w:szCs w:val="28"/>
          <w:lang w:val="en-US"/>
        </w:rPr>
        <w:t xml:space="preserve"> </w:t>
      </w:r>
      <w:r>
        <w:rPr>
          <w:color w:val="auto"/>
          <w:szCs w:val="28"/>
        </w:rPr>
        <w:t>классификация</w:t>
      </w:r>
      <w:r>
        <w:rPr>
          <w:color w:val="auto"/>
          <w:szCs w:val="28"/>
          <w:lang w:val="en-US"/>
        </w:rPr>
        <w:t xml:space="preserve"> </w:t>
      </w:r>
      <w:r>
        <w:rPr>
          <w:color w:val="auto"/>
          <w:szCs w:val="28"/>
        </w:rPr>
        <w:t>бойынша</w:t>
      </w:r>
      <w:r>
        <w:rPr>
          <w:color w:val="auto"/>
          <w:szCs w:val="28"/>
          <w:lang w:val="en-US"/>
        </w:rPr>
        <w:t xml:space="preserve"> </w:t>
      </w:r>
      <w:r>
        <w:rPr>
          <w:color w:val="auto"/>
          <w:szCs w:val="28"/>
        </w:rPr>
        <w:t>мұнай</w:t>
      </w:r>
      <w:r>
        <w:rPr>
          <w:color w:val="auto"/>
          <w:szCs w:val="28"/>
          <w:lang w:val="en-US"/>
        </w:rPr>
        <w:t xml:space="preserve"> </w:t>
      </w:r>
      <w:r>
        <w:rPr>
          <w:color w:val="auto"/>
          <w:szCs w:val="28"/>
        </w:rPr>
        <w:t>көмірсутектері</w:t>
      </w:r>
      <w:r>
        <w:rPr>
          <w:color w:val="auto"/>
          <w:szCs w:val="28"/>
          <w:lang w:val="en-US"/>
        </w:rPr>
        <w:t xml:space="preserve"> </w:t>
      </w:r>
      <w:r>
        <w:rPr>
          <w:color w:val="auto"/>
          <w:szCs w:val="28"/>
        </w:rPr>
        <w:t>төмендегі</w:t>
      </w:r>
      <w:r>
        <w:rPr>
          <w:color w:val="auto"/>
          <w:szCs w:val="28"/>
          <w:lang w:val="en-US"/>
        </w:rPr>
        <w:t xml:space="preserve"> </w:t>
      </w:r>
      <w:r>
        <w:rPr>
          <w:color w:val="auto"/>
          <w:szCs w:val="28"/>
        </w:rPr>
        <w:t>негізгі</w:t>
      </w:r>
      <w:r>
        <w:rPr>
          <w:color w:val="auto"/>
          <w:szCs w:val="28"/>
          <w:lang w:val="en-US"/>
        </w:rPr>
        <w:t xml:space="preserve"> </w:t>
      </w:r>
      <w:r>
        <w:rPr>
          <w:color w:val="auto"/>
          <w:szCs w:val="28"/>
        </w:rPr>
        <w:t>топтарға</w:t>
      </w:r>
      <w:r>
        <w:rPr>
          <w:color w:val="auto"/>
          <w:szCs w:val="28"/>
          <w:lang w:val="en-US"/>
        </w:rPr>
        <w:t xml:space="preserve"> </w:t>
      </w:r>
      <w:r>
        <w:rPr>
          <w:color w:val="auto"/>
          <w:szCs w:val="28"/>
        </w:rPr>
        <w:t>бөлінеді</w:t>
      </w:r>
      <w:r>
        <w:rPr>
          <w:color w:val="auto"/>
          <w:szCs w:val="28"/>
          <w:lang w:val="en-US"/>
        </w:rPr>
        <w:t xml:space="preserve"> [1</w:t>
      </w:r>
      <w:r>
        <w:rPr>
          <w:rFonts w:hint="default"/>
          <w:color w:val="auto"/>
          <w:szCs w:val="28"/>
          <w:lang w:val="ru-RU"/>
        </w:rPr>
        <w:t>3</w:t>
      </w:r>
      <w:r>
        <w:rPr>
          <w:color w:val="auto"/>
          <w:szCs w:val="28"/>
          <w:lang w:val="en-US"/>
        </w:rPr>
        <w:t>]:</w:t>
      </w:r>
    </w:p>
    <w:p w14:paraId="09530FFA">
      <w:pPr>
        <w:spacing w:after="0"/>
        <w:ind w:firstLine="709"/>
        <w:rPr>
          <w:color w:val="auto"/>
          <w:szCs w:val="28"/>
          <w:lang w:val="en-US"/>
        </w:rPr>
      </w:pPr>
    </w:p>
    <w:p w14:paraId="746ED37F">
      <w:pPr>
        <w:pStyle w:val="7"/>
        <w:numPr>
          <w:ilvl w:val="5"/>
          <w:numId w:val="0"/>
        </w:numPr>
        <w:spacing w:before="0" w:after="0"/>
        <w:rPr>
          <w:rFonts w:ascii="Times New Roman" w:hAnsi="Times New Roman"/>
          <w:i w:val="0"/>
          <w:iCs w:val="0"/>
          <w:color w:val="auto"/>
        </w:rPr>
      </w:pPr>
      <w:r>
        <w:rPr>
          <w:rFonts w:ascii="Times New Roman" w:hAnsi="Times New Roman"/>
          <w:i w:val="0"/>
          <w:iCs w:val="0"/>
          <w:color w:val="auto"/>
        </w:rPr>
        <w:t>1—кесте - Шикі мұнайдың компоненттік құрамы</w:t>
      </w:r>
    </w:p>
    <w:p w14:paraId="1E3BFCE4">
      <w:pPr>
        <w:spacing w:after="0"/>
        <w:rPr>
          <w:color w:val="auto"/>
        </w:rPr>
      </w:pPr>
    </w:p>
    <w:tbl>
      <w:tblPr>
        <w:tblStyle w:val="12"/>
        <w:tblW w:w="9046" w:type="dxa"/>
        <w:tblInd w:w="0" w:type="dxa"/>
        <w:tblLayout w:type="fixed"/>
        <w:tblCellMar>
          <w:top w:w="96" w:type="dxa"/>
          <w:left w:w="120" w:type="dxa"/>
          <w:bottom w:w="96" w:type="dxa"/>
          <w:right w:w="120" w:type="dxa"/>
        </w:tblCellMar>
      </w:tblPr>
      <w:tblGrid>
        <w:gridCol w:w="2394"/>
        <w:gridCol w:w="3195"/>
        <w:gridCol w:w="1942"/>
        <w:gridCol w:w="1515"/>
      </w:tblGrid>
      <w:tr w14:paraId="1A951342">
        <w:tblPrEx>
          <w:tblCellMar>
            <w:top w:w="96" w:type="dxa"/>
            <w:left w:w="120" w:type="dxa"/>
            <w:bottom w:w="96" w:type="dxa"/>
            <w:right w:w="120" w:type="dxa"/>
          </w:tblCellMar>
        </w:tblPrEx>
        <w:tc>
          <w:tcPr>
            <w:tcW w:w="2394" w:type="dxa"/>
            <w:tcBorders>
              <w:top w:val="single" w:color="000000" w:sz="4" w:space="0"/>
              <w:left w:val="single" w:color="000000" w:sz="4" w:space="0"/>
              <w:bottom w:val="single" w:color="000000" w:sz="4" w:space="0"/>
              <w:right w:val="single" w:color="000000" w:sz="4" w:space="0"/>
            </w:tcBorders>
          </w:tcPr>
          <w:p w14:paraId="33AB4F6C">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color w:val="auto"/>
                <w:sz w:val="24"/>
                <w:szCs w:val="24"/>
              </w:rPr>
            </w:pPr>
            <w:r>
              <w:rPr>
                <w:color w:val="auto"/>
                <w:sz w:val="24"/>
                <w:szCs w:val="24"/>
                <w:lang w:val="en-US" w:eastAsia="zh-CN" w:bidi="ar"/>
              </w:rPr>
              <w:t>Қосылыстар тобы</w:t>
            </w:r>
          </w:p>
        </w:tc>
        <w:tc>
          <w:tcPr>
            <w:tcW w:w="3195" w:type="dxa"/>
            <w:tcBorders>
              <w:top w:val="single" w:color="000000" w:sz="4" w:space="0"/>
              <w:left w:val="single" w:color="000000" w:sz="4" w:space="0"/>
              <w:bottom w:val="single" w:color="000000" w:sz="4" w:space="0"/>
              <w:right w:val="single" w:color="000000" w:sz="4" w:space="0"/>
            </w:tcBorders>
          </w:tcPr>
          <w:p w14:paraId="703840B3">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color w:val="auto"/>
                <w:sz w:val="24"/>
                <w:szCs w:val="24"/>
              </w:rPr>
            </w:pPr>
            <w:r>
              <w:rPr>
                <w:color w:val="auto"/>
                <w:sz w:val="24"/>
                <w:szCs w:val="24"/>
                <w:lang w:val="en-US" w:eastAsia="zh-CN" w:bidi="ar"/>
              </w:rPr>
              <w:t>Химиялық сипаттамасы</w:t>
            </w:r>
          </w:p>
        </w:tc>
        <w:tc>
          <w:tcPr>
            <w:tcW w:w="1942" w:type="dxa"/>
            <w:tcBorders>
              <w:top w:val="single" w:color="000000" w:sz="4" w:space="0"/>
              <w:left w:val="single" w:color="000000" w:sz="4" w:space="0"/>
              <w:bottom w:val="single" w:color="000000" w:sz="4" w:space="0"/>
              <w:right w:val="single" w:color="000000" w:sz="4" w:space="0"/>
            </w:tcBorders>
          </w:tcPr>
          <w:p w14:paraId="4AFA15F3">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color w:val="auto"/>
                <w:sz w:val="24"/>
                <w:szCs w:val="24"/>
              </w:rPr>
            </w:pPr>
            <w:r>
              <w:rPr>
                <w:color w:val="auto"/>
                <w:sz w:val="24"/>
                <w:szCs w:val="24"/>
                <w:lang w:val="en-US" w:eastAsia="zh-CN" w:bidi="ar"/>
              </w:rPr>
              <w:t>Молекулалық формуласы</w:t>
            </w:r>
          </w:p>
        </w:tc>
        <w:tc>
          <w:tcPr>
            <w:tcW w:w="1515" w:type="dxa"/>
            <w:tcBorders>
              <w:top w:val="single" w:color="000000" w:sz="4" w:space="0"/>
              <w:left w:val="single" w:color="000000" w:sz="4" w:space="0"/>
              <w:bottom w:val="single" w:color="000000" w:sz="4" w:space="0"/>
              <w:right w:val="single" w:color="000000" w:sz="4" w:space="0"/>
            </w:tcBorders>
          </w:tcPr>
          <w:p w14:paraId="50EB23C4">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color w:val="auto"/>
                <w:sz w:val="24"/>
                <w:szCs w:val="24"/>
              </w:rPr>
            </w:pPr>
            <w:r>
              <w:rPr>
                <w:color w:val="auto"/>
                <w:sz w:val="24"/>
                <w:szCs w:val="24"/>
                <w:lang w:val="en-US" w:eastAsia="zh-CN" w:bidi="ar"/>
              </w:rPr>
              <w:t>Салмақ</w:t>
            </w:r>
            <w:r>
              <w:rPr>
                <w:color w:val="auto"/>
                <w:sz w:val="24"/>
                <w:szCs w:val="24"/>
                <w:lang w:val="kk-KZ" w:eastAsia="zh-CN" w:bidi="ar"/>
              </w:rPr>
              <w:t>-</w:t>
            </w:r>
            <w:r>
              <w:rPr>
                <w:color w:val="auto"/>
                <w:sz w:val="24"/>
                <w:szCs w:val="24"/>
                <w:lang w:val="en-US" w:eastAsia="zh-CN" w:bidi="ar"/>
              </w:rPr>
              <w:t>тық үлес</w:t>
            </w:r>
            <w:r>
              <w:rPr>
                <w:color w:val="auto"/>
                <w:sz w:val="24"/>
                <w:szCs w:val="24"/>
                <w:lang w:val="kk-KZ" w:eastAsia="zh-CN" w:bidi="ar"/>
              </w:rPr>
              <w:t>і</w:t>
            </w:r>
            <w:r>
              <w:rPr>
                <w:color w:val="auto"/>
                <w:sz w:val="24"/>
                <w:szCs w:val="24"/>
                <w:lang w:val="en-US" w:eastAsia="zh-CN" w:bidi="ar"/>
              </w:rPr>
              <w:t>, %</w:t>
            </w:r>
          </w:p>
        </w:tc>
      </w:tr>
      <w:tr w14:paraId="2B9E0A0B">
        <w:tblPrEx>
          <w:tblCellMar>
            <w:top w:w="96" w:type="dxa"/>
            <w:left w:w="120" w:type="dxa"/>
            <w:bottom w:w="96" w:type="dxa"/>
            <w:right w:w="120" w:type="dxa"/>
          </w:tblCellMar>
        </w:tblPrEx>
        <w:tc>
          <w:tcPr>
            <w:tcW w:w="2394" w:type="dxa"/>
            <w:tcBorders>
              <w:top w:val="single" w:color="000000" w:sz="4" w:space="0"/>
              <w:left w:val="single" w:color="000000" w:sz="4" w:space="0"/>
              <w:bottom w:val="single" w:color="000000" w:sz="4" w:space="0"/>
              <w:right w:val="single" w:color="000000" w:sz="4" w:space="0"/>
            </w:tcBorders>
          </w:tcPr>
          <w:p w14:paraId="26838FFD">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color w:val="auto"/>
                <w:sz w:val="24"/>
                <w:szCs w:val="24"/>
              </w:rPr>
            </w:pPr>
            <w:r>
              <w:rPr>
                <w:color w:val="auto"/>
                <w:sz w:val="24"/>
                <w:szCs w:val="24"/>
                <w:lang w:val="en-US" w:eastAsia="zh-CN" w:bidi="ar"/>
              </w:rPr>
              <w:t>Алкандар</w:t>
            </w:r>
            <w:r>
              <w:rPr>
                <w:color w:val="auto"/>
                <w:sz w:val="24"/>
                <w:szCs w:val="24"/>
                <w:lang w:val="en-US" w:eastAsia="zh-CN" w:bidi="ar"/>
              </w:rPr>
              <w:br w:type="textWrapping"/>
            </w:r>
            <w:r>
              <w:rPr>
                <w:color w:val="auto"/>
                <w:sz w:val="24"/>
                <w:szCs w:val="24"/>
                <w:lang w:val="en-US" w:eastAsia="zh-CN" w:bidi="ar"/>
              </w:rPr>
              <w:t>(парафиндер)</w:t>
            </w:r>
          </w:p>
        </w:tc>
        <w:tc>
          <w:tcPr>
            <w:tcW w:w="3195" w:type="dxa"/>
            <w:tcBorders>
              <w:top w:val="single" w:color="000000" w:sz="4" w:space="0"/>
              <w:left w:val="single" w:color="000000" w:sz="4" w:space="0"/>
              <w:bottom w:val="single" w:color="000000" w:sz="4" w:space="0"/>
              <w:right w:val="single" w:color="000000" w:sz="4" w:space="0"/>
            </w:tcBorders>
          </w:tcPr>
          <w:p w14:paraId="3AC34130">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color w:val="auto"/>
                <w:sz w:val="24"/>
                <w:szCs w:val="24"/>
              </w:rPr>
            </w:pPr>
            <w:r>
              <w:rPr>
                <w:color w:val="auto"/>
                <w:sz w:val="24"/>
                <w:szCs w:val="24"/>
                <w:lang w:eastAsia="zh-CN" w:bidi="ar"/>
              </w:rPr>
              <w:t>Түзу және тармақталған тізбекті қаныққан алифатты көмірсутектер</w:t>
            </w:r>
          </w:p>
        </w:tc>
        <w:tc>
          <w:tcPr>
            <w:tcW w:w="1942" w:type="dxa"/>
            <w:tcBorders>
              <w:top w:val="single" w:color="000000" w:sz="4" w:space="0"/>
              <w:left w:val="single" w:color="000000" w:sz="4" w:space="0"/>
              <w:bottom w:val="single" w:color="000000" w:sz="4" w:space="0"/>
              <w:right w:val="single" w:color="000000" w:sz="4" w:space="0"/>
            </w:tcBorders>
          </w:tcPr>
          <w:p w14:paraId="55E2197E">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i/>
                <w:iCs/>
                <w:color w:val="auto"/>
                <w:sz w:val="24"/>
                <w:szCs w:val="24"/>
              </w:rPr>
            </w:pPr>
            <w:r>
              <w:rPr>
                <w:i/>
                <w:iCs/>
                <w:color w:val="auto"/>
                <w:sz w:val="24"/>
                <w:szCs w:val="24"/>
                <w:lang w:val="en-US" w:eastAsia="zh-CN" w:bidi="ar"/>
              </w:rPr>
              <w:t>C</w:t>
            </w:r>
            <w:r>
              <w:rPr>
                <w:i/>
                <w:iCs/>
                <w:color w:val="auto"/>
                <w:sz w:val="24"/>
                <w:szCs w:val="24"/>
                <w:vertAlign w:val="subscript"/>
                <w:lang w:val="en-US" w:eastAsia="zh-CN" w:bidi="ar"/>
              </w:rPr>
              <w:t>n</w:t>
            </w:r>
            <w:r>
              <w:rPr>
                <w:i/>
                <w:iCs/>
                <w:color w:val="auto"/>
                <w:sz w:val="24"/>
                <w:szCs w:val="24"/>
                <w:lang w:val="en-US" w:eastAsia="zh-CN" w:bidi="ar"/>
              </w:rPr>
              <w:t>H</w:t>
            </w:r>
            <w:r>
              <w:rPr>
                <w:i/>
                <w:iCs/>
                <w:color w:val="auto"/>
                <w:sz w:val="24"/>
                <w:szCs w:val="24"/>
                <w:vertAlign w:val="subscript"/>
                <w:lang w:val="en-US" w:eastAsia="zh-CN" w:bidi="ar"/>
              </w:rPr>
              <w:t>2n+2</w:t>
            </w:r>
          </w:p>
        </w:tc>
        <w:tc>
          <w:tcPr>
            <w:tcW w:w="1515" w:type="dxa"/>
            <w:tcBorders>
              <w:top w:val="single" w:color="000000" w:sz="4" w:space="0"/>
              <w:left w:val="single" w:color="000000" w:sz="4" w:space="0"/>
              <w:bottom w:val="single" w:color="000000" w:sz="4" w:space="0"/>
              <w:right w:val="single" w:color="000000" w:sz="4" w:space="0"/>
            </w:tcBorders>
          </w:tcPr>
          <w:p w14:paraId="0F70A52F">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color w:val="auto"/>
                <w:sz w:val="24"/>
                <w:szCs w:val="24"/>
              </w:rPr>
            </w:pPr>
            <w:r>
              <w:rPr>
                <w:color w:val="auto"/>
                <w:sz w:val="24"/>
                <w:szCs w:val="24"/>
                <w:lang w:val="en-US" w:eastAsia="zh-CN" w:bidi="ar"/>
              </w:rPr>
              <w:t>15–55</w:t>
            </w:r>
          </w:p>
        </w:tc>
      </w:tr>
      <w:tr w14:paraId="112A459B">
        <w:tblPrEx>
          <w:tblCellMar>
            <w:top w:w="96" w:type="dxa"/>
            <w:left w:w="120" w:type="dxa"/>
            <w:bottom w:w="96" w:type="dxa"/>
            <w:right w:w="120" w:type="dxa"/>
          </w:tblCellMar>
        </w:tblPrEx>
        <w:tc>
          <w:tcPr>
            <w:tcW w:w="2394" w:type="dxa"/>
            <w:tcBorders>
              <w:top w:val="single" w:color="000000" w:sz="4" w:space="0"/>
              <w:left w:val="single" w:color="000000" w:sz="4" w:space="0"/>
              <w:bottom w:val="single" w:color="000000" w:sz="4" w:space="0"/>
              <w:right w:val="single" w:color="000000" w:sz="4" w:space="0"/>
            </w:tcBorders>
          </w:tcPr>
          <w:p w14:paraId="12244636">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color w:val="auto"/>
                <w:sz w:val="24"/>
                <w:szCs w:val="24"/>
              </w:rPr>
            </w:pPr>
            <w:r>
              <w:rPr>
                <w:color w:val="auto"/>
                <w:sz w:val="24"/>
                <w:szCs w:val="24"/>
                <w:lang w:val="en-US" w:eastAsia="zh-CN" w:bidi="ar"/>
              </w:rPr>
              <w:t>Циклоалкандар</w:t>
            </w:r>
            <w:r>
              <w:rPr>
                <w:color w:val="auto"/>
                <w:sz w:val="24"/>
                <w:szCs w:val="24"/>
                <w:lang w:val="en-US" w:eastAsia="zh-CN" w:bidi="ar"/>
              </w:rPr>
              <w:br w:type="textWrapping"/>
            </w:r>
            <w:r>
              <w:rPr>
                <w:color w:val="auto"/>
                <w:sz w:val="24"/>
                <w:szCs w:val="24"/>
                <w:lang w:val="en-US" w:eastAsia="zh-CN" w:bidi="ar"/>
              </w:rPr>
              <w:t>(нафтендер)</w:t>
            </w:r>
          </w:p>
        </w:tc>
        <w:tc>
          <w:tcPr>
            <w:tcW w:w="3195" w:type="dxa"/>
            <w:tcBorders>
              <w:top w:val="single" w:color="000000" w:sz="4" w:space="0"/>
              <w:left w:val="single" w:color="000000" w:sz="4" w:space="0"/>
              <w:bottom w:val="single" w:color="000000" w:sz="4" w:space="0"/>
              <w:right w:val="single" w:color="000000" w:sz="4" w:space="0"/>
            </w:tcBorders>
          </w:tcPr>
          <w:p w14:paraId="49216CA7">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color w:val="auto"/>
                <w:sz w:val="24"/>
                <w:szCs w:val="24"/>
              </w:rPr>
            </w:pPr>
            <w:r>
              <w:rPr>
                <w:color w:val="auto"/>
                <w:sz w:val="24"/>
                <w:szCs w:val="24"/>
                <w:lang w:val="en-US" w:eastAsia="zh-CN" w:bidi="ar"/>
              </w:rPr>
              <w:t>Қаныққан циклдік көмірсутектер</w:t>
            </w:r>
          </w:p>
        </w:tc>
        <w:tc>
          <w:tcPr>
            <w:tcW w:w="1942" w:type="dxa"/>
            <w:tcBorders>
              <w:top w:val="single" w:color="000000" w:sz="4" w:space="0"/>
              <w:left w:val="single" w:color="000000" w:sz="4" w:space="0"/>
              <w:bottom w:val="single" w:color="000000" w:sz="4" w:space="0"/>
              <w:right w:val="single" w:color="000000" w:sz="4" w:space="0"/>
            </w:tcBorders>
          </w:tcPr>
          <w:p w14:paraId="3C9DA12B">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i/>
                <w:iCs/>
                <w:color w:val="auto"/>
                <w:sz w:val="24"/>
                <w:szCs w:val="24"/>
              </w:rPr>
            </w:pPr>
            <w:r>
              <w:rPr>
                <w:i/>
                <w:iCs/>
                <w:color w:val="auto"/>
                <w:sz w:val="24"/>
                <w:szCs w:val="24"/>
                <w:lang w:val="en-US" w:eastAsia="zh-CN" w:bidi="ar"/>
              </w:rPr>
              <w:t>C</w:t>
            </w:r>
            <w:r>
              <w:rPr>
                <w:i/>
                <w:iCs/>
                <w:color w:val="auto"/>
                <w:sz w:val="24"/>
                <w:szCs w:val="24"/>
                <w:vertAlign w:val="subscript"/>
                <w:lang w:val="en-US" w:eastAsia="zh-CN" w:bidi="ar"/>
              </w:rPr>
              <w:t>n</w:t>
            </w:r>
            <w:r>
              <w:rPr>
                <w:i/>
                <w:iCs/>
                <w:color w:val="auto"/>
                <w:sz w:val="24"/>
                <w:szCs w:val="24"/>
                <w:lang w:val="en-US" w:eastAsia="zh-CN" w:bidi="ar"/>
              </w:rPr>
              <w:t>H</w:t>
            </w:r>
            <w:r>
              <w:rPr>
                <w:i/>
                <w:iCs/>
                <w:color w:val="auto"/>
                <w:sz w:val="24"/>
                <w:szCs w:val="24"/>
                <w:vertAlign w:val="subscript"/>
                <w:lang w:val="en-US" w:eastAsia="zh-CN" w:bidi="ar"/>
              </w:rPr>
              <w:t>2n</w:t>
            </w:r>
          </w:p>
        </w:tc>
        <w:tc>
          <w:tcPr>
            <w:tcW w:w="1515" w:type="dxa"/>
            <w:tcBorders>
              <w:top w:val="single" w:color="000000" w:sz="4" w:space="0"/>
              <w:left w:val="single" w:color="000000" w:sz="4" w:space="0"/>
              <w:bottom w:val="single" w:color="000000" w:sz="4" w:space="0"/>
              <w:right w:val="single" w:color="000000" w:sz="4" w:space="0"/>
            </w:tcBorders>
          </w:tcPr>
          <w:p w14:paraId="11807D83">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color w:val="auto"/>
                <w:sz w:val="24"/>
                <w:szCs w:val="24"/>
              </w:rPr>
            </w:pPr>
            <w:r>
              <w:rPr>
                <w:color w:val="auto"/>
                <w:sz w:val="24"/>
                <w:szCs w:val="24"/>
                <w:lang w:val="en-US" w:eastAsia="zh-CN" w:bidi="ar"/>
              </w:rPr>
              <w:t>30–50</w:t>
            </w:r>
          </w:p>
        </w:tc>
      </w:tr>
      <w:tr w14:paraId="793EA169">
        <w:tblPrEx>
          <w:tblCellMar>
            <w:top w:w="96" w:type="dxa"/>
            <w:left w:w="120" w:type="dxa"/>
            <w:bottom w:w="96" w:type="dxa"/>
            <w:right w:w="120" w:type="dxa"/>
          </w:tblCellMar>
        </w:tblPrEx>
        <w:tc>
          <w:tcPr>
            <w:tcW w:w="2394" w:type="dxa"/>
            <w:tcBorders>
              <w:top w:val="single" w:color="000000" w:sz="4" w:space="0"/>
              <w:left w:val="single" w:color="000000" w:sz="4" w:space="0"/>
              <w:bottom w:val="single" w:color="000000" w:sz="4" w:space="0"/>
              <w:right w:val="single" w:color="000000" w:sz="4" w:space="0"/>
            </w:tcBorders>
          </w:tcPr>
          <w:p w14:paraId="0A58032D">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color w:val="auto"/>
                <w:sz w:val="24"/>
                <w:szCs w:val="24"/>
              </w:rPr>
            </w:pPr>
            <w:r>
              <w:rPr>
                <w:color w:val="auto"/>
                <w:sz w:val="24"/>
                <w:szCs w:val="24"/>
                <w:lang w:val="en-US" w:eastAsia="zh-CN" w:bidi="ar"/>
              </w:rPr>
              <w:t>Хош иісті көмірсутектер</w:t>
            </w:r>
          </w:p>
        </w:tc>
        <w:tc>
          <w:tcPr>
            <w:tcW w:w="3195" w:type="dxa"/>
            <w:tcBorders>
              <w:top w:val="single" w:color="000000" w:sz="4" w:space="0"/>
              <w:left w:val="single" w:color="000000" w:sz="4" w:space="0"/>
              <w:bottom w:val="single" w:color="000000" w:sz="4" w:space="0"/>
              <w:right w:val="single" w:color="000000" w:sz="4" w:space="0"/>
            </w:tcBorders>
          </w:tcPr>
          <w:p w14:paraId="741C48AC">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color w:val="auto"/>
                <w:sz w:val="24"/>
                <w:szCs w:val="24"/>
              </w:rPr>
            </w:pPr>
            <w:r>
              <w:rPr>
                <w:color w:val="auto"/>
                <w:sz w:val="24"/>
                <w:szCs w:val="24"/>
                <w:lang w:val="en-US" w:eastAsia="zh-CN" w:bidi="ar"/>
              </w:rPr>
              <w:t>Бензолдың қанықпаған циклдік қосылыстары</w:t>
            </w:r>
          </w:p>
        </w:tc>
        <w:tc>
          <w:tcPr>
            <w:tcW w:w="1942" w:type="dxa"/>
            <w:tcBorders>
              <w:top w:val="single" w:color="000000" w:sz="4" w:space="0"/>
              <w:left w:val="single" w:color="000000" w:sz="4" w:space="0"/>
              <w:bottom w:val="single" w:color="000000" w:sz="4" w:space="0"/>
              <w:right w:val="single" w:color="000000" w:sz="4" w:space="0"/>
            </w:tcBorders>
          </w:tcPr>
          <w:p w14:paraId="4AFB906F">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i/>
                <w:iCs/>
                <w:color w:val="auto"/>
                <w:sz w:val="24"/>
                <w:szCs w:val="24"/>
              </w:rPr>
            </w:pPr>
            <w:r>
              <w:rPr>
                <w:i/>
                <w:iCs/>
                <w:color w:val="auto"/>
                <w:sz w:val="24"/>
                <w:szCs w:val="24"/>
                <w:lang w:val="en-US" w:eastAsia="zh-CN" w:bidi="ar"/>
              </w:rPr>
              <w:t>C</w:t>
            </w:r>
            <w:r>
              <w:rPr>
                <w:i/>
                <w:iCs/>
                <w:color w:val="auto"/>
                <w:sz w:val="24"/>
                <w:szCs w:val="24"/>
                <w:vertAlign w:val="subscript"/>
                <w:lang w:val="en-US" w:eastAsia="zh-CN" w:bidi="ar"/>
              </w:rPr>
              <w:t>n</w:t>
            </w:r>
            <w:r>
              <w:rPr>
                <w:i/>
                <w:iCs/>
                <w:color w:val="auto"/>
                <w:sz w:val="24"/>
                <w:szCs w:val="24"/>
                <w:lang w:val="en-US" w:eastAsia="zh-CN" w:bidi="ar"/>
              </w:rPr>
              <w:t>H</w:t>
            </w:r>
            <w:r>
              <w:rPr>
                <w:i/>
                <w:iCs/>
                <w:color w:val="auto"/>
                <w:sz w:val="24"/>
                <w:szCs w:val="24"/>
                <w:vertAlign w:val="subscript"/>
                <w:lang w:val="en-US" w:eastAsia="zh-CN" w:bidi="ar"/>
              </w:rPr>
              <w:t>2n-6</w:t>
            </w:r>
          </w:p>
        </w:tc>
        <w:tc>
          <w:tcPr>
            <w:tcW w:w="1515" w:type="dxa"/>
            <w:tcBorders>
              <w:top w:val="single" w:color="000000" w:sz="4" w:space="0"/>
              <w:left w:val="single" w:color="000000" w:sz="4" w:space="0"/>
              <w:bottom w:val="single" w:color="000000" w:sz="4" w:space="0"/>
              <w:right w:val="single" w:color="000000" w:sz="4" w:space="0"/>
            </w:tcBorders>
          </w:tcPr>
          <w:p w14:paraId="48DF003C">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color w:val="auto"/>
                <w:sz w:val="24"/>
                <w:szCs w:val="24"/>
              </w:rPr>
            </w:pPr>
            <w:r>
              <w:rPr>
                <w:color w:val="auto"/>
                <w:sz w:val="24"/>
                <w:szCs w:val="24"/>
                <w:lang w:val="en-US" w:eastAsia="zh-CN" w:bidi="ar"/>
              </w:rPr>
              <w:t>5–55</w:t>
            </w:r>
          </w:p>
        </w:tc>
      </w:tr>
      <w:tr w14:paraId="1B1BED64">
        <w:tblPrEx>
          <w:tblCellMar>
            <w:top w:w="96" w:type="dxa"/>
            <w:left w:w="120" w:type="dxa"/>
            <w:bottom w:w="96" w:type="dxa"/>
            <w:right w:w="120" w:type="dxa"/>
          </w:tblCellMar>
        </w:tblPrEx>
        <w:tc>
          <w:tcPr>
            <w:tcW w:w="2394" w:type="dxa"/>
            <w:tcBorders>
              <w:top w:val="single" w:color="000000" w:sz="4" w:space="0"/>
              <w:left w:val="single" w:color="000000" w:sz="4" w:space="0"/>
              <w:bottom w:val="single" w:color="auto" w:sz="4" w:space="0"/>
              <w:right w:val="single" w:color="000000" w:sz="4" w:space="0"/>
            </w:tcBorders>
          </w:tcPr>
          <w:p w14:paraId="6ABA37F8">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color w:val="auto"/>
                <w:sz w:val="24"/>
                <w:szCs w:val="24"/>
                <w:lang w:val="en-US" w:eastAsia="zh-CN" w:bidi="ar"/>
              </w:rPr>
            </w:pPr>
          </w:p>
          <w:p w14:paraId="45D4AD90">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color w:val="auto"/>
                <w:sz w:val="24"/>
                <w:szCs w:val="24"/>
              </w:rPr>
            </w:pPr>
            <w:r>
              <w:rPr>
                <w:color w:val="auto"/>
                <w:sz w:val="24"/>
                <w:szCs w:val="24"/>
                <w:lang w:val="en-US" w:eastAsia="zh-CN" w:bidi="ar"/>
              </w:rPr>
              <w:t>Асфальтендер мен шайырлар</w:t>
            </w:r>
          </w:p>
        </w:tc>
        <w:tc>
          <w:tcPr>
            <w:tcW w:w="3195" w:type="dxa"/>
            <w:tcBorders>
              <w:top w:val="single" w:color="000000" w:sz="4" w:space="0"/>
              <w:left w:val="single" w:color="000000" w:sz="4" w:space="0"/>
              <w:bottom w:val="single" w:color="auto" w:sz="4" w:space="0"/>
              <w:right w:val="single" w:color="000000" w:sz="4" w:space="0"/>
            </w:tcBorders>
          </w:tcPr>
          <w:p w14:paraId="389D0409">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color w:val="auto"/>
                <w:sz w:val="24"/>
                <w:szCs w:val="24"/>
                <w:lang w:eastAsia="zh-CN" w:bidi="ar"/>
              </w:rPr>
            </w:pPr>
          </w:p>
          <w:p w14:paraId="1B4D2DA0">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color w:val="auto"/>
                <w:sz w:val="24"/>
                <w:szCs w:val="24"/>
                <w:lang w:eastAsia="zh-CN" w:bidi="ar"/>
              </w:rPr>
            </w:pPr>
            <w:r>
              <w:rPr>
                <w:color w:val="auto"/>
                <w:sz w:val="24"/>
                <w:szCs w:val="24"/>
                <w:lang w:eastAsia="zh-CN" w:bidi="ar"/>
              </w:rPr>
              <w:t>Жоғары молекулалы гетероциклді және алициклді қосылыстар</w:t>
            </w:r>
          </w:p>
        </w:tc>
        <w:tc>
          <w:tcPr>
            <w:tcW w:w="1942" w:type="dxa"/>
            <w:tcBorders>
              <w:top w:val="single" w:color="000000" w:sz="4" w:space="0"/>
              <w:left w:val="single" w:color="000000" w:sz="4" w:space="0"/>
              <w:bottom w:val="single" w:color="auto" w:sz="4" w:space="0"/>
              <w:right w:val="single" w:color="000000" w:sz="4" w:space="0"/>
            </w:tcBorders>
          </w:tcPr>
          <w:p w14:paraId="7484964E">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i/>
                <w:iCs/>
                <w:color w:val="auto"/>
                <w:sz w:val="24"/>
                <w:szCs w:val="24"/>
                <w:lang w:eastAsia="zh-CN" w:bidi="ar"/>
              </w:rPr>
            </w:pPr>
          </w:p>
          <w:p w14:paraId="6D09A7A2">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i/>
                <w:iCs/>
                <w:color w:val="auto"/>
                <w:sz w:val="24"/>
                <w:szCs w:val="24"/>
              </w:rPr>
            </w:pPr>
            <w:r>
              <w:rPr>
                <w:i/>
                <w:iCs/>
                <w:color w:val="auto"/>
                <w:sz w:val="24"/>
                <w:szCs w:val="24"/>
                <w:lang w:val="en-US" w:eastAsia="zh-CN" w:bidi="ar"/>
              </w:rPr>
              <w:t>C</w:t>
            </w:r>
            <w:r>
              <w:rPr>
                <w:i/>
                <w:iCs/>
                <w:color w:val="auto"/>
                <w:sz w:val="24"/>
                <w:szCs w:val="24"/>
                <w:vertAlign w:val="subscript"/>
                <w:lang w:val="en-US" w:eastAsia="zh-CN" w:bidi="ar"/>
              </w:rPr>
              <w:t>40-80</w:t>
            </w:r>
            <w:r>
              <w:rPr>
                <w:i/>
                <w:iCs/>
                <w:color w:val="auto"/>
                <w:sz w:val="24"/>
                <w:szCs w:val="24"/>
                <w:lang w:val="en-US" w:eastAsia="zh-CN" w:bidi="ar"/>
              </w:rPr>
              <w:t>H</w:t>
            </w:r>
            <w:r>
              <w:rPr>
                <w:i/>
                <w:iCs/>
                <w:color w:val="auto"/>
                <w:sz w:val="24"/>
                <w:szCs w:val="24"/>
                <w:vertAlign w:val="subscript"/>
                <w:lang w:val="en-US" w:eastAsia="zh-CN" w:bidi="ar"/>
              </w:rPr>
              <w:t>60-140</w:t>
            </w:r>
            <w:r>
              <w:rPr>
                <w:i/>
                <w:iCs/>
                <w:color w:val="auto"/>
                <w:sz w:val="24"/>
                <w:szCs w:val="24"/>
                <w:lang w:val="en-US" w:eastAsia="zh-CN" w:bidi="ar"/>
              </w:rPr>
              <w:t>N</w:t>
            </w:r>
            <w:r>
              <w:rPr>
                <w:i/>
                <w:iCs/>
                <w:color w:val="auto"/>
                <w:sz w:val="24"/>
                <w:szCs w:val="24"/>
                <w:vertAlign w:val="subscript"/>
                <w:lang w:val="en-US" w:eastAsia="zh-CN" w:bidi="ar"/>
              </w:rPr>
              <w:t>1-3</w:t>
            </w:r>
            <w:r>
              <w:rPr>
                <w:i/>
                <w:iCs/>
                <w:color w:val="auto"/>
                <w:sz w:val="24"/>
                <w:szCs w:val="24"/>
                <w:lang w:val="en-US" w:eastAsia="zh-CN" w:bidi="ar"/>
              </w:rPr>
              <w:t>O</w:t>
            </w:r>
            <w:r>
              <w:rPr>
                <w:i/>
                <w:iCs/>
                <w:color w:val="auto"/>
                <w:sz w:val="24"/>
                <w:szCs w:val="24"/>
                <w:vertAlign w:val="subscript"/>
                <w:lang w:val="en-US" w:eastAsia="zh-CN" w:bidi="ar"/>
              </w:rPr>
              <w:t>1-5</w:t>
            </w:r>
            <w:r>
              <w:rPr>
                <w:i/>
                <w:iCs/>
                <w:color w:val="auto"/>
                <w:sz w:val="24"/>
                <w:szCs w:val="24"/>
                <w:lang w:val="en-US" w:eastAsia="zh-CN" w:bidi="ar"/>
              </w:rPr>
              <w:t>S</w:t>
            </w:r>
            <w:r>
              <w:rPr>
                <w:i/>
                <w:iCs/>
                <w:color w:val="auto"/>
                <w:sz w:val="24"/>
                <w:szCs w:val="24"/>
                <w:vertAlign w:val="subscript"/>
                <w:lang w:val="en-US" w:eastAsia="zh-CN" w:bidi="ar"/>
              </w:rPr>
              <w:t>1-2</w:t>
            </w:r>
          </w:p>
        </w:tc>
        <w:tc>
          <w:tcPr>
            <w:tcW w:w="1515" w:type="dxa"/>
            <w:tcBorders>
              <w:top w:val="single" w:color="000000" w:sz="4" w:space="0"/>
              <w:left w:val="single" w:color="000000" w:sz="4" w:space="0"/>
              <w:bottom w:val="single" w:color="auto" w:sz="4" w:space="0"/>
              <w:right w:val="single" w:color="000000" w:sz="4" w:space="0"/>
            </w:tcBorders>
          </w:tcPr>
          <w:p w14:paraId="262C1BE4">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color w:val="auto"/>
                <w:sz w:val="24"/>
                <w:szCs w:val="24"/>
                <w:lang w:val="en-US" w:eastAsia="zh-CN" w:bidi="ar"/>
              </w:rPr>
            </w:pPr>
          </w:p>
          <w:p w14:paraId="3EE5AE7F">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color w:val="auto"/>
                <w:sz w:val="24"/>
                <w:szCs w:val="24"/>
              </w:rPr>
            </w:pPr>
            <w:r>
              <w:rPr>
                <w:color w:val="auto"/>
                <w:sz w:val="24"/>
                <w:szCs w:val="24"/>
                <w:lang w:val="en-US" w:eastAsia="zh-CN" w:bidi="ar"/>
              </w:rPr>
              <w:t>15-ке дейін</w:t>
            </w:r>
          </w:p>
        </w:tc>
      </w:tr>
    </w:tbl>
    <w:p w14:paraId="5E5A6CE1">
      <w:pPr>
        <w:keepNext w:val="0"/>
        <w:keepLines w:val="0"/>
        <w:pageBreakBefore w:val="0"/>
        <w:widowControl/>
        <w:kinsoku/>
        <w:wordWrap/>
        <w:overflowPunct/>
        <w:topLinePunct w:val="0"/>
        <w:autoSpaceDE/>
        <w:autoSpaceDN/>
        <w:bidi w:val="0"/>
        <w:adjustRightInd/>
        <w:snapToGrid w:val="0"/>
        <w:spacing w:after="0" w:line="240" w:lineRule="auto"/>
        <w:textAlignment w:val="center"/>
        <w:rPr>
          <w:color w:val="auto"/>
          <w:sz w:val="28"/>
          <w:szCs w:val="28"/>
          <w:lang w:val="kk-KZ" w:eastAsia="zh-CN" w:bidi="ar"/>
        </w:rPr>
      </w:pPr>
      <w:r>
        <w:rPr>
          <w:color w:val="auto"/>
          <w:sz w:val="28"/>
          <w:szCs w:val="28"/>
          <w:lang w:val="kk-KZ" w:eastAsia="zh-CN" w:bidi="ar"/>
        </w:rPr>
        <w:br w:type="page"/>
      </w:r>
    </w:p>
    <w:tbl>
      <w:tblPr>
        <w:tblStyle w:val="12"/>
        <w:tblW w:w="9005" w:type="dxa"/>
        <w:tblInd w:w="0" w:type="dxa"/>
        <w:tblLayout w:type="fixed"/>
        <w:tblCellMar>
          <w:top w:w="96" w:type="dxa"/>
          <w:left w:w="120" w:type="dxa"/>
          <w:bottom w:w="96" w:type="dxa"/>
          <w:right w:w="120" w:type="dxa"/>
        </w:tblCellMar>
      </w:tblPr>
      <w:tblGrid>
        <w:gridCol w:w="2394"/>
        <w:gridCol w:w="3195"/>
        <w:gridCol w:w="1942"/>
        <w:gridCol w:w="1474"/>
      </w:tblGrid>
      <w:tr w14:paraId="41F3B2DC">
        <w:tblPrEx>
          <w:tblCellMar>
            <w:top w:w="96" w:type="dxa"/>
            <w:left w:w="120" w:type="dxa"/>
            <w:bottom w:w="96" w:type="dxa"/>
            <w:right w:w="120" w:type="dxa"/>
          </w:tblCellMar>
        </w:tblPrEx>
        <w:tc>
          <w:tcPr>
            <w:tcW w:w="9005" w:type="dxa"/>
            <w:gridSpan w:val="4"/>
            <w:tcBorders>
              <w:top w:val="nil"/>
              <w:left w:val="nil"/>
              <w:bottom w:val="nil"/>
              <w:right w:val="nil"/>
            </w:tcBorders>
          </w:tcPr>
          <w:p w14:paraId="4BC3EF64">
            <w:pPr>
              <w:keepNext w:val="0"/>
              <w:keepLines w:val="0"/>
              <w:pageBreakBefore w:val="0"/>
              <w:widowControl/>
              <w:kinsoku/>
              <w:wordWrap/>
              <w:overflowPunct/>
              <w:topLinePunct w:val="0"/>
              <w:autoSpaceDE/>
              <w:autoSpaceDN/>
              <w:bidi w:val="0"/>
              <w:adjustRightInd/>
              <w:snapToGrid w:val="0"/>
              <w:spacing w:after="0" w:line="240" w:lineRule="auto"/>
              <w:textAlignment w:val="center"/>
              <w:rPr>
                <w:color w:val="auto"/>
                <w:sz w:val="28"/>
                <w:szCs w:val="28"/>
                <w:lang w:val="kk-KZ" w:eastAsia="zh-CN" w:bidi="ar"/>
              </w:rPr>
            </w:pPr>
            <w:r>
              <w:rPr>
                <w:color w:val="auto"/>
                <w:sz w:val="28"/>
                <w:szCs w:val="28"/>
                <w:lang w:val="kk-KZ" w:eastAsia="zh-CN" w:bidi="ar"/>
              </w:rPr>
              <w:t>Кесте 1 жалғасы</w:t>
            </w:r>
          </w:p>
        </w:tc>
      </w:tr>
      <w:tr w14:paraId="259F1EBC">
        <w:tblPrEx>
          <w:tblCellMar>
            <w:top w:w="96" w:type="dxa"/>
            <w:left w:w="120" w:type="dxa"/>
            <w:bottom w:w="96" w:type="dxa"/>
            <w:right w:w="120" w:type="dxa"/>
          </w:tblCellMar>
        </w:tblPrEx>
        <w:tc>
          <w:tcPr>
            <w:tcW w:w="2394" w:type="dxa"/>
            <w:tcBorders>
              <w:top w:val="single" w:color="auto" w:sz="4" w:space="0"/>
              <w:left w:val="single" w:color="000000" w:sz="4" w:space="0"/>
              <w:bottom w:val="single" w:color="000000" w:sz="4" w:space="0"/>
              <w:right w:val="single" w:color="000000" w:sz="4" w:space="0"/>
            </w:tcBorders>
          </w:tcPr>
          <w:p w14:paraId="2144589A">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color w:val="auto"/>
                <w:sz w:val="24"/>
                <w:szCs w:val="24"/>
              </w:rPr>
            </w:pPr>
            <w:r>
              <w:rPr>
                <w:color w:val="auto"/>
                <w:sz w:val="24"/>
                <w:szCs w:val="24"/>
                <w:lang w:val="en-US" w:eastAsia="zh-CN" w:bidi="ar"/>
              </w:rPr>
              <w:t>Олефиндер</w:t>
            </w:r>
            <w:r>
              <w:rPr>
                <w:color w:val="auto"/>
                <w:sz w:val="24"/>
                <w:szCs w:val="24"/>
                <w:lang w:val="en-US" w:eastAsia="zh-CN" w:bidi="ar"/>
              </w:rPr>
              <w:br w:type="textWrapping"/>
            </w:r>
            <w:r>
              <w:rPr>
                <w:color w:val="auto"/>
                <w:sz w:val="24"/>
                <w:szCs w:val="24"/>
                <w:lang w:val="en-US" w:eastAsia="zh-CN" w:bidi="ar"/>
              </w:rPr>
              <w:t>(алкендер)</w:t>
            </w:r>
          </w:p>
        </w:tc>
        <w:tc>
          <w:tcPr>
            <w:tcW w:w="3195" w:type="dxa"/>
            <w:tcBorders>
              <w:top w:val="single" w:color="auto" w:sz="4" w:space="0"/>
              <w:left w:val="single" w:color="000000" w:sz="4" w:space="0"/>
              <w:bottom w:val="single" w:color="000000" w:sz="4" w:space="0"/>
              <w:right w:val="single" w:color="000000" w:sz="4" w:space="0"/>
            </w:tcBorders>
          </w:tcPr>
          <w:p w14:paraId="14FAE8C6">
            <w:pPr>
              <w:keepNext w:val="0"/>
              <w:keepLines w:val="0"/>
              <w:pageBreakBefore w:val="0"/>
              <w:widowControl/>
              <w:kinsoku/>
              <w:wordWrap/>
              <w:overflowPunct/>
              <w:topLinePunct w:val="0"/>
              <w:autoSpaceDE/>
              <w:autoSpaceDN/>
              <w:bidi w:val="0"/>
              <w:adjustRightInd/>
              <w:snapToGrid w:val="0"/>
              <w:spacing w:after="0" w:line="240" w:lineRule="auto"/>
              <w:ind w:left="0" w:leftChars="0" w:firstLine="0" w:firstLineChars="0"/>
              <w:jc w:val="center"/>
              <w:textAlignment w:val="center"/>
              <w:rPr>
                <w:color w:val="auto"/>
                <w:sz w:val="24"/>
                <w:szCs w:val="24"/>
              </w:rPr>
            </w:pPr>
            <w:r>
              <w:rPr>
                <w:color w:val="auto"/>
                <w:sz w:val="24"/>
                <w:szCs w:val="24"/>
                <w:lang w:val="en-US" w:eastAsia="zh-CN" w:bidi="ar"/>
              </w:rPr>
              <w:t>Қанықпаған алифатты көмірсутектер</w:t>
            </w:r>
          </w:p>
        </w:tc>
        <w:tc>
          <w:tcPr>
            <w:tcW w:w="1942" w:type="dxa"/>
            <w:tcBorders>
              <w:top w:val="single" w:color="auto" w:sz="4" w:space="0"/>
              <w:left w:val="single" w:color="000000" w:sz="4" w:space="0"/>
              <w:bottom w:val="single" w:color="000000" w:sz="4" w:space="0"/>
              <w:right w:val="single" w:color="000000" w:sz="4" w:space="0"/>
            </w:tcBorders>
          </w:tcPr>
          <w:p w14:paraId="29424739">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i/>
                <w:iCs/>
                <w:color w:val="auto"/>
                <w:sz w:val="24"/>
                <w:szCs w:val="24"/>
              </w:rPr>
            </w:pPr>
            <w:r>
              <w:rPr>
                <w:i/>
                <w:iCs/>
                <w:color w:val="auto"/>
                <w:sz w:val="24"/>
                <w:szCs w:val="24"/>
                <w:lang w:val="en-US" w:eastAsia="zh-CN" w:bidi="ar"/>
              </w:rPr>
              <w:t>C</w:t>
            </w:r>
            <w:r>
              <w:rPr>
                <w:i/>
                <w:iCs/>
                <w:color w:val="auto"/>
                <w:sz w:val="24"/>
                <w:szCs w:val="24"/>
                <w:vertAlign w:val="subscript"/>
                <w:lang w:val="en-US" w:eastAsia="zh-CN" w:bidi="ar"/>
              </w:rPr>
              <w:t>n</w:t>
            </w:r>
            <w:r>
              <w:rPr>
                <w:i/>
                <w:iCs/>
                <w:color w:val="auto"/>
                <w:sz w:val="24"/>
                <w:szCs w:val="24"/>
                <w:lang w:val="en-US" w:eastAsia="zh-CN" w:bidi="ar"/>
              </w:rPr>
              <w:t>H</w:t>
            </w:r>
            <w:r>
              <w:rPr>
                <w:i/>
                <w:iCs/>
                <w:color w:val="auto"/>
                <w:sz w:val="24"/>
                <w:szCs w:val="24"/>
                <w:vertAlign w:val="subscript"/>
                <w:lang w:val="en-US" w:eastAsia="zh-CN" w:bidi="ar"/>
              </w:rPr>
              <w:t>2n</w:t>
            </w:r>
          </w:p>
        </w:tc>
        <w:tc>
          <w:tcPr>
            <w:tcW w:w="1474" w:type="dxa"/>
            <w:tcBorders>
              <w:top w:val="single" w:color="auto" w:sz="4" w:space="0"/>
              <w:left w:val="single" w:color="000000" w:sz="4" w:space="0"/>
              <w:bottom w:val="single" w:color="000000" w:sz="4" w:space="0"/>
              <w:right w:val="single" w:color="000000" w:sz="4" w:space="0"/>
            </w:tcBorders>
          </w:tcPr>
          <w:p w14:paraId="0BCF421B">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color w:val="auto"/>
                <w:sz w:val="24"/>
                <w:szCs w:val="24"/>
              </w:rPr>
            </w:pPr>
            <w:r>
              <w:rPr>
                <w:color w:val="auto"/>
                <w:sz w:val="24"/>
                <w:szCs w:val="24"/>
                <w:highlight w:val="none"/>
                <w:lang w:val="en-US" w:eastAsia="zh-CN" w:bidi="ar"/>
              </w:rPr>
              <w:t>іздер</w:t>
            </w:r>
          </w:p>
        </w:tc>
      </w:tr>
      <w:tr w14:paraId="2A1B4CD1">
        <w:tblPrEx>
          <w:tblCellMar>
            <w:top w:w="96" w:type="dxa"/>
            <w:left w:w="120" w:type="dxa"/>
            <w:bottom w:w="96" w:type="dxa"/>
            <w:right w:w="120" w:type="dxa"/>
          </w:tblCellMar>
        </w:tblPrEx>
        <w:tc>
          <w:tcPr>
            <w:tcW w:w="2394" w:type="dxa"/>
            <w:tcBorders>
              <w:top w:val="single" w:color="000000" w:sz="4" w:space="0"/>
              <w:left w:val="single" w:color="000000" w:sz="4" w:space="0"/>
              <w:bottom w:val="single" w:color="000000" w:sz="4" w:space="0"/>
              <w:right w:val="single" w:color="000000" w:sz="4" w:space="0"/>
            </w:tcBorders>
          </w:tcPr>
          <w:p w14:paraId="2FEC1B5C">
            <w:pPr>
              <w:keepNext w:val="0"/>
              <w:keepLines w:val="0"/>
              <w:pageBreakBefore w:val="0"/>
              <w:widowControl/>
              <w:kinsoku/>
              <w:wordWrap/>
              <w:overflowPunct/>
              <w:topLinePunct w:val="0"/>
              <w:autoSpaceDE/>
              <w:autoSpaceDN/>
              <w:bidi w:val="0"/>
              <w:adjustRightInd/>
              <w:snapToGrid w:val="0"/>
              <w:spacing w:after="0" w:line="240" w:lineRule="auto"/>
              <w:jc w:val="center"/>
              <w:textAlignment w:val="center"/>
              <w:rPr>
                <w:color w:val="auto"/>
                <w:sz w:val="24"/>
                <w:szCs w:val="24"/>
              </w:rPr>
            </w:pPr>
            <w:r>
              <w:rPr>
                <w:color w:val="auto"/>
                <w:sz w:val="24"/>
                <w:szCs w:val="24"/>
                <w:lang w:val="en-US" w:eastAsia="zh-CN" w:bidi="ar"/>
              </w:rPr>
              <w:t>Металдар және олардың қосылыстары</w:t>
            </w:r>
          </w:p>
        </w:tc>
        <w:tc>
          <w:tcPr>
            <w:tcW w:w="3195" w:type="dxa"/>
            <w:tcBorders>
              <w:top w:val="single" w:color="000000" w:sz="4" w:space="0"/>
              <w:left w:val="single" w:color="000000" w:sz="4" w:space="0"/>
              <w:bottom w:val="single" w:color="000000" w:sz="4" w:space="0"/>
              <w:right w:val="single" w:color="000000" w:sz="4" w:space="0"/>
            </w:tcBorders>
          </w:tcPr>
          <w:p w14:paraId="353B7AD8">
            <w:pPr>
              <w:keepNext w:val="0"/>
              <w:keepLines w:val="0"/>
              <w:pageBreakBefore w:val="0"/>
              <w:widowControl/>
              <w:kinsoku/>
              <w:wordWrap/>
              <w:overflowPunct/>
              <w:topLinePunct w:val="0"/>
              <w:autoSpaceDE/>
              <w:autoSpaceDN/>
              <w:bidi w:val="0"/>
              <w:adjustRightInd/>
              <w:snapToGrid w:val="0"/>
              <w:spacing w:after="0" w:line="240" w:lineRule="auto"/>
              <w:ind w:firstLine="709"/>
              <w:jc w:val="center"/>
              <w:textAlignment w:val="center"/>
              <w:rPr>
                <w:color w:val="auto"/>
                <w:sz w:val="24"/>
                <w:szCs w:val="24"/>
              </w:rPr>
            </w:pPr>
            <w:r>
              <w:rPr>
                <w:color w:val="auto"/>
                <w:sz w:val="24"/>
                <w:szCs w:val="24"/>
                <w:lang w:eastAsia="zh-CN" w:bidi="ar"/>
              </w:rPr>
              <w:t>Ванадий, никель, темір және металлопорфиринді кешендер түріндегі басқа металдар</w:t>
            </w:r>
          </w:p>
        </w:tc>
        <w:tc>
          <w:tcPr>
            <w:tcW w:w="1942" w:type="dxa"/>
            <w:tcBorders>
              <w:top w:val="single" w:color="000000" w:sz="4" w:space="0"/>
              <w:left w:val="single" w:color="000000" w:sz="4" w:space="0"/>
              <w:bottom w:val="single" w:color="000000" w:sz="4" w:space="0"/>
              <w:right w:val="single" w:color="000000" w:sz="4" w:space="0"/>
            </w:tcBorders>
          </w:tcPr>
          <w:p w14:paraId="2F600F06">
            <w:pPr>
              <w:keepNext w:val="0"/>
              <w:keepLines w:val="0"/>
              <w:pageBreakBefore w:val="0"/>
              <w:widowControl/>
              <w:kinsoku/>
              <w:wordWrap/>
              <w:overflowPunct/>
              <w:topLinePunct w:val="0"/>
              <w:autoSpaceDE/>
              <w:autoSpaceDN/>
              <w:bidi w:val="0"/>
              <w:adjustRightInd/>
              <w:snapToGrid w:val="0"/>
              <w:spacing w:after="0" w:line="240" w:lineRule="auto"/>
              <w:ind w:firstLine="709"/>
              <w:textAlignment w:val="center"/>
              <w:rPr>
                <w:i/>
                <w:iCs/>
                <w:color w:val="auto"/>
                <w:sz w:val="24"/>
                <w:szCs w:val="24"/>
              </w:rPr>
            </w:pPr>
            <w:r>
              <w:rPr>
                <w:rFonts w:eastAsia="Times New Roman"/>
                <w:i/>
                <w:iCs/>
                <w:color w:val="auto"/>
                <w:sz w:val="24"/>
                <w:szCs w:val="24"/>
                <w:lang w:val="en-US" w:eastAsia="zh-CN" w:bidi="ar"/>
              </w:rPr>
              <w:t>—</w:t>
            </w:r>
          </w:p>
        </w:tc>
        <w:tc>
          <w:tcPr>
            <w:tcW w:w="1474" w:type="dxa"/>
            <w:tcBorders>
              <w:top w:val="single" w:color="000000" w:sz="4" w:space="0"/>
              <w:left w:val="single" w:color="000000" w:sz="4" w:space="0"/>
              <w:bottom w:val="single" w:color="000000" w:sz="4" w:space="0"/>
              <w:right w:val="single" w:color="000000" w:sz="4" w:space="0"/>
            </w:tcBorders>
          </w:tcPr>
          <w:p w14:paraId="68356115">
            <w:pPr>
              <w:keepNext w:val="0"/>
              <w:keepLines w:val="0"/>
              <w:pageBreakBefore w:val="0"/>
              <w:widowControl/>
              <w:kinsoku/>
              <w:wordWrap/>
              <w:overflowPunct/>
              <w:topLinePunct w:val="0"/>
              <w:autoSpaceDE/>
              <w:autoSpaceDN/>
              <w:bidi w:val="0"/>
              <w:adjustRightInd/>
              <w:snapToGrid w:val="0"/>
              <w:spacing w:after="0" w:line="240" w:lineRule="auto"/>
              <w:textAlignment w:val="center"/>
              <w:rPr>
                <w:color w:val="auto"/>
                <w:sz w:val="24"/>
                <w:szCs w:val="24"/>
              </w:rPr>
            </w:pPr>
            <w:r>
              <w:rPr>
                <w:color w:val="auto"/>
                <w:sz w:val="24"/>
                <w:szCs w:val="24"/>
                <w:lang w:val="en-US" w:eastAsia="zh-CN" w:bidi="ar"/>
              </w:rPr>
              <w:t>10-ға дейін</w:t>
            </w:r>
            <w:r>
              <w:rPr>
                <w:color w:val="auto"/>
                <w:sz w:val="24"/>
                <w:szCs w:val="24"/>
                <w:vertAlign w:val="superscript"/>
                <w:lang w:val="en-US" w:eastAsia="zh-CN" w:bidi="ar"/>
              </w:rPr>
              <w:t>-3</w:t>
            </w:r>
          </w:p>
        </w:tc>
      </w:tr>
    </w:tbl>
    <w:p w14:paraId="7C12F4C9">
      <w:pPr>
        <w:spacing w:after="0"/>
        <w:ind w:firstLine="709"/>
        <w:rPr>
          <w:rStyle w:val="185"/>
          <w:color w:val="auto"/>
          <w:szCs w:val="28"/>
          <w:shd w:val="clear" w:color="auto" w:fill="FFFFFF"/>
          <w:lang w:val="en-US" w:eastAsia="zh-CN" w:bidi="ar"/>
        </w:rPr>
      </w:pPr>
    </w:p>
    <w:p w14:paraId="41C0ED47">
      <w:pPr>
        <w:spacing w:after="0"/>
        <w:ind w:firstLine="709"/>
        <w:rPr>
          <w:rStyle w:val="185"/>
          <w:b w:val="0"/>
          <w:bCs w:val="0"/>
          <w:color w:val="auto"/>
          <w:szCs w:val="28"/>
          <w:shd w:val="clear" w:color="auto" w:fill="FFFFFF"/>
          <w:lang w:val="en-US" w:eastAsia="zh-CN"/>
        </w:rPr>
      </w:pPr>
      <w:r>
        <w:rPr>
          <w:rStyle w:val="185"/>
          <w:b w:val="0"/>
          <w:bCs w:val="0"/>
          <w:color w:val="auto"/>
          <w:szCs w:val="28"/>
          <w:shd w:val="clear" w:color="auto" w:fill="FFFFFF"/>
          <w:lang w:val="en-US" w:eastAsia="zh-CN"/>
        </w:rPr>
        <w:t>Көмірсутек шикізатының фракциялық құрамы оның физика-химиялық қасиеттерін анықтайтын негізгі фактор болып табылады. Аталған параметрлер мұнай-газ қорларын сандық бағалауда, сондай-ақ өндіру жүйелеріне, магистральдық тасымалдауға және ілеспе технологиялық процестерге арналған жобалық-техникалық шешімдерді әзірлеуде қолданылады [13]. Гетероатомдық құрылымдардың меншікті мөлшері мен мұнай өнімдерінің тығыздығы арасында тұрақты корреляциялық байланыс анықталған: төмен қайнайтын компоненттермен байытылған аз тұтқырлықты мұнайлар гетероқосылыстардың төмен концентрациясымен сипатталса, жоғары тұтқырлықты үлгілерде олардың айтарлықтай жинақталуы байқалады. Фракциялау процесінде заңды үрдіс орын алады: гетероатомдық құрылымдар басым түрде жоғары температуралы фракцияларда және ауыр қалдықтарда шоғырланады.</w:t>
      </w:r>
    </w:p>
    <w:p w14:paraId="27491FDC">
      <w:pPr>
        <w:spacing w:after="0"/>
        <w:ind w:firstLine="709"/>
        <w:rPr>
          <w:rStyle w:val="185"/>
          <w:rFonts w:hint="default"/>
          <w:b w:val="0"/>
          <w:bCs w:val="0"/>
          <w:color w:val="auto"/>
          <w:szCs w:val="28"/>
          <w:shd w:val="clear" w:color="auto" w:fill="FFFFFF"/>
          <w:lang w:val="kk-KZ" w:eastAsia="zh-CN"/>
        </w:rPr>
      </w:pPr>
      <w:r>
        <w:rPr>
          <w:rStyle w:val="185"/>
          <w:b w:val="0"/>
          <w:bCs w:val="0"/>
          <w:color w:val="auto"/>
          <w:szCs w:val="28"/>
          <w:shd w:val="clear" w:color="auto" w:fill="FFFFFF"/>
          <w:lang w:val="en-US" w:eastAsia="zh-CN"/>
        </w:rPr>
        <w:t>Қазақстан Республикасы үшін экологиялық тәуекелдер ел аумағында көмірсутек шикізатының ауқымды төгілуімен қатар жүретін техногендік апаттар жиілігінің артуына байланысты тұрақты өсу үрдісін көрсетуде.</w:t>
      </w:r>
      <w:r>
        <w:rPr>
          <w:rStyle w:val="185"/>
          <w:rFonts w:hint="default"/>
          <w:b w:val="0"/>
          <w:bCs w:val="0"/>
          <w:color w:val="auto"/>
          <w:szCs w:val="28"/>
          <w:shd w:val="clear" w:color="auto" w:fill="FFFFFF"/>
          <w:lang w:val="ru-RU" w:eastAsia="zh-CN"/>
        </w:rPr>
        <w:t xml:space="preserve"> </w:t>
      </w:r>
      <w:r>
        <w:rPr>
          <w:color w:val="auto"/>
          <w:szCs w:val="28"/>
          <w:lang w:val="kk-KZ"/>
        </w:rPr>
        <w:t xml:space="preserve">ҚР ЭГТРМ ЭРжБ </w:t>
      </w:r>
      <w:r>
        <w:rPr>
          <w:rStyle w:val="185"/>
          <w:b w:val="0"/>
          <w:bCs w:val="0"/>
          <w:color w:val="auto"/>
          <w:szCs w:val="28"/>
          <w:shd w:val="clear" w:color="auto" w:fill="FFFFFF"/>
          <w:lang w:val="en-US" w:eastAsia="zh-CN"/>
        </w:rPr>
        <w:t xml:space="preserve">комитетінің ресми деректері бойынша, 2020-2022 жылдар аралығында мұнай-газ кешені нысандарында 150-ден астам ірі масштабты апаттық жағдайлар тіркелген [4]. Көмірсутек шикізатын өндіру, тасымалдау, сақтау және қайта өңдеу бойынша технологиялық операциялар көбінесе сыни деңгейге жететін экологиялық </w:t>
      </w:r>
      <w:r>
        <w:rPr>
          <w:rStyle w:val="185"/>
          <w:b w:val="0"/>
          <w:bCs w:val="0"/>
          <w:color w:val="auto"/>
          <w:szCs w:val="28"/>
          <w:shd w:val="clear" w:color="auto" w:fill="FFFFFF"/>
          <w:lang w:eastAsia="zh-CN"/>
        </w:rPr>
        <w:t>м</w:t>
      </w:r>
      <w:r>
        <w:rPr>
          <w:rStyle w:val="185"/>
          <w:b w:val="0"/>
          <w:bCs w:val="0"/>
          <w:color w:val="auto"/>
          <w:szCs w:val="28"/>
          <w:shd w:val="clear" w:color="auto" w:fill="FFFFFF"/>
          <w:lang w:val="kk-KZ" w:eastAsia="zh-CN"/>
        </w:rPr>
        <w:t>әселелердің</w:t>
      </w:r>
      <w:r>
        <w:rPr>
          <w:rStyle w:val="185"/>
          <w:b w:val="0"/>
          <w:bCs w:val="0"/>
          <w:color w:val="auto"/>
          <w:szCs w:val="28"/>
          <w:shd w:val="clear" w:color="auto" w:fill="FFFFFF"/>
          <w:lang w:val="en-US" w:eastAsia="zh-CN"/>
        </w:rPr>
        <w:t xml:space="preserve"> негізгі себептері болып табылады [14]. </w:t>
      </w:r>
      <w:r>
        <w:rPr>
          <w:rStyle w:val="185"/>
          <w:rFonts w:hint="default"/>
          <w:b w:val="0"/>
          <w:bCs w:val="0"/>
          <w:color w:val="auto"/>
          <w:szCs w:val="28"/>
          <w:shd w:val="clear" w:color="auto" w:fill="FFFFFF"/>
          <w:lang w:val="kk-KZ" w:eastAsia="zh-CN"/>
        </w:rPr>
        <w:t>3 Суретте мұнай көмірсутектерінің қоршаған ортаға миграция және трансформация жолдары көрсетілген.</w:t>
      </w:r>
    </w:p>
    <w:p w14:paraId="17D62863">
      <w:pPr>
        <w:rPr>
          <w:rStyle w:val="185"/>
          <w:rFonts w:hint="default"/>
          <w:b w:val="0"/>
          <w:bCs w:val="0"/>
          <w:color w:val="auto"/>
          <w:szCs w:val="28"/>
          <w:shd w:val="clear" w:color="auto" w:fill="FFFFFF"/>
          <w:lang w:val="kk-KZ" w:eastAsia="zh-CN"/>
        </w:rPr>
      </w:pPr>
      <w:r>
        <w:rPr>
          <w:rStyle w:val="185"/>
          <w:rFonts w:hint="default"/>
          <w:b w:val="0"/>
          <w:bCs w:val="0"/>
          <w:color w:val="auto"/>
          <w:szCs w:val="28"/>
          <w:shd w:val="clear" w:color="auto" w:fill="FFFFFF"/>
          <w:lang w:val="kk-KZ" w:eastAsia="zh-CN"/>
        </w:rPr>
        <w:br w:type="page"/>
      </w:r>
    </w:p>
    <w:p w14:paraId="11B5FB53">
      <w:pPr>
        <w:spacing w:after="0"/>
        <w:ind w:left="-440" w:right="-42" w:firstLine="709"/>
        <w:rPr>
          <w:color w:val="auto"/>
          <w:szCs w:val="28"/>
          <w:shd w:val="clear" w:color="auto" w:fill="FFFFFF"/>
          <w:lang w:val="en-US" w:eastAsia="zh-CN"/>
        </w:rPr>
      </w:pPr>
      <w:r>
        <w:rPr>
          <w:color w:val="auto"/>
          <w:szCs w:val="28"/>
        </w:rPr>
        <mc:AlternateContent>
          <mc:Choice Requires="wpg">
            <w:drawing>
              <wp:inline distT="0" distB="0" distL="0" distR="0">
                <wp:extent cx="5723890" cy="3268980"/>
                <wp:effectExtent l="4445" t="5080" r="17145" b="17780"/>
                <wp:docPr id="127" name="Group 18"/>
                <wp:cNvGraphicFramePr/>
                <a:graphic xmlns:a="http://schemas.openxmlformats.org/drawingml/2006/main">
                  <a:graphicData uri="http://schemas.microsoft.com/office/word/2010/wordprocessingGroup">
                    <wpg:wgp>
                      <wpg:cNvGrpSpPr/>
                      <wpg:grpSpPr>
                        <a:xfrm>
                          <a:off x="0" y="0"/>
                          <a:ext cx="5724000" cy="3269160"/>
                          <a:chOff x="0" y="0"/>
                          <a:chExt cx="5724000" cy="3269160"/>
                        </a:xfrm>
                      </wpg:grpSpPr>
                      <wps:wsp>
                        <wps:cNvPr id="5" name="Полилиния 5"/>
                        <wps:cNvSpPr/>
                        <wps:spPr>
                          <a:xfrm>
                            <a:off x="1807920" y="169560"/>
                            <a:ext cx="1908000" cy="2266200"/>
                          </a:xfrm>
                          <a:custGeom>
                            <a:avLst/>
                            <a:gdLst/>
                            <a:ahLst/>
                            <a:cxnLst/>
                            <a:rect l="l" t="t" r="r" b="b"/>
                            <a:pathLst>
                              <a:path w="2076450" h="2234565">
                                <a:moveTo>
                                  <a:pt x="108702" y="2233950"/>
                                </a:moveTo>
                                <a:lnTo>
                                  <a:pt x="983061" y="2233950"/>
                                </a:lnTo>
                                <a:lnTo>
                                  <a:pt x="983061" y="1666890"/>
                                </a:lnTo>
                                <a:lnTo>
                                  <a:pt x="108702" y="1666890"/>
                                </a:lnTo>
                                <a:lnTo>
                                  <a:pt x="108702" y="2233950"/>
                                </a:lnTo>
                                <a:close/>
                              </a:path>
                              <a:path w="2076450" h="2234565">
                                <a:moveTo>
                                  <a:pt x="1202312" y="2233950"/>
                                </a:moveTo>
                                <a:lnTo>
                                  <a:pt x="2076449" y="2233950"/>
                                </a:lnTo>
                                <a:lnTo>
                                  <a:pt x="2076449" y="1666890"/>
                                </a:lnTo>
                                <a:lnTo>
                                  <a:pt x="1202312" y="1666890"/>
                                </a:lnTo>
                                <a:lnTo>
                                  <a:pt x="1202312" y="2233950"/>
                                </a:lnTo>
                                <a:close/>
                              </a:path>
                              <a:path w="2076450" h="2234565">
                                <a:moveTo>
                                  <a:pt x="0" y="235324"/>
                                </a:moveTo>
                                <a:lnTo>
                                  <a:pt x="0" y="0"/>
                                </a:lnTo>
                                <a:lnTo>
                                  <a:pt x="721090" y="0"/>
                                </a:lnTo>
                              </a:path>
                            </a:pathLst>
                          </a:custGeom>
                          <a:noFill/>
                          <a:ln w="8280">
                            <a:solidFill>
                              <a:srgbClr val="000000"/>
                            </a:solidFill>
                            <a:round/>
                          </a:ln>
                        </wps:spPr>
                        <wps:style>
                          <a:lnRef idx="0">
                            <a:srgbClr val="FFFFFF"/>
                          </a:lnRef>
                          <a:fillRef idx="0">
                            <a:srgbClr val="FFFFFF"/>
                          </a:fillRef>
                          <a:effectRef idx="0">
                            <a:srgbClr val="FFFFFF"/>
                          </a:effectRef>
                          <a:fontRef idx="minor"/>
                        </wps:style>
                        <wps:bodyPr/>
                      </wps:wsp>
                      <wps:wsp>
                        <wps:cNvPr id="6" name="Полилиния 6"/>
                        <wps:cNvSpPr/>
                        <wps:spPr>
                          <a:xfrm>
                            <a:off x="1775520" y="398880"/>
                            <a:ext cx="64800" cy="108720"/>
                          </a:xfrm>
                          <a:custGeom>
                            <a:avLst/>
                            <a:gdLst/>
                            <a:ahLst/>
                            <a:cxnLst/>
                            <a:rect l="l" t="t" r="r" b="b"/>
                            <a:pathLst>
                              <a:path w="71120" h="107314">
                                <a:moveTo>
                                  <a:pt x="70920" y="0"/>
                                </a:moveTo>
                                <a:lnTo>
                                  <a:pt x="0" y="0"/>
                                </a:lnTo>
                                <a:lnTo>
                                  <a:pt x="35553" y="107185"/>
                                </a:lnTo>
                                <a:lnTo>
                                  <a:pt x="70920" y="0"/>
                                </a:lnTo>
                                <a:close/>
                              </a:path>
                            </a:pathLst>
                          </a:custGeom>
                          <a:solidFill>
                            <a:srgbClr val="000000"/>
                          </a:solidFill>
                          <a:ln w="0">
                            <a:noFill/>
                          </a:ln>
                        </wps:spPr>
                        <wps:style>
                          <a:lnRef idx="0">
                            <a:srgbClr val="FFFFFF"/>
                          </a:lnRef>
                          <a:fillRef idx="0">
                            <a:srgbClr val="FFFFFF"/>
                          </a:fillRef>
                          <a:effectRef idx="0">
                            <a:srgbClr val="FFFFFF"/>
                          </a:effectRef>
                          <a:fontRef idx="minor"/>
                        </wps:style>
                        <wps:bodyPr/>
                      </wps:wsp>
                      <wps:wsp>
                        <wps:cNvPr id="7" name="Полилиния 7"/>
                        <wps:cNvSpPr/>
                        <wps:spPr>
                          <a:xfrm>
                            <a:off x="3414960" y="169560"/>
                            <a:ext cx="803160" cy="238680"/>
                          </a:xfrm>
                          <a:custGeom>
                            <a:avLst/>
                            <a:gdLst/>
                            <a:ahLst/>
                            <a:cxnLst/>
                            <a:rect l="l" t="t" r="r" b="b"/>
                            <a:pathLst>
                              <a:path w="874394" h="235585">
                                <a:moveTo>
                                  <a:pt x="874350" y="235324"/>
                                </a:moveTo>
                                <a:lnTo>
                                  <a:pt x="874350" y="0"/>
                                </a:lnTo>
                                <a:lnTo>
                                  <a:pt x="0" y="0"/>
                                </a:lnTo>
                              </a:path>
                            </a:pathLst>
                          </a:custGeom>
                          <a:noFill/>
                          <a:ln w="8280">
                            <a:solidFill>
                              <a:srgbClr val="000000"/>
                            </a:solidFill>
                            <a:round/>
                          </a:ln>
                        </wps:spPr>
                        <wps:style>
                          <a:lnRef idx="0">
                            <a:srgbClr val="FFFFFF"/>
                          </a:lnRef>
                          <a:fillRef idx="0">
                            <a:srgbClr val="FFFFFF"/>
                          </a:fillRef>
                          <a:effectRef idx="0">
                            <a:srgbClr val="FFFFFF"/>
                          </a:effectRef>
                          <a:fontRef idx="minor"/>
                        </wps:style>
                        <wps:bodyPr/>
                      </wps:wsp>
                      <wps:wsp>
                        <wps:cNvPr id="8" name="Полилиния 8"/>
                        <wps:cNvSpPr/>
                        <wps:spPr>
                          <a:xfrm>
                            <a:off x="4185360" y="398880"/>
                            <a:ext cx="65520" cy="108720"/>
                          </a:xfrm>
                          <a:custGeom>
                            <a:avLst/>
                            <a:gdLst/>
                            <a:ahLst/>
                            <a:cxnLst/>
                            <a:rect l="l" t="t" r="r" b="b"/>
                            <a:pathLst>
                              <a:path w="71755" h="107314">
                                <a:moveTo>
                                  <a:pt x="71570" y="0"/>
                                </a:moveTo>
                                <a:lnTo>
                                  <a:pt x="0" y="0"/>
                                </a:lnTo>
                                <a:lnTo>
                                  <a:pt x="36203" y="107185"/>
                                </a:lnTo>
                                <a:lnTo>
                                  <a:pt x="71570" y="0"/>
                                </a:lnTo>
                                <a:close/>
                              </a:path>
                            </a:pathLst>
                          </a:custGeom>
                          <a:solidFill>
                            <a:srgbClr val="000000"/>
                          </a:solidFill>
                          <a:ln w="0">
                            <a:noFill/>
                          </a:ln>
                        </wps:spPr>
                        <wps:style>
                          <a:lnRef idx="0">
                            <a:srgbClr val="FFFFFF"/>
                          </a:lnRef>
                          <a:fillRef idx="0">
                            <a:srgbClr val="FFFFFF"/>
                          </a:fillRef>
                          <a:effectRef idx="0">
                            <a:srgbClr val="FFFFFF"/>
                          </a:effectRef>
                          <a:fontRef idx="minor"/>
                        </wps:style>
                        <wps:bodyPr/>
                      </wps:wsp>
                      <wps:wsp>
                        <wps:cNvPr id="9" name="Полилиния 9"/>
                        <wps:cNvSpPr/>
                        <wps:spPr>
                          <a:xfrm>
                            <a:off x="803880" y="831960"/>
                            <a:ext cx="401400" cy="252000"/>
                          </a:xfrm>
                          <a:custGeom>
                            <a:avLst/>
                            <a:gdLst/>
                            <a:ahLst/>
                            <a:cxnLst/>
                            <a:rect l="l" t="t" r="r" b="b"/>
                            <a:pathLst>
                              <a:path w="436880" h="248920">
                                <a:moveTo>
                                  <a:pt x="0" y="248547"/>
                                </a:moveTo>
                                <a:lnTo>
                                  <a:pt x="0" y="0"/>
                                </a:lnTo>
                                <a:lnTo>
                                  <a:pt x="436655" y="0"/>
                                </a:lnTo>
                              </a:path>
                            </a:pathLst>
                          </a:custGeom>
                          <a:noFill/>
                          <a:ln w="8280">
                            <a:solidFill>
                              <a:srgbClr val="000000"/>
                            </a:solidFill>
                            <a:round/>
                          </a:ln>
                        </wps:spPr>
                        <wps:style>
                          <a:lnRef idx="0">
                            <a:srgbClr val="FFFFFF"/>
                          </a:lnRef>
                          <a:fillRef idx="0">
                            <a:srgbClr val="FFFFFF"/>
                          </a:fillRef>
                          <a:effectRef idx="0">
                            <a:srgbClr val="FFFFFF"/>
                          </a:effectRef>
                          <a:fontRef idx="minor"/>
                        </wps:style>
                        <wps:bodyPr/>
                      </wps:wsp>
                      <wps:wsp>
                        <wps:cNvPr id="10" name="Полилиния 10"/>
                        <wps:cNvSpPr/>
                        <wps:spPr>
                          <a:xfrm>
                            <a:off x="770760" y="1075680"/>
                            <a:ext cx="65520" cy="108000"/>
                          </a:xfrm>
                          <a:custGeom>
                            <a:avLst/>
                            <a:gdLst/>
                            <a:ahLst/>
                            <a:cxnLst/>
                            <a:rect l="l" t="t" r="r" b="b"/>
                            <a:pathLst>
                              <a:path w="71755" h="106680">
                                <a:moveTo>
                                  <a:pt x="71589" y="0"/>
                                </a:moveTo>
                                <a:lnTo>
                                  <a:pt x="0" y="0"/>
                                </a:lnTo>
                                <a:lnTo>
                                  <a:pt x="36230" y="106347"/>
                                </a:lnTo>
                                <a:lnTo>
                                  <a:pt x="71589" y="0"/>
                                </a:lnTo>
                                <a:close/>
                              </a:path>
                            </a:pathLst>
                          </a:custGeom>
                          <a:solidFill>
                            <a:srgbClr val="000000"/>
                          </a:solidFill>
                          <a:ln w="0">
                            <a:noFill/>
                          </a:ln>
                        </wps:spPr>
                        <wps:style>
                          <a:lnRef idx="0">
                            <a:srgbClr val="FFFFFF"/>
                          </a:lnRef>
                          <a:fillRef idx="0">
                            <a:srgbClr val="FFFFFF"/>
                          </a:fillRef>
                          <a:effectRef idx="0">
                            <a:srgbClr val="FFFFFF"/>
                          </a:effectRef>
                          <a:fontRef idx="minor"/>
                        </wps:style>
                        <wps:bodyPr/>
                      </wps:wsp>
                      <wps:wsp>
                        <wps:cNvPr id="11" name="Полилиния 11"/>
                        <wps:cNvSpPr/>
                        <wps:spPr>
                          <a:xfrm>
                            <a:off x="1908000" y="912960"/>
                            <a:ext cx="720" cy="170640"/>
                          </a:xfrm>
                          <a:custGeom>
                            <a:avLst/>
                            <a:gdLst/>
                            <a:ahLst/>
                            <a:cxnLst/>
                            <a:rect l="l" t="t" r="r" b="b"/>
                            <a:pathLst>
                              <a:path w="1" h="168910">
                                <a:moveTo>
                                  <a:pt x="0" y="168368"/>
                                </a:moveTo>
                                <a:lnTo>
                                  <a:pt x="0" y="0"/>
                                </a:lnTo>
                              </a:path>
                            </a:pathLst>
                          </a:custGeom>
                          <a:noFill/>
                          <a:ln w="8280">
                            <a:solidFill>
                              <a:srgbClr val="000000"/>
                            </a:solidFill>
                            <a:round/>
                          </a:ln>
                        </wps:spPr>
                        <wps:style>
                          <a:lnRef idx="0">
                            <a:srgbClr val="FFFFFF"/>
                          </a:lnRef>
                          <a:fillRef idx="0">
                            <a:srgbClr val="FFFFFF"/>
                          </a:fillRef>
                          <a:effectRef idx="0">
                            <a:srgbClr val="FFFFFF"/>
                          </a:effectRef>
                          <a:fontRef idx="minor"/>
                        </wps:style>
                        <wps:bodyPr/>
                      </wps:wsp>
                      <wps:wsp>
                        <wps:cNvPr id="12" name="Полилиния 12"/>
                        <wps:cNvSpPr/>
                        <wps:spPr>
                          <a:xfrm>
                            <a:off x="1875240" y="1075680"/>
                            <a:ext cx="65520" cy="108000"/>
                          </a:xfrm>
                          <a:custGeom>
                            <a:avLst/>
                            <a:gdLst/>
                            <a:ahLst/>
                            <a:cxnLst/>
                            <a:rect l="l" t="t" r="r" b="b"/>
                            <a:pathLst>
                              <a:path w="71755" h="106680">
                                <a:moveTo>
                                  <a:pt x="71756" y="0"/>
                                </a:moveTo>
                                <a:lnTo>
                                  <a:pt x="0" y="0"/>
                                </a:lnTo>
                                <a:lnTo>
                                  <a:pt x="35553" y="106347"/>
                                </a:lnTo>
                                <a:lnTo>
                                  <a:pt x="71756" y="0"/>
                                </a:lnTo>
                                <a:close/>
                              </a:path>
                            </a:pathLst>
                          </a:custGeom>
                          <a:solidFill>
                            <a:srgbClr val="000000"/>
                          </a:solidFill>
                          <a:ln w="0">
                            <a:noFill/>
                          </a:ln>
                        </wps:spPr>
                        <wps:style>
                          <a:lnRef idx="0">
                            <a:srgbClr val="FFFFFF"/>
                          </a:lnRef>
                          <a:fillRef idx="0">
                            <a:srgbClr val="FFFFFF"/>
                          </a:fillRef>
                          <a:effectRef idx="0">
                            <a:srgbClr val="FFFFFF"/>
                          </a:effectRef>
                          <a:fontRef idx="minor"/>
                        </wps:style>
                        <wps:bodyPr/>
                      </wps:wsp>
                      <wps:wsp>
                        <wps:cNvPr id="13" name="Полилиния 13"/>
                        <wps:cNvSpPr/>
                        <wps:spPr>
                          <a:xfrm>
                            <a:off x="2510640" y="845280"/>
                            <a:ext cx="301680" cy="238680"/>
                          </a:xfrm>
                          <a:custGeom>
                            <a:avLst/>
                            <a:gdLst/>
                            <a:ahLst/>
                            <a:cxnLst/>
                            <a:rect l="l" t="t" r="r" b="b"/>
                            <a:pathLst>
                              <a:path w="328295" h="235585">
                                <a:moveTo>
                                  <a:pt x="328148" y="235324"/>
                                </a:moveTo>
                                <a:lnTo>
                                  <a:pt x="328148" y="0"/>
                                </a:lnTo>
                                <a:lnTo>
                                  <a:pt x="0" y="0"/>
                                </a:lnTo>
                              </a:path>
                            </a:pathLst>
                          </a:custGeom>
                          <a:noFill/>
                          <a:ln w="8280">
                            <a:solidFill>
                              <a:srgbClr val="000000"/>
                            </a:solidFill>
                            <a:round/>
                          </a:ln>
                        </wps:spPr>
                        <wps:style>
                          <a:lnRef idx="0">
                            <a:srgbClr val="FFFFFF"/>
                          </a:lnRef>
                          <a:fillRef idx="0">
                            <a:srgbClr val="FFFFFF"/>
                          </a:fillRef>
                          <a:effectRef idx="0">
                            <a:srgbClr val="FFFFFF"/>
                          </a:effectRef>
                          <a:fontRef idx="minor"/>
                        </wps:style>
                        <wps:bodyPr/>
                      </wps:wsp>
                      <wps:wsp>
                        <wps:cNvPr id="14" name="Полилиния 14"/>
                        <wps:cNvSpPr/>
                        <wps:spPr>
                          <a:xfrm>
                            <a:off x="2779560" y="1075680"/>
                            <a:ext cx="64800" cy="108000"/>
                          </a:xfrm>
                          <a:custGeom>
                            <a:avLst/>
                            <a:gdLst/>
                            <a:ahLst/>
                            <a:cxnLst/>
                            <a:rect l="l" t="t" r="r" b="b"/>
                            <a:pathLst>
                              <a:path w="71120" h="106680">
                                <a:moveTo>
                                  <a:pt x="70828" y="0"/>
                                </a:moveTo>
                                <a:lnTo>
                                  <a:pt x="0" y="0"/>
                                </a:lnTo>
                                <a:lnTo>
                                  <a:pt x="35553" y="106347"/>
                                </a:lnTo>
                                <a:lnTo>
                                  <a:pt x="70828" y="0"/>
                                </a:lnTo>
                                <a:close/>
                              </a:path>
                            </a:pathLst>
                          </a:custGeom>
                          <a:solidFill>
                            <a:srgbClr val="000000"/>
                          </a:solidFill>
                          <a:ln w="0">
                            <a:noFill/>
                          </a:ln>
                        </wps:spPr>
                        <wps:style>
                          <a:lnRef idx="0">
                            <a:srgbClr val="FFFFFF"/>
                          </a:lnRef>
                          <a:fillRef idx="0">
                            <a:srgbClr val="FFFFFF"/>
                          </a:fillRef>
                          <a:effectRef idx="0">
                            <a:srgbClr val="FFFFFF"/>
                          </a:effectRef>
                          <a:fontRef idx="minor"/>
                        </wps:style>
                        <wps:bodyPr/>
                      </wps:wsp>
                      <wps:wsp>
                        <wps:cNvPr id="15" name="Полилиния 15"/>
                        <wps:cNvSpPr/>
                        <wps:spPr>
                          <a:xfrm>
                            <a:off x="301680" y="1352520"/>
                            <a:ext cx="200520" cy="408240"/>
                          </a:xfrm>
                          <a:custGeom>
                            <a:avLst/>
                            <a:gdLst/>
                            <a:ahLst/>
                            <a:cxnLst/>
                            <a:rect l="l" t="t" r="r" b="b"/>
                            <a:pathLst>
                              <a:path w="218440" h="402590">
                                <a:moveTo>
                                  <a:pt x="0" y="402109"/>
                                </a:moveTo>
                                <a:lnTo>
                                  <a:pt x="0" y="0"/>
                                </a:lnTo>
                                <a:lnTo>
                                  <a:pt x="218304" y="0"/>
                                </a:lnTo>
                              </a:path>
                            </a:pathLst>
                          </a:custGeom>
                          <a:noFill/>
                          <a:ln w="8280">
                            <a:solidFill>
                              <a:srgbClr val="000000"/>
                            </a:solidFill>
                            <a:round/>
                          </a:ln>
                        </wps:spPr>
                        <wps:style>
                          <a:lnRef idx="0">
                            <a:srgbClr val="FFFFFF"/>
                          </a:lnRef>
                          <a:fillRef idx="0">
                            <a:srgbClr val="FFFFFF"/>
                          </a:fillRef>
                          <a:effectRef idx="0">
                            <a:srgbClr val="FFFFFF"/>
                          </a:effectRef>
                          <a:fontRef idx="minor"/>
                        </wps:style>
                        <wps:bodyPr/>
                      </wps:wsp>
                      <wps:wsp>
                        <wps:cNvPr id="16" name="Полилиния 16"/>
                        <wps:cNvSpPr/>
                        <wps:spPr>
                          <a:xfrm>
                            <a:off x="268560" y="1751400"/>
                            <a:ext cx="65880" cy="109080"/>
                          </a:xfrm>
                          <a:custGeom>
                            <a:avLst/>
                            <a:gdLst/>
                            <a:ahLst/>
                            <a:cxnLst/>
                            <a:rect l="l" t="t" r="r" b="b"/>
                            <a:pathLst>
                              <a:path w="72390" h="107950">
                                <a:moveTo>
                                  <a:pt x="71784" y="0"/>
                                </a:moveTo>
                                <a:lnTo>
                                  <a:pt x="0" y="0"/>
                                </a:lnTo>
                                <a:lnTo>
                                  <a:pt x="36230" y="107465"/>
                                </a:lnTo>
                                <a:lnTo>
                                  <a:pt x="71784" y="0"/>
                                </a:lnTo>
                                <a:close/>
                              </a:path>
                            </a:pathLst>
                          </a:custGeom>
                          <a:solidFill>
                            <a:srgbClr val="000000"/>
                          </a:solidFill>
                          <a:ln w="0">
                            <a:noFill/>
                          </a:ln>
                        </wps:spPr>
                        <wps:style>
                          <a:lnRef idx="0">
                            <a:srgbClr val="FFFFFF"/>
                          </a:lnRef>
                          <a:fillRef idx="0">
                            <a:srgbClr val="FFFFFF"/>
                          </a:fillRef>
                          <a:effectRef idx="0">
                            <a:srgbClr val="FFFFFF"/>
                          </a:effectRef>
                          <a:fontRef idx="minor"/>
                        </wps:style>
                        <wps:bodyPr/>
                      </wps:wsp>
                      <wps:wsp>
                        <wps:cNvPr id="17" name="Полилиния 17"/>
                        <wps:cNvSpPr/>
                        <wps:spPr>
                          <a:xfrm>
                            <a:off x="1104286" y="1352624"/>
                            <a:ext cx="151133" cy="408327"/>
                          </a:xfrm>
                          <a:custGeom>
                            <a:avLst/>
                            <a:gdLst/>
                            <a:ahLst/>
                            <a:cxnLst/>
                            <a:rect l="l" t="t" r="r" b="b"/>
                            <a:pathLst>
                              <a:path w="109855" h="402590">
                                <a:moveTo>
                                  <a:pt x="109630" y="402109"/>
                                </a:moveTo>
                                <a:lnTo>
                                  <a:pt x="109630" y="0"/>
                                </a:lnTo>
                                <a:lnTo>
                                  <a:pt x="0" y="0"/>
                                </a:lnTo>
                              </a:path>
                            </a:pathLst>
                          </a:custGeom>
                          <a:noFill/>
                          <a:ln w="8280">
                            <a:solidFill>
                              <a:srgbClr val="000000"/>
                            </a:solidFill>
                            <a:round/>
                          </a:ln>
                        </wps:spPr>
                        <wps:style>
                          <a:lnRef idx="0">
                            <a:srgbClr val="FFFFFF"/>
                          </a:lnRef>
                          <a:fillRef idx="0">
                            <a:srgbClr val="FFFFFF"/>
                          </a:fillRef>
                          <a:effectRef idx="0">
                            <a:srgbClr val="FFFFFF"/>
                          </a:effectRef>
                          <a:fontRef idx="minor"/>
                        </wps:style>
                        <wps:bodyPr/>
                      </wps:wsp>
                      <wps:wsp>
                        <wps:cNvPr id="18" name="Полилиния 18"/>
                        <wps:cNvSpPr/>
                        <wps:spPr>
                          <a:xfrm>
                            <a:off x="1242719" y="1751426"/>
                            <a:ext cx="64771" cy="109226"/>
                          </a:xfrm>
                          <a:custGeom>
                            <a:avLst/>
                            <a:gdLst/>
                            <a:ahLst/>
                            <a:cxnLst/>
                            <a:rect l="l" t="t" r="r" b="b"/>
                            <a:pathLst>
                              <a:path w="71120" h="107950">
                                <a:moveTo>
                                  <a:pt x="70920" y="0"/>
                                </a:moveTo>
                                <a:lnTo>
                                  <a:pt x="0" y="0"/>
                                </a:lnTo>
                                <a:lnTo>
                                  <a:pt x="35367" y="107465"/>
                                </a:lnTo>
                                <a:lnTo>
                                  <a:pt x="70920" y="0"/>
                                </a:lnTo>
                                <a:close/>
                              </a:path>
                            </a:pathLst>
                          </a:custGeom>
                          <a:solidFill>
                            <a:srgbClr val="000000"/>
                          </a:solidFill>
                          <a:ln w="0">
                            <a:noFill/>
                          </a:ln>
                        </wps:spPr>
                        <wps:style>
                          <a:lnRef idx="0">
                            <a:srgbClr val="FFFFFF"/>
                          </a:lnRef>
                          <a:fillRef idx="0">
                            <a:srgbClr val="FFFFFF"/>
                          </a:fillRef>
                          <a:effectRef idx="0">
                            <a:srgbClr val="FFFFFF"/>
                          </a:effectRef>
                          <a:fontRef idx="minor"/>
                        </wps:style>
                        <wps:bodyPr/>
                      </wps:wsp>
                      <wps:wsp>
                        <wps:cNvPr id="19" name="Полилиния 19"/>
                        <wps:cNvSpPr/>
                        <wps:spPr>
                          <a:xfrm>
                            <a:off x="1004400" y="2468880"/>
                            <a:ext cx="720" cy="170640"/>
                          </a:xfrm>
                          <a:custGeom>
                            <a:avLst/>
                            <a:gdLst/>
                            <a:ahLst/>
                            <a:cxnLst/>
                            <a:rect l="l" t="t" r="r" b="b"/>
                            <a:pathLst>
                              <a:path w="1" h="168910">
                                <a:moveTo>
                                  <a:pt x="0" y="168572"/>
                                </a:moveTo>
                                <a:lnTo>
                                  <a:pt x="0" y="0"/>
                                </a:lnTo>
                              </a:path>
                            </a:pathLst>
                          </a:custGeom>
                          <a:noFill/>
                          <a:ln w="8280">
                            <a:solidFill>
                              <a:srgbClr val="000000"/>
                            </a:solidFill>
                            <a:round/>
                          </a:ln>
                        </wps:spPr>
                        <wps:style>
                          <a:lnRef idx="0">
                            <a:srgbClr val="FFFFFF"/>
                          </a:lnRef>
                          <a:fillRef idx="0">
                            <a:srgbClr val="FFFFFF"/>
                          </a:fillRef>
                          <a:effectRef idx="0">
                            <a:srgbClr val="FFFFFF"/>
                          </a:effectRef>
                          <a:fontRef idx="minor"/>
                        </wps:style>
                        <wps:bodyPr/>
                      </wps:wsp>
                      <wps:wsp>
                        <wps:cNvPr id="20" name="Полилиния 20"/>
                        <wps:cNvSpPr/>
                        <wps:spPr>
                          <a:xfrm>
                            <a:off x="971640" y="2630160"/>
                            <a:ext cx="64800" cy="108720"/>
                          </a:xfrm>
                          <a:custGeom>
                            <a:avLst/>
                            <a:gdLst/>
                            <a:ahLst/>
                            <a:cxnLst/>
                            <a:rect l="l" t="t" r="r" b="b"/>
                            <a:pathLst>
                              <a:path w="71120" h="107314">
                                <a:moveTo>
                                  <a:pt x="70828" y="0"/>
                                </a:moveTo>
                                <a:lnTo>
                                  <a:pt x="0" y="0"/>
                                </a:lnTo>
                                <a:lnTo>
                                  <a:pt x="35553" y="107232"/>
                                </a:lnTo>
                                <a:lnTo>
                                  <a:pt x="70828" y="0"/>
                                </a:lnTo>
                                <a:close/>
                              </a:path>
                            </a:pathLst>
                          </a:custGeom>
                          <a:solidFill>
                            <a:srgbClr val="000000"/>
                          </a:solidFill>
                          <a:ln w="0">
                            <a:noFill/>
                          </a:ln>
                        </wps:spPr>
                        <wps:style>
                          <a:lnRef idx="0">
                            <a:srgbClr val="FFFFFF"/>
                          </a:lnRef>
                          <a:fillRef idx="0">
                            <a:srgbClr val="FFFFFF"/>
                          </a:fillRef>
                          <a:effectRef idx="0">
                            <a:srgbClr val="FFFFFF"/>
                          </a:effectRef>
                          <a:fontRef idx="minor"/>
                        </wps:style>
                        <wps:bodyPr/>
                      </wps:wsp>
                      <wps:wsp>
                        <wps:cNvPr id="21" name="Полилиния 21"/>
                        <wps:cNvSpPr/>
                        <wps:spPr>
                          <a:xfrm>
                            <a:off x="1908000" y="1547640"/>
                            <a:ext cx="402120" cy="212760"/>
                          </a:xfrm>
                          <a:custGeom>
                            <a:avLst/>
                            <a:gdLst/>
                            <a:ahLst/>
                            <a:cxnLst/>
                            <a:rect l="l" t="t" r="r" b="b"/>
                            <a:pathLst>
                              <a:path w="437515" h="210185">
                                <a:moveTo>
                                  <a:pt x="437500" y="209715"/>
                                </a:moveTo>
                                <a:lnTo>
                                  <a:pt x="437500" y="141362"/>
                                </a:lnTo>
                                <a:lnTo>
                                  <a:pt x="0" y="141362"/>
                                </a:lnTo>
                                <a:lnTo>
                                  <a:pt x="0" y="0"/>
                                </a:lnTo>
                              </a:path>
                            </a:pathLst>
                          </a:custGeom>
                          <a:noFill/>
                          <a:ln w="8280">
                            <a:solidFill>
                              <a:srgbClr val="000000"/>
                            </a:solidFill>
                            <a:round/>
                          </a:ln>
                        </wps:spPr>
                        <wps:style>
                          <a:lnRef idx="0">
                            <a:srgbClr val="FFFFFF"/>
                          </a:lnRef>
                          <a:fillRef idx="0">
                            <a:srgbClr val="FFFFFF"/>
                          </a:fillRef>
                          <a:effectRef idx="0">
                            <a:srgbClr val="FFFFFF"/>
                          </a:effectRef>
                          <a:fontRef idx="minor"/>
                        </wps:style>
                        <wps:bodyPr/>
                      </wps:wsp>
                      <wps:wsp>
                        <wps:cNvPr id="22" name="Полилиния 22"/>
                        <wps:cNvSpPr/>
                        <wps:spPr>
                          <a:xfrm>
                            <a:off x="2277720" y="1751400"/>
                            <a:ext cx="64800" cy="109080"/>
                          </a:xfrm>
                          <a:custGeom>
                            <a:avLst/>
                            <a:gdLst/>
                            <a:ahLst/>
                            <a:cxnLst/>
                            <a:rect l="l" t="t" r="r" b="b"/>
                            <a:pathLst>
                              <a:path w="71120" h="107950">
                                <a:moveTo>
                                  <a:pt x="70828" y="0"/>
                                </a:moveTo>
                                <a:lnTo>
                                  <a:pt x="0" y="0"/>
                                </a:lnTo>
                                <a:lnTo>
                                  <a:pt x="35274" y="107465"/>
                                </a:lnTo>
                                <a:lnTo>
                                  <a:pt x="70828" y="0"/>
                                </a:lnTo>
                                <a:close/>
                              </a:path>
                            </a:pathLst>
                          </a:custGeom>
                          <a:solidFill>
                            <a:srgbClr val="000000"/>
                          </a:solidFill>
                          <a:ln w="0">
                            <a:noFill/>
                          </a:ln>
                        </wps:spPr>
                        <wps:style>
                          <a:lnRef idx="0">
                            <a:srgbClr val="FFFFFF"/>
                          </a:lnRef>
                          <a:fillRef idx="0">
                            <a:srgbClr val="FFFFFF"/>
                          </a:fillRef>
                          <a:effectRef idx="0">
                            <a:srgbClr val="FFFFFF"/>
                          </a:effectRef>
                          <a:fontRef idx="minor"/>
                        </wps:style>
                        <wps:bodyPr/>
                      </wps:wsp>
                      <wps:wsp>
                        <wps:cNvPr id="23" name="Полилиния 23"/>
                        <wps:cNvSpPr/>
                        <wps:spPr>
                          <a:xfrm>
                            <a:off x="2310120" y="2435400"/>
                            <a:ext cx="502200" cy="204480"/>
                          </a:xfrm>
                          <a:custGeom>
                            <a:avLst/>
                            <a:gdLst/>
                            <a:ahLst/>
                            <a:cxnLst/>
                            <a:rect l="l" t="t" r="r" b="b"/>
                            <a:pathLst>
                              <a:path w="546735" h="201930">
                                <a:moveTo>
                                  <a:pt x="546480" y="201482"/>
                                </a:moveTo>
                                <a:lnTo>
                                  <a:pt x="546480" y="165807"/>
                                </a:lnTo>
                                <a:lnTo>
                                  <a:pt x="0" y="165807"/>
                                </a:lnTo>
                                <a:lnTo>
                                  <a:pt x="0" y="0"/>
                                </a:lnTo>
                              </a:path>
                            </a:pathLst>
                          </a:custGeom>
                          <a:noFill/>
                          <a:ln w="8280">
                            <a:solidFill>
                              <a:srgbClr val="000000"/>
                            </a:solidFill>
                            <a:round/>
                          </a:ln>
                        </wps:spPr>
                        <wps:style>
                          <a:lnRef idx="0">
                            <a:srgbClr val="FFFFFF"/>
                          </a:lnRef>
                          <a:fillRef idx="0">
                            <a:srgbClr val="FFFFFF"/>
                          </a:fillRef>
                          <a:effectRef idx="0">
                            <a:srgbClr val="FFFFFF"/>
                          </a:effectRef>
                          <a:fontRef idx="minor"/>
                        </wps:style>
                        <wps:bodyPr/>
                      </wps:wsp>
                      <wps:wsp>
                        <wps:cNvPr id="24" name="Полилиния 24"/>
                        <wps:cNvSpPr/>
                        <wps:spPr>
                          <a:xfrm>
                            <a:off x="2779560" y="2630160"/>
                            <a:ext cx="64800" cy="108720"/>
                          </a:xfrm>
                          <a:custGeom>
                            <a:avLst/>
                            <a:gdLst/>
                            <a:ahLst/>
                            <a:cxnLst/>
                            <a:rect l="l" t="t" r="r" b="b"/>
                            <a:pathLst>
                              <a:path w="71120" h="107314">
                                <a:moveTo>
                                  <a:pt x="70828" y="0"/>
                                </a:moveTo>
                                <a:lnTo>
                                  <a:pt x="0" y="0"/>
                                </a:lnTo>
                                <a:lnTo>
                                  <a:pt x="35553" y="107232"/>
                                </a:lnTo>
                                <a:lnTo>
                                  <a:pt x="70828" y="0"/>
                                </a:lnTo>
                                <a:close/>
                              </a:path>
                            </a:pathLst>
                          </a:custGeom>
                          <a:solidFill>
                            <a:srgbClr val="000000"/>
                          </a:solidFill>
                          <a:ln w="0">
                            <a:noFill/>
                          </a:ln>
                        </wps:spPr>
                        <wps:style>
                          <a:lnRef idx="0">
                            <a:srgbClr val="FFFFFF"/>
                          </a:lnRef>
                          <a:fillRef idx="0">
                            <a:srgbClr val="FFFFFF"/>
                          </a:fillRef>
                          <a:effectRef idx="0">
                            <a:srgbClr val="FFFFFF"/>
                          </a:effectRef>
                          <a:fontRef idx="minor"/>
                        </wps:style>
                        <wps:bodyPr/>
                      </wps:wsp>
                      <wps:wsp>
                        <wps:cNvPr id="25" name="Полилиния 25"/>
                        <wps:cNvSpPr/>
                        <wps:spPr>
                          <a:xfrm>
                            <a:off x="803880" y="2435400"/>
                            <a:ext cx="2510280" cy="833760"/>
                          </a:xfrm>
                          <a:custGeom>
                            <a:avLst/>
                            <a:gdLst/>
                            <a:ahLst/>
                            <a:cxnLst/>
                            <a:rect l="l" t="t" r="r" b="b"/>
                            <a:pathLst>
                              <a:path w="2731770" h="822325">
                                <a:moveTo>
                                  <a:pt x="2185355" y="166719"/>
                                </a:moveTo>
                                <a:lnTo>
                                  <a:pt x="2731557" y="166719"/>
                                </a:lnTo>
                                <a:lnTo>
                                  <a:pt x="2731557" y="0"/>
                                </a:lnTo>
                              </a:path>
                              <a:path w="2731770" h="822325">
                                <a:moveTo>
                                  <a:pt x="2185355" y="731507"/>
                                </a:moveTo>
                                <a:lnTo>
                                  <a:pt x="2185355" y="822154"/>
                                </a:lnTo>
                                <a:lnTo>
                                  <a:pt x="0" y="822154"/>
                                </a:lnTo>
                                <a:lnTo>
                                  <a:pt x="0" y="633131"/>
                                </a:lnTo>
                              </a:path>
                            </a:pathLst>
                          </a:custGeom>
                          <a:noFill/>
                          <a:ln w="8280">
                            <a:solidFill>
                              <a:srgbClr val="000000"/>
                            </a:solidFill>
                            <a:round/>
                          </a:ln>
                        </wps:spPr>
                        <wps:style>
                          <a:lnRef idx="0">
                            <a:srgbClr val="FFFFFF"/>
                          </a:lnRef>
                          <a:fillRef idx="0">
                            <a:srgbClr val="FFFFFF"/>
                          </a:fillRef>
                          <a:effectRef idx="0">
                            <a:srgbClr val="FFFFFF"/>
                          </a:effectRef>
                          <a:fontRef idx="minor"/>
                        </wps:style>
                        <wps:bodyPr/>
                      </wps:wsp>
                      <wps:wsp>
                        <wps:cNvPr id="26" name="Полилиния 26"/>
                        <wps:cNvSpPr/>
                        <wps:spPr>
                          <a:xfrm>
                            <a:off x="2779560" y="3077280"/>
                            <a:ext cx="64800" cy="109080"/>
                          </a:xfrm>
                          <a:custGeom>
                            <a:avLst/>
                            <a:gdLst/>
                            <a:ahLst/>
                            <a:cxnLst/>
                            <a:rect l="l" t="t" r="r" b="b"/>
                            <a:pathLst>
                              <a:path w="71120" h="107950">
                                <a:moveTo>
                                  <a:pt x="35553" y="0"/>
                                </a:moveTo>
                                <a:lnTo>
                                  <a:pt x="0" y="107465"/>
                                </a:lnTo>
                                <a:lnTo>
                                  <a:pt x="70828" y="107465"/>
                                </a:lnTo>
                                <a:lnTo>
                                  <a:pt x="35553" y="0"/>
                                </a:lnTo>
                                <a:close/>
                              </a:path>
                            </a:pathLst>
                          </a:custGeom>
                          <a:solidFill>
                            <a:srgbClr val="000000"/>
                          </a:solidFill>
                          <a:ln w="0">
                            <a:noFill/>
                          </a:ln>
                        </wps:spPr>
                        <wps:style>
                          <a:lnRef idx="0">
                            <a:srgbClr val="FFFFFF"/>
                          </a:lnRef>
                          <a:fillRef idx="0">
                            <a:srgbClr val="FFFFFF"/>
                          </a:fillRef>
                          <a:effectRef idx="0">
                            <a:srgbClr val="FFFFFF"/>
                          </a:effectRef>
                          <a:fontRef idx="minor"/>
                        </wps:style>
                        <wps:bodyPr/>
                      </wps:wsp>
                      <wps:wsp>
                        <wps:cNvPr id="27" name="Полилиния 27"/>
                        <wps:cNvSpPr/>
                        <wps:spPr>
                          <a:xfrm>
                            <a:off x="3369240" y="912960"/>
                            <a:ext cx="1450800" cy="1285200"/>
                          </a:xfrm>
                          <a:custGeom>
                            <a:avLst/>
                            <a:gdLst/>
                            <a:ahLst/>
                            <a:cxnLst/>
                            <a:rect l="l" t="t" r="r" b="b"/>
                            <a:pathLst>
                              <a:path w="1579245" h="1267460">
                                <a:moveTo>
                                  <a:pt x="814104" y="1267323"/>
                                </a:moveTo>
                                <a:lnTo>
                                  <a:pt x="1578861" y="1267323"/>
                                </a:lnTo>
                                <a:lnTo>
                                  <a:pt x="1578861" y="933809"/>
                                </a:lnTo>
                                <a:lnTo>
                                  <a:pt x="814104" y="933809"/>
                                </a:lnTo>
                                <a:lnTo>
                                  <a:pt x="814104" y="1267323"/>
                                </a:lnTo>
                                <a:close/>
                              </a:path>
                              <a:path w="1579245" h="1267460">
                                <a:moveTo>
                                  <a:pt x="0" y="600276"/>
                                </a:moveTo>
                                <a:lnTo>
                                  <a:pt x="1464274" y="600276"/>
                                </a:lnTo>
                                <a:lnTo>
                                  <a:pt x="1464274" y="266539"/>
                                </a:lnTo>
                                <a:lnTo>
                                  <a:pt x="0" y="266539"/>
                                </a:lnTo>
                                <a:lnTo>
                                  <a:pt x="0" y="600276"/>
                                </a:lnTo>
                                <a:close/>
                              </a:path>
                              <a:path w="1579245" h="1267460">
                                <a:moveTo>
                                  <a:pt x="686372" y="169299"/>
                                </a:moveTo>
                                <a:lnTo>
                                  <a:pt x="686372" y="122271"/>
                                </a:lnTo>
                                <a:lnTo>
                                  <a:pt x="1032436" y="122271"/>
                                </a:lnTo>
                                <a:lnTo>
                                  <a:pt x="1032436" y="0"/>
                                </a:lnTo>
                              </a:path>
                            </a:pathLst>
                          </a:custGeom>
                          <a:noFill/>
                          <a:ln w="8280">
                            <a:solidFill>
                              <a:srgbClr val="000000"/>
                            </a:solidFill>
                            <a:round/>
                          </a:ln>
                        </wps:spPr>
                        <wps:style>
                          <a:lnRef idx="0">
                            <a:srgbClr val="FFFFFF"/>
                          </a:lnRef>
                          <a:fillRef idx="0">
                            <a:srgbClr val="FFFFFF"/>
                          </a:fillRef>
                          <a:effectRef idx="0">
                            <a:srgbClr val="FFFFFF"/>
                          </a:effectRef>
                          <a:fontRef idx="minor"/>
                        </wps:style>
                        <wps:bodyPr/>
                      </wps:wsp>
                      <wps:wsp>
                        <wps:cNvPr id="28" name="Полилиния 28"/>
                        <wps:cNvSpPr/>
                        <wps:spPr>
                          <a:xfrm>
                            <a:off x="3966840" y="1075680"/>
                            <a:ext cx="65520" cy="108000"/>
                          </a:xfrm>
                          <a:custGeom>
                            <a:avLst/>
                            <a:gdLst/>
                            <a:ahLst/>
                            <a:cxnLst/>
                            <a:rect l="l" t="t" r="r" b="b"/>
                            <a:pathLst>
                              <a:path w="71755" h="106680">
                                <a:moveTo>
                                  <a:pt x="71570" y="0"/>
                                </a:moveTo>
                                <a:lnTo>
                                  <a:pt x="0" y="0"/>
                                </a:lnTo>
                                <a:lnTo>
                                  <a:pt x="36203" y="106347"/>
                                </a:lnTo>
                                <a:lnTo>
                                  <a:pt x="71570" y="0"/>
                                </a:lnTo>
                                <a:close/>
                              </a:path>
                            </a:pathLst>
                          </a:custGeom>
                          <a:solidFill>
                            <a:srgbClr val="000000"/>
                          </a:solidFill>
                          <a:ln w="0">
                            <a:noFill/>
                          </a:ln>
                        </wps:spPr>
                        <wps:style>
                          <a:lnRef idx="0">
                            <a:srgbClr val="FFFFFF"/>
                          </a:lnRef>
                          <a:fillRef idx="0">
                            <a:srgbClr val="FFFFFF"/>
                          </a:fillRef>
                          <a:effectRef idx="0">
                            <a:srgbClr val="FFFFFF"/>
                          </a:effectRef>
                          <a:fontRef idx="minor"/>
                        </wps:style>
                        <wps:bodyPr/>
                      </wps:wsp>
                      <wps:wsp>
                        <wps:cNvPr id="29" name="Полилиния 29"/>
                        <wps:cNvSpPr/>
                        <wps:spPr>
                          <a:xfrm>
                            <a:off x="4318560" y="1036800"/>
                            <a:ext cx="904320" cy="48240"/>
                          </a:xfrm>
                          <a:custGeom>
                            <a:avLst/>
                            <a:gdLst/>
                            <a:ahLst/>
                            <a:cxnLst/>
                            <a:rect l="l" t="t" r="r" b="b"/>
                            <a:pathLst>
                              <a:path w="984250" h="47625">
                                <a:moveTo>
                                  <a:pt x="983980" y="47027"/>
                                </a:moveTo>
                                <a:lnTo>
                                  <a:pt x="983980" y="0"/>
                                </a:lnTo>
                                <a:lnTo>
                                  <a:pt x="0" y="0"/>
                                </a:lnTo>
                              </a:path>
                            </a:pathLst>
                          </a:custGeom>
                          <a:noFill/>
                          <a:ln w="8280">
                            <a:solidFill>
                              <a:srgbClr val="000000"/>
                            </a:solidFill>
                            <a:round/>
                          </a:ln>
                        </wps:spPr>
                        <wps:style>
                          <a:lnRef idx="0">
                            <a:srgbClr val="FFFFFF"/>
                          </a:lnRef>
                          <a:fillRef idx="0">
                            <a:srgbClr val="FFFFFF"/>
                          </a:fillRef>
                          <a:effectRef idx="0">
                            <a:srgbClr val="FFFFFF"/>
                          </a:effectRef>
                          <a:fontRef idx="minor"/>
                        </wps:style>
                        <wps:bodyPr/>
                      </wps:wsp>
                      <wps:wsp>
                        <wps:cNvPr id="30" name="Полилиния 30"/>
                        <wps:cNvSpPr/>
                        <wps:spPr>
                          <a:xfrm>
                            <a:off x="5189760" y="1075680"/>
                            <a:ext cx="64800" cy="108000"/>
                          </a:xfrm>
                          <a:custGeom>
                            <a:avLst/>
                            <a:gdLst/>
                            <a:ahLst/>
                            <a:cxnLst/>
                            <a:rect l="l" t="t" r="r" b="b"/>
                            <a:pathLst>
                              <a:path w="71120" h="106680">
                                <a:moveTo>
                                  <a:pt x="70828" y="0"/>
                                </a:moveTo>
                                <a:lnTo>
                                  <a:pt x="0" y="0"/>
                                </a:lnTo>
                                <a:lnTo>
                                  <a:pt x="35553" y="106347"/>
                                </a:lnTo>
                                <a:lnTo>
                                  <a:pt x="70828" y="0"/>
                                </a:lnTo>
                                <a:close/>
                              </a:path>
                            </a:pathLst>
                          </a:custGeom>
                          <a:solidFill>
                            <a:srgbClr val="000000"/>
                          </a:solidFill>
                          <a:ln w="0">
                            <a:noFill/>
                          </a:ln>
                        </wps:spPr>
                        <wps:style>
                          <a:lnRef idx="0">
                            <a:srgbClr val="FFFFFF"/>
                          </a:lnRef>
                          <a:fillRef idx="0">
                            <a:srgbClr val="FFFFFF"/>
                          </a:fillRef>
                          <a:effectRef idx="0">
                            <a:srgbClr val="FFFFFF"/>
                          </a:effectRef>
                          <a:fontRef idx="minor"/>
                        </wps:style>
                        <wps:bodyPr/>
                      </wps:wsp>
                      <wps:wsp>
                        <wps:cNvPr id="31" name="Полилиния 31"/>
                        <wps:cNvSpPr/>
                        <wps:spPr>
                          <a:xfrm>
                            <a:off x="4318560" y="2536920"/>
                            <a:ext cx="602640" cy="69120"/>
                          </a:xfrm>
                          <a:custGeom>
                            <a:avLst/>
                            <a:gdLst/>
                            <a:ahLst/>
                            <a:cxnLst/>
                            <a:rect l="l" t="t" r="r" b="b"/>
                            <a:pathLst>
                              <a:path w="655955" h="68580">
                                <a:moveTo>
                                  <a:pt x="0" y="68390"/>
                                </a:moveTo>
                                <a:lnTo>
                                  <a:pt x="0" y="0"/>
                                </a:lnTo>
                                <a:lnTo>
                                  <a:pt x="655832" y="0"/>
                                </a:lnTo>
                              </a:path>
                            </a:pathLst>
                          </a:custGeom>
                          <a:noFill/>
                          <a:ln w="8280">
                            <a:solidFill>
                              <a:srgbClr val="000000"/>
                            </a:solidFill>
                            <a:round/>
                          </a:ln>
                        </wps:spPr>
                        <wps:style>
                          <a:lnRef idx="0">
                            <a:srgbClr val="FFFFFF"/>
                          </a:lnRef>
                          <a:fillRef idx="0">
                            <a:srgbClr val="FFFFFF"/>
                          </a:fillRef>
                          <a:effectRef idx="0">
                            <a:srgbClr val="FFFFFF"/>
                          </a:effectRef>
                          <a:fontRef idx="minor"/>
                        </wps:style>
                        <wps:bodyPr/>
                      </wps:wsp>
                      <wps:wsp>
                        <wps:cNvPr id="32" name="Полилиния 32"/>
                        <wps:cNvSpPr/>
                        <wps:spPr>
                          <a:xfrm>
                            <a:off x="4286160" y="2596680"/>
                            <a:ext cx="64800" cy="109080"/>
                          </a:xfrm>
                          <a:custGeom>
                            <a:avLst/>
                            <a:gdLst/>
                            <a:ahLst/>
                            <a:cxnLst/>
                            <a:rect l="l" t="t" r="r" b="b"/>
                            <a:pathLst>
                              <a:path w="71120" h="107950">
                                <a:moveTo>
                                  <a:pt x="70920" y="0"/>
                                </a:moveTo>
                                <a:lnTo>
                                  <a:pt x="0" y="0"/>
                                </a:lnTo>
                                <a:lnTo>
                                  <a:pt x="35367" y="107455"/>
                                </a:lnTo>
                                <a:lnTo>
                                  <a:pt x="70920" y="0"/>
                                </a:lnTo>
                                <a:close/>
                              </a:path>
                            </a:pathLst>
                          </a:custGeom>
                          <a:solidFill>
                            <a:srgbClr val="000000"/>
                          </a:solidFill>
                          <a:ln w="0">
                            <a:noFill/>
                          </a:ln>
                        </wps:spPr>
                        <wps:style>
                          <a:lnRef idx="0">
                            <a:srgbClr val="FFFFFF"/>
                          </a:lnRef>
                          <a:fillRef idx="0">
                            <a:srgbClr val="FFFFFF"/>
                          </a:fillRef>
                          <a:effectRef idx="0">
                            <a:srgbClr val="FFFFFF"/>
                          </a:effectRef>
                          <a:fontRef idx="minor"/>
                        </wps:style>
                        <wps:bodyPr/>
                      </wps:wsp>
                      <wps:wsp>
                        <wps:cNvPr id="33" name="Полилиния 33"/>
                        <wps:cNvSpPr/>
                        <wps:spPr>
                          <a:xfrm>
                            <a:off x="4519800" y="1352520"/>
                            <a:ext cx="441360" cy="408240"/>
                          </a:xfrm>
                          <a:custGeom>
                            <a:avLst/>
                            <a:gdLst/>
                            <a:ahLst/>
                            <a:cxnLst/>
                            <a:rect l="l" t="t" r="r" b="b"/>
                            <a:pathLst>
                              <a:path w="480695" h="402590">
                                <a:moveTo>
                                  <a:pt x="0" y="402109"/>
                                </a:moveTo>
                                <a:lnTo>
                                  <a:pt x="0" y="333756"/>
                                </a:lnTo>
                                <a:lnTo>
                                  <a:pt x="327312" y="333756"/>
                                </a:lnTo>
                                <a:lnTo>
                                  <a:pt x="327312" y="0"/>
                                </a:lnTo>
                                <a:lnTo>
                                  <a:pt x="480386" y="0"/>
                                </a:lnTo>
                              </a:path>
                            </a:pathLst>
                          </a:custGeom>
                          <a:noFill/>
                          <a:ln w="8280">
                            <a:solidFill>
                              <a:srgbClr val="000000"/>
                            </a:solidFill>
                            <a:round/>
                          </a:ln>
                        </wps:spPr>
                        <wps:style>
                          <a:lnRef idx="0">
                            <a:srgbClr val="FFFFFF"/>
                          </a:lnRef>
                          <a:fillRef idx="0">
                            <a:srgbClr val="FFFFFF"/>
                          </a:fillRef>
                          <a:effectRef idx="0">
                            <a:srgbClr val="FFFFFF"/>
                          </a:effectRef>
                          <a:fontRef idx="minor"/>
                        </wps:style>
                        <wps:bodyPr/>
                      </wps:wsp>
                      <wps:wsp>
                        <wps:cNvPr id="34" name="Полилиния 34"/>
                        <wps:cNvSpPr/>
                        <wps:spPr>
                          <a:xfrm>
                            <a:off x="4487040" y="1752120"/>
                            <a:ext cx="65520" cy="108000"/>
                          </a:xfrm>
                          <a:custGeom>
                            <a:avLst/>
                            <a:gdLst/>
                            <a:ahLst/>
                            <a:cxnLst/>
                            <a:rect l="l" t="t" r="r" b="b"/>
                            <a:pathLst>
                              <a:path w="71755" h="106680">
                                <a:moveTo>
                                  <a:pt x="71570" y="0"/>
                                </a:moveTo>
                                <a:lnTo>
                                  <a:pt x="0" y="0"/>
                                </a:lnTo>
                                <a:lnTo>
                                  <a:pt x="36203" y="106533"/>
                                </a:lnTo>
                                <a:lnTo>
                                  <a:pt x="71570" y="0"/>
                                </a:lnTo>
                                <a:close/>
                              </a:path>
                            </a:pathLst>
                          </a:custGeom>
                          <a:solidFill>
                            <a:srgbClr val="000000"/>
                          </a:solidFill>
                          <a:ln w="0">
                            <a:noFill/>
                          </a:ln>
                        </wps:spPr>
                        <wps:style>
                          <a:lnRef idx="0">
                            <a:srgbClr val="FFFFFF"/>
                          </a:lnRef>
                          <a:fillRef idx="0">
                            <a:srgbClr val="FFFFFF"/>
                          </a:fillRef>
                          <a:effectRef idx="0">
                            <a:srgbClr val="FFFFFF"/>
                          </a:effectRef>
                          <a:fontRef idx="minor"/>
                        </wps:style>
                        <wps:bodyPr/>
                      </wps:wsp>
                      <wps:wsp>
                        <wps:cNvPr id="35" name="Полилиния 35"/>
                        <wps:cNvSpPr/>
                        <wps:spPr>
                          <a:xfrm>
                            <a:off x="4820760" y="1690920"/>
                            <a:ext cx="502200" cy="69120"/>
                          </a:xfrm>
                          <a:custGeom>
                            <a:avLst/>
                            <a:gdLst/>
                            <a:ahLst/>
                            <a:cxnLst/>
                            <a:rect l="l" t="t" r="r" b="b"/>
                            <a:pathLst>
                              <a:path w="546735" h="68580">
                                <a:moveTo>
                                  <a:pt x="546202" y="68352"/>
                                </a:moveTo>
                                <a:lnTo>
                                  <a:pt x="546202" y="0"/>
                                </a:lnTo>
                                <a:lnTo>
                                  <a:pt x="0" y="0"/>
                                </a:lnTo>
                              </a:path>
                            </a:pathLst>
                          </a:custGeom>
                          <a:noFill/>
                          <a:ln w="8280">
                            <a:solidFill>
                              <a:srgbClr val="000000"/>
                            </a:solidFill>
                            <a:round/>
                          </a:ln>
                        </wps:spPr>
                        <wps:style>
                          <a:lnRef idx="0">
                            <a:srgbClr val="FFFFFF"/>
                          </a:lnRef>
                          <a:fillRef idx="0">
                            <a:srgbClr val="FFFFFF"/>
                          </a:fillRef>
                          <a:effectRef idx="0">
                            <a:srgbClr val="FFFFFF"/>
                          </a:effectRef>
                          <a:fontRef idx="minor"/>
                        </wps:style>
                        <wps:bodyPr/>
                      </wps:wsp>
                      <wps:wsp>
                        <wps:cNvPr id="36" name="Полилиния 36"/>
                        <wps:cNvSpPr/>
                        <wps:spPr>
                          <a:xfrm>
                            <a:off x="5290200" y="1752120"/>
                            <a:ext cx="65520" cy="108000"/>
                          </a:xfrm>
                          <a:custGeom>
                            <a:avLst/>
                            <a:gdLst/>
                            <a:ahLst/>
                            <a:cxnLst/>
                            <a:rect l="l" t="t" r="r" b="b"/>
                            <a:pathLst>
                              <a:path w="71755" h="106680">
                                <a:moveTo>
                                  <a:pt x="71570" y="0"/>
                                </a:moveTo>
                                <a:lnTo>
                                  <a:pt x="0" y="0"/>
                                </a:lnTo>
                                <a:lnTo>
                                  <a:pt x="35367" y="106533"/>
                                </a:lnTo>
                                <a:lnTo>
                                  <a:pt x="71570" y="0"/>
                                </a:lnTo>
                                <a:close/>
                              </a:path>
                            </a:pathLst>
                          </a:custGeom>
                          <a:solidFill>
                            <a:srgbClr val="000000"/>
                          </a:solidFill>
                          <a:ln w="0">
                            <a:noFill/>
                          </a:ln>
                        </wps:spPr>
                        <wps:style>
                          <a:lnRef idx="0">
                            <a:srgbClr val="FFFFFF"/>
                          </a:lnRef>
                          <a:fillRef idx="0">
                            <a:srgbClr val="FFFFFF"/>
                          </a:fillRef>
                          <a:effectRef idx="0">
                            <a:srgbClr val="FFFFFF"/>
                          </a:effectRef>
                          <a:fontRef idx="minor"/>
                        </wps:style>
                        <wps:bodyPr/>
                      </wps:wsp>
                      <wps:wsp>
                        <wps:cNvPr id="37" name="Полилиния 37"/>
                        <wps:cNvSpPr/>
                        <wps:spPr>
                          <a:xfrm>
                            <a:off x="4921200" y="2536920"/>
                            <a:ext cx="502200" cy="69120"/>
                          </a:xfrm>
                          <a:custGeom>
                            <a:avLst/>
                            <a:gdLst/>
                            <a:ahLst/>
                            <a:cxnLst/>
                            <a:rect l="l" t="t" r="r" b="b"/>
                            <a:pathLst>
                              <a:path w="546735" h="68580">
                                <a:moveTo>
                                  <a:pt x="546480" y="68390"/>
                                </a:moveTo>
                                <a:lnTo>
                                  <a:pt x="546480" y="10681"/>
                                </a:lnTo>
                                <a:lnTo>
                                  <a:pt x="0" y="0"/>
                                </a:lnTo>
                              </a:path>
                            </a:pathLst>
                          </a:custGeom>
                          <a:noFill/>
                          <a:ln w="8280">
                            <a:solidFill>
                              <a:srgbClr val="000000"/>
                            </a:solidFill>
                            <a:round/>
                          </a:ln>
                        </wps:spPr>
                        <wps:style>
                          <a:lnRef idx="0">
                            <a:srgbClr val="FFFFFF"/>
                          </a:lnRef>
                          <a:fillRef idx="0">
                            <a:srgbClr val="FFFFFF"/>
                          </a:fillRef>
                          <a:effectRef idx="0">
                            <a:srgbClr val="FFFFFF"/>
                          </a:effectRef>
                          <a:fontRef idx="minor"/>
                        </wps:style>
                        <wps:bodyPr/>
                      </wps:wsp>
                      <wps:wsp>
                        <wps:cNvPr id="38" name="Полилиния 38"/>
                        <wps:cNvSpPr/>
                        <wps:spPr>
                          <a:xfrm>
                            <a:off x="5390640" y="2596680"/>
                            <a:ext cx="64800" cy="109080"/>
                          </a:xfrm>
                          <a:custGeom>
                            <a:avLst/>
                            <a:gdLst/>
                            <a:ahLst/>
                            <a:cxnLst/>
                            <a:rect l="l" t="t" r="r" b="b"/>
                            <a:pathLst>
                              <a:path w="71120" h="107950">
                                <a:moveTo>
                                  <a:pt x="70828" y="0"/>
                                </a:moveTo>
                                <a:lnTo>
                                  <a:pt x="0" y="0"/>
                                </a:lnTo>
                                <a:lnTo>
                                  <a:pt x="35553" y="107455"/>
                                </a:lnTo>
                                <a:lnTo>
                                  <a:pt x="70828" y="0"/>
                                </a:lnTo>
                                <a:close/>
                              </a:path>
                            </a:pathLst>
                          </a:custGeom>
                          <a:solidFill>
                            <a:srgbClr val="000000"/>
                          </a:solidFill>
                          <a:ln w="0">
                            <a:noFill/>
                          </a:ln>
                        </wps:spPr>
                        <wps:style>
                          <a:lnRef idx="0">
                            <a:srgbClr val="FFFFFF"/>
                          </a:lnRef>
                          <a:fillRef idx="0">
                            <a:srgbClr val="FFFFFF"/>
                          </a:fillRef>
                          <a:effectRef idx="0">
                            <a:srgbClr val="FFFFFF"/>
                          </a:effectRef>
                          <a:fontRef idx="minor"/>
                        </wps:style>
                        <wps:bodyPr/>
                      </wps:wsp>
                      <wps:wsp>
                        <wps:cNvPr id="39" name="Полилиния 39"/>
                        <wps:cNvSpPr/>
                        <wps:spPr>
                          <a:xfrm>
                            <a:off x="2410920" y="1012680"/>
                            <a:ext cx="2560320" cy="1523880"/>
                          </a:xfrm>
                          <a:custGeom>
                            <a:avLst/>
                            <a:gdLst/>
                            <a:ahLst/>
                            <a:cxnLst/>
                            <a:rect l="l" t="t" r="r" b="b"/>
                            <a:pathLst>
                              <a:path w="2786380" h="1503045">
                                <a:moveTo>
                                  <a:pt x="2731567" y="1502647"/>
                                </a:moveTo>
                                <a:lnTo>
                                  <a:pt x="2731567" y="1002386"/>
                                </a:lnTo>
                                <a:lnTo>
                                  <a:pt x="2786150" y="1002386"/>
                                </a:lnTo>
                              </a:path>
                              <a:path w="2786380" h="1503045">
                                <a:moveTo>
                                  <a:pt x="0" y="0"/>
                                </a:moveTo>
                                <a:lnTo>
                                  <a:pt x="0" y="668909"/>
                                </a:lnTo>
                                <a:lnTo>
                                  <a:pt x="1639163" y="668909"/>
                                </a:lnTo>
                                <a:lnTo>
                                  <a:pt x="1639163" y="1002386"/>
                                </a:lnTo>
                                <a:lnTo>
                                  <a:pt x="1857402" y="1002386"/>
                                </a:lnTo>
                              </a:path>
                            </a:pathLst>
                          </a:custGeom>
                          <a:noFill/>
                          <a:ln w="8280">
                            <a:solidFill>
                              <a:srgbClr val="000000"/>
                            </a:solidFill>
                            <a:round/>
                          </a:ln>
                        </wps:spPr>
                        <wps:style>
                          <a:lnRef idx="0">
                            <a:srgbClr val="FFFFFF"/>
                          </a:lnRef>
                          <a:fillRef idx="0">
                            <a:srgbClr val="FFFFFF"/>
                          </a:fillRef>
                          <a:effectRef idx="0">
                            <a:srgbClr val="FFFFFF"/>
                          </a:effectRef>
                          <a:fontRef idx="minor"/>
                        </wps:style>
                        <wps:bodyPr/>
                      </wps:wsp>
                      <wps:wsp>
                        <wps:cNvPr id="40" name="Полилиния 40"/>
                        <wps:cNvSpPr/>
                        <wps:spPr>
                          <a:xfrm>
                            <a:off x="2377440" y="912960"/>
                            <a:ext cx="65520" cy="108720"/>
                          </a:xfrm>
                          <a:custGeom>
                            <a:avLst/>
                            <a:gdLst/>
                            <a:ahLst/>
                            <a:cxnLst/>
                            <a:rect l="l" t="t" r="r" b="b"/>
                            <a:pathLst>
                              <a:path w="71755" h="107314">
                                <a:moveTo>
                                  <a:pt x="35274" y="0"/>
                                </a:moveTo>
                                <a:lnTo>
                                  <a:pt x="0" y="107278"/>
                                </a:lnTo>
                                <a:lnTo>
                                  <a:pt x="71756" y="107278"/>
                                </a:lnTo>
                                <a:lnTo>
                                  <a:pt x="35274" y="0"/>
                                </a:lnTo>
                                <a:close/>
                              </a:path>
                            </a:pathLst>
                          </a:custGeom>
                          <a:solidFill>
                            <a:srgbClr val="000000"/>
                          </a:solidFill>
                          <a:ln w="0">
                            <a:noFill/>
                          </a:ln>
                        </wps:spPr>
                        <wps:style>
                          <a:lnRef idx="0">
                            <a:srgbClr val="FFFFFF"/>
                          </a:lnRef>
                          <a:fillRef idx="0">
                            <a:srgbClr val="FFFFFF"/>
                          </a:fillRef>
                          <a:effectRef idx="0">
                            <a:srgbClr val="FFFFFF"/>
                          </a:effectRef>
                          <a:fontRef idx="minor"/>
                        </wps:style>
                        <wps:bodyPr/>
                      </wps:wsp>
                      <wps:wsp>
                        <wps:cNvPr id="41" name="Текстовое поле 41"/>
                        <wps:cNvSpPr txBox="1"/>
                        <wps:spPr>
                          <a:xfrm>
                            <a:off x="3011760" y="1879560"/>
                            <a:ext cx="614520" cy="525240"/>
                          </a:xfrm>
                          <a:prstGeom prst="rect">
                            <a:avLst/>
                          </a:prstGeom>
                          <a:noFill/>
                          <a:ln w="0">
                            <a:noFill/>
                          </a:ln>
                        </wps:spPr>
                        <wps:txbx>
                          <w:txbxContent>
                            <w:p w14:paraId="30A0FF02">
                              <w:pPr>
                                <w:overflowPunct w:val="0"/>
                                <w:spacing w:line="252" w:lineRule="auto"/>
                                <w:ind w:left="1" w:right="19"/>
                                <w:jc w:val="center"/>
                              </w:pPr>
                              <w:r>
                                <w:rPr>
                                  <w:spacing w:val="-2"/>
                                  <w:kern w:val="2"/>
                                  <w:sz w:val="16"/>
                                  <w:szCs w:val="16"/>
                                </w:rPr>
                                <w:t>Ауаның уытты заттармен ластануы</w:t>
                              </w:r>
                            </w:p>
                          </w:txbxContent>
                        </wps:txbx>
                        <wps:bodyPr wrap="square" lIns="0" tIns="0" rIns="0" bIns="0" anchor="t">
                          <a:noAutofit/>
                        </wps:bodyPr>
                      </wps:wsp>
                      <wps:wsp>
                        <wps:cNvPr id="42" name="Текстовое поле 42"/>
                        <wps:cNvSpPr txBox="1"/>
                        <wps:spPr>
                          <a:xfrm>
                            <a:off x="0" y="1859760"/>
                            <a:ext cx="793080" cy="608400"/>
                          </a:xfrm>
                          <a:prstGeom prst="rect">
                            <a:avLst/>
                          </a:prstGeom>
                          <a:noFill/>
                          <a:ln w="8280">
                            <a:solidFill>
                              <a:srgbClr val="000000"/>
                            </a:solidFill>
                            <a:round/>
                          </a:ln>
                        </wps:spPr>
                        <wps:txbx>
                          <w:txbxContent>
                            <w:p w14:paraId="4F17123C">
                              <w:pPr>
                                <w:overflowPunct w:val="0"/>
                                <w:spacing w:before="150" w:line="252" w:lineRule="auto"/>
                                <w:ind w:left="98" w:right="98" w:hanging="1"/>
                                <w:jc w:val="center"/>
                              </w:pPr>
                              <w:r>
                                <w:rPr>
                                  <w:spacing w:val="-2"/>
                                  <w:kern w:val="2"/>
                                  <w:sz w:val="16"/>
                                  <w:szCs w:val="16"/>
                                </w:rPr>
                                <w:t>Топырақ өсімдіктерінің деградациясы</w:t>
                              </w:r>
                            </w:p>
                          </w:txbxContent>
                        </wps:txbx>
                        <wps:bodyPr wrap="square" lIns="0" tIns="0" rIns="0" bIns="0" anchor="t">
                          <a:noAutofit/>
                        </wps:bodyPr>
                      </wps:wsp>
                      <wps:wsp>
                        <wps:cNvPr id="43" name="Текстовое поле 43"/>
                        <wps:cNvSpPr txBox="1"/>
                        <wps:spPr>
                          <a:xfrm>
                            <a:off x="851040" y="1859760"/>
                            <a:ext cx="958320" cy="608400"/>
                          </a:xfrm>
                          <a:prstGeom prst="rect">
                            <a:avLst/>
                          </a:prstGeom>
                          <a:noFill/>
                          <a:ln w="8280">
                            <a:solidFill>
                              <a:srgbClr val="000000"/>
                            </a:solidFill>
                            <a:round/>
                          </a:ln>
                        </wps:spPr>
                        <wps:txbx>
                          <w:txbxContent>
                            <w:p w14:paraId="26678330">
                              <w:pPr>
                                <w:overflowPunct w:val="0"/>
                                <w:spacing w:before="150" w:line="252" w:lineRule="auto"/>
                                <w:ind w:left="76" w:right="77" w:firstLine="2"/>
                                <w:jc w:val="center"/>
                              </w:pPr>
                              <w:r>
                                <w:rPr>
                                  <w:kern w:val="2"/>
                                  <w:sz w:val="16"/>
                                  <w:szCs w:val="16"/>
                                </w:rPr>
                                <w:t>Заттардың физикалық-химиялық құрамының өзгеруі</w:t>
                              </w:r>
                            </w:p>
                          </w:txbxContent>
                        </wps:txbx>
                        <wps:bodyPr wrap="square" lIns="0" tIns="0" rIns="0" bIns="0" anchor="t">
                          <a:noAutofit/>
                        </wps:bodyPr>
                      </wps:wsp>
                      <wps:wsp>
                        <wps:cNvPr id="44" name="Текстовое поле 44"/>
                        <wps:cNvSpPr txBox="1"/>
                        <wps:spPr>
                          <a:xfrm>
                            <a:off x="489594" y="1183070"/>
                            <a:ext cx="664858" cy="319423"/>
                          </a:xfrm>
                          <a:prstGeom prst="rect">
                            <a:avLst/>
                          </a:prstGeom>
                          <a:noFill/>
                          <a:ln w="8280">
                            <a:solidFill>
                              <a:srgbClr val="000000"/>
                            </a:solidFill>
                            <a:round/>
                          </a:ln>
                        </wps:spPr>
                        <wps:txbx>
                          <w:txbxContent>
                            <w:p w14:paraId="62CAAFA9">
                              <w:pPr>
                                <w:overflowPunct w:val="0"/>
                                <w:spacing w:before="45" w:line="254" w:lineRule="auto"/>
                                <w:ind w:left="245" w:firstLine="2"/>
                                <w:jc w:val="left"/>
                              </w:pPr>
                              <w:r>
                                <w:rPr>
                                  <w:spacing w:val="-2"/>
                                  <w:kern w:val="2"/>
                                  <w:sz w:val="16"/>
                                  <w:szCs w:val="16"/>
                                </w:rPr>
                                <w:t>Топырақ</w:t>
                              </w:r>
                            </w:p>
                          </w:txbxContent>
                        </wps:txbx>
                        <wps:bodyPr wrap="square" lIns="0" tIns="0" rIns="0" bIns="0" anchor="t">
                          <a:noAutofit/>
                        </wps:bodyPr>
                      </wps:wsp>
                      <wps:wsp>
                        <wps:cNvPr id="45" name="Текстовое поле 45"/>
                        <wps:cNvSpPr txBox="1"/>
                        <wps:spPr>
                          <a:xfrm>
                            <a:off x="2470832" y="0"/>
                            <a:ext cx="943628" cy="458495"/>
                          </a:xfrm>
                          <a:prstGeom prst="rect">
                            <a:avLst/>
                          </a:prstGeom>
                          <a:noFill/>
                          <a:ln w="8280">
                            <a:solidFill>
                              <a:srgbClr val="000000"/>
                            </a:solidFill>
                            <a:round/>
                          </a:ln>
                        </wps:spPr>
                        <wps:txbx>
                          <w:txbxContent>
                            <w:p w14:paraId="4E552DD5">
                              <w:pPr>
                                <w:overflowPunct w:val="0"/>
                                <w:spacing w:before="149" w:line="276" w:lineRule="auto"/>
                                <w:jc w:val="center"/>
                              </w:pPr>
                              <w:r>
                                <w:rPr>
                                  <w:kern w:val="2"/>
                                  <w:sz w:val="16"/>
                                  <w:szCs w:val="16"/>
                                </w:rPr>
                                <w:t>Мұнайдың шығуы</w:t>
                              </w:r>
                            </w:p>
                          </w:txbxContent>
                        </wps:txbx>
                        <wps:bodyPr wrap="square" lIns="0" tIns="0" rIns="0" bIns="0" anchor="t">
                          <a:noAutofit/>
                        </wps:bodyPr>
                      </wps:wsp>
                      <wps:wsp>
                        <wps:cNvPr id="46" name="Текстовое поле 46"/>
                        <wps:cNvSpPr txBox="1"/>
                        <wps:spPr>
                          <a:xfrm>
                            <a:off x="1205280" y="507960"/>
                            <a:ext cx="1305720" cy="405000"/>
                          </a:xfrm>
                          <a:prstGeom prst="rect">
                            <a:avLst/>
                          </a:prstGeom>
                          <a:noFill/>
                          <a:ln w="8280">
                            <a:solidFill>
                              <a:srgbClr val="000000"/>
                            </a:solidFill>
                            <a:round/>
                          </a:ln>
                        </wps:spPr>
                        <wps:txbx>
                          <w:txbxContent>
                            <w:p w14:paraId="6BA6AED4">
                              <w:pPr>
                                <w:overflowPunct w:val="0"/>
                                <w:spacing w:after="0" w:line="252" w:lineRule="auto"/>
                                <w:jc w:val="center"/>
                                <w:rPr>
                                  <w:kern w:val="2"/>
                                  <w:sz w:val="16"/>
                                  <w:szCs w:val="16"/>
                                </w:rPr>
                              </w:pPr>
                              <w:r>
                                <w:rPr>
                                  <w:kern w:val="2"/>
                                  <w:sz w:val="16"/>
                                  <w:szCs w:val="16"/>
                                </w:rPr>
                                <w:t>Қоршаған ортаны</w:t>
                              </w:r>
                            </w:p>
                            <w:p w14:paraId="0B59301A">
                              <w:pPr>
                                <w:overflowPunct w:val="0"/>
                                <w:spacing w:before="97" w:line="252" w:lineRule="auto"/>
                                <w:jc w:val="center"/>
                                <w:rPr>
                                  <w:lang w:val="kk-KZ"/>
                                </w:rPr>
                              </w:pPr>
                              <w:r>
                                <w:rPr>
                                  <w:kern w:val="2"/>
                                  <w:sz w:val="16"/>
                                  <w:szCs w:val="16"/>
                                </w:rPr>
                                <w:t>ласта</w:t>
                              </w:r>
                              <w:r>
                                <w:rPr>
                                  <w:kern w:val="2"/>
                                  <w:sz w:val="16"/>
                                  <w:szCs w:val="16"/>
                                  <w:lang w:val="kk-KZ"/>
                                </w:rPr>
                                <w:t>у</w:t>
                              </w:r>
                            </w:p>
                          </w:txbxContent>
                        </wps:txbx>
                        <wps:bodyPr wrap="square" lIns="0" tIns="0" rIns="0" bIns="0" anchor="t">
                          <a:noAutofit/>
                        </wps:bodyPr>
                      </wps:wsp>
                      <wps:wsp>
                        <wps:cNvPr id="47" name="Текстовое поле 47"/>
                        <wps:cNvSpPr txBox="1"/>
                        <wps:spPr>
                          <a:xfrm>
                            <a:off x="2049184" y="2738906"/>
                            <a:ext cx="1405917" cy="427379"/>
                          </a:xfrm>
                          <a:prstGeom prst="rect">
                            <a:avLst/>
                          </a:prstGeom>
                          <a:noFill/>
                          <a:ln w="8280">
                            <a:solidFill>
                              <a:srgbClr val="000000"/>
                            </a:solidFill>
                            <a:round/>
                          </a:ln>
                        </wps:spPr>
                        <wps:txbx>
                          <w:txbxContent>
                            <w:p w14:paraId="6BA98CBF">
                              <w:pPr>
                                <w:overflowPunct w:val="0"/>
                                <w:spacing w:before="45" w:line="252" w:lineRule="auto"/>
                                <w:ind w:left="282" w:firstLine="127"/>
                                <w:jc w:val="left"/>
                              </w:pPr>
                              <w:r>
                                <w:rPr>
                                  <w:kern w:val="2"/>
                                  <w:sz w:val="16"/>
                                  <w:szCs w:val="16"/>
                                </w:rPr>
                                <w:t>Адамдар мен</w:t>
                              </w:r>
                              <w:r>
                                <w:rPr>
                                  <w:kern w:val="2"/>
                                  <w:sz w:val="16"/>
                                  <w:szCs w:val="16"/>
                                  <w:lang w:val="kk-KZ"/>
                                </w:rPr>
                                <w:t xml:space="preserve"> </w:t>
                              </w:r>
                              <w:r>
                                <w:rPr>
                                  <w:kern w:val="2"/>
                                  <w:sz w:val="16"/>
                                  <w:szCs w:val="16"/>
                                </w:rPr>
                                <w:t>жануарлардың аурулары</w:t>
                              </w:r>
                            </w:p>
                          </w:txbxContent>
                        </wps:txbx>
                        <wps:bodyPr wrap="square" lIns="0" tIns="0" rIns="0" bIns="0" anchor="t">
                          <a:noAutofit/>
                        </wps:bodyPr>
                      </wps:wsp>
                      <wps:wsp>
                        <wps:cNvPr id="48" name="Текстовое поле 48"/>
                        <wps:cNvSpPr txBox="1"/>
                        <wps:spPr>
                          <a:xfrm>
                            <a:off x="3537653" y="1219267"/>
                            <a:ext cx="1132862" cy="257189"/>
                          </a:xfrm>
                          <a:prstGeom prst="rect">
                            <a:avLst/>
                          </a:prstGeom>
                          <a:noFill/>
                          <a:ln w="0">
                            <a:noFill/>
                          </a:ln>
                        </wps:spPr>
                        <wps:txbx>
                          <w:txbxContent>
                            <w:p w14:paraId="0114C09A">
                              <w:pPr>
                                <w:overflowPunct w:val="0"/>
                                <w:spacing w:line="254" w:lineRule="auto"/>
                                <w:jc w:val="center"/>
                                <w:rPr>
                                  <w:lang w:val="kk-KZ"/>
                                </w:rPr>
                              </w:pPr>
                              <w:r>
                                <w:rPr>
                                  <w:kern w:val="2"/>
                                  <w:sz w:val="16"/>
                                  <w:szCs w:val="16"/>
                                </w:rPr>
                                <w:t xml:space="preserve">Бу-ауа қоспасының </w:t>
                              </w:r>
                              <w:r>
                                <w:rPr>
                                  <w:kern w:val="2"/>
                                  <w:sz w:val="16"/>
                                  <w:szCs w:val="16"/>
                                  <w:lang w:val="kk-KZ"/>
                                </w:rPr>
                                <w:t>таралуы</w:t>
                              </w:r>
                            </w:p>
                          </w:txbxContent>
                        </wps:txbx>
                        <wps:bodyPr wrap="square" lIns="0" tIns="0" rIns="0" bIns="0" anchor="t">
                          <a:noAutofit/>
                        </wps:bodyPr>
                      </wps:wsp>
                      <wps:wsp>
                        <wps:cNvPr id="49" name="Текстовое поле 49"/>
                        <wps:cNvSpPr txBox="1"/>
                        <wps:spPr>
                          <a:xfrm>
                            <a:off x="2007720" y="1879560"/>
                            <a:ext cx="614520" cy="525240"/>
                          </a:xfrm>
                          <a:prstGeom prst="rect">
                            <a:avLst/>
                          </a:prstGeom>
                          <a:noFill/>
                          <a:ln w="0">
                            <a:noFill/>
                          </a:ln>
                        </wps:spPr>
                        <wps:txbx>
                          <w:txbxContent>
                            <w:p w14:paraId="473D8B88">
                              <w:pPr>
                                <w:overflowPunct w:val="0"/>
                                <w:spacing w:line="252" w:lineRule="auto"/>
                                <w:ind w:left="1" w:right="19"/>
                                <w:jc w:val="center"/>
                              </w:pPr>
                              <w:r>
                                <w:rPr>
                                  <w:spacing w:val="-2"/>
                                  <w:kern w:val="2"/>
                                  <w:sz w:val="16"/>
                                  <w:szCs w:val="16"/>
                                </w:rPr>
                                <w:t>Судың уытты заттармен ластануы</w:t>
                              </w:r>
                            </w:p>
                          </w:txbxContent>
                        </wps:txbx>
                        <wps:bodyPr wrap="square" lIns="0" tIns="0" rIns="0" bIns="0" anchor="t">
                          <a:noAutofit/>
                        </wps:bodyPr>
                      </wps:wsp>
                      <wps:wsp>
                        <wps:cNvPr id="50" name="Текстовое поле 50"/>
                        <wps:cNvSpPr txBox="1"/>
                        <wps:spPr>
                          <a:xfrm>
                            <a:off x="100440" y="2738880"/>
                            <a:ext cx="1405800" cy="338400"/>
                          </a:xfrm>
                          <a:prstGeom prst="rect">
                            <a:avLst/>
                          </a:prstGeom>
                          <a:noFill/>
                          <a:ln w="8280">
                            <a:solidFill>
                              <a:srgbClr val="000000"/>
                            </a:solidFill>
                            <a:round/>
                          </a:ln>
                        </wps:spPr>
                        <wps:txbx>
                          <w:txbxContent>
                            <w:p w14:paraId="63E0485B">
                              <w:pPr>
                                <w:overflowPunct w:val="0"/>
                                <w:spacing w:before="45" w:line="252" w:lineRule="auto"/>
                                <w:ind w:firstLine="280"/>
                                <w:jc w:val="center"/>
                              </w:pPr>
                              <w:r>
                                <w:rPr>
                                  <w:kern w:val="2"/>
                                  <w:sz w:val="16"/>
                                  <w:szCs w:val="16"/>
                                </w:rPr>
                                <w:t>Өсімдіктерде у</w:t>
                              </w:r>
                              <w:r>
                                <w:rPr>
                                  <w:kern w:val="2"/>
                                  <w:sz w:val="16"/>
                                  <w:szCs w:val="16"/>
                                  <w:lang w:val="kk-KZ"/>
                                </w:rPr>
                                <w:t xml:space="preserve">ытты </w:t>
                              </w:r>
                              <w:r>
                                <w:rPr>
                                  <w:kern w:val="2"/>
                                  <w:sz w:val="16"/>
                                  <w:szCs w:val="16"/>
                                </w:rPr>
                                <w:t>элементтердің жиналуы</w:t>
                              </w:r>
                            </w:p>
                          </w:txbxContent>
                        </wps:txbx>
                        <wps:bodyPr wrap="square" lIns="0" tIns="0" rIns="0" bIns="0" anchor="t">
                          <a:noAutofit/>
                        </wps:bodyPr>
                      </wps:wsp>
                      <wps:wsp>
                        <wps:cNvPr id="51" name="Текстовое поле 51"/>
                        <wps:cNvSpPr txBox="1"/>
                        <wps:spPr>
                          <a:xfrm>
                            <a:off x="4250160" y="1896120"/>
                            <a:ext cx="448200" cy="257040"/>
                          </a:xfrm>
                          <a:prstGeom prst="rect">
                            <a:avLst/>
                          </a:prstGeom>
                          <a:noFill/>
                          <a:ln w="0">
                            <a:noFill/>
                          </a:ln>
                        </wps:spPr>
                        <wps:txbx>
                          <w:txbxContent>
                            <w:p w14:paraId="5E41A98C">
                              <w:pPr>
                                <w:overflowPunct w:val="0"/>
                                <w:spacing w:line="254" w:lineRule="auto"/>
                                <w:ind w:left="43" w:hanging="44"/>
                                <w:jc w:val="left"/>
                              </w:pPr>
                              <w:r>
                                <w:rPr>
                                  <w:spacing w:val="-2"/>
                                  <w:kern w:val="2"/>
                                  <w:sz w:val="16"/>
                                  <w:szCs w:val="16"/>
                                </w:rPr>
                                <w:t>Жану өнімдері</w:t>
                              </w:r>
                            </w:p>
                          </w:txbxContent>
                        </wps:txbx>
                        <wps:bodyPr wrap="square" lIns="0" tIns="0" rIns="0" bIns="0" anchor="t">
                          <a:noAutofit/>
                        </wps:bodyPr>
                      </wps:wsp>
                      <wps:wsp>
                        <wps:cNvPr id="52" name="Текстовое поле 52"/>
                        <wps:cNvSpPr txBox="1"/>
                        <wps:spPr>
                          <a:xfrm>
                            <a:off x="4982040" y="1859400"/>
                            <a:ext cx="702360" cy="338400"/>
                          </a:xfrm>
                          <a:prstGeom prst="rect">
                            <a:avLst/>
                          </a:prstGeom>
                          <a:noFill/>
                          <a:ln w="8280">
                            <a:solidFill>
                              <a:srgbClr val="000000"/>
                            </a:solidFill>
                            <a:round/>
                          </a:ln>
                        </wps:spPr>
                        <wps:txbx>
                          <w:txbxContent>
                            <w:p w14:paraId="6395B20A">
                              <w:pPr>
                                <w:overflowPunct w:val="0"/>
                                <w:spacing w:before="45" w:line="254" w:lineRule="auto"/>
                                <w:ind w:left="215" w:firstLine="32"/>
                                <w:jc w:val="left"/>
                              </w:pPr>
                              <w:r>
                                <w:rPr>
                                  <w:spacing w:val="-2"/>
                                  <w:kern w:val="2"/>
                                  <w:sz w:val="16"/>
                                  <w:szCs w:val="16"/>
                                </w:rPr>
                                <w:t>Жылулық сәулелену</w:t>
                              </w:r>
                            </w:p>
                          </w:txbxContent>
                        </wps:txbx>
                        <wps:bodyPr wrap="square" lIns="0" tIns="0" rIns="0" bIns="0" anchor="t">
                          <a:noAutofit/>
                        </wps:bodyPr>
                      </wps:wsp>
                      <wps:wsp>
                        <wps:cNvPr id="53" name="Текстовое поле 53"/>
                        <wps:cNvSpPr txBox="1"/>
                        <wps:spPr>
                          <a:xfrm>
                            <a:off x="4961160" y="1182960"/>
                            <a:ext cx="562680" cy="338400"/>
                          </a:xfrm>
                          <a:prstGeom prst="rect">
                            <a:avLst/>
                          </a:prstGeom>
                          <a:noFill/>
                          <a:ln w="8280">
                            <a:solidFill>
                              <a:srgbClr val="000000"/>
                            </a:solidFill>
                            <a:round/>
                          </a:ln>
                        </wps:spPr>
                        <wps:txbx>
                          <w:txbxContent>
                            <w:p w14:paraId="1036E57A">
                              <w:pPr>
                                <w:overflowPunct w:val="0"/>
                                <w:spacing w:before="149" w:line="276" w:lineRule="auto"/>
                                <w:ind w:left="228"/>
                                <w:jc w:val="left"/>
                              </w:pPr>
                              <w:r>
                                <w:rPr>
                                  <w:spacing w:val="-2"/>
                                  <w:kern w:val="2"/>
                                  <w:sz w:val="16"/>
                                  <w:szCs w:val="16"/>
                                </w:rPr>
                                <w:t>Өрт</w:t>
                              </w:r>
                            </w:p>
                          </w:txbxContent>
                        </wps:txbx>
                        <wps:bodyPr wrap="square" lIns="0" tIns="0" rIns="0" bIns="0" anchor="t">
                          <a:noAutofit/>
                        </wps:bodyPr>
                      </wps:wsp>
                      <wps:wsp>
                        <wps:cNvPr id="54" name="Текстовое поле 54"/>
                        <wps:cNvSpPr txBox="1"/>
                        <wps:spPr>
                          <a:xfrm>
                            <a:off x="4755606" y="2705249"/>
                            <a:ext cx="968394" cy="445795"/>
                          </a:xfrm>
                          <a:prstGeom prst="rect">
                            <a:avLst/>
                          </a:prstGeom>
                          <a:noFill/>
                          <a:ln w="8280">
                            <a:solidFill>
                              <a:srgbClr val="000000"/>
                            </a:solidFill>
                            <a:round/>
                          </a:ln>
                        </wps:spPr>
                        <wps:txbx>
                          <w:txbxContent>
                            <w:p w14:paraId="23CC99C5">
                              <w:pPr>
                                <w:overflowPunct w:val="0"/>
                                <w:spacing w:before="44" w:line="252" w:lineRule="auto"/>
                                <w:ind w:left="128" w:firstLine="243"/>
                                <w:jc w:val="center"/>
                              </w:pPr>
                              <w:r>
                                <w:rPr>
                                  <w:spacing w:val="-2"/>
                                  <w:kern w:val="2"/>
                                  <w:sz w:val="16"/>
                                  <w:szCs w:val="16"/>
                                </w:rPr>
                                <w:t>Көршілес объектілердің ластануы</w:t>
                              </w:r>
                            </w:p>
                          </w:txbxContent>
                        </wps:txbx>
                        <wps:bodyPr wrap="square" lIns="0" tIns="0" rIns="0" bIns="0" anchor="t">
                          <a:noAutofit/>
                        </wps:bodyPr>
                      </wps:wsp>
                      <wps:wsp>
                        <wps:cNvPr id="55" name="Текстовое поле 55"/>
                        <wps:cNvSpPr txBox="1"/>
                        <wps:spPr>
                          <a:xfrm>
                            <a:off x="3575119" y="2705249"/>
                            <a:ext cx="1114446" cy="471196"/>
                          </a:xfrm>
                          <a:prstGeom prst="rect">
                            <a:avLst/>
                          </a:prstGeom>
                          <a:noFill/>
                          <a:ln w="8280">
                            <a:solidFill>
                              <a:srgbClr val="000000"/>
                            </a:solidFill>
                            <a:round/>
                          </a:ln>
                        </wps:spPr>
                        <wps:txbx>
                          <w:txbxContent>
                            <w:p w14:paraId="20F75591">
                              <w:pPr>
                                <w:overflowPunct w:val="0"/>
                                <w:spacing w:before="44" w:line="252" w:lineRule="auto"/>
                                <w:ind w:hanging="115"/>
                                <w:jc w:val="center"/>
                              </w:pPr>
                              <w:r>
                                <w:rPr>
                                  <w:kern w:val="2"/>
                                  <w:sz w:val="16"/>
                                  <w:szCs w:val="16"/>
                                </w:rPr>
                                <w:t>Адамдар мен жануарлардың күйіктері мен жарақаттары</w:t>
                              </w:r>
                            </w:p>
                          </w:txbxContent>
                        </wps:txbx>
                        <wps:bodyPr wrap="square" lIns="0" tIns="0" rIns="0" bIns="0" anchor="t">
                          <a:noAutofit/>
                        </wps:bodyPr>
                      </wps:wsp>
                      <wps:wsp>
                        <wps:cNvPr id="56" name="Текстовое поле 56"/>
                        <wps:cNvSpPr txBox="1"/>
                        <wps:spPr>
                          <a:xfrm>
                            <a:off x="2510280" y="1182960"/>
                            <a:ext cx="774000" cy="338400"/>
                          </a:xfrm>
                          <a:prstGeom prst="rect">
                            <a:avLst/>
                          </a:prstGeom>
                          <a:noFill/>
                          <a:ln w="8280">
                            <a:solidFill>
                              <a:srgbClr val="000000"/>
                            </a:solidFill>
                            <a:round/>
                          </a:ln>
                        </wps:spPr>
                        <wps:txbx>
                          <w:txbxContent>
                            <w:p w14:paraId="4FE2AC12">
                              <w:pPr>
                                <w:overflowPunct w:val="0"/>
                                <w:spacing w:before="45" w:line="254" w:lineRule="auto"/>
                                <w:jc w:val="center"/>
                              </w:pPr>
                              <w:r>
                                <w:rPr>
                                  <w:spacing w:val="-2"/>
                                  <w:kern w:val="2"/>
                                  <w:sz w:val="16"/>
                                  <w:szCs w:val="16"/>
                                </w:rPr>
                                <w:t>Атмосфералық ауа</w:t>
                              </w:r>
                            </w:p>
                          </w:txbxContent>
                        </wps:txbx>
                        <wps:bodyPr wrap="square" lIns="0" tIns="0" rIns="0" bIns="0" anchor="t">
                          <a:noAutofit/>
                        </wps:bodyPr>
                      </wps:wsp>
                      <wps:wsp>
                        <wps:cNvPr id="57" name="Текстовое поле 57"/>
                        <wps:cNvSpPr txBox="1"/>
                        <wps:spPr>
                          <a:xfrm>
                            <a:off x="3535560" y="507960"/>
                            <a:ext cx="1365120" cy="405000"/>
                          </a:xfrm>
                          <a:prstGeom prst="rect">
                            <a:avLst/>
                          </a:prstGeom>
                          <a:noFill/>
                          <a:ln w="8280">
                            <a:solidFill>
                              <a:srgbClr val="000000"/>
                            </a:solidFill>
                            <a:round/>
                          </a:ln>
                        </wps:spPr>
                        <wps:txbx>
                          <w:txbxContent>
                            <w:p w14:paraId="6C8FC8B8">
                              <w:pPr>
                                <w:overflowPunct w:val="0"/>
                                <w:spacing w:before="97" w:line="252" w:lineRule="auto"/>
                                <w:ind w:left="346" w:hanging="244"/>
                                <w:jc w:val="center"/>
                              </w:pPr>
                              <w:r>
                                <w:rPr>
                                  <w:kern w:val="2"/>
                                  <w:sz w:val="16"/>
                                  <w:szCs w:val="16"/>
                                </w:rPr>
                                <w:t>Жарылыс</w:t>
                              </w:r>
                              <w:r>
                                <w:rPr>
                                  <w:kern w:val="2"/>
                                  <w:sz w:val="16"/>
                                  <w:szCs w:val="16"/>
                                  <w:lang w:val="kk-KZ"/>
                                </w:rPr>
                                <w:t xml:space="preserve">қа </w:t>
                              </w:r>
                              <w:r>
                                <w:rPr>
                                  <w:kern w:val="2"/>
                                  <w:sz w:val="16"/>
                                  <w:szCs w:val="16"/>
                                </w:rPr>
                                <w:t>қаупі бар бу-ауа қоспасының түзілуі</w:t>
                              </w:r>
                            </w:p>
                          </w:txbxContent>
                        </wps:txbx>
                        <wps:bodyPr wrap="square" lIns="0" tIns="0" rIns="0" bIns="0" anchor="t">
                          <a:noAutofit/>
                        </wps:bodyPr>
                      </wps:wsp>
                      <wps:wsp>
                        <wps:cNvPr id="58" name="Текстовое поле 58"/>
                        <wps:cNvSpPr txBox="1"/>
                        <wps:spPr>
                          <a:xfrm>
                            <a:off x="1423800" y="1183680"/>
                            <a:ext cx="865440" cy="364320"/>
                          </a:xfrm>
                          <a:prstGeom prst="rect">
                            <a:avLst/>
                          </a:prstGeom>
                          <a:noFill/>
                          <a:ln w="8280">
                            <a:solidFill>
                              <a:srgbClr val="000000"/>
                            </a:solidFill>
                            <a:round/>
                          </a:ln>
                        </wps:spPr>
                        <wps:txbx>
                          <w:txbxContent>
                            <w:p w14:paraId="42A90645">
                              <w:pPr>
                                <w:overflowPunct w:val="0"/>
                                <w:spacing w:before="66" w:line="252" w:lineRule="auto"/>
                                <w:ind w:left="123" w:hanging="54"/>
                                <w:jc w:val="center"/>
                              </w:pPr>
                              <w:r>
                                <w:rPr>
                                  <w:kern w:val="2"/>
                                  <w:sz w:val="16"/>
                                  <w:szCs w:val="16"/>
                                </w:rPr>
                                <w:t>Жер үсті және жер асты сулары</w:t>
                              </w:r>
                            </w:p>
                          </w:txbxContent>
                        </wps:txbx>
                        <wps:bodyPr wrap="square" lIns="0" tIns="0" rIns="0" bIns="0" anchor="t">
                          <a:noAutofit/>
                        </wps:bodyPr>
                      </wps:wsp>
                    </wpg:wgp>
                  </a:graphicData>
                </a:graphic>
              </wp:inline>
            </w:drawing>
          </mc:Choice>
          <mc:Fallback>
            <w:pict>
              <v:group id="Group 18" o:spid="_x0000_s1026" o:spt="203" style="height:257.4pt;width:450.7pt;" coordsize="5724000,3269160" o:gfxdata="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">
                <o:lock v:ext="edit" aspectratio="f"/>
                <v:shape id="_x0000_s1026" o:spid="_x0000_s1026" o:spt="100" style="position:absolute;left:1807920;top:169560;height:2266200;width:1908000;" filled="f" stroked="t" coordsize="2076450,2234565" o:gfxdata="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dDOp74A&#10;AADaAAAADwAAAAAAAAABACAAAAAiAAAAZHJzL2Rvd25yZXYueG1sUEsBAhQAFAAAAAgAh07iQDMv&#10;BZ47AAAAOQAAABAAAAAAAAAAAQAgAAAADQEAAGRycy9zaGFwZXhtbC54bWxQSwUGAAAAAAYABgBb&#10;AQAAtwMAAAAA&#10;" path="m108702,2233950l983061,2233950,983061,1666890,108702,1666890,108702,2233950xem1202312,2233950l2076449,2233950,2076449,1666890,1202312,1666890,1202312,2233950xem0,235324l0,0,721090,0e">
                  <v:fill on="f" focussize="0,0"/>
                  <v:stroke weight="0.651968503937008pt" color="#000000" joinstyle="round"/>
                  <v:imagedata o:title=""/>
                  <o:lock v:ext="edit" aspectratio="f"/>
                </v:shape>
                <v:shape id="_x0000_s1026" o:spid="_x0000_s1026" o:spt="100" style="position:absolute;left:1775520;top:398880;height:108720;width:64800;" fillcolor="#000000" filled="t" stroked="f" coordsize="71120,107314" o:gfxdata="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oqBBbsAAADa&#10;AAAADwAAAAAAAAABACAAAAAiAAAAZHJzL2Rvd25yZXYueG1sUEsBAhQAFAAAAAgAh07iQDMvBZ47&#10;AAAAOQAAABAAAAAAAAAAAQAgAAAACgEAAGRycy9zaGFwZXhtbC54bWxQSwUGAAAAAAYABgBbAQAA&#10;tAMAAAAA&#10;" path="m70920,0l0,0,35553,107185,70920,0xe">
                  <v:fill on="t" focussize="0,0"/>
                  <v:stroke on="f" weight="0pt"/>
                  <v:imagedata o:title=""/>
                  <o:lock v:ext="edit" aspectratio="f"/>
                </v:shape>
                <v:shape id="_x0000_s1026" o:spid="_x0000_s1026" o:spt="100" style="position:absolute;left:3414960;top:169560;height:238680;width:803160;" filled="f" stroked="t" coordsize="874394,235585" o:gfxdata="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tsUHb4A&#10;AADaAAAADwAAAAAAAAABACAAAAAiAAAAZHJzL2Rvd25yZXYueG1sUEsBAhQAFAAAAAgAh07iQDMv&#10;BZ47AAAAOQAAABAAAAAAAAAAAQAgAAAADQEAAGRycy9zaGFwZXhtbC54bWxQSwUGAAAAAAYABgBb&#10;AQAAtwMAAAAA&#10;" path="m874350,235324l874350,0,0,0e">
                  <v:fill on="f" focussize="0,0"/>
                  <v:stroke weight="0.651968503937008pt" color="#000000" joinstyle="round"/>
                  <v:imagedata o:title=""/>
                  <o:lock v:ext="edit" aspectratio="f"/>
                </v:shape>
                <v:shape id="_x0000_s1026" o:spid="_x0000_s1026" o:spt="100" style="position:absolute;left:4185360;top:398880;height:108720;width:65520;" fillcolor="#000000" filled="t" stroked="f" coordsize="71755,107314" o:gfxdata="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8JjCKLgAAADaAAAA&#10;DwAAAAAAAAABACAAAAAiAAAAZHJzL2Rvd25yZXYueG1sUEsBAhQAFAAAAAgAh07iQDMvBZ47AAAA&#10;OQAAABAAAAAAAAAAAQAgAAAABwEAAGRycy9zaGFwZXhtbC54bWxQSwUGAAAAAAYABgBbAQAAsQMA&#10;AAAA&#10;" path="m71570,0l0,0,36203,107185,71570,0xe">
                  <v:fill on="t" focussize="0,0"/>
                  <v:stroke on="f" weight="0pt"/>
                  <v:imagedata o:title=""/>
                  <o:lock v:ext="edit" aspectratio="f"/>
                </v:shape>
                <v:shape id="_x0000_s1026" o:spid="_x0000_s1026" o:spt="100" style="position:absolute;left:803880;top:831960;height:252000;width:401400;" filled="f" stroked="t" coordsize="436880,248920" o:gfxdata="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E48M28AAAA&#10;2gAAAA8AAAAAAAAAAQAgAAAAIgAAAGRycy9kb3ducmV2LnhtbFBLAQIUABQAAAAIAIdO4kAzLwWe&#10;OwAAADkAAAAQAAAAAAAAAAEAIAAAAAsBAABkcnMvc2hhcGV4bWwueG1sUEsFBgAAAAAGAAYAWwEA&#10;ALUDAAAAAA==&#10;" path="m0,248547l0,0,436655,0e">
                  <v:fill on="f" focussize="0,0"/>
                  <v:stroke weight="0.651968503937008pt" color="#000000" joinstyle="round"/>
                  <v:imagedata o:title=""/>
                  <o:lock v:ext="edit" aspectratio="f"/>
                </v:shape>
                <v:shape id="_x0000_s1026" o:spid="_x0000_s1026" o:spt="100" style="position:absolute;left:770760;top:1075680;height:108000;width:65520;" fillcolor="#000000" filled="t" stroked="f" coordsize="71755,106680" o:gfxdata="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1TQba/&#10;AAAA2wAAAA8AAAAAAAAAAQAgAAAAIgAAAGRycy9kb3ducmV2LnhtbFBLAQIUABQAAAAIAIdO4kAz&#10;LwWeOwAAADkAAAAQAAAAAAAAAAEAIAAAAA4BAABkcnMvc2hhcGV4bWwueG1sUEsFBgAAAAAGAAYA&#10;WwEAALgDAAAAAA==&#10;" path="m71589,0l0,0,36230,106347,71589,0xe">
                  <v:fill on="t" focussize="0,0"/>
                  <v:stroke on="f" weight="0pt"/>
                  <v:imagedata o:title=""/>
                  <o:lock v:ext="edit" aspectratio="f"/>
                </v:shape>
                <v:shape id="_x0000_s1026" o:spid="_x0000_s1026" o:spt="100" style="position:absolute;left:1908000;top:912960;height:170640;width:720;" filled="f" stroked="t" coordsize="1,168910" o:gfxdata="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16GUMugAAANsA&#10;AAAPAAAAAAAAAAEAIAAAACIAAABkcnMvZG93bnJldi54bWxQSwECFAAUAAAACACHTuJAMy8FnjsA&#10;AAA5AAAAEAAAAAAAAAABACAAAAAJAQAAZHJzL3NoYXBleG1sLnhtbFBLBQYAAAAABgAGAFsBAACz&#10;AwAAAAA=&#10;" path="m0,168368l0,0e">
                  <v:fill on="f" focussize="0,0"/>
                  <v:stroke weight="0.651968503937008pt" color="#000000" joinstyle="round"/>
                  <v:imagedata o:title=""/>
                  <o:lock v:ext="edit" aspectratio="f"/>
                </v:shape>
                <v:shape id="_x0000_s1026" o:spid="_x0000_s1026" o:spt="100" style="position:absolute;left:1875240;top:1075680;height:108000;width:65520;" fillcolor="#000000" filled="t" stroked="f" coordsize="71755,106680" o:gfxdata="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LNelq8AAAA&#10;2wAAAA8AAAAAAAAAAQAgAAAAIgAAAGRycy9kb3ducmV2LnhtbFBLAQIUABQAAAAIAIdO4kAzLwWe&#10;OwAAADkAAAAQAAAAAAAAAAEAIAAAAAsBAABkcnMvc2hhcGV4bWwueG1sUEsFBgAAAAAGAAYAWwEA&#10;ALUDAAAAAA==&#10;" path="m71756,0l0,0,35553,106347,71756,0xe">
                  <v:fill on="t" focussize="0,0"/>
                  <v:stroke on="f" weight="0pt"/>
                  <v:imagedata o:title=""/>
                  <o:lock v:ext="edit" aspectratio="f"/>
                </v:shape>
                <v:shape id="_x0000_s1026" o:spid="_x0000_s1026" o:spt="100" style="position:absolute;left:2510640;top:845280;height:238680;width:301680;" filled="f" stroked="t" coordsize="328295,235585" o:gfxdata="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rnl0MtwAAANsAAAAP&#10;AAAAAAAAAAEAIAAAACIAAABkcnMvZG93bnJldi54bWxQSwECFAAUAAAACACHTuJAMy8FnjsAAAA5&#10;AAAAEAAAAAAAAAABACAAAAAGAQAAZHJzL3NoYXBleG1sLnhtbFBLBQYAAAAABgAGAFsBAACwAwAA&#10;AAA=&#10;" path="m328148,235324l328148,0,0,0e">
                  <v:fill on="f" focussize="0,0"/>
                  <v:stroke weight="0.651968503937008pt" color="#000000" joinstyle="round"/>
                  <v:imagedata o:title=""/>
                  <o:lock v:ext="edit" aspectratio="f"/>
                </v:shape>
                <v:shape id="_x0000_s1026" o:spid="_x0000_s1026" o:spt="100" style="position:absolute;left:2779560;top:1075680;height:108000;width:64800;" fillcolor="#000000" filled="t" stroked="f" coordsize="71120,106680" o:gfxdata="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GIzQ2bgAAADbAAAA&#10;DwAAAAAAAAABACAAAAAiAAAAZHJzL2Rvd25yZXYueG1sUEsBAhQAFAAAAAgAh07iQDMvBZ47AAAA&#10;OQAAABAAAAAAAAAAAQAgAAAABwEAAGRycy9zaGFwZXhtbC54bWxQSwUGAAAAAAYABgBbAQAAsQMA&#10;AAAA&#10;" path="m70828,0l0,0,35553,106347,70828,0xe">
                  <v:fill on="t" focussize="0,0"/>
                  <v:stroke on="f" weight="0pt"/>
                  <v:imagedata o:title=""/>
                  <o:lock v:ext="edit" aspectratio="f"/>
                </v:shape>
                <v:shape id="_x0000_s1026" o:spid="_x0000_s1026" o:spt="100" style="position:absolute;left:301680;top:1352520;height:408240;width:200520;" filled="f" stroked="t" coordsize="218440,402590" o:gfxdata="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lmpLLsAAADb&#10;AAAADwAAAAAAAAABACAAAAAiAAAAZHJzL2Rvd25yZXYueG1sUEsBAhQAFAAAAAgAh07iQDMvBZ47&#10;AAAAOQAAABAAAAAAAAAAAQAgAAAACgEAAGRycy9zaGFwZXhtbC54bWxQSwUGAAAAAAYABgBbAQAA&#10;tAMAAAAA&#10;" path="m0,402109l0,0,218304,0e">
                  <v:fill on="f" focussize="0,0"/>
                  <v:stroke weight="0.651968503937008pt" color="#000000" joinstyle="round"/>
                  <v:imagedata o:title=""/>
                  <o:lock v:ext="edit" aspectratio="f"/>
                </v:shape>
                <v:shape id="_x0000_s1026" o:spid="_x0000_s1026" o:spt="100" style="position:absolute;left:268560;top:1751400;height:109080;width:65880;" fillcolor="#000000" filled="t" stroked="f" coordsize="72390,107950" o:gfxdata="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X7OCrsAAADb&#10;AAAADwAAAAAAAAABACAAAAAiAAAAZHJzL2Rvd25yZXYueG1sUEsBAhQAFAAAAAgAh07iQDMvBZ47&#10;AAAAOQAAABAAAAAAAAAAAQAgAAAACgEAAGRycy9zaGFwZXhtbC54bWxQSwUGAAAAAAYABgBbAQAA&#10;tAMAAAAA&#10;" path="m71784,0l0,0,36230,107465,71784,0xe">
                  <v:fill on="t" focussize="0,0"/>
                  <v:stroke on="f" weight="0pt"/>
                  <v:imagedata o:title=""/>
                  <o:lock v:ext="edit" aspectratio="f"/>
                </v:shape>
                <v:shape id="_x0000_s1026" o:spid="_x0000_s1026" o:spt="100" style="position:absolute;left:1104286;top:1352624;height:408327;width:151133;" filled="f" stroked="t" coordsize="109855,402590" o:gfxdata="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oSdC65AAAA2wAA&#10;AA8AAAAAAAAAAQAgAAAAIgAAAGRycy9kb3ducmV2LnhtbFBLAQIUABQAAAAIAIdO4kAzLwWeOwAA&#10;ADkAAAAQAAAAAAAAAAEAIAAAAAgBAABkcnMvc2hhcGV4bWwueG1sUEsFBgAAAAAGAAYAWwEAALID&#10;AAAAAA==&#10;" path="m109630,402109l109630,0,0,0e">
                  <v:fill on="f" focussize="0,0"/>
                  <v:stroke weight="0.651968503937008pt" color="#000000" joinstyle="round"/>
                  <v:imagedata o:title=""/>
                  <o:lock v:ext="edit" aspectratio="f"/>
                </v:shape>
                <v:shape id="_x0000_s1026" o:spid="_x0000_s1026" o:spt="100" style="position:absolute;left:1242719;top:1751426;height:109226;width:64771;" fillcolor="#000000" filled="t" stroked="f" coordsize="71120,107950" o:gfxdata="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oDw/r4A&#10;AADbAAAADwAAAAAAAAABACAAAAAiAAAAZHJzL2Rvd25yZXYueG1sUEsBAhQAFAAAAAgAh07iQDMv&#10;BZ47AAAAOQAAABAAAAAAAAAAAQAgAAAADQEAAGRycy9zaGFwZXhtbC54bWxQSwUGAAAAAAYABgBb&#10;AQAAtwMAAAAA&#10;" path="m70920,0l0,0,35367,107465,70920,0xe">
                  <v:fill on="t" focussize="0,0"/>
                  <v:stroke on="f" weight="0pt"/>
                  <v:imagedata o:title=""/>
                  <o:lock v:ext="edit" aspectratio="f"/>
                </v:shape>
                <v:shape id="_x0000_s1026" o:spid="_x0000_s1026" o:spt="100" style="position:absolute;left:1004400;top:2468880;height:170640;width:720;" filled="f" stroked="t" coordsize="1,168910" o:gfxdata="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ueaQq5AAAA2wAA&#10;AA8AAAAAAAAAAQAgAAAAIgAAAGRycy9kb3ducmV2LnhtbFBLAQIUABQAAAAIAIdO4kAzLwWeOwAA&#10;ADkAAAAQAAAAAAAAAAEAIAAAAAgBAABkcnMvc2hhcGV4bWwueG1sUEsFBgAAAAAGAAYAWwEAALID&#10;AAAAAA==&#10;" path="m0,168572l0,0e">
                  <v:fill on="f" focussize="0,0"/>
                  <v:stroke weight="0.651968503937008pt" color="#000000" joinstyle="round"/>
                  <v:imagedata o:title=""/>
                  <o:lock v:ext="edit" aspectratio="f"/>
                </v:shape>
                <v:shape id="_x0000_s1026" o:spid="_x0000_s1026" o:spt="100" style="position:absolute;left:971640;top:2630160;height:108720;width:64800;" fillcolor="#000000" filled="t" stroked="f" coordsize="71120,107314" o:gfxdata="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8D+N6LgAAADbAAAA&#10;DwAAAAAAAAABACAAAAAiAAAAZHJzL2Rvd25yZXYueG1sUEsBAhQAFAAAAAgAh07iQDMvBZ47AAAA&#10;OQAAABAAAAAAAAAAAQAgAAAABwEAAGRycy9zaGFwZXhtbC54bWxQSwUGAAAAAAYABgBbAQAAsQMA&#10;AAAA&#10;" path="m70828,0l0,0,35553,107232,70828,0xe">
                  <v:fill on="t" focussize="0,0"/>
                  <v:stroke on="f" weight="0pt"/>
                  <v:imagedata o:title=""/>
                  <o:lock v:ext="edit" aspectratio="f"/>
                </v:shape>
                <v:shape id="_x0000_s1026" o:spid="_x0000_s1026" o:spt="100" style="position:absolute;left:1908000;top:1547640;height:212760;width:402120;" filled="f" stroked="t" coordsize="437515,210185" o:gfxdata="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OL5Vi8AAAA&#10;2wAAAA8AAAAAAAAAAQAgAAAAIgAAAGRycy9kb3ducmV2LnhtbFBLAQIUABQAAAAIAIdO4kAzLwWe&#10;OwAAADkAAAAQAAAAAAAAAAEAIAAAAAsBAABkcnMvc2hhcGV4bWwueG1sUEsFBgAAAAAGAAYAWwEA&#10;ALUDAAAAAA==&#10;" path="m437500,209715l437500,141362,0,141362,0,0e">
                  <v:fill on="f" focussize="0,0"/>
                  <v:stroke weight="0.651968503937008pt" color="#000000" joinstyle="round"/>
                  <v:imagedata o:title=""/>
                  <o:lock v:ext="edit" aspectratio="f"/>
                </v:shape>
                <v:shape id="_x0000_s1026" o:spid="_x0000_s1026" o:spt="100" style="position:absolute;left:2277720;top:1751400;height:109080;width:64800;" fillcolor="#000000" filled="t" stroked="f" coordsize="71120,107950" o:gfxdata="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tBA2pvQAA&#10;ANsAAAAPAAAAAAAAAAEAIAAAACIAAABkcnMvZG93bnJldi54bWxQSwECFAAUAAAACACHTuJAMy8F&#10;njsAAAA5AAAAEAAAAAAAAAABACAAAAAMAQAAZHJzL3NoYXBleG1sLnhtbFBLBQYAAAAABgAGAFsB&#10;AAC2AwAAAAA=&#10;" path="m70828,0l0,0,35274,107465,70828,0xe">
                  <v:fill on="t" focussize="0,0"/>
                  <v:stroke on="f" weight="0pt"/>
                  <v:imagedata o:title=""/>
                  <o:lock v:ext="edit" aspectratio="f"/>
                </v:shape>
                <v:shape id="_x0000_s1026" o:spid="_x0000_s1026" o:spt="100" style="position:absolute;left:2310120;top:2435400;height:204480;width:502200;" filled="f" stroked="t" coordsize="546735,201930" o:gfxdata="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rQqlu/&#10;AAAA2wAAAA8AAAAAAAAAAQAgAAAAIgAAAGRycy9kb3ducmV2LnhtbFBLAQIUABQAAAAIAIdO4kAz&#10;LwWeOwAAADkAAAAQAAAAAAAAAAEAIAAAAA4BAABkcnMvc2hhcGV4bWwueG1sUEsFBgAAAAAGAAYA&#10;WwEAALgDAAAAAA==&#10;" path="m546480,201482l546480,165807,0,165807,0,0e">
                  <v:fill on="f" focussize="0,0"/>
                  <v:stroke weight="0.651968503937008pt" color="#000000" joinstyle="round"/>
                  <v:imagedata o:title=""/>
                  <o:lock v:ext="edit" aspectratio="f"/>
                </v:shape>
                <v:shape id="_x0000_s1026" o:spid="_x0000_s1026" o:spt="100" style="position:absolute;left:2779560;top:2630160;height:108720;width:64800;" fillcolor="#000000" filled="t" stroked="f" coordsize="71120,107314" o:gfxdata="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8Ei+u8AAAA&#10;2wAAAA8AAAAAAAAAAQAgAAAAIgAAAGRycy9kb3ducmV2LnhtbFBLAQIUABQAAAAIAIdO4kAzLwWe&#10;OwAAADkAAAAQAAAAAAAAAAEAIAAAAAsBAABkcnMvc2hhcGV4bWwueG1sUEsFBgAAAAAGAAYAWwEA&#10;ALUDAAAAAA==&#10;" path="m70828,0l0,0,35553,107232,70828,0xe">
                  <v:fill on="t" focussize="0,0"/>
                  <v:stroke on="f" weight="0pt"/>
                  <v:imagedata o:title=""/>
                  <o:lock v:ext="edit" aspectratio="f"/>
                </v:shape>
                <v:shape id="_x0000_s1026" o:spid="_x0000_s1026" o:spt="100" style="position:absolute;left:803880;top:2435400;height:833760;width:2510280;" filled="f" stroked="t" coordsize="2731770,822325" o:gfxdata="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exr2vQAA&#10;ANsAAAAPAAAAAAAAAAEAIAAAACIAAABkcnMvZG93bnJldi54bWxQSwECFAAUAAAACACHTuJAMy8F&#10;njsAAAA5AAAAEAAAAAAAAAABACAAAAAMAQAAZHJzL3NoYXBleG1sLnhtbFBLBQYAAAAABgAGAFsB&#10;AAC2AwAAAAA=&#10;" path="m2185355,166719l2731557,166719,2731557,0em2185355,731507l2185355,822154,0,822154,0,633131e">
                  <v:fill on="f" focussize="0,0"/>
                  <v:stroke weight="0.651968503937008pt" color="#000000" joinstyle="round"/>
                  <v:imagedata o:title=""/>
                  <o:lock v:ext="edit" aspectratio="f"/>
                </v:shape>
                <v:shape id="_x0000_s1026" o:spid="_x0000_s1026" o:spt="100" style="position:absolute;left:2779560;top:3077280;height:109080;width:64800;" fillcolor="#000000" filled="t" stroked="f" coordsize="71120,107950" o:gfxdata="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SPwuqvQAA&#10;ANsAAAAPAAAAAAAAAAEAIAAAACIAAABkcnMvZG93bnJldi54bWxQSwECFAAUAAAACACHTuJAMy8F&#10;njsAAAA5AAAAEAAAAAAAAAABACAAAAAMAQAAZHJzL3NoYXBleG1sLnhtbFBLBQYAAAAABgAGAFsB&#10;AAC2AwAAAAA=&#10;" path="m35553,0l0,107465,70828,107465,35553,0xe">
                  <v:fill on="t" focussize="0,0"/>
                  <v:stroke on="f" weight="0pt"/>
                  <v:imagedata o:title=""/>
                  <o:lock v:ext="edit" aspectratio="f"/>
                </v:shape>
                <v:shape id="_x0000_s1026" o:spid="_x0000_s1026" o:spt="100" style="position:absolute;left:3369240;top:912960;height:1285200;width:1450800;" filled="f" stroked="t" coordsize="1579245,1267460" o:gfxdata="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Y/99vQAA&#10;ANsAAAAPAAAAAAAAAAEAIAAAACIAAABkcnMvZG93bnJldi54bWxQSwECFAAUAAAACACHTuJAMy8F&#10;njsAAAA5AAAAEAAAAAAAAAABACAAAAAMAQAAZHJzL3NoYXBleG1sLnhtbFBLBQYAAAAABgAGAFsB&#10;AAC2AwAAAAA=&#10;" path="m814104,1267323l1578861,1267323,1578861,933809,814104,933809,814104,1267323xem0,600276l1464274,600276,1464274,266539,0,266539,0,600276xem686372,169299l686372,122271,1032436,122271,1032436,0e">
                  <v:fill on="f" focussize="0,0"/>
                  <v:stroke weight="0.651968503937008pt" color="#000000" joinstyle="round"/>
                  <v:imagedata o:title=""/>
                  <o:lock v:ext="edit" aspectratio="f"/>
                </v:shape>
                <v:shape id="_x0000_s1026" o:spid="_x0000_s1026" o:spt="100" style="position:absolute;left:3966840;top:1075680;height:108000;width:65520;" fillcolor="#000000" filled="t" stroked="f" coordsize="71755,106680" o:gfxdata="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1Jhw28AAAA&#10;2wAAAA8AAAAAAAAAAQAgAAAAIgAAAGRycy9kb3ducmV2LnhtbFBLAQIUABQAAAAIAIdO4kAzLwWe&#10;OwAAADkAAAAQAAAAAAAAAAEAIAAAAAsBAABkcnMvc2hhcGV4bWwueG1sUEsFBgAAAAAGAAYAWwEA&#10;ALUDAAAAAA==&#10;" path="m71570,0l0,0,36203,106347,71570,0xe">
                  <v:fill on="t" focussize="0,0"/>
                  <v:stroke on="f" weight="0pt"/>
                  <v:imagedata o:title=""/>
                  <o:lock v:ext="edit" aspectratio="f"/>
                </v:shape>
                <v:shape id="_x0000_s1026" o:spid="_x0000_s1026" o:spt="100" style="position:absolute;left:4318560;top:1036800;height:48240;width:904320;" filled="f" stroked="t" coordsize="984250,47625" o:gfxdata="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z9saL4A&#10;AADbAAAADwAAAAAAAAABACAAAAAiAAAAZHJzL2Rvd25yZXYueG1sUEsBAhQAFAAAAAgAh07iQDMv&#10;BZ47AAAAOQAAABAAAAAAAAAAAQAgAAAADQEAAGRycy9zaGFwZXhtbC54bWxQSwUGAAAAAAYABgBb&#10;AQAAtwMAAAAA&#10;" path="m983980,47027l983980,0,0,0e">
                  <v:fill on="f" focussize="0,0"/>
                  <v:stroke weight="0.651968503937008pt" color="#000000" joinstyle="round"/>
                  <v:imagedata o:title=""/>
                  <o:lock v:ext="edit" aspectratio="f"/>
                </v:shape>
                <v:shape id="_x0000_s1026" o:spid="_x0000_s1026" o:spt="100" style="position:absolute;left:5189760;top:1075680;height:108000;width:64800;" fillcolor="#000000" filled="t" stroked="f" coordsize="71120,106680" o:gfxdata="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LAKKurgAAADbAAAA&#10;DwAAAAAAAAABACAAAAAiAAAAZHJzL2Rvd25yZXYueG1sUEsBAhQAFAAAAAgAh07iQDMvBZ47AAAA&#10;OQAAABAAAAAAAAAAAQAgAAAABwEAAGRycy9zaGFwZXhtbC54bWxQSwUGAAAAAAYABgBbAQAAsQMA&#10;AAAA&#10;" path="m70828,0l0,0,35553,106347,70828,0xe">
                  <v:fill on="t" focussize="0,0"/>
                  <v:stroke on="f" weight="0pt"/>
                  <v:imagedata o:title=""/>
                  <o:lock v:ext="edit" aspectratio="f"/>
                </v:shape>
                <v:shape id="_x0000_s1026" o:spid="_x0000_s1026" o:spt="100" style="position:absolute;left:4318560;top:2536920;height:69120;width:602640;" filled="f" stroked="t" coordsize="655955,68580" o:gfxdata="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EhuzS8AAAA&#10;2wAAAA8AAAAAAAAAAQAgAAAAIgAAAGRycy9kb3ducmV2LnhtbFBLAQIUABQAAAAIAIdO4kAzLwWe&#10;OwAAADkAAAAQAAAAAAAAAAEAIAAAAAsBAABkcnMvc2hhcGV4bWwueG1sUEsFBgAAAAAGAAYAWwEA&#10;ALUDAAAAAA==&#10;" path="m0,68390l0,0,655832,0e">
                  <v:fill on="f" focussize="0,0"/>
                  <v:stroke weight="0.651968503937008pt" color="#000000" joinstyle="round"/>
                  <v:imagedata o:title=""/>
                  <o:lock v:ext="edit" aspectratio="f"/>
                </v:shape>
                <v:shape id="_x0000_s1026" o:spid="_x0000_s1026" o:spt="100" style="position:absolute;left:4286160;top:2596680;height:109080;width:64800;" fillcolor="#000000" filled="t" stroked="f" coordsize="71120,107950" o:gfxdata="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N2bdL4A&#10;AADbAAAADwAAAAAAAAABACAAAAAiAAAAZHJzL2Rvd25yZXYueG1sUEsBAhQAFAAAAAgAh07iQDMv&#10;BZ47AAAAOQAAABAAAAAAAAAAAQAgAAAADQEAAGRycy9zaGFwZXhtbC54bWxQSwUGAAAAAAYABgBb&#10;AQAAtwMAAAAA&#10;" path="m70920,0l0,0,35367,107455,70920,0xe">
                  <v:fill on="t" focussize="0,0"/>
                  <v:stroke on="f" weight="0pt"/>
                  <v:imagedata o:title=""/>
                  <o:lock v:ext="edit" aspectratio="f"/>
                </v:shape>
                <v:shape id="_x0000_s1026" o:spid="_x0000_s1026" o:spt="100" style="position:absolute;left:4519800;top:1352520;height:408240;width:441360;" filled="f" stroked="t" coordsize="480695,402590" o:gfxdata="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eq9nEvQAA&#10;ANsAAAAPAAAAAAAAAAEAIAAAACIAAABkcnMvZG93bnJldi54bWxQSwECFAAUAAAACACHTuJAMy8F&#10;njsAAAA5AAAAEAAAAAAAAAABACAAAAAMAQAAZHJzL3NoYXBleG1sLnhtbFBLBQYAAAAABgAGAFsB&#10;AAC2AwAAAAA=&#10;" path="m0,402109l0,333756,327312,333756,327312,0,480386,0e">
                  <v:fill on="f" focussize="0,0"/>
                  <v:stroke weight="0.651968503937008pt" color="#000000" joinstyle="round"/>
                  <v:imagedata o:title=""/>
                  <o:lock v:ext="edit" aspectratio="f"/>
                </v:shape>
                <v:shape id="_x0000_s1026" o:spid="_x0000_s1026" o:spt="100" style="position:absolute;left:4487040;top:1752120;height:108000;width:65520;" fillcolor="#000000" filled="t" stroked="f" coordsize="71755,106680" o:gfxdata="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d0b1b4A&#10;AADbAAAADwAAAAAAAAABACAAAAAiAAAAZHJzL2Rvd25yZXYueG1sUEsBAhQAFAAAAAgAh07iQDMv&#10;BZ47AAAAOQAAABAAAAAAAAAAAQAgAAAADQEAAGRycy9zaGFwZXhtbC54bWxQSwUGAAAAAAYABgBb&#10;AQAAtwMAAAAA&#10;" path="m71570,0l0,0,36203,106533,71570,0xe">
                  <v:fill on="t" focussize="0,0"/>
                  <v:stroke on="f" weight="0pt"/>
                  <v:imagedata o:title=""/>
                  <o:lock v:ext="edit" aspectratio="f"/>
                </v:shape>
                <v:shape id="_x0000_s1026" o:spid="_x0000_s1026" o:spt="100" style="position:absolute;left:4820760;top:1690920;height:69120;width:502200;" filled="f" stroked="t" coordsize="546735,68580" o:gfxdata="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5+h6CvQAA&#10;ANsAAAAPAAAAAAAAAAEAIAAAACIAAABkcnMvZG93bnJldi54bWxQSwECFAAUAAAACACHTuJAMy8F&#10;njsAAAA5AAAAEAAAAAAAAAABACAAAAAMAQAAZHJzL3NoYXBleG1sLnhtbFBLBQYAAAAABgAGAFsB&#10;AAC2AwAAAAA=&#10;" path="m546202,68352l546202,0,0,0e">
                  <v:fill on="f" focussize="0,0"/>
                  <v:stroke weight="0.651968503937008pt" color="#000000" joinstyle="round"/>
                  <v:imagedata o:title=""/>
                  <o:lock v:ext="edit" aspectratio="f"/>
                </v:shape>
                <v:shape id="_x0000_s1026" o:spid="_x0000_s1026" o:spt="100" style="position:absolute;left:5290200;top:1752120;height:108000;width:65520;" fillcolor="#000000" filled="t" stroked="f" coordsize="71755,106680" o:gfxdata="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ZDIDm/&#10;AAAA2wAAAA8AAAAAAAAAAQAgAAAAIgAAAGRycy9kb3ducmV2LnhtbFBLAQIUABQAAAAIAIdO4kAz&#10;LwWeOwAAADkAAAAQAAAAAAAAAAEAIAAAAA4BAABkcnMvc2hhcGV4bWwueG1sUEsFBgAAAAAGAAYA&#10;WwEAALgDAAAAAA==&#10;" path="m71570,0l0,0,35367,106533,71570,0xe">
                  <v:fill on="t" focussize="0,0"/>
                  <v:stroke on="f" weight="0pt"/>
                  <v:imagedata o:title=""/>
                  <o:lock v:ext="edit" aspectratio="f"/>
                </v:shape>
                <v:shape id="_x0000_s1026" o:spid="_x0000_s1026" o:spt="100" style="position:absolute;left:4921200;top:2536920;height:69120;width:502200;" filled="f" stroked="t" coordsize="546735,68580" o:gfxdata="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mZCVuvQAA&#10;ANsAAAAPAAAAAAAAAAEAIAAAACIAAABkcnMvZG93bnJldi54bWxQSwECFAAUAAAACACHTuJAMy8F&#10;njsAAAA5AAAAEAAAAAAAAAABACAAAAAMAQAAZHJzL3NoYXBleG1sLnhtbFBLBQYAAAAABgAGAFsB&#10;AAC2AwAAAAA=&#10;" path="m546480,68390l546480,10681,0,0e">
                  <v:fill on="f" focussize="0,0"/>
                  <v:stroke weight="0.651968503937008pt" color="#000000" joinstyle="round"/>
                  <v:imagedata o:title=""/>
                  <o:lock v:ext="edit" aspectratio="f"/>
                </v:shape>
                <v:shape id="_x0000_s1026" o:spid="_x0000_s1026" o:spt="100" style="position:absolute;left:5390640;top:2596680;height:109080;width:64800;" fillcolor="#000000" filled="t" stroked="f" coordsize="71120,107950" o:gfxdata="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JNayeugAAANsA&#10;AAAPAAAAAAAAAAEAIAAAACIAAABkcnMvZG93bnJldi54bWxQSwECFAAUAAAACACHTuJAMy8FnjsA&#10;AAA5AAAAEAAAAAAAAAABACAAAAAJAQAAZHJzL3NoYXBleG1sLnhtbFBLBQYAAAAABgAGAFsBAACz&#10;AwAAAAA=&#10;" path="m70828,0l0,0,35553,107455,70828,0xe">
                  <v:fill on="t" focussize="0,0"/>
                  <v:stroke on="f" weight="0pt"/>
                  <v:imagedata o:title=""/>
                  <o:lock v:ext="edit" aspectratio="f"/>
                </v:shape>
                <v:shape id="_x0000_s1026" o:spid="_x0000_s1026" o:spt="100" style="position:absolute;left:2410920;top:1012680;height:1523880;width:2560320;" filled="f" stroked="t" coordsize="2786380,1503045" o:gfxdata="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JAOju/&#10;AAAA2wAAAA8AAAAAAAAAAQAgAAAAIgAAAGRycy9kb3ducmV2LnhtbFBLAQIUABQAAAAIAIdO4kAz&#10;LwWeOwAAADkAAAAQAAAAAAAAAAEAIAAAAA4BAABkcnMvc2hhcGV4bWwueG1sUEsFBgAAAAAGAAYA&#10;WwEAALgDAAAAAA==&#10;" path="m2731567,1502647l2731567,1002386,2786150,1002386em0,0l0,668909,1639163,668909,1639163,1002386,1857402,1002386e">
                  <v:fill on="f" focussize="0,0"/>
                  <v:stroke weight="0.651968503937008pt" color="#000000" joinstyle="round"/>
                  <v:imagedata o:title=""/>
                  <o:lock v:ext="edit" aspectratio="f"/>
                </v:shape>
                <v:shape id="_x0000_s1026" o:spid="_x0000_s1026" o:spt="100" style="position:absolute;left:2377440;top:912960;height:108720;width:65520;" fillcolor="#000000" filled="t" stroked="f" coordsize="71755,107314" o:gfxdata="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MERSlugAAANsA&#10;AAAPAAAAAAAAAAEAIAAAACIAAABkcnMvZG93bnJldi54bWxQSwECFAAUAAAACACHTuJAMy8FnjsA&#10;AAA5AAAAEAAAAAAAAAABACAAAAAJAQAAZHJzL3NoYXBleG1sLnhtbFBLBQYAAAAABgAGAFsBAACz&#10;AwAAAAA=&#10;" path="m35274,0l0,107278,71756,107278,35274,0xe">
                  <v:fill on="t" focussize="0,0"/>
                  <v:stroke on="f" weight="0pt"/>
                  <v:imagedata o:title=""/>
                  <o:lock v:ext="edit" aspectratio="f"/>
                </v:shape>
                <v:shape id="_x0000_s1026" o:spid="_x0000_s1026" o:spt="202" type="#_x0000_t202" style="position:absolute;left:3011760;top:1879560;height:525240;width:614520;" filled="f" stroked="f" coordsize="21600,21600" o:gfxdata="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lTA0a/&#10;AAAA2wAAAA8AAAAAAAAAAQAgAAAAIgAAAGRycy9kb3ducmV2LnhtbFBLAQIUABQAAAAIAIdO4kAz&#10;LwWeOwAAADkAAAAQAAAAAAAAAAEAIAAAAA4BAABkcnMvc2hhcGV4bWwueG1sUEsFBgAAAAAGAAYA&#10;WwEAALgDAAAAAA==&#10;">
                  <v:fill on="f" focussize="0,0"/>
                  <v:stroke on="f" weight="0pt"/>
                  <v:imagedata o:title=""/>
                  <o:lock v:ext="edit" aspectratio="f"/>
                  <v:textbox inset="0mm,0mm,0mm,0mm">
                    <w:txbxContent>
                      <w:p w14:paraId="30A0FF02">
                        <w:pPr>
                          <w:overflowPunct w:val="0"/>
                          <w:spacing w:line="252" w:lineRule="auto"/>
                          <w:ind w:left="1" w:right="19"/>
                          <w:jc w:val="center"/>
                        </w:pPr>
                        <w:r>
                          <w:rPr>
                            <w:spacing w:val="-2"/>
                            <w:kern w:val="2"/>
                            <w:sz w:val="16"/>
                            <w:szCs w:val="16"/>
                          </w:rPr>
                          <w:t>Ауаның уытты заттармен ластануы</w:t>
                        </w:r>
                      </w:p>
                    </w:txbxContent>
                  </v:textbox>
                </v:shape>
                <v:shape id="_x0000_s1026" o:spid="_x0000_s1026" o:spt="202" type="#_x0000_t202" style="position:absolute;left:0;top:1859760;height:608400;width:793080;" filled="f" stroked="t" coordsize="21600,21600" o:gfxdata="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Xz3N65AAAA2wAA&#10;AA8AAAAAAAAAAQAgAAAAIgAAAGRycy9kb3ducmV2LnhtbFBLAQIUABQAAAAIAIdO4kAzLwWeOwAA&#10;ADkAAAAQAAAAAAAAAAEAIAAAAAgBAABkcnMvc2hhcGV4bWwueG1sUEsFBgAAAAAGAAYAWwEAALID&#10;AAAAAA==&#10;">
                  <v:fill on="f" focussize="0,0"/>
                  <v:stroke weight="0.651968503937008pt" color="#000000" joinstyle="round"/>
                  <v:imagedata o:title=""/>
                  <o:lock v:ext="edit" aspectratio="f"/>
                  <v:textbox inset="0mm,0mm,0mm,0mm">
                    <w:txbxContent>
                      <w:p w14:paraId="4F17123C">
                        <w:pPr>
                          <w:overflowPunct w:val="0"/>
                          <w:spacing w:before="150" w:line="252" w:lineRule="auto"/>
                          <w:ind w:left="98" w:right="98" w:hanging="1"/>
                          <w:jc w:val="center"/>
                        </w:pPr>
                        <w:r>
                          <w:rPr>
                            <w:spacing w:val="-2"/>
                            <w:kern w:val="2"/>
                            <w:sz w:val="16"/>
                            <w:szCs w:val="16"/>
                          </w:rPr>
                          <w:t>Топырақ өсімдіктерінің деградациясы</w:t>
                        </w:r>
                      </w:p>
                    </w:txbxContent>
                  </v:textbox>
                </v:shape>
                <v:shape id="_x0000_s1026" o:spid="_x0000_s1026" o:spt="202" type="#_x0000_t202" style="position:absolute;left:851040;top:1859760;height:608400;width:958320;" filled="f" stroked="t" coordsize="21600,21600" o:gfxdata="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av3lFugAAANsA&#10;AAAPAAAAAAAAAAEAIAAAACIAAABkcnMvZG93bnJldi54bWxQSwECFAAUAAAACACHTuJAMy8FnjsA&#10;AAA5AAAAEAAAAAAAAAABACAAAAAJAQAAZHJzL3NoYXBleG1sLnhtbFBLBQYAAAAABgAGAFsBAACz&#10;AwAAAAA=&#10;">
                  <v:fill on="f" focussize="0,0"/>
                  <v:stroke weight="0.651968503937008pt" color="#000000" joinstyle="round"/>
                  <v:imagedata o:title=""/>
                  <o:lock v:ext="edit" aspectratio="f"/>
                  <v:textbox inset="0mm,0mm,0mm,0mm">
                    <w:txbxContent>
                      <w:p w14:paraId="26678330">
                        <w:pPr>
                          <w:overflowPunct w:val="0"/>
                          <w:spacing w:before="150" w:line="252" w:lineRule="auto"/>
                          <w:ind w:left="76" w:right="77" w:firstLine="2"/>
                          <w:jc w:val="center"/>
                        </w:pPr>
                        <w:r>
                          <w:rPr>
                            <w:kern w:val="2"/>
                            <w:sz w:val="16"/>
                            <w:szCs w:val="16"/>
                          </w:rPr>
                          <w:t>Заттардың физикалық-химиялық құрамының өзгеруі</w:t>
                        </w:r>
                      </w:p>
                    </w:txbxContent>
                  </v:textbox>
                </v:shape>
                <v:shape id="_x0000_s1026" o:spid="_x0000_s1026" o:spt="202" type="#_x0000_t202" style="position:absolute;left:489594;top:1183070;height:319423;width:664858;" filled="f" stroked="t" coordsize="21600,21600" o:gfxdata="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VW4TG5AAAA2wAA&#10;AA8AAAAAAAAAAQAgAAAAIgAAAGRycy9kb3ducmV2LnhtbFBLAQIUABQAAAAIAIdO4kAzLwWeOwAA&#10;ADkAAAAQAAAAAAAAAAEAIAAAAAgBAABkcnMvc2hhcGV4bWwueG1sUEsFBgAAAAAGAAYAWwEAALID&#10;AAAAAA==&#10;">
                  <v:fill on="f" focussize="0,0"/>
                  <v:stroke weight="0.651968503937008pt" color="#000000" joinstyle="round"/>
                  <v:imagedata o:title=""/>
                  <o:lock v:ext="edit" aspectratio="f"/>
                  <v:textbox inset="0mm,0mm,0mm,0mm">
                    <w:txbxContent>
                      <w:p w14:paraId="62CAAFA9">
                        <w:pPr>
                          <w:overflowPunct w:val="0"/>
                          <w:spacing w:before="45" w:line="254" w:lineRule="auto"/>
                          <w:ind w:left="245" w:firstLine="2"/>
                          <w:jc w:val="left"/>
                        </w:pPr>
                        <w:r>
                          <w:rPr>
                            <w:spacing w:val="-2"/>
                            <w:kern w:val="2"/>
                            <w:sz w:val="16"/>
                            <w:szCs w:val="16"/>
                          </w:rPr>
                          <w:t>Топырақ</w:t>
                        </w:r>
                      </w:p>
                    </w:txbxContent>
                  </v:textbox>
                </v:shape>
                <v:shape id="_x0000_s1026" o:spid="_x0000_s1026" o:spt="202" type="#_x0000_t202" style="position:absolute;left:2470832;top:0;height:458495;width:943628;" filled="f" stroked="t" coordsize="21600,21600" o:gfxdata="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oaRKq5AAAA2wAA&#10;AA8AAAAAAAAAAQAgAAAAIgAAAGRycy9kb3ducmV2LnhtbFBLAQIUABQAAAAIAIdO4kAzLwWeOwAA&#10;ADkAAAAQAAAAAAAAAAEAIAAAAAgBAABkcnMvc2hhcGV4bWwueG1sUEsFBgAAAAAGAAYAWwEAALID&#10;AAAAAA==&#10;">
                  <v:fill on="f" focussize="0,0"/>
                  <v:stroke weight="0.651968503937008pt" color="#000000" joinstyle="round"/>
                  <v:imagedata o:title=""/>
                  <o:lock v:ext="edit" aspectratio="f"/>
                  <v:textbox inset="0mm,0mm,0mm,0mm">
                    <w:txbxContent>
                      <w:p w14:paraId="4E552DD5">
                        <w:pPr>
                          <w:overflowPunct w:val="0"/>
                          <w:spacing w:before="149" w:line="276" w:lineRule="auto"/>
                          <w:jc w:val="center"/>
                        </w:pPr>
                        <w:r>
                          <w:rPr>
                            <w:kern w:val="2"/>
                            <w:sz w:val="16"/>
                            <w:szCs w:val="16"/>
                          </w:rPr>
                          <w:t>Мұнайдың шығуы</w:t>
                        </w:r>
                      </w:p>
                    </w:txbxContent>
                  </v:textbox>
                </v:shape>
                <v:shape id="_x0000_s1026" o:spid="_x0000_s1026" o:spt="202" type="#_x0000_t202" style="position:absolute;left:1205280;top:507960;height:405000;width:1305720;" filled="f" stroked="t" coordsize="21600,21600" o:gfxdata="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rI2t25AAAA2wAA&#10;AA8AAAAAAAAAAQAgAAAAIgAAAGRycy9kb3ducmV2LnhtbFBLAQIUABQAAAAIAIdO4kAzLwWeOwAA&#10;ADkAAAAQAAAAAAAAAAEAIAAAAAgBAABkcnMvc2hhcGV4bWwueG1sUEsFBgAAAAAGAAYAWwEAALID&#10;AAAAAA==&#10;">
                  <v:fill on="f" focussize="0,0"/>
                  <v:stroke weight="0.651968503937008pt" color="#000000" joinstyle="round"/>
                  <v:imagedata o:title=""/>
                  <o:lock v:ext="edit" aspectratio="f"/>
                  <v:textbox inset="0mm,0mm,0mm,0mm">
                    <w:txbxContent>
                      <w:p w14:paraId="6BA6AED4">
                        <w:pPr>
                          <w:overflowPunct w:val="0"/>
                          <w:spacing w:after="0" w:line="252" w:lineRule="auto"/>
                          <w:jc w:val="center"/>
                          <w:rPr>
                            <w:kern w:val="2"/>
                            <w:sz w:val="16"/>
                            <w:szCs w:val="16"/>
                          </w:rPr>
                        </w:pPr>
                        <w:r>
                          <w:rPr>
                            <w:kern w:val="2"/>
                            <w:sz w:val="16"/>
                            <w:szCs w:val="16"/>
                          </w:rPr>
                          <w:t>Қоршаған ортаны</w:t>
                        </w:r>
                      </w:p>
                      <w:p w14:paraId="0B59301A">
                        <w:pPr>
                          <w:overflowPunct w:val="0"/>
                          <w:spacing w:before="97" w:line="252" w:lineRule="auto"/>
                          <w:jc w:val="center"/>
                          <w:rPr>
                            <w:lang w:val="kk-KZ"/>
                          </w:rPr>
                        </w:pPr>
                        <w:r>
                          <w:rPr>
                            <w:kern w:val="2"/>
                            <w:sz w:val="16"/>
                            <w:szCs w:val="16"/>
                          </w:rPr>
                          <w:t>ласта</w:t>
                        </w:r>
                        <w:r>
                          <w:rPr>
                            <w:kern w:val="2"/>
                            <w:sz w:val="16"/>
                            <w:szCs w:val="16"/>
                            <w:lang w:val="kk-KZ"/>
                          </w:rPr>
                          <w:t>у</w:t>
                        </w:r>
                      </w:p>
                    </w:txbxContent>
                  </v:textbox>
                </v:shape>
                <v:shape id="_x0000_s1026" o:spid="_x0000_s1026" o:spt="202" type="#_x0000_t202" style="position:absolute;left:2049184;top:2738906;height:427379;width:1405917;" filled="f" stroked="t" coordsize="21600,21600" o:gfxdata="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WEf0a5AAAA2wAA&#10;AA8AAAAAAAAAAQAgAAAAIgAAAGRycy9kb3ducmV2LnhtbFBLAQIUABQAAAAIAIdO4kAzLwWeOwAA&#10;ADkAAAAQAAAAAAAAAAEAIAAAAAgBAABkcnMvc2hhcGV4bWwueG1sUEsFBgAAAAAGAAYAWwEAALID&#10;AAAAAA==&#10;">
                  <v:fill on="f" focussize="0,0"/>
                  <v:stroke weight="0.651968503937008pt" color="#000000" joinstyle="round"/>
                  <v:imagedata o:title=""/>
                  <o:lock v:ext="edit" aspectratio="f"/>
                  <v:textbox inset="0mm,0mm,0mm,0mm">
                    <w:txbxContent>
                      <w:p w14:paraId="6BA98CBF">
                        <w:pPr>
                          <w:overflowPunct w:val="0"/>
                          <w:spacing w:before="45" w:line="252" w:lineRule="auto"/>
                          <w:ind w:left="282" w:firstLine="127"/>
                          <w:jc w:val="left"/>
                        </w:pPr>
                        <w:r>
                          <w:rPr>
                            <w:kern w:val="2"/>
                            <w:sz w:val="16"/>
                            <w:szCs w:val="16"/>
                          </w:rPr>
                          <w:t>Адамдар мен</w:t>
                        </w:r>
                        <w:r>
                          <w:rPr>
                            <w:kern w:val="2"/>
                            <w:sz w:val="16"/>
                            <w:szCs w:val="16"/>
                            <w:lang w:val="kk-KZ"/>
                          </w:rPr>
                          <w:t xml:space="preserve"> </w:t>
                        </w:r>
                        <w:r>
                          <w:rPr>
                            <w:kern w:val="2"/>
                            <w:sz w:val="16"/>
                            <w:szCs w:val="16"/>
                          </w:rPr>
                          <w:t>жануарлардың аурулары</w:t>
                        </w:r>
                      </w:p>
                    </w:txbxContent>
                  </v:textbox>
                </v:shape>
                <v:shape id="_x0000_s1026" o:spid="_x0000_s1026" o:spt="202" type="#_x0000_t202" style="position:absolute;left:3537653;top:1219267;height:257189;width:1132862;" filled="f" stroked="f" coordsize="21600,21600" o:gfxdata="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Gmq27sAAADb&#10;AAAADwAAAAAAAAABACAAAAAiAAAAZHJzL2Rvd25yZXYueG1sUEsBAhQAFAAAAAgAh07iQDMvBZ47&#10;AAAAOQAAABAAAAAAAAAAAQAgAAAACgEAAGRycy9zaGFwZXhtbC54bWxQSwUGAAAAAAYABgBbAQAA&#10;tAMAAAAA&#10;">
                  <v:fill on="f" focussize="0,0"/>
                  <v:stroke on="f" weight="0pt"/>
                  <v:imagedata o:title=""/>
                  <o:lock v:ext="edit" aspectratio="f"/>
                  <v:textbox inset="0mm,0mm,0mm,0mm">
                    <w:txbxContent>
                      <w:p w14:paraId="0114C09A">
                        <w:pPr>
                          <w:overflowPunct w:val="0"/>
                          <w:spacing w:line="254" w:lineRule="auto"/>
                          <w:jc w:val="center"/>
                          <w:rPr>
                            <w:lang w:val="kk-KZ"/>
                          </w:rPr>
                        </w:pPr>
                        <w:r>
                          <w:rPr>
                            <w:kern w:val="2"/>
                            <w:sz w:val="16"/>
                            <w:szCs w:val="16"/>
                          </w:rPr>
                          <w:t xml:space="preserve">Бу-ауа қоспасының </w:t>
                        </w:r>
                        <w:r>
                          <w:rPr>
                            <w:kern w:val="2"/>
                            <w:sz w:val="16"/>
                            <w:szCs w:val="16"/>
                            <w:lang w:val="kk-KZ"/>
                          </w:rPr>
                          <w:t>таралуы</w:t>
                        </w:r>
                      </w:p>
                    </w:txbxContent>
                  </v:textbox>
                </v:shape>
                <v:shape id="_x0000_s1026" o:spid="_x0000_s1026" o:spt="202" type="#_x0000_t202" style="position:absolute;left:2007720;top:1879560;height:525240;width:614520;" filled="f" stroked="f" coordsize="21600,21600" o:gfxdata="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clD0C/&#10;AAAA2wAAAA8AAAAAAAAAAQAgAAAAIgAAAGRycy9kb3ducmV2LnhtbFBLAQIUABQAAAAIAIdO4kAz&#10;LwWeOwAAADkAAAAQAAAAAAAAAAEAIAAAAA4BAABkcnMvc2hhcGV4bWwueG1sUEsFBgAAAAAGAAYA&#10;WwEAALgDAAAAAA==&#10;">
                  <v:fill on="f" focussize="0,0"/>
                  <v:stroke on="f" weight="0pt"/>
                  <v:imagedata o:title=""/>
                  <o:lock v:ext="edit" aspectratio="f"/>
                  <v:textbox inset="0mm,0mm,0mm,0mm">
                    <w:txbxContent>
                      <w:p w14:paraId="473D8B88">
                        <w:pPr>
                          <w:overflowPunct w:val="0"/>
                          <w:spacing w:line="252" w:lineRule="auto"/>
                          <w:ind w:left="1" w:right="19"/>
                          <w:jc w:val="center"/>
                        </w:pPr>
                        <w:r>
                          <w:rPr>
                            <w:spacing w:val="-2"/>
                            <w:kern w:val="2"/>
                            <w:sz w:val="16"/>
                            <w:szCs w:val="16"/>
                          </w:rPr>
                          <w:t>Судың уытты заттармен ластануы</w:t>
                        </w:r>
                      </w:p>
                    </w:txbxContent>
                  </v:textbox>
                </v:shape>
                <v:shape id="_x0000_s1026" o:spid="_x0000_s1026" o:spt="202" type="#_x0000_t202" style="position:absolute;left:100440;top:2738880;height:338400;width:1405800;" filled="f" stroked="t" coordsize="21600,21600" o:gfxdata="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C+0ce+2AAAA2wAAAA8A&#10;AAAAAAAAAQAgAAAAIgAAAGRycy9kb3ducmV2LnhtbFBLAQIUABQAAAAIAIdO4kAzLwWeOwAAADkA&#10;AAAQAAAAAAAAAAEAIAAAAAUBAABkcnMvc2hhcGV4bWwueG1sUEsFBgAAAAAGAAYAWwEAAK8DAAAA&#10;AA==&#10;">
                  <v:fill on="f" focussize="0,0"/>
                  <v:stroke weight="0.651968503937008pt" color="#000000" joinstyle="round"/>
                  <v:imagedata o:title=""/>
                  <o:lock v:ext="edit" aspectratio="f"/>
                  <v:textbox inset="0mm,0mm,0mm,0mm">
                    <w:txbxContent>
                      <w:p w14:paraId="63E0485B">
                        <w:pPr>
                          <w:overflowPunct w:val="0"/>
                          <w:spacing w:before="45" w:line="252" w:lineRule="auto"/>
                          <w:ind w:firstLine="280"/>
                          <w:jc w:val="center"/>
                        </w:pPr>
                        <w:r>
                          <w:rPr>
                            <w:kern w:val="2"/>
                            <w:sz w:val="16"/>
                            <w:szCs w:val="16"/>
                          </w:rPr>
                          <w:t>Өсімдіктерде у</w:t>
                        </w:r>
                        <w:r>
                          <w:rPr>
                            <w:kern w:val="2"/>
                            <w:sz w:val="16"/>
                            <w:szCs w:val="16"/>
                            <w:lang w:val="kk-KZ"/>
                          </w:rPr>
                          <w:t xml:space="preserve">ытты </w:t>
                        </w:r>
                        <w:r>
                          <w:rPr>
                            <w:kern w:val="2"/>
                            <w:sz w:val="16"/>
                            <w:szCs w:val="16"/>
                          </w:rPr>
                          <w:t>элементтердің жиналуы</w:t>
                        </w:r>
                      </w:p>
                    </w:txbxContent>
                  </v:textbox>
                </v:shape>
                <v:shape id="_x0000_s1026" o:spid="_x0000_s1026" o:spt="202" type="#_x0000_t202" style="position:absolute;left:4250160;top:1896120;height:257040;width:448200;" filled="f" stroked="f" coordsize="21600,21600" o:gfxdata="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yKlZu/&#10;AAAA2wAAAA8AAAAAAAAAAQAgAAAAIgAAAGRycy9kb3ducmV2LnhtbFBLAQIUABQAAAAIAIdO4kAz&#10;LwWeOwAAADkAAAAQAAAAAAAAAAEAIAAAAA4BAABkcnMvc2hhcGV4bWwueG1sUEsFBgAAAAAGAAYA&#10;WwEAALgDAAAAAA==&#10;">
                  <v:fill on="f" focussize="0,0"/>
                  <v:stroke on="f" weight="0pt"/>
                  <v:imagedata o:title=""/>
                  <o:lock v:ext="edit" aspectratio="f"/>
                  <v:textbox inset="0mm,0mm,0mm,0mm">
                    <w:txbxContent>
                      <w:p w14:paraId="5E41A98C">
                        <w:pPr>
                          <w:overflowPunct w:val="0"/>
                          <w:spacing w:line="254" w:lineRule="auto"/>
                          <w:ind w:left="43" w:hanging="44"/>
                          <w:jc w:val="left"/>
                        </w:pPr>
                        <w:r>
                          <w:rPr>
                            <w:spacing w:val="-2"/>
                            <w:kern w:val="2"/>
                            <w:sz w:val="16"/>
                            <w:szCs w:val="16"/>
                          </w:rPr>
                          <w:t>Жану өнімдері</w:t>
                        </w:r>
                      </w:p>
                    </w:txbxContent>
                  </v:textbox>
                </v:shape>
                <v:shape id="_x0000_s1026" o:spid="_x0000_s1026" o:spt="202" type="#_x0000_t202" style="position:absolute;left:4982040;top:1859400;height:338400;width:702360;" filled="f" stroked="t" coordsize="21600,21600" o:gfxdata="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AqSgO5AAAA2wAA&#10;AA8AAAAAAAAAAQAgAAAAIgAAAGRycy9kb3ducmV2LnhtbFBLAQIUABQAAAAIAIdO4kAzLwWeOwAA&#10;ADkAAAAQAAAAAAAAAAEAIAAAAAgBAABkcnMvc2hhcGV4bWwueG1sUEsFBgAAAAAGAAYAWwEAALID&#10;AAAAAA==&#10;">
                  <v:fill on="f" focussize="0,0"/>
                  <v:stroke weight="0.651968503937008pt" color="#000000" joinstyle="round"/>
                  <v:imagedata o:title=""/>
                  <o:lock v:ext="edit" aspectratio="f"/>
                  <v:textbox inset="0mm,0mm,0mm,0mm">
                    <w:txbxContent>
                      <w:p w14:paraId="6395B20A">
                        <w:pPr>
                          <w:overflowPunct w:val="0"/>
                          <w:spacing w:before="45" w:line="254" w:lineRule="auto"/>
                          <w:ind w:left="215" w:firstLine="32"/>
                          <w:jc w:val="left"/>
                        </w:pPr>
                        <w:r>
                          <w:rPr>
                            <w:spacing w:val="-2"/>
                            <w:kern w:val="2"/>
                            <w:sz w:val="16"/>
                            <w:szCs w:val="16"/>
                          </w:rPr>
                          <w:t>Жылулық сәулелену</w:t>
                        </w:r>
                      </w:p>
                    </w:txbxContent>
                  </v:textbox>
                </v:shape>
                <v:shape id="_x0000_s1026" o:spid="_x0000_s1026" o:spt="202" type="#_x0000_t202" style="position:absolute;left:4961160;top:1182960;height:338400;width:562680;" filled="f" stroked="t" coordsize="21600,21600" o:gfxdata="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2bvmL4A&#10;AADbAAAADwAAAAAAAAABACAAAAAiAAAAZHJzL2Rvd25yZXYueG1sUEsBAhQAFAAAAAgAh07iQDMv&#10;BZ47AAAAOQAAABAAAAAAAAAAAQAgAAAADQEAAGRycy9zaGFwZXhtbC54bWxQSwUGAAAAAAYABgBb&#10;AQAAtwMAAAAA&#10;">
                  <v:fill on="f" focussize="0,0"/>
                  <v:stroke weight="0.651968503937008pt" color="#000000" joinstyle="round"/>
                  <v:imagedata o:title=""/>
                  <o:lock v:ext="edit" aspectratio="f"/>
                  <v:textbox inset="0mm,0mm,0mm,0mm">
                    <w:txbxContent>
                      <w:p w14:paraId="1036E57A">
                        <w:pPr>
                          <w:overflowPunct w:val="0"/>
                          <w:spacing w:before="149" w:line="276" w:lineRule="auto"/>
                          <w:ind w:left="228"/>
                          <w:jc w:val="left"/>
                        </w:pPr>
                        <w:r>
                          <w:rPr>
                            <w:spacing w:val="-2"/>
                            <w:kern w:val="2"/>
                            <w:sz w:val="16"/>
                            <w:szCs w:val="16"/>
                          </w:rPr>
                          <w:t>Өрт</w:t>
                        </w:r>
                      </w:p>
                    </w:txbxContent>
                  </v:textbox>
                </v:shape>
                <v:shape id="_x0000_s1026" o:spid="_x0000_s1026" o:spt="202" type="#_x0000_t202" style="position:absolute;left:4755606;top:2705249;height:445795;width:968394;" filled="f" stroked="t" coordsize="21600,21600" o:gfxdata="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CPd+y5AAAA2wAA&#10;AA8AAAAAAAAAAQAgAAAAIgAAAGRycy9kb3ducmV2LnhtbFBLAQIUABQAAAAIAIdO4kAzLwWeOwAA&#10;ADkAAAAQAAAAAAAAAAEAIAAAAAgBAABkcnMvc2hhcGV4bWwueG1sUEsFBgAAAAAGAAYAWwEAALID&#10;AAAAAA==&#10;">
                  <v:fill on="f" focussize="0,0"/>
                  <v:stroke weight="0.651968503937008pt" color="#000000" joinstyle="round"/>
                  <v:imagedata o:title=""/>
                  <o:lock v:ext="edit" aspectratio="f"/>
                  <v:textbox inset="0mm,0mm,0mm,0mm">
                    <w:txbxContent>
                      <w:p w14:paraId="23CC99C5">
                        <w:pPr>
                          <w:overflowPunct w:val="0"/>
                          <w:spacing w:before="44" w:line="252" w:lineRule="auto"/>
                          <w:ind w:left="128" w:firstLine="243"/>
                          <w:jc w:val="center"/>
                        </w:pPr>
                        <w:r>
                          <w:rPr>
                            <w:spacing w:val="-2"/>
                            <w:kern w:val="2"/>
                            <w:sz w:val="16"/>
                            <w:szCs w:val="16"/>
                          </w:rPr>
                          <w:t>Көршілес объектілердің ластануы</w:t>
                        </w:r>
                      </w:p>
                    </w:txbxContent>
                  </v:textbox>
                </v:shape>
                <v:shape id="_x0000_s1026" o:spid="_x0000_s1026" o:spt="202" type="#_x0000_t202" style="position:absolute;left:3575119;top:2705249;height:471196;width:1114446;" filled="f" stroked="t" coordsize="21600,21600" o:gfxdata="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D0ne5AAAA2wAA&#10;AA8AAAAAAAAAAQAgAAAAIgAAAGRycy9kb3ducmV2LnhtbFBLAQIUABQAAAAIAIdO4kAzLwWeOwAA&#10;ADkAAAAQAAAAAAAAAAEAIAAAAAgBAABkcnMvc2hhcGV4bWwueG1sUEsFBgAAAAAGAAYAWwEAALID&#10;AAAAAA==&#10;">
                  <v:fill on="f" focussize="0,0"/>
                  <v:stroke weight="0.651968503937008pt" color="#000000" joinstyle="round"/>
                  <v:imagedata o:title=""/>
                  <o:lock v:ext="edit" aspectratio="f"/>
                  <v:textbox inset="0mm,0mm,0mm,0mm">
                    <w:txbxContent>
                      <w:p w14:paraId="20F75591">
                        <w:pPr>
                          <w:overflowPunct w:val="0"/>
                          <w:spacing w:before="44" w:line="252" w:lineRule="auto"/>
                          <w:ind w:hanging="115"/>
                          <w:jc w:val="center"/>
                        </w:pPr>
                        <w:r>
                          <w:rPr>
                            <w:kern w:val="2"/>
                            <w:sz w:val="16"/>
                            <w:szCs w:val="16"/>
                          </w:rPr>
                          <w:t>Адамдар мен жануарлардың күйіктері мен жарақаттары</w:t>
                        </w:r>
                      </w:p>
                    </w:txbxContent>
                  </v:textbox>
                </v:shape>
                <v:shape id="_x0000_s1026" o:spid="_x0000_s1026" o:spt="202" type="#_x0000_t202" style="position:absolute;left:2510280;top:1182960;height:338400;width:774000;" filled="f" stroked="t" coordsize="21600,21600" o:gfxdata="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8RTAC5AAAA2wAA&#10;AA8AAAAAAAAAAQAgAAAAIgAAAGRycy9kb3ducmV2LnhtbFBLAQIUABQAAAAIAIdO4kAzLwWeOwAA&#10;ADkAAAAQAAAAAAAAAAEAIAAAAAgBAABkcnMvc2hhcGV4bWwueG1sUEsFBgAAAAAGAAYAWwEAALID&#10;AAAAAA==&#10;">
                  <v:fill on="f" focussize="0,0"/>
                  <v:stroke weight="0.651968503937008pt" color="#000000" joinstyle="round"/>
                  <v:imagedata o:title=""/>
                  <o:lock v:ext="edit" aspectratio="f"/>
                  <v:textbox inset="0mm,0mm,0mm,0mm">
                    <w:txbxContent>
                      <w:p w14:paraId="4FE2AC12">
                        <w:pPr>
                          <w:overflowPunct w:val="0"/>
                          <w:spacing w:before="45" w:line="254" w:lineRule="auto"/>
                          <w:jc w:val="center"/>
                        </w:pPr>
                        <w:r>
                          <w:rPr>
                            <w:spacing w:val="-2"/>
                            <w:kern w:val="2"/>
                            <w:sz w:val="16"/>
                            <w:szCs w:val="16"/>
                          </w:rPr>
                          <w:t>Атмосфералық ауа</w:t>
                        </w:r>
                      </w:p>
                    </w:txbxContent>
                  </v:textbox>
                </v:shape>
                <v:shape id="_x0000_s1026" o:spid="_x0000_s1026" o:spt="202" type="#_x0000_t202" style="position:absolute;left:3535560;top:507960;height:405000;width:1365120;" filled="f" stroked="t" coordsize="21600,21600" o:gfxdata="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F3pm74A&#10;AADbAAAADwAAAAAAAAABACAAAAAiAAAAZHJzL2Rvd25yZXYueG1sUEsBAhQAFAAAAAgAh07iQDMv&#10;BZ47AAAAOQAAABAAAAAAAAAAAQAgAAAADQEAAGRycy9zaGFwZXhtbC54bWxQSwUGAAAAAAYABgBb&#10;AQAAtwMAAAAA&#10;">
                  <v:fill on="f" focussize="0,0"/>
                  <v:stroke weight="0.651968503937008pt" color="#000000" joinstyle="round"/>
                  <v:imagedata o:title=""/>
                  <o:lock v:ext="edit" aspectratio="f"/>
                  <v:textbox inset="0mm,0mm,0mm,0mm">
                    <w:txbxContent>
                      <w:p w14:paraId="6C8FC8B8">
                        <w:pPr>
                          <w:overflowPunct w:val="0"/>
                          <w:spacing w:before="97" w:line="252" w:lineRule="auto"/>
                          <w:ind w:left="346" w:hanging="244"/>
                          <w:jc w:val="center"/>
                        </w:pPr>
                        <w:r>
                          <w:rPr>
                            <w:kern w:val="2"/>
                            <w:sz w:val="16"/>
                            <w:szCs w:val="16"/>
                          </w:rPr>
                          <w:t>Жарылыс</w:t>
                        </w:r>
                        <w:r>
                          <w:rPr>
                            <w:kern w:val="2"/>
                            <w:sz w:val="16"/>
                            <w:szCs w:val="16"/>
                            <w:lang w:val="kk-KZ"/>
                          </w:rPr>
                          <w:t xml:space="preserve">қа </w:t>
                        </w:r>
                        <w:r>
                          <w:rPr>
                            <w:kern w:val="2"/>
                            <w:sz w:val="16"/>
                            <w:szCs w:val="16"/>
                          </w:rPr>
                          <w:t>қаупі бар бу-ауа қоспасының түзілуі</w:t>
                        </w:r>
                      </w:p>
                    </w:txbxContent>
                  </v:textbox>
                </v:shape>
                <v:shape id="_x0000_s1026" o:spid="_x0000_s1026" o:spt="202" type="#_x0000_t202" style="position:absolute;left:1423800;top:1183680;height:364320;width:865440;" filled="f" stroked="t" coordsize="21600,21600" o:gfxdata="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NHCfem2AAAA2wAAAA8A&#10;AAAAAAAAAQAgAAAAIgAAAGRycy9kb3ducmV2LnhtbFBLAQIUABQAAAAIAIdO4kAzLwWeOwAAADkA&#10;AAAQAAAAAAAAAAEAIAAAAAUBAABkcnMvc2hhcGV4bWwueG1sUEsFBgAAAAAGAAYAWwEAAK8DAAAA&#10;AA==&#10;">
                  <v:fill on="f" focussize="0,0"/>
                  <v:stroke weight="0.651968503937008pt" color="#000000" joinstyle="round"/>
                  <v:imagedata o:title=""/>
                  <o:lock v:ext="edit" aspectratio="f"/>
                  <v:textbox inset="0mm,0mm,0mm,0mm">
                    <w:txbxContent>
                      <w:p w14:paraId="42A90645">
                        <w:pPr>
                          <w:overflowPunct w:val="0"/>
                          <w:spacing w:before="66" w:line="252" w:lineRule="auto"/>
                          <w:ind w:left="123" w:hanging="54"/>
                          <w:jc w:val="center"/>
                        </w:pPr>
                        <w:r>
                          <w:rPr>
                            <w:kern w:val="2"/>
                            <w:sz w:val="16"/>
                            <w:szCs w:val="16"/>
                          </w:rPr>
                          <w:t>Жер үсті және жер асты сулары</w:t>
                        </w:r>
                      </w:p>
                    </w:txbxContent>
                  </v:textbox>
                </v:shape>
                <w10:wrap type="none"/>
                <w10:anchorlock/>
              </v:group>
            </w:pict>
          </mc:Fallback>
        </mc:AlternateContent>
      </w:r>
    </w:p>
    <w:p w14:paraId="6A8B8722">
      <w:pPr>
        <w:spacing w:after="0"/>
        <w:ind w:firstLine="709"/>
        <w:rPr>
          <w:color w:val="auto"/>
          <w:szCs w:val="28"/>
          <w:shd w:val="clear" w:color="auto" w:fill="FFFFFF"/>
          <w:lang w:val="en-US" w:eastAsia="zh-CN"/>
        </w:rPr>
      </w:pPr>
    </w:p>
    <w:p w14:paraId="5A11BFEC">
      <w:pPr>
        <w:spacing w:after="0"/>
        <w:ind w:firstLine="709"/>
        <w:jc w:val="center"/>
        <w:rPr>
          <w:color w:val="auto"/>
          <w:szCs w:val="28"/>
          <w:shd w:val="clear" w:color="auto" w:fill="FFFFFF"/>
          <w:lang w:val="kk-KZ" w:eastAsia="zh-CN"/>
        </w:rPr>
      </w:pPr>
      <w:r>
        <w:rPr>
          <w:color w:val="auto"/>
          <w:szCs w:val="28"/>
          <w:shd w:val="clear" w:color="auto" w:fill="FFFFFF"/>
          <w:lang w:eastAsia="zh-CN"/>
        </w:rPr>
        <w:t>Сурет</w:t>
      </w:r>
      <w:r>
        <w:rPr>
          <w:color w:val="auto"/>
          <w:szCs w:val="28"/>
          <w:shd w:val="clear" w:color="auto" w:fill="FFFFFF"/>
          <w:lang w:val="en-US" w:eastAsia="zh-CN"/>
        </w:rPr>
        <w:t xml:space="preserve"> </w:t>
      </w:r>
      <w:r>
        <w:rPr>
          <w:color w:val="auto"/>
          <w:szCs w:val="28"/>
          <w:shd w:val="clear" w:color="auto" w:fill="FFFFFF"/>
          <w:lang w:val="kk-KZ" w:eastAsia="zh-CN"/>
        </w:rPr>
        <w:t>3</w:t>
      </w:r>
      <w:r>
        <w:rPr>
          <w:color w:val="auto"/>
          <w:szCs w:val="28"/>
          <w:shd w:val="clear" w:color="auto" w:fill="FFFFFF"/>
          <w:lang w:val="en-US" w:eastAsia="zh-CN"/>
        </w:rPr>
        <w:t xml:space="preserve"> -</w:t>
      </w:r>
      <w:r>
        <w:rPr>
          <w:color w:val="auto"/>
          <w:szCs w:val="28"/>
          <w:shd w:val="clear" w:color="auto" w:fill="FFFFFF"/>
          <w:lang w:val="kk-KZ" w:eastAsia="zh-CN"/>
        </w:rPr>
        <w:t xml:space="preserve"> Мұнай көмірсутектерінің қоршаған орта компоненттерінде миграциясы мен трансформациясының схемасы</w:t>
      </w:r>
    </w:p>
    <w:p w14:paraId="4522C633">
      <w:pPr>
        <w:pStyle w:val="301"/>
        <w:spacing w:before="0" w:after="0"/>
        <w:ind w:firstLine="709"/>
        <w:rPr>
          <w:rFonts w:eastAsia="SimSun"/>
          <w:color w:val="auto"/>
          <w:sz w:val="28"/>
          <w:szCs w:val="28"/>
          <w:highlight w:val="yellow"/>
          <w:shd w:val="clear" w:color="auto" w:fill="FFFFFF"/>
          <w:lang w:val="en-US" w:eastAsia="zh-CN"/>
        </w:rPr>
      </w:pPr>
    </w:p>
    <w:p w14:paraId="4444D7D6">
      <w:pPr>
        <w:pStyle w:val="301"/>
        <w:tabs>
          <w:tab w:val="left" w:pos="0"/>
        </w:tabs>
        <w:spacing w:before="0" w:after="0"/>
        <w:ind w:firstLine="709"/>
        <w:rPr>
          <w:b/>
          <w:bCs/>
          <w:color w:val="auto"/>
          <w:sz w:val="28"/>
          <w:szCs w:val="28"/>
          <w:lang w:val="en-US"/>
        </w:rPr>
      </w:pPr>
      <w:r>
        <w:rPr>
          <w:b/>
          <w:bCs/>
          <w:color w:val="auto"/>
          <w:sz w:val="28"/>
          <w:szCs w:val="28"/>
          <w:lang w:val="kk-KZ"/>
        </w:rPr>
        <w:t xml:space="preserve">1.2 </w:t>
      </w:r>
      <w:r>
        <w:rPr>
          <w:b/>
          <w:bCs/>
          <w:color w:val="auto"/>
          <w:sz w:val="28"/>
          <w:szCs w:val="28"/>
        </w:rPr>
        <w:t>Топырақтың</w:t>
      </w:r>
      <w:r>
        <w:rPr>
          <w:b/>
          <w:bCs/>
          <w:color w:val="auto"/>
          <w:sz w:val="28"/>
          <w:szCs w:val="28"/>
          <w:lang w:val="en-US"/>
        </w:rPr>
        <w:t xml:space="preserve"> </w:t>
      </w:r>
      <w:r>
        <w:rPr>
          <w:b/>
          <w:bCs/>
          <w:color w:val="auto"/>
          <w:sz w:val="28"/>
          <w:szCs w:val="28"/>
        </w:rPr>
        <w:t>физика</w:t>
      </w:r>
      <w:r>
        <w:rPr>
          <w:b/>
          <w:bCs/>
          <w:color w:val="auto"/>
          <w:sz w:val="28"/>
          <w:szCs w:val="28"/>
          <w:lang w:val="en-US"/>
        </w:rPr>
        <w:t>-</w:t>
      </w:r>
      <w:r>
        <w:rPr>
          <w:b/>
          <w:bCs/>
          <w:color w:val="auto"/>
          <w:sz w:val="28"/>
          <w:szCs w:val="28"/>
        </w:rPr>
        <w:t>химиялық</w:t>
      </w:r>
      <w:r>
        <w:rPr>
          <w:b/>
          <w:bCs/>
          <w:color w:val="auto"/>
          <w:sz w:val="28"/>
          <w:szCs w:val="28"/>
          <w:lang w:val="en-US"/>
        </w:rPr>
        <w:t xml:space="preserve"> </w:t>
      </w:r>
      <w:r>
        <w:rPr>
          <w:b/>
          <w:bCs/>
          <w:color w:val="auto"/>
          <w:sz w:val="28"/>
          <w:szCs w:val="28"/>
        </w:rPr>
        <w:t>және</w:t>
      </w:r>
      <w:r>
        <w:rPr>
          <w:b/>
          <w:bCs/>
          <w:color w:val="auto"/>
          <w:sz w:val="28"/>
          <w:szCs w:val="28"/>
          <w:lang w:val="en-US"/>
        </w:rPr>
        <w:t xml:space="preserve"> </w:t>
      </w:r>
      <w:r>
        <w:rPr>
          <w:b/>
          <w:bCs/>
          <w:color w:val="auto"/>
          <w:sz w:val="28"/>
          <w:szCs w:val="28"/>
        </w:rPr>
        <w:t>биологиялық</w:t>
      </w:r>
      <w:r>
        <w:rPr>
          <w:b/>
          <w:bCs/>
          <w:color w:val="auto"/>
          <w:sz w:val="28"/>
          <w:szCs w:val="28"/>
          <w:lang w:val="en-US"/>
        </w:rPr>
        <w:t xml:space="preserve"> </w:t>
      </w:r>
      <w:r>
        <w:rPr>
          <w:b/>
          <w:bCs/>
          <w:color w:val="auto"/>
          <w:sz w:val="28"/>
          <w:szCs w:val="28"/>
        </w:rPr>
        <w:t>қасиеттеріне</w:t>
      </w:r>
      <w:r>
        <w:rPr>
          <w:b/>
          <w:bCs/>
          <w:color w:val="auto"/>
          <w:sz w:val="28"/>
          <w:szCs w:val="28"/>
          <w:lang w:val="en-US"/>
        </w:rPr>
        <w:t xml:space="preserve"> </w:t>
      </w:r>
      <w:r>
        <w:rPr>
          <w:b/>
          <w:bCs/>
          <w:color w:val="auto"/>
          <w:sz w:val="28"/>
          <w:szCs w:val="28"/>
        </w:rPr>
        <w:t>мұнаймен</w:t>
      </w:r>
      <w:r>
        <w:rPr>
          <w:b/>
          <w:bCs/>
          <w:color w:val="auto"/>
          <w:sz w:val="28"/>
          <w:szCs w:val="28"/>
          <w:lang w:val="en-US"/>
        </w:rPr>
        <w:t xml:space="preserve"> </w:t>
      </w:r>
      <w:r>
        <w:rPr>
          <w:b/>
          <w:bCs/>
          <w:color w:val="auto"/>
          <w:sz w:val="28"/>
          <w:szCs w:val="28"/>
        </w:rPr>
        <w:t>ластанудың</w:t>
      </w:r>
      <w:r>
        <w:rPr>
          <w:b/>
          <w:bCs/>
          <w:color w:val="auto"/>
          <w:sz w:val="28"/>
          <w:szCs w:val="28"/>
          <w:lang w:val="en-US"/>
        </w:rPr>
        <w:t xml:space="preserve"> </w:t>
      </w:r>
      <w:r>
        <w:rPr>
          <w:b/>
          <w:bCs/>
          <w:color w:val="auto"/>
          <w:sz w:val="28"/>
          <w:szCs w:val="28"/>
        </w:rPr>
        <w:t>әсерін</w:t>
      </w:r>
      <w:r>
        <w:rPr>
          <w:b/>
          <w:bCs/>
          <w:color w:val="auto"/>
          <w:sz w:val="28"/>
          <w:szCs w:val="28"/>
          <w:lang w:val="en-US"/>
        </w:rPr>
        <w:t xml:space="preserve"> </w:t>
      </w:r>
      <w:r>
        <w:rPr>
          <w:b/>
          <w:bCs/>
          <w:color w:val="auto"/>
          <w:sz w:val="28"/>
          <w:szCs w:val="28"/>
        </w:rPr>
        <w:t>талдау</w:t>
      </w:r>
    </w:p>
    <w:p w14:paraId="62905A64">
      <w:pPr>
        <w:pStyle w:val="301"/>
        <w:tabs>
          <w:tab w:val="left" w:pos="0"/>
        </w:tabs>
        <w:spacing w:before="0" w:after="0"/>
        <w:ind w:firstLine="709"/>
        <w:rPr>
          <w:color w:val="auto"/>
          <w:sz w:val="28"/>
          <w:szCs w:val="28"/>
          <w:lang w:val="kk-KZ"/>
        </w:rPr>
      </w:pPr>
      <w:r>
        <w:rPr>
          <w:color w:val="auto"/>
          <w:sz w:val="28"/>
          <w:szCs w:val="28"/>
          <w:lang w:val="kk-KZ"/>
        </w:rPr>
        <w:t>Мұнай өнімдерінің топыраққа түсуі топырақ жүйесінің физикалық, химиялық және биологиялық қасиеттеріндегі кешенді жағымсыз өзгерістерді тудырады. Әсер ету дәрежесі мен сипаты ластаушы заттың химиялық құрамымен, ластану концентрациясымен, топырақ типімен және климаттық жағдайлармен анықталады. Топырақ жамылғысының көмірсутекті қосылыстармен ластануы топырақ профилінің морфологиялық сипаттамаларының визуалды түрде тіркелген трансформациясына әкеледі [15]. Мұнай өнімдерінің топырақ профилінде тігінен таралуын талдау олардың жинақталуының бимодальды сипатын екі концентрациялық максимумның түзілуімен анықтайды: жоғарғы максимум – гумустық қабат аймағында, төменгі максимум – элювиалды горизонтта [16].</w:t>
      </w:r>
    </w:p>
    <w:p w14:paraId="4E26DAC6">
      <w:pPr>
        <w:pStyle w:val="301"/>
        <w:spacing w:before="0" w:after="0"/>
        <w:ind w:firstLine="709"/>
        <w:rPr>
          <w:color w:val="auto"/>
          <w:sz w:val="28"/>
          <w:szCs w:val="28"/>
          <w:lang w:val="kk-KZ"/>
        </w:rPr>
      </w:pPr>
      <w:r>
        <w:rPr>
          <w:i/>
          <w:iCs/>
          <w:color w:val="auto"/>
          <w:sz w:val="28"/>
          <w:szCs w:val="28"/>
          <w:lang w:val="kk-KZ"/>
        </w:rPr>
        <w:t>Геохимиялық трансформациялар.</w:t>
      </w:r>
      <w:r>
        <w:rPr>
          <w:color w:val="auto"/>
          <w:sz w:val="28"/>
          <w:szCs w:val="28"/>
          <w:lang w:val="kk-KZ"/>
        </w:rPr>
        <w:t xml:space="preserve"> Көмірсутектермен ластану топырақтың химиялық параметрлерінің өзгеруін бастайды, соның ішінде органикалық көміртегінің құрамы, гумустық заттардың концентрациясы, сондай-ақ макро- және микроэлементтердің стехиометриялық қатынасы өзгереді. Л. Салангинаның сазды-подзолды топырақтарға жүргізген зерттеулері мұнай ластануының топырақ құнарлылығына екі жақты әсер ететінін анықтады [17]. Зерттеу нәтиежелері көрсеткендей, көмірсутектердің өте төмен (0,27 г/кг) және жоғары (50 г/кг-дан жоғары) деңгейлері азот, фосфор және калийдің қолжетімді формаларын байланыстырып, қозғалмайтын күйге түсіреді. Алайда, ластану орташа мөлшерде (0,6-0,9 г/кг) болған жағдайда, керісінше, барлық макроэлементтердің концентрациясының артуы тіркелді.</w:t>
      </w:r>
    </w:p>
    <w:p w14:paraId="13E95040">
      <w:pPr>
        <w:pStyle w:val="301"/>
        <w:spacing w:before="0" w:after="0"/>
        <w:ind w:firstLine="709"/>
        <w:rPr>
          <w:color w:val="auto"/>
          <w:sz w:val="28"/>
          <w:szCs w:val="28"/>
          <w:lang w:val="kk-KZ"/>
        </w:rPr>
      </w:pPr>
      <w:r>
        <w:rPr>
          <w:color w:val="auto"/>
          <w:sz w:val="28"/>
          <w:szCs w:val="28"/>
          <w:lang w:val="kk-KZ"/>
        </w:rPr>
        <w:t xml:space="preserve">Физика-химиялық өзгерістермен қатар, көмірсутектермен ластану топырақтың биологиялық белсенділігінің терең бұзылуын тудырады. Мұнай өнімдерінің топыраққа түсуі топырақ микроорганизмдерінде бейімделу реакцияларының каскадын іске қосады. Биологиялық өзгерістердің сипаты ластаушы заттың концентрациясына байланысты. </w:t>
      </w:r>
      <w:r>
        <w:rPr>
          <w:color w:val="auto"/>
          <w:sz w:val="28"/>
          <w:szCs w:val="28"/>
          <w:lang w:val="ru-RU"/>
        </w:rPr>
        <w:t>Л</w:t>
      </w:r>
      <w:r>
        <w:rPr>
          <w:rFonts w:hint="default"/>
          <w:color w:val="auto"/>
          <w:sz w:val="28"/>
          <w:szCs w:val="28"/>
          <w:lang w:val="ru-RU"/>
        </w:rPr>
        <w:t xml:space="preserve">.Салангинас </w:t>
      </w:r>
      <w:r>
        <w:rPr>
          <w:color w:val="auto"/>
          <w:sz w:val="28"/>
          <w:szCs w:val="28"/>
          <w:lang w:val="kk-KZ"/>
        </w:rPr>
        <w:t>[18] топырақ микроорганизмдерінің техногендік жүктеменің әртүрлі деңгейлеріне реакциясын сипаттайтын төрт бейімделу аймағының үлгісін ұсынды.</w:t>
      </w:r>
    </w:p>
    <w:p w14:paraId="0893BBEC">
      <w:pPr>
        <w:pStyle w:val="301"/>
        <w:spacing w:before="0" w:after="0"/>
        <w:ind w:firstLine="709"/>
        <w:rPr>
          <w:color w:val="auto"/>
          <w:sz w:val="28"/>
          <w:szCs w:val="28"/>
          <w:lang w:val="kk-KZ"/>
        </w:rPr>
      </w:pPr>
      <w:r>
        <w:rPr>
          <w:color w:val="auto"/>
          <w:sz w:val="28"/>
          <w:szCs w:val="28"/>
          <w:lang w:val="kk-KZ"/>
        </w:rPr>
        <w:t xml:space="preserve">Жаңадан ластанған топырақтарда аммонификаторлар мен көмірсутектерді тотықтыратын бактериялар басым болады, олардың арасында </w:t>
      </w:r>
      <w:r>
        <w:rPr>
          <w:i/>
          <w:iCs/>
          <w:color w:val="auto"/>
          <w:sz w:val="28"/>
          <w:szCs w:val="28"/>
          <w:lang w:val="kk-KZ"/>
        </w:rPr>
        <w:t>Pseudomonas, Rhodococcus, Acinetobacter</w:t>
      </w:r>
      <w:r>
        <w:rPr>
          <w:color w:val="auto"/>
          <w:sz w:val="28"/>
          <w:szCs w:val="28"/>
          <w:lang w:val="kk-KZ"/>
        </w:rPr>
        <w:t xml:space="preserve"> түрлері [19]. Салыстырмалы зерттеулер көрсеткендей, бактериялық қауымдастықтар саңырауқұлақтармен салыстырғанда көмірсутектермен ластануға неғұрлым сезімтал [20]. Микромицеттер арасында ең жоғары төзімділікті </w:t>
      </w:r>
      <w:r>
        <w:rPr>
          <w:i/>
          <w:iCs/>
          <w:color w:val="auto"/>
          <w:sz w:val="28"/>
          <w:szCs w:val="28"/>
          <w:lang w:val="kk-KZ"/>
        </w:rPr>
        <w:t>Aspergillus, Penicillium, Fusarium</w:t>
      </w:r>
      <w:r>
        <w:rPr>
          <w:color w:val="auto"/>
          <w:sz w:val="28"/>
          <w:szCs w:val="28"/>
          <w:lang w:val="kk-KZ"/>
        </w:rPr>
        <w:t xml:space="preserve"> түрлерінің өкілдері көрсетеді [21].</w:t>
      </w:r>
    </w:p>
    <w:p w14:paraId="001F80B7">
      <w:pPr>
        <w:pStyle w:val="301"/>
        <w:spacing w:before="0" w:after="0"/>
        <w:ind w:firstLine="709"/>
        <w:rPr>
          <w:color w:val="auto"/>
          <w:sz w:val="28"/>
          <w:szCs w:val="28"/>
          <w:lang w:val="kk-KZ"/>
        </w:rPr>
      </w:pPr>
      <w:r>
        <w:rPr>
          <w:i/>
          <w:iCs/>
          <w:color w:val="auto"/>
          <w:sz w:val="28"/>
          <w:szCs w:val="28"/>
          <w:lang w:val="kk-KZ"/>
        </w:rPr>
        <w:t>Құрғақ аймақтардың ерекшеліктері.</w:t>
      </w:r>
      <w:r>
        <w:rPr>
          <w:color w:val="auto"/>
          <w:sz w:val="28"/>
          <w:szCs w:val="28"/>
          <w:lang w:val="kk-KZ"/>
        </w:rPr>
        <w:t xml:space="preserve"> Мұнай ластануы аридті жағдайларда бірегей проблемаларды тудырады, олардың негізгісі – топырақтың гидрофобтылығын арттыру. Мұнай топыраққа түскенде көмірсутектер топырақ бөлшектеріне адсорбцияланып, оны жоғары су өткізбейтін етеді [22]. Сұр-қоңыр топырақтың құрғақ аймағында мұнай небәрі 10-13 см тереңдікке ғана енеді (салыстыру үшін: ылғалды аймақта – 30-40 см) [23]. Аридті жағдайларда мұнаймен ластанудың деградациясы төмендегі процестер арқылы жүзеге асады: мұнайдың жеңіл фракцияларының булануы; су ағындарымен физикалық тасымалдау; гумификация (микробиологиялық метаболизмнің ерімейтін өнімдеріне айналу) [24].</w:t>
      </w:r>
    </w:p>
    <w:p w14:paraId="732AF290">
      <w:pPr>
        <w:pStyle w:val="301"/>
        <w:spacing w:before="0" w:after="0"/>
        <w:ind w:firstLine="709"/>
        <w:rPr>
          <w:color w:val="auto"/>
          <w:sz w:val="28"/>
          <w:szCs w:val="28"/>
          <w:lang w:val="kk-KZ"/>
        </w:rPr>
      </w:pPr>
      <w:r>
        <w:rPr>
          <w:color w:val="auto"/>
          <w:sz w:val="28"/>
          <w:szCs w:val="28"/>
          <w:lang w:val="kk-KZ"/>
        </w:rPr>
        <w:t>Мұнай төгілгеннен кейін 40 жылдан кейін шөлейт өсімдіктерін зерттеу көпжылдық өсімдіктердің түрлік құрамы айтарлықтай өзгермегенін көрсетті, алайда басым бұта түрлерінің өлшемдік құрылымы популяциялардың қалпына келуінің төмендеуіне байланысты бақылау алаңдарынан ерекшеленді [25]. Израильдің оңтүстігіндегі гипераридті мекендеу орындарындағы зерттеулер жергілікті кесірткелердің кейбір түрлері мұнай ластанған аймақтардан аулақ болса, басқа түрлері ластанған жерлерде жиі кездесетінін анықтады [26].</w:t>
      </w:r>
    </w:p>
    <w:p w14:paraId="62C10D01">
      <w:pPr>
        <w:pStyle w:val="301"/>
        <w:spacing w:before="0" w:after="0"/>
        <w:ind w:firstLine="709"/>
        <w:rPr>
          <w:color w:val="auto"/>
          <w:sz w:val="28"/>
          <w:szCs w:val="28"/>
          <w:lang w:val="kk-KZ"/>
        </w:rPr>
      </w:pPr>
      <w:r>
        <w:rPr>
          <w:color w:val="auto"/>
          <w:sz w:val="28"/>
          <w:szCs w:val="28"/>
          <w:lang w:val="kk-KZ"/>
        </w:rPr>
        <w:t xml:space="preserve"> Кувейтте биоремедиацияның үш тәсілі сынақтан өтті: топырақты егістеу (landfarming), орамды компосттау және статикалық биовентиляция. 12 айлық кезең ішінде жалпы мұнай көмірсутектерінің 82,5%-ға және жалпы алкандардың 90,5%-ға төмендеуіне қол жеткізілді [2</w:t>
      </w:r>
      <w:r>
        <w:rPr>
          <w:rFonts w:hint="default"/>
          <w:color w:val="auto"/>
          <w:sz w:val="28"/>
          <w:szCs w:val="28"/>
          <w:lang w:val="ru-RU"/>
        </w:rPr>
        <w:t>6</w:t>
      </w:r>
      <w:r>
        <w:rPr>
          <w:color w:val="auto"/>
          <w:sz w:val="28"/>
          <w:szCs w:val="28"/>
          <w:lang w:val="kk-KZ"/>
        </w:rPr>
        <w:t xml:space="preserve">]. </w:t>
      </w:r>
    </w:p>
    <w:p w14:paraId="7D4D7452">
      <w:pPr>
        <w:pStyle w:val="35"/>
        <w:spacing w:beforeAutospacing="0" w:afterAutospacing="0"/>
        <w:ind w:firstLine="709"/>
        <w:jc w:val="both"/>
        <w:rPr>
          <w:color w:val="auto"/>
          <w:sz w:val="28"/>
          <w:szCs w:val="28"/>
          <w:lang w:val="kk-KZ"/>
        </w:rPr>
      </w:pPr>
      <w:r>
        <w:rPr>
          <w:color w:val="auto"/>
          <w:sz w:val="28"/>
          <w:szCs w:val="28"/>
          <w:lang w:val="kk-KZ"/>
        </w:rPr>
        <w:t>Шөлейт топырақтарда қатаң климат және төмен жауын-шашын (150 мм/жыл аз) нәтижесінде қоректік заттар мен микроорганизмдер жеткіліксіз болады. Мұндай жағдайларда көмірсутекті ластану биоремедиация үдерістерін айтарлықтай баяулатады [2</w:t>
      </w:r>
      <w:r>
        <w:rPr>
          <w:rFonts w:hint="default"/>
          <w:color w:val="auto"/>
          <w:sz w:val="28"/>
          <w:szCs w:val="28"/>
          <w:lang w:val="ru-RU"/>
        </w:rPr>
        <w:t>6</w:t>
      </w:r>
      <w:r>
        <w:rPr>
          <w:color w:val="auto"/>
          <w:sz w:val="28"/>
          <w:szCs w:val="28"/>
          <w:lang w:val="kk-KZ"/>
        </w:rPr>
        <w:t>]. Мұнай-газ өндіру кәсіпорындарының өндірістік ағынды сулары аридті топырақтардың микробиологиялық құрамын түрлендіреді, нәтижесінде жоғары минерализациялы ортаға (40-50 г/л) бейімделген галофильді және галотолерантты таксондар басым бола бастайды [2</w:t>
      </w:r>
      <w:r>
        <w:rPr>
          <w:rFonts w:hint="default"/>
          <w:color w:val="auto"/>
          <w:sz w:val="28"/>
          <w:szCs w:val="28"/>
          <w:lang w:val="ru-RU"/>
        </w:rPr>
        <w:t>7</w:t>
      </w:r>
      <w:r>
        <w:rPr>
          <w:color w:val="auto"/>
          <w:sz w:val="28"/>
          <w:szCs w:val="28"/>
          <w:lang w:val="kk-KZ"/>
        </w:rPr>
        <w:t>].</w:t>
      </w:r>
    </w:p>
    <w:p w14:paraId="671CABCB">
      <w:pPr>
        <w:pStyle w:val="35"/>
        <w:spacing w:beforeAutospacing="0" w:afterAutospacing="0"/>
        <w:ind w:firstLine="709"/>
        <w:jc w:val="both"/>
        <w:rPr>
          <w:color w:val="auto"/>
          <w:sz w:val="28"/>
          <w:szCs w:val="28"/>
          <w:lang w:val="kk-KZ"/>
        </w:rPr>
      </w:pPr>
      <w:r>
        <w:rPr>
          <w:color w:val="auto"/>
          <w:sz w:val="28"/>
          <w:szCs w:val="28"/>
          <w:lang w:val="kk-KZ"/>
        </w:rPr>
        <w:t>[</w:t>
      </w:r>
      <w:r>
        <w:rPr>
          <w:rFonts w:hint="default"/>
          <w:color w:val="auto"/>
          <w:sz w:val="28"/>
          <w:szCs w:val="28"/>
          <w:lang w:val="ru-RU"/>
        </w:rPr>
        <w:t>28</w:t>
      </w:r>
      <w:r>
        <w:rPr>
          <w:color w:val="auto"/>
          <w:sz w:val="28"/>
          <w:szCs w:val="28"/>
          <w:lang w:val="kk-KZ"/>
        </w:rPr>
        <w:t xml:space="preserve">] </w:t>
      </w:r>
      <w:r>
        <w:rPr>
          <w:color w:val="auto"/>
          <w:sz w:val="28"/>
          <w:szCs w:val="28"/>
          <w:lang w:val="ru-RU"/>
        </w:rPr>
        <w:t>Дерек</w:t>
      </w:r>
      <w:r>
        <w:rPr>
          <w:color w:val="auto"/>
          <w:sz w:val="28"/>
          <w:szCs w:val="28"/>
          <w:lang w:val="kk-KZ"/>
        </w:rPr>
        <w:t>өзінде</w:t>
      </w:r>
      <w:r>
        <w:rPr>
          <w:rFonts w:hint="default"/>
          <w:color w:val="auto"/>
          <w:sz w:val="28"/>
          <w:szCs w:val="28"/>
          <w:lang w:val="kk-KZ"/>
        </w:rPr>
        <w:t xml:space="preserve"> </w:t>
      </w:r>
      <w:r>
        <w:rPr>
          <w:color w:val="auto"/>
          <w:sz w:val="28"/>
          <w:szCs w:val="28"/>
          <w:lang w:val="kk-KZ"/>
        </w:rPr>
        <w:t>орындалған классикалық зерттеулер П</w:t>
      </w:r>
      <w:r>
        <w:rPr>
          <w:color w:val="auto"/>
          <w:sz w:val="28"/>
          <w:szCs w:val="28"/>
          <w:lang w:val="ru-RU"/>
        </w:rPr>
        <w:t>а</w:t>
      </w:r>
      <w:r>
        <w:rPr>
          <w:color w:val="auto"/>
          <w:sz w:val="28"/>
          <w:szCs w:val="28"/>
          <w:lang w:val="kk-KZ"/>
        </w:rPr>
        <w:t>рсы шығанағы аймағының аридті жағдайларында практикалық биоремедиацияның ғылыми-әдістемелік негіздерін қалыптастырды және төтенше экологиялық жағдайларда (1991 жылғы Кувейт апаты) ex situ әдістерінің (биовентиляция, компосттау) синергетикалық комбинациясы арқылы ЖМӨ-нің концентрациясын 82-90% редукциялауға болатынын эксперименталды түрде дәлелдеді.</w:t>
      </w:r>
    </w:p>
    <w:p w14:paraId="5609C094">
      <w:pPr>
        <w:pStyle w:val="35"/>
        <w:spacing w:beforeAutospacing="0" w:afterAutospacing="0"/>
        <w:ind w:firstLine="709"/>
        <w:jc w:val="both"/>
        <w:rPr>
          <w:color w:val="auto"/>
          <w:sz w:val="28"/>
          <w:szCs w:val="28"/>
          <w:lang w:val="kk-KZ"/>
        </w:rPr>
      </w:pPr>
      <w:r>
        <w:rPr>
          <w:color w:val="auto"/>
          <w:sz w:val="28"/>
          <w:szCs w:val="28"/>
          <w:lang w:val="kk-KZ"/>
        </w:rPr>
        <w:t>Осылайша, заманауи ғылыми әдебиеттерді жүйелі талдау аридті аймақтардағы мұнай ластануы проблемасын тиімді шешу келесі компоненттерді біріктіретін мультидисциплинарлық тәсілді қажет ететінін көрсетеді: (1) мамандандырылған микробтық консорциумдар арқылы биоаугментация; (2) қашықтықтан зондтау технологиялары негізінде экологиялық мониторинг; (3) ұзақ мерзімді экосистемалық салдарларды болжамдық модельдеу.</w:t>
      </w:r>
    </w:p>
    <w:p w14:paraId="5A29DEE6">
      <w:pPr>
        <w:pStyle w:val="35"/>
        <w:spacing w:beforeAutospacing="0" w:afterAutospacing="0"/>
        <w:jc w:val="both"/>
        <w:rPr>
          <w:color w:val="auto"/>
          <w:sz w:val="28"/>
          <w:szCs w:val="28"/>
          <w:lang w:val="kk-KZ"/>
        </w:rPr>
      </w:pPr>
    </w:p>
    <w:p w14:paraId="2ABF1701">
      <w:pPr>
        <w:pStyle w:val="35"/>
        <w:spacing w:beforeAutospacing="0" w:afterAutospacing="0"/>
        <w:ind w:firstLine="709"/>
        <w:jc w:val="both"/>
        <w:rPr>
          <w:b/>
          <w:bCs/>
          <w:color w:val="auto"/>
          <w:sz w:val="28"/>
          <w:szCs w:val="28"/>
          <w:lang w:val="kk-KZ"/>
        </w:rPr>
      </w:pPr>
      <w:r>
        <w:rPr>
          <w:b/>
          <w:bCs/>
          <w:color w:val="auto"/>
          <w:sz w:val="28"/>
          <w:szCs w:val="28"/>
          <w:lang w:val="kk-KZ"/>
        </w:rPr>
        <w:t>1.3 Мұнаймен ластанған топырақтарды тазалаудың заманауи әдістеріне шолу</w:t>
      </w:r>
    </w:p>
    <w:p w14:paraId="14730D0F">
      <w:pPr>
        <w:pStyle w:val="301"/>
        <w:spacing w:before="0" w:after="0"/>
        <w:ind w:firstLine="709"/>
        <w:rPr>
          <w:color w:val="auto"/>
          <w:sz w:val="28"/>
          <w:szCs w:val="28"/>
          <w:lang w:val="kk-KZ"/>
        </w:rPr>
      </w:pPr>
      <w:r>
        <w:rPr>
          <w:color w:val="auto"/>
          <w:sz w:val="28"/>
          <w:szCs w:val="28"/>
          <w:lang w:val="kk-KZ"/>
        </w:rPr>
        <w:t>Топырақ жамылғысының мұнай көмірсутектерімен ластануы өз ауқымы бойынша күшейіп келе жатқан жаһандық геоэкологиялық проблеманы білдіреді. Халықаралық энергетикалық агенттіктің есептік мәліметтері бойынша, қоршаған ортаға мұнай көмірсутектерінің жыл сайынғы эмиссиясы 2,1 млн тоннадан асады, оның едәуір бөлігі топырақ қабатында аккумуляцияланады [</w:t>
      </w:r>
      <w:r>
        <w:rPr>
          <w:rFonts w:hint="default"/>
          <w:color w:val="auto"/>
          <w:sz w:val="28"/>
          <w:szCs w:val="28"/>
          <w:lang w:val="kk-KZ"/>
        </w:rPr>
        <w:t>29</w:t>
      </w:r>
      <w:r>
        <w:rPr>
          <w:color w:val="auto"/>
          <w:sz w:val="28"/>
          <w:szCs w:val="28"/>
          <w:lang w:val="kk-KZ"/>
        </w:rPr>
        <w:t>]. Мұнай көмірсутектерімен ластану топырақтың геохимиялық процестерінде күшті өзгерістер тудырады: қайталама тұздану, шайырлану және газ режимінің бұзылуы байқалады, бұл тиімді тазалау әдістерін әзірлеу қажеттілігін көрсетеді</w:t>
      </w:r>
      <w:r>
        <w:rPr>
          <w:rFonts w:hint="default"/>
          <w:color w:val="auto"/>
          <w:sz w:val="28"/>
          <w:szCs w:val="28"/>
          <w:lang w:val="kk-KZ"/>
        </w:rPr>
        <w:t xml:space="preserve"> </w:t>
      </w:r>
      <w:r>
        <w:rPr>
          <w:color w:val="auto"/>
          <w:sz w:val="28"/>
          <w:szCs w:val="28"/>
          <w:lang w:val="kk-KZ"/>
        </w:rPr>
        <w:t>[</w:t>
      </w:r>
      <w:r>
        <w:rPr>
          <w:rFonts w:hint="default"/>
          <w:color w:val="auto"/>
          <w:sz w:val="28"/>
          <w:szCs w:val="28"/>
          <w:lang w:val="kk-KZ"/>
        </w:rPr>
        <w:t>30</w:t>
      </w:r>
      <w:r>
        <w:rPr>
          <w:color w:val="auto"/>
          <w:sz w:val="28"/>
          <w:szCs w:val="28"/>
          <w:lang w:val="kk-KZ"/>
        </w:rPr>
        <w:t>].</w:t>
      </w:r>
    </w:p>
    <w:p w14:paraId="068E41FD">
      <w:pPr>
        <w:pStyle w:val="301"/>
        <w:spacing w:before="0" w:after="0"/>
        <w:ind w:firstLine="709"/>
        <w:rPr>
          <w:color w:val="auto"/>
          <w:sz w:val="28"/>
          <w:szCs w:val="28"/>
          <w:lang w:val="kk-KZ"/>
        </w:rPr>
      </w:pPr>
      <w:r>
        <w:rPr>
          <w:color w:val="auto"/>
          <w:sz w:val="28"/>
          <w:szCs w:val="28"/>
          <w:lang w:val="kk-KZ"/>
        </w:rPr>
        <w:t>Мұнаймен ластанған топырақтарды қалпына келтіру – бұл бұзылған аумақтардың өнімділігі мен шаруашылық құндылығын қайтару үшін жүргізілетін кешенді технологиялық шаралар жүйесі. Қазіргі тазалау әдістері ластаушы заттарға әсер ету тәсілдеріне қарай үш топқа бөлінеді: механикалық (физикалық), физика-химиялық және биологиялық технологиялар [</w:t>
      </w:r>
      <w:r>
        <w:rPr>
          <w:rFonts w:hint="default"/>
          <w:color w:val="auto"/>
          <w:sz w:val="28"/>
          <w:szCs w:val="28"/>
          <w:lang w:val="kk-KZ"/>
        </w:rPr>
        <w:t>31</w:t>
      </w:r>
      <w:r>
        <w:rPr>
          <w:color w:val="auto"/>
          <w:sz w:val="28"/>
          <w:szCs w:val="28"/>
          <w:lang w:val="kk-KZ"/>
        </w:rPr>
        <w:t>].</w:t>
      </w:r>
    </w:p>
    <w:p w14:paraId="73AF4E8E">
      <w:pPr>
        <w:pStyle w:val="301"/>
        <w:spacing w:before="0" w:after="0"/>
        <w:ind w:firstLine="709"/>
        <w:rPr>
          <w:color w:val="auto"/>
          <w:sz w:val="28"/>
          <w:szCs w:val="28"/>
          <w:lang w:val="kk-KZ"/>
        </w:rPr>
      </w:pPr>
      <w:r>
        <w:rPr>
          <w:i/>
          <w:iCs/>
          <w:color w:val="auto"/>
          <w:sz w:val="28"/>
          <w:szCs w:val="28"/>
          <w:lang w:val="kk-KZ"/>
        </w:rPr>
        <w:t>Физикалық-механикалық әдістер.</w:t>
      </w:r>
      <w:r>
        <w:rPr>
          <w:color w:val="auto"/>
          <w:sz w:val="28"/>
          <w:szCs w:val="28"/>
          <w:lang w:val="kk-KZ"/>
        </w:rPr>
        <w:t xml:space="preserve"> Механикалық технологиялар арнайы инженерлік жабдықтар арқылы мұнай мен мұнай өнімдерін тікелей экстракциялауды қамтамасыз етеді. Механикалық тазалаудың тиімділігі 80%-ға дейін жетуі мүмкін, алайда бұл тәсіл ластаушы заттарды толық жоюды қамтамасыз етпейді [</w:t>
      </w:r>
      <w:r>
        <w:rPr>
          <w:rFonts w:hint="default"/>
          <w:color w:val="auto"/>
          <w:sz w:val="28"/>
          <w:szCs w:val="28"/>
          <w:lang w:val="kk-KZ"/>
        </w:rPr>
        <w:t>31</w:t>
      </w:r>
      <w:r>
        <w:rPr>
          <w:color w:val="auto"/>
          <w:sz w:val="28"/>
          <w:szCs w:val="28"/>
          <w:lang w:val="kk-KZ"/>
        </w:rPr>
        <w:t>].</w:t>
      </w:r>
    </w:p>
    <w:p w14:paraId="3149DC60">
      <w:pPr>
        <w:pStyle w:val="301"/>
        <w:spacing w:before="0" w:after="0"/>
        <w:ind w:firstLine="709"/>
        <w:rPr>
          <w:color w:val="auto"/>
          <w:sz w:val="28"/>
          <w:szCs w:val="28"/>
          <w:lang w:val="kk-KZ"/>
        </w:rPr>
      </w:pPr>
      <w:r>
        <w:rPr>
          <w:color w:val="auto"/>
          <w:sz w:val="28"/>
          <w:szCs w:val="28"/>
          <w:lang w:val="kk-KZ"/>
        </w:rPr>
        <w:t>Термиялық десорбция ұшпа органикалық қосылыстарды жоюдың ең тиімді физикалық әдістеріне жатады. 300-600°C температуралық диапазонда 2-8 сағаттық экспозиция кезінде жалпы мұнай көмірсутектерінің 95-99% шығарылуына қол жеткізіледі [</w:t>
      </w:r>
      <w:r>
        <w:rPr>
          <w:rFonts w:hint="default"/>
          <w:color w:val="auto"/>
          <w:sz w:val="28"/>
          <w:szCs w:val="28"/>
          <w:lang w:val="kk-KZ"/>
        </w:rPr>
        <w:t>32</w:t>
      </w:r>
      <w:r>
        <w:rPr>
          <w:color w:val="auto"/>
          <w:sz w:val="28"/>
          <w:szCs w:val="28"/>
          <w:lang w:val="kk-KZ"/>
        </w:rPr>
        <w:t>]. Дегенмен, жоғары энергетикалық шығындар және топырақтың органикалық заттарының деструкциясы әдістің қолданылуын шектейді.</w:t>
      </w:r>
    </w:p>
    <w:p w14:paraId="2D0BE7DC">
      <w:pPr>
        <w:pStyle w:val="301"/>
        <w:spacing w:before="0" w:after="0"/>
        <w:ind w:firstLine="709"/>
        <w:rPr>
          <w:color w:val="auto"/>
          <w:sz w:val="28"/>
          <w:szCs w:val="28"/>
          <w:lang w:val="kk-KZ"/>
        </w:rPr>
      </w:pPr>
      <w:r>
        <w:rPr>
          <w:color w:val="auto"/>
          <w:sz w:val="28"/>
          <w:szCs w:val="28"/>
          <w:lang w:val="kk-KZ"/>
        </w:rPr>
        <w:t>Мұнай өнімдерін жағу арқылы тазалау әдісі салыстырмалы арзан болғанымен, экологиялық тұрғыдан тиімсіз болып табылады. Жағу процесі тек мұнайдың қалың қабаты жиналған жерде ғана мүмкін, ал мұнаймен сіңірілген топырақтар тұрақты жанбайды. Сонымен қатар, термиялық өңдеу кезінде канцерогендік қасиеттері бар полициклді ароматты көмірсутектер пайда болады және топырақ құнарлылығын қалпына келтіру мүмкіндігі жойылады.</w:t>
      </w:r>
    </w:p>
    <w:p w14:paraId="079A215E">
      <w:pPr>
        <w:pStyle w:val="301"/>
        <w:spacing w:before="0" w:after="0"/>
        <w:ind w:firstLine="709"/>
        <w:rPr>
          <w:color w:val="auto"/>
          <w:sz w:val="28"/>
          <w:szCs w:val="28"/>
          <w:lang w:val="kk-KZ"/>
        </w:rPr>
      </w:pPr>
      <w:r>
        <w:rPr>
          <w:i/>
          <w:iCs/>
          <w:color w:val="auto"/>
          <w:sz w:val="28"/>
          <w:szCs w:val="28"/>
          <w:lang w:val="kk-KZ"/>
        </w:rPr>
        <w:t xml:space="preserve">Физика-химиялық әдістер. </w:t>
      </w:r>
      <w:r>
        <w:rPr>
          <w:color w:val="auto"/>
          <w:sz w:val="28"/>
          <w:szCs w:val="28"/>
          <w:lang w:val="kk-KZ"/>
        </w:rPr>
        <w:t>Топырақты еріткіштермен немесе беттік белсенді заттардың (БАЗ) сулы ерітінділерімен жуу ластану дәрежесіне байланысты 60-85% тазарту тиімділігін қамтамасыз етеді. Иондық емес БАЗ-ды 2-5% концентрацияда қолдану 4-6 өңдеу циклінде құмды-сазды топырақтардан полициклді ароматты көмірсутектердің 78%-ға дейінін алуға мүмкіндік береді [</w:t>
      </w:r>
      <w:r>
        <w:rPr>
          <w:rFonts w:hint="default"/>
          <w:color w:val="auto"/>
          <w:sz w:val="28"/>
          <w:szCs w:val="28"/>
          <w:lang w:val="ru-RU"/>
        </w:rPr>
        <w:t>33</w:t>
      </w:r>
      <w:r>
        <w:rPr>
          <w:color w:val="auto"/>
          <w:sz w:val="28"/>
          <w:szCs w:val="28"/>
          <w:lang w:val="kk-KZ"/>
        </w:rPr>
        <w:t>].</w:t>
      </w:r>
    </w:p>
    <w:p w14:paraId="02DE3E17">
      <w:pPr>
        <w:pStyle w:val="301"/>
        <w:spacing w:before="0" w:after="0"/>
        <w:ind w:firstLine="709"/>
        <w:rPr>
          <w:color w:val="auto"/>
          <w:sz w:val="28"/>
          <w:szCs w:val="28"/>
          <w:lang w:val="kk-KZ"/>
        </w:rPr>
      </w:pPr>
      <w:r>
        <w:rPr>
          <w:color w:val="auto"/>
          <w:sz w:val="28"/>
          <w:szCs w:val="28"/>
          <w:lang w:val="kk-KZ"/>
        </w:rPr>
        <w:t>Сорбциялық әдістер табиғи және синтетикалық адсорбциялық материалдарды пайдалануға негізделген. Тиімді сорбенттерге шымтезек, белсендірілген көмір, модификацияланған минералды материалдар (перлит, вермикулит, цеолиттер) және синтетикалық полимерлі сорбенттер жатады</w:t>
      </w:r>
      <w:r>
        <w:rPr>
          <w:rFonts w:hint="default"/>
          <w:color w:val="auto"/>
          <w:sz w:val="28"/>
          <w:szCs w:val="28"/>
          <w:lang w:val="en-US"/>
        </w:rPr>
        <w:t xml:space="preserve"> [34]</w:t>
      </w:r>
      <w:r>
        <w:rPr>
          <w:color w:val="auto"/>
          <w:sz w:val="28"/>
          <w:szCs w:val="28"/>
          <w:lang w:val="kk-KZ"/>
        </w:rPr>
        <w:t xml:space="preserve">. </w:t>
      </w:r>
      <w:r>
        <w:rPr>
          <w:color w:val="auto"/>
          <w:sz w:val="28"/>
          <w:szCs w:val="28"/>
          <w:lang w:val="kk-KZ"/>
        </w:rPr>
        <w:tab/>
      </w:r>
      <w:r>
        <w:rPr>
          <w:color w:val="auto"/>
          <w:sz w:val="28"/>
          <w:szCs w:val="28"/>
          <w:lang w:val="kk-KZ"/>
        </w:rPr>
        <w:t>Электрокинетикалық тазалау технологиясы өткізгіштігі төмен сазды топырақтар үшін жоғары тиімділік көрсетеді. Тығыздығы 0,5-2,0 мА/см² тұрақты электр өрісін 30-90 тәулік қолдану топырақтың физика-химиялық қасиеттерін жақсарта отырып, мұнай көмірсутектерінің 70-85% жоюды қамтамасыз етеді [</w:t>
      </w:r>
      <w:r>
        <w:rPr>
          <w:rFonts w:hint="default"/>
          <w:color w:val="auto"/>
          <w:sz w:val="28"/>
          <w:szCs w:val="28"/>
          <w:lang w:val="en-US"/>
        </w:rPr>
        <w:t>35</w:t>
      </w:r>
      <w:r>
        <w:rPr>
          <w:color w:val="auto"/>
          <w:sz w:val="28"/>
          <w:szCs w:val="28"/>
          <w:lang w:val="kk-KZ"/>
        </w:rPr>
        <w:t>].</w:t>
      </w:r>
    </w:p>
    <w:p w14:paraId="05064EFF">
      <w:pPr>
        <w:pStyle w:val="301"/>
        <w:spacing w:before="0" w:after="0"/>
        <w:ind w:firstLine="709"/>
        <w:rPr>
          <w:i/>
          <w:iCs/>
          <w:color w:val="auto"/>
          <w:sz w:val="28"/>
          <w:szCs w:val="28"/>
          <w:lang w:val="kk-KZ"/>
        </w:rPr>
      </w:pPr>
    </w:p>
    <w:p w14:paraId="251171EC">
      <w:pPr>
        <w:pStyle w:val="301"/>
        <w:tabs>
          <w:tab w:val="left" w:pos="0"/>
        </w:tabs>
        <w:spacing w:before="0" w:after="0"/>
        <w:ind w:firstLine="709"/>
        <w:rPr>
          <w:b/>
          <w:bCs/>
          <w:color w:val="auto"/>
          <w:sz w:val="28"/>
          <w:szCs w:val="28"/>
          <w:lang w:val="kk-KZ"/>
        </w:rPr>
      </w:pPr>
      <w:r>
        <w:rPr>
          <w:b/>
          <w:bCs/>
          <w:color w:val="auto"/>
          <w:sz w:val="28"/>
          <w:szCs w:val="28"/>
          <w:lang w:val="kk-KZ"/>
        </w:rPr>
        <w:t>1.4 Ремедиаци</w:t>
      </w:r>
      <w:r>
        <w:rPr>
          <w:b/>
          <w:bCs/>
          <w:color w:val="auto"/>
          <w:sz w:val="28"/>
          <w:szCs w:val="28"/>
          <w:lang w:val="kk-KZ"/>
        </w:rPr>
        <w:t>ялаудың биологиялық әдістері: принциптері және әсер ету механизмдері</w:t>
      </w:r>
    </w:p>
    <w:p w14:paraId="7BC63BF3">
      <w:pPr>
        <w:pStyle w:val="35"/>
        <w:spacing w:beforeAutospacing="0" w:afterAutospacing="0"/>
        <w:ind w:firstLine="709"/>
        <w:jc w:val="both"/>
        <w:rPr>
          <w:color w:val="auto"/>
          <w:sz w:val="28"/>
          <w:szCs w:val="28"/>
          <w:lang w:val="kk-KZ"/>
        </w:rPr>
      </w:pPr>
      <w:r>
        <w:rPr>
          <w:color w:val="auto"/>
          <w:sz w:val="28"/>
          <w:szCs w:val="28"/>
          <w:lang w:val="kk-KZ"/>
        </w:rPr>
        <w:t>Ластанған топырақтарды қалпына келтіру үшін биоремедиациялық технологияларды дамыту 1970 жылдары мұнай өндіру аймақтарына іргелес жерлерді тазарту үшін басталды. Биоремедиация негізінен топырақ немесе белгілі бір ақаба сулар сияқты ластанған объектілерде қолданылады және in-situ (орнында) немесе ex-situ (биореакторларда) жүзеге асырылуы мү</w:t>
      </w:r>
      <w:r>
        <w:rPr>
          <w:color w:val="auto"/>
          <w:sz w:val="28"/>
          <w:szCs w:val="28"/>
          <w:highlight w:val="none"/>
          <w:lang w:val="kk-KZ"/>
        </w:rPr>
        <w:t>мкін [</w:t>
      </w:r>
      <w:r>
        <w:rPr>
          <w:rFonts w:hint="default"/>
          <w:color w:val="auto"/>
          <w:sz w:val="28"/>
          <w:szCs w:val="28"/>
          <w:highlight w:val="none"/>
          <w:lang w:val="en-US"/>
        </w:rPr>
        <w:t>36</w:t>
      </w:r>
      <w:r>
        <w:rPr>
          <w:color w:val="auto"/>
          <w:sz w:val="28"/>
          <w:szCs w:val="28"/>
          <w:highlight w:val="none"/>
          <w:lang w:val="kk-KZ"/>
        </w:rPr>
        <w:t>]. Топырақ судан кейін екінші ең көп зерттелген биоремедиация объект</w:t>
      </w:r>
      <w:r>
        <w:rPr>
          <w:color w:val="auto"/>
          <w:sz w:val="28"/>
          <w:szCs w:val="28"/>
          <w:lang w:val="kk-KZ"/>
        </w:rPr>
        <w:t>ісі болып табылады, оған әлем бойынша барлық мақалалардың 46%-ы және патенттердің 36%-ы тиесілі. Бұл мәселенің өзекті болып қала беретінін көрсетеді [</w:t>
      </w:r>
      <w:r>
        <w:rPr>
          <w:rFonts w:hint="default"/>
          <w:color w:val="auto"/>
          <w:sz w:val="28"/>
          <w:szCs w:val="28"/>
          <w:lang w:val="en-US"/>
        </w:rPr>
        <w:t>37</w:t>
      </w:r>
      <w:r>
        <w:rPr>
          <w:color w:val="auto"/>
          <w:sz w:val="28"/>
          <w:szCs w:val="28"/>
          <w:lang w:val="kk-KZ"/>
        </w:rPr>
        <w:t>].</w:t>
      </w:r>
    </w:p>
    <w:p w14:paraId="0E0117A8">
      <w:pPr>
        <w:pStyle w:val="35"/>
        <w:spacing w:beforeAutospacing="0" w:afterAutospacing="0"/>
        <w:ind w:firstLine="709"/>
        <w:jc w:val="both"/>
        <w:rPr>
          <w:color w:val="auto"/>
          <w:sz w:val="28"/>
          <w:szCs w:val="28"/>
          <w:lang w:val="kk-KZ"/>
        </w:rPr>
      </w:pPr>
      <w:r>
        <w:rPr>
          <w:color w:val="auto"/>
          <w:sz w:val="28"/>
          <w:szCs w:val="28"/>
          <w:lang w:val="kk-KZ"/>
        </w:rPr>
        <w:t>Микробиологиялық биоремедиацияның артықшылықтарына технологияның салыстырмалы үнемділігі, қолдану қарапайымдылығы, материалдардың қолжетімділігі және әдістің экологиялық таза болуы жатады. Биоремедиация микроорганизмдердің ферментативтік жүйелерінің жұмысымен негізделген. Олардың метаболизмі мұнайды ыдыратуға және мұнай фракцияларын көміртегі мен энергия көзі ретінде пайдалануға мүмкіндік береді. Биоремедиациялық методикалар әртүрлі, негізгі түрлері 1-схемада көрсетілген.</w:t>
      </w:r>
    </w:p>
    <w:p w14:paraId="0E60E5CC">
      <w:pPr>
        <w:pStyle w:val="35"/>
        <w:spacing w:beforeAutospacing="0" w:afterAutospacing="0"/>
        <w:ind w:firstLine="709"/>
        <w:jc w:val="both"/>
        <w:rPr>
          <w:color w:val="auto"/>
          <w:sz w:val="28"/>
          <w:szCs w:val="28"/>
          <w:lang w:val="kk-KZ"/>
        </w:rPr>
      </w:pPr>
      <w:r>
        <w:rPr>
          <w:color w:val="auto"/>
          <w:sz w:val="28"/>
          <w:szCs w:val="28"/>
          <w:lang w:val="kk-KZ"/>
        </w:rPr>
        <w:t>Биоремедиациялық технологиялар әртүрлі, алайда бірқатар негізгі әдістерді бөліп көрсетуге болады. In-situ биоремедиация және осы топқа жататын негізгі әдістер ең тартымды болып табылады, өйткені қалпына келтіру ластағыш заттарды алып тастамай және тасымалдамай жүзеге асырылады. Алайда in-situ қалпына келтіру беттік ластануларды жоюға жарамды және ластағыштың топырақтың терең қабаттарына енуі кезінде әрқашан тиімді бола бермейді [</w:t>
      </w:r>
      <w:r>
        <w:rPr>
          <w:rFonts w:hint="default"/>
          <w:color w:val="auto"/>
          <w:sz w:val="28"/>
          <w:szCs w:val="28"/>
          <w:lang w:val="kk-KZ"/>
        </w:rPr>
        <w:t>38</w:t>
      </w:r>
      <w:r>
        <w:rPr>
          <w:color w:val="auto"/>
          <w:sz w:val="28"/>
          <w:szCs w:val="28"/>
          <w:lang w:val="kk-KZ"/>
        </w:rPr>
        <w:t>].</w:t>
      </w:r>
    </w:p>
    <w:p w14:paraId="561FA573">
      <w:pPr>
        <w:pStyle w:val="35"/>
        <w:spacing w:beforeAutospacing="0" w:afterAutospacing="0"/>
        <w:ind w:firstLine="709"/>
        <w:jc w:val="both"/>
        <w:rPr>
          <w:rFonts w:hint="default"/>
          <w:color w:val="auto"/>
          <w:sz w:val="28"/>
          <w:szCs w:val="28"/>
          <w:lang w:val="kk-KZ"/>
        </w:rPr>
      </w:pPr>
      <w:r>
        <w:rPr>
          <w:color w:val="auto"/>
          <w:sz w:val="28"/>
          <w:szCs w:val="28"/>
          <w:lang w:val="kk-KZ"/>
        </w:rPr>
        <w:t>Ex-situ биоремедиация әдісі ластанған топырақты алып тастау немесе алу және қалпына келтіру болып табылады [</w:t>
      </w:r>
      <w:r>
        <w:rPr>
          <w:rFonts w:hint="default"/>
          <w:color w:val="auto"/>
          <w:sz w:val="28"/>
          <w:szCs w:val="28"/>
          <w:lang w:val="kk-KZ"/>
        </w:rPr>
        <w:t>39</w:t>
      </w:r>
      <w:r>
        <w:rPr>
          <w:color w:val="auto"/>
          <w:sz w:val="28"/>
          <w:szCs w:val="28"/>
          <w:lang w:val="kk-KZ"/>
        </w:rPr>
        <w:t>]. Сондай-ақ комбинацияланған әдістер бар, олардың мәні әдістер комбинациясын бір мезгілде немесе кезекпен қолдану болып табылады. Мысалы, микробиологиялық ремедиацияда комбинацияланған әдіс ластанған топырақтардан аборигенді микроорганизмдерді алып, микроорганизмдерді реакторда өсіргеннен кейін ластанған учаскеге енгізуден тұруы мүмкін.</w:t>
      </w:r>
      <w:r>
        <w:rPr>
          <w:rFonts w:hint="default"/>
          <w:color w:val="auto"/>
          <w:sz w:val="28"/>
          <w:szCs w:val="28"/>
          <w:lang w:val="kk-KZ"/>
        </w:rPr>
        <w:t xml:space="preserve"> Биоремедиация әдісінің түрлері 4 суретте көрсетілген.</w:t>
      </w:r>
    </w:p>
    <w:p w14:paraId="47C757C4">
      <w:pPr>
        <w:pStyle w:val="35"/>
        <w:spacing w:beforeAutospacing="0" w:afterAutospacing="0"/>
        <w:ind w:firstLine="709"/>
        <w:jc w:val="both"/>
        <w:rPr>
          <w:rFonts w:hint="default"/>
          <w:color w:val="auto"/>
          <w:sz w:val="28"/>
          <w:szCs w:val="28"/>
          <w:lang w:val="kk-KZ"/>
        </w:rPr>
      </w:pPr>
      <w:r>
        <w:rPr>
          <w:color w:val="auto"/>
          <w:sz w:val="28"/>
          <w:szCs w:val="28"/>
          <w:lang w:val="kk-KZ"/>
        </w:rPr>
        <w:t>Микробиологиялық биоремедиация үшін қолданылатын әдістердің мәні, олардың негізгі артықшылықтары мен кемшіліктері 2-кестеде көрсетілген</w:t>
      </w:r>
      <w:r>
        <w:rPr>
          <w:rFonts w:hint="default"/>
          <w:color w:val="auto"/>
          <w:sz w:val="28"/>
          <w:szCs w:val="28"/>
          <w:lang w:val="kk-KZ"/>
        </w:rPr>
        <w:t xml:space="preserve"> </w:t>
      </w:r>
      <w:r>
        <w:rPr>
          <w:color w:val="auto"/>
          <w:sz w:val="28"/>
          <w:szCs w:val="28"/>
          <w:lang w:val="kk-KZ"/>
        </w:rPr>
        <w:t>[</w:t>
      </w:r>
      <w:r>
        <w:rPr>
          <w:rFonts w:hint="default"/>
          <w:color w:val="auto"/>
          <w:sz w:val="28"/>
          <w:szCs w:val="28"/>
          <w:lang w:val="kk-KZ"/>
        </w:rPr>
        <w:t>40</w:t>
      </w:r>
      <w:r>
        <w:rPr>
          <w:color w:val="auto"/>
          <w:sz w:val="28"/>
          <w:szCs w:val="28"/>
          <w:lang w:val="kk-KZ"/>
        </w:rPr>
        <w:t>].</w:t>
      </w:r>
    </w:p>
    <w:p w14:paraId="366CD9F5">
      <w:pPr>
        <w:pStyle w:val="301"/>
        <w:tabs>
          <w:tab w:val="left" w:pos="0"/>
        </w:tabs>
        <w:spacing w:before="0" w:after="0"/>
        <w:rPr>
          <w:b/>
          <w:bCs/>
          <w:color w:val="auto"/>
          <w:sz w:val="28"/>
          <w:szCs w:val="28"/>
          <w:lang w:val="kk-KZ"/>
        </w:rPr>
      </w:pPr>
    </w:p>
    <w:p w14:paraId="577BDA75">
      <w:pPr>
        <w:pStyle w:val="35"/>
        <w:spacing w:beforeAutospacing="0"/>
        <w:ind w:left="0" w:leftChars="0" w:firstLine="0" w:firstLineChars="0"/>
        <w:jc w:val="center"/>
        <w:rPr>
          <w:color w:val="auto"/>
        </w:rPr>
      </w:pPr>
      <w:r>
        <w:rPr>
          <w:color w:val="auto"/>
          <w:lang w:val="ru-RU" w:eastAsia="ru-RU"/>
        </w:rPr>
        <w:drawing>
          <wp:inline distT="0" distB="0" distL="114300" distR="114300">
            <wp:extent cx="5685155" cy="4107180"/>
            <wp:effectExtent l="0" t="0" r="14605" b="7620"/>
            <wp:docPr id="69" name="Изображение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Изображение 2" descr="IMG_256"/>
                    <pic:cNvPicPr>
                      <a:picLocks noChangeAspect="1"/>
                    </pic:cNvPicPr>
                  </pic:nvPicPr>
                  <pic:blipFill>
                    <a:blip r:embed="rId10"/>
                    <a:stretch>
                      <a:fillRect/>
                    </a:stretch>
                  </pic:blipFill>
                  <pic:spPr>
                    <a:xfrm>
                      <a:off x="0" y="0"/>
                      <a:ext cx="5685155" cy="4107180"/>
                    </a:xfrm>
                    <a:prstGeom prst="rect">
                      <a:avLst/>
                    </a:prstGeom>
                    <a:noFill/>
                    <a:ln w="9525">
                      <a:noFill/>
                    </a:ln>
                  </pic:spPr>
                </pic:pic>
              </a:graphicData>
            </a:graphic>
          </wp:inline>
        </w:drawing>
      </w:r>
    </w:p>
    <w:p w14:paraId="28887618">
      <w:pPr>
        <w:pStyle w:val="301"/>
        <w:tabs>
          <w:tab w:val="left" w:pos="0"/>
        </w:tabs>
        <w:spacing w:before="0" w:after="0"/>
        <w:ind w:firstLine="709"/>
        <w:jc w:val="center"/>
        <w:rPr>
          <w:color w:val="auto"/>
          <w:sz w:val="28"/>
          <w:szCs w:val="28"/>
          <w:lang w:val="kk-KZ"/>
        </w:rPr>
      </w:pPr>
      <w:r>
        <w:rPr>
          <w:color w:val="auto"/>
          <w:sz w:val="28"/>
          <w:szCs w:val="28"/>
          <w:lang w:val="kk-KZ"/>
        </w:rPr>
        <w:t xml:space="preserve">Сурет - </w:t>
      </w:r>
      <w:r>
        <w:rPr>
          <w:color w:val="auto"/>
          <w:sz w:val="28"/>
          <w:szCs w:val="28"/>
          <w:lang w:val="ru-RU"/>
        </w:rPr>
        <w:t>4</w:t>
      </w:r>
      <w:r>
        <w:rPr>
          <w:color w:val="auto"/>
          <w:sz w:val="28"/>
          <w:szCs w:val="28"/>
          <w:lang w:val="kk-KZ"/>
        </w:rPr>
        <w:t xml:space="preserve"> Биоремедиация түрлері</w:t>
      </w:r>
    </w:p>
    <w:p w14:paraId="78DA7A3C">
      <w:pPr>
        <w:pStyle w:val="301"/>
        <w:tabs>
          <w:tab w:val="left" w:pos="0"/>
        </w:tabs>
        <w:spacing w:before="0" w:after="0"/>
        <w:rPr>
          <w:color w:val="auto"/>
          <w:sz w:val="28"/>
          <w:szCs w:val="28"/>
          <w:lang w:val="kk-KZ"/>
        </w:rPr>
      </w:pPr>
      <w:r>
        <w:rPr>
          <w:color w:val="auto"/>
          <w:sz w:val="28"/>
          <w:szCs w:val="28"/>
          <w:lang w:val="kk-KZ"/>
        </w:rPr>
        <w:t xml:space="preserve">Кесте </w:t>
      </w:r>
      <w:r>
        <w:rPr>
          <w:i/>
          <w:iCs/>
          <w:color w:val="auto"/>
          <w:sz w:val="28"/>
          <w:szCs w:val="28"/>
          <w:lang w:val="kk-KZ"/>
        </w:rPr>
        <w:t xml:space="preserve">- </w:t>
      </w:r>
      <w:r>
        <w:rPr>
          <w:color w:val="auto"/>
          <w:sz w:val="28"/>
          <w:szCs w:val="28"/>
          <w:lang w:val="kk-KZ"/>
        </w:rPr>
        <w:t>2 .Биоремедияцияның негізгі әдістері, олардың артықшылықтары мен кемшіліктері [</w:t>
      </w:r>
      <w:r>
        <w:rPr>
          <w:rFonts w:hint="default"/>
          <w:color w:val="auto"/>
          <w:sz w:val="28"/>
          <w:szCs w:val="28"/>
          <w:lang w:val="en-US"/>
        </w:rPr>
        <w:t>38</w:t>
      </w:r>
      <w:r>
        <w:rPr>
          <w:color w:val="auto"/>
          <w:sz w:val="28"/>
          <w:szCs w:val="28"/>
          <w:lang w:val="kk-KZ"/>
        </w:rPr>
        <w:t>]</w:t>
      </w:r>
    </w:p>
    <w:p w14:paraId="4ECB4963">
      <w:pPr>
        <w:pStyle w:val="301"/>
        <w:tabs>
          <w:tab w:val="left" w:pos="0"/>
        </w:tabs>
        <w:spacing w:before="0" w:after="0"/>
        <w:ind w:firstLine="709"/>
        <w:rPr>
          <w:color w:val="auto"/>
          <w:sz w:val="28"/>
          <w:szCs w:val="28"/>
          <w:lang w:val="kk-KZ"/>
        </w:rPr>
      </w:pPr>
    </w:p>
    <w:tbl>
      <w:tblPr>
        <w:tblStyle w:val="38"/>
        <w:tblW w:w="97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4"/>
        <w:gridCol w:w="2436"/>
        <w:gridCol w:w="2827"/>
        <w:gridCol w:w="2315"/>
      </w:tblGrid>
      <w:tr w14:paraId="0C7AE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4" w:type="dxa"/>
          </w:tcPr>
          <w:p w14:paraId="6B8FB29D">
            <w:pPr>
              <w:pStyle w:val="301"/>
              <w:widowControl w:val="0"/>
              <w:tabs>
                <w:tab w:val="left" w:pos="0"/>
              </w:tabs>
              <w:spacing w:before="0" w:after="0"/>
              <w:rPr>
                <w:color w:val="auto"/>
                <w:lang w:val="kk-KZ"/>
              </w:rPr>
            </w:pPr>
            <w:r>
              <w:rPr>
                <w:rStyle w:val="19"/>
                <w:rFonts w:eastAsia="SimSun"/>
                <w:b w:val="0"/>
                <w:bCs w:val="0"/>
                <w:color w:val="auto"/>
                <w:lang w:val="en-US" w:eastAsia="zh-CN" w:bidi="ar"/>
              </w:rPr>
              <w:t>Атауы</w:t>
            </w:r>
          </w:p>
        </w:tc>
        <w:tc>
          <w:tcPr>
            <w:tcW w:w="2436" w:type="dxa"/>
          </w:tcPr>
          <w:p w14:paraId="541C2564">
            <w:pPr>
              <w:pStyle w:val="301"/>
              <w:widowControl w:val="0"/>
              <w:tabs>
                <w:tab w:val="left" w:pos="0"/>
              </w:tabs>
              <w:spacing w:before="0" w:after="0"/>
              <w:rPr>
                <w:color w:val="auto"/>
                <w:lang w:val="kk-KZ"/>
              </w:rPr>
            </w:pPr>
            <w:r>
              <w:rPr>
                <w:rStyle w:val="19"/>
                <w:rFonts w:eastAsia="SimSun"/>
                <w:b w:val="0"/>
                <w:bCs w:val="0"/>
                <w:color w:val="auto"/>
                <w:lang w:val="en-US" w:eastAsia="zh-CN" w:bidi="ar"/>
              </w:rPr>
              <w:t>Әдістің мәні</w:t>
            </w:r>
          </w:p>
        </w:tc>
        <w:tc>
          <w:tcPr>
            <w:tcW w:w="2827" w:type="dxa"/>
          </w:tcPr>
          <w:p w14:paraId="7A960DA4">
            <w:pPr>
              <w:pStyle w:val="301"/>
              <w:widowControl w:val="0"/>
              <w:tabs>
                <w:tab w:val="left" w:pos="0"/>
              </w:tabs>
              <w:spacing w:before="0" w:after="0"/>
              <w:rPr>
                <w:color w:val="auto"/>
                <w:lang w:val="kk-KZ"/>
              </w:rPr>
            </w:pPr>
            <w:r>
              <w:rPr>
                <w:rStyle w:val="19"/>
                <w:rFonts w:eastAsia="SimSun"/>
                <w:b w:val="0"/>
                <w:bCs w:val="0"/>
                <w:color w:val="auto"/>
                <w:lang w:val="en-US" w:eastAsia="zh-CN" w:bidi="ar"/>
              </w:rPr>
              <w:t>Артықшылықтары</w:t>
            </w:r>
          </w:p>
        </w:tc>
        <w:tc>
          <w:tcPr>
            <w:tcW w:w="2315" w:type="dxa"/>
          </w:tcPr>
          <w:p w14:paraId="078C6118">
            <w:pPr>
              <w:pStyle w:val="301"/>
              <w:widowControl w:val="0"/>
              <w:tabs>
                <w:tab w:val="left" w:pos="0"/>
              </w:tabs>
              <w:spacing w:before="0" w:after="0"/>
              <w:rPr>
                <w:color w:val="auto"/>
                <w:lang w:val="kk-KZ"/>
              </w:rPr>
            </w:pPr>
            <w:r>
              <w:rPr>
                <w:rStyle w:val="19"/>
                <w:rFonts w:eastAsia="SimSun"/>
                <w:b w:val="0"/>
                <w:bCs w:val="0"/>
                <w:color w:val="auto"/>
                <w:lang w:val="en-US" w:eastAsia="zh-CN" w:bidi="ar"/>
              </w:rPr>
              <w:t>Кемшіліктері</w:t>
            </w:r>
          </w:p>
        </w:tc>
      </w:tr>
      <w:tr w14:paraId="3AC91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62" w:type="dxa"/>
            <w:gridSpan w:val="4"/>
          </w:tcPr>
          <w:p w14:paraId="4B228897">
            <w:pPr>
              <w:pStyle w:val="301"/>
              <w:widowControl w:val="0"/>
              <w:tabs>
                <w:tab w:val="left" w:pos="0"/>
              </w:tabs>
              <w:spacing w:before="0" w:after="0"/>
              <w:jc w:val="center"/>
              <w:rPr>
                <w:color w:val="auto"/>
              </w:rPr>
            </w:pPr>
            <w:r>
              <w:rPr>
                <w:rStyle w:val="19"/>
                <w:rFonts w:eastAsia="SimSun"/>
                <w:b w:val="0"/>
                <w:bCs w:val="0"/>
                <w:color w:val="auto"/>
                <w:lang w:val="en-US" w:eastAsia="zh-CN" w:bidi="ar"/>
              </w:rPr>
              <w:t>Ex-situ биоремедиация</w:t>
            </w:r>
            <w:r>
              <w:rPr>
                <w:rStyle w:val="19"/>
                <w:rFonts w:eastAsia="SimSun"/>
                <w:b w:val="0"/>
                <w:bCs w:val="0"/>
                <w:color w:val="auto"/>
                <w:lang w:eastAsia="zh-CN" w:bidi="ar"/>
              </w:rPr>
              <w:t>сы</w:t>
            </w:r>
          </w:p>
        </w:tc>
      </w:tr>
      <w:tr w14:paraId="7957D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2184" w:type="dxa"/>
          </w:tcPr>
          <w:p w14:paraId="71476681">
            <w:pPr>
              <w:pStyle w:val="301"/>
              <w:widowControl w:val="0"/>
              <w:tabs>
                <w:tab w:val="left" w:pos="0"/>
              </w:tabs>
              <w:spacing w:before="0" w:after="0"/>
              <w:jc w:val="center"/>
              <w:rPr>
                <w:color w:val="auto"/>
                <w:lang w:val="kk-KZ"/>
              </w:rPr>
            </w:pPr>
            <w:r>
              <w:rPr>
                <w:rFonts w:eastAsia="SimSun"/>
                <w:color w:val="auto"/>
                <w:lang w:val="en-US" w:eastAsia="zh-CN" w:bidi="ar"/>
              </w:rPr>
              <w:t>«Биоүйінділер» (Biopiles)</w:t>
            </w:r>
          </w:p>
        </w:tc>
        <w:tc>
          <w:tcPr>
            <w:tcW w:w="2436" w:type="dxa"/>
          </w:tcPr>
          <w:p w14:paraId="045BC921">
            <w:pPr>
              <w:pStyle w:val="301"/>
              <w:widowControl w:val="0"/>
              <w:tabs>
                <w:tab w:val="left" w:pos="0"/>
              </w:tabs>
              <w:spacing w:before="0" w:after="0"/>
              <w:jc w:val="center"/>
              <w:rPr>
                <w:color w:val="auto"/>
                <w:lang w:val="kk-KZ"/>
              </w:rPr>
            </w:pPr>
            <w:r>
              <w:rPr>
                <w:rFonts w:eastAsia="SimSun"/>
                <w:color w:val="auto"/>
                <w:lang w:val="kk-KZ" w:eastAsia="zh-CN" w:bidi="ar"/>
              </w:rPr>
              <w:t xml:space="preserve">Ластанған топырақ аэрация, температура мен ылғалдылықты </w:t>
            </w:r>
          </w:p>
        </w:tc>
        <w:tc>
          <w:tcPr>
            <w:tcW w:w="2827" w:type="dxa"/>
          </w:tcPr>
          <w:p w14:paraId="6DBB74F3">
            <w:pPr>
              <w:pStyle w:val="301"/>
              <w:widowControl w:val="0"/>
              <w:tabs>
                <w:tab w:val="left" w:pos="0"/>
              </w:tabs>
              <w:spacing w:before="0" w:after="0"/>
              <w:jc w:val="center"/>
              <w:rPr>
                <w:color w:val="auto"/>
                <w:lang w:val="kk-KZ"/>
              </w:rPr>
            </w:pPr>
            <w:r>
              <w:rPr>
                <w:rFonts w:eastAsia="SimSun"/>
                <w:color w:val="auto"/>
                <w:lang w:val="kk-KZ" w:eastAsia="zh-CN" w:bidi="ar"/>
              </w:rPr>
              <w:t xml:space="preserve">Ластағыш заттардың таралуын болдырмайды; </w:t>
            </w:r>
          </w:p>
        </w:tc>
        <w:tc>
          <w:tcPr>
            <w:tcW w:w="2315" w:type="dxa"/>
          </w:tcPr>
          <w:p w14:paraId="1458946E">
            <w:pPr>
              <w:pStyle w:val="301"/>
              <w:widowControl w:val="0"/>
              <w:tabs>
                <w:tab w:val="left" w:pos="0"/>
              </w:tabs>
              <w:spacing w:before="0" w:after="0"/>
              <w:jc w:val="center"/>
              <w:rPr>
                <w:rFonts w:eastAsia="SimSun"/>
                <w:color w:val="auto"/>
                <w:lang w:val="kk-KZ" w:eastAsia="zh-CN" w:bidi="ar"/>
              </w:rPr>
            </w:pPr>
            <w:r>
              <w:rPr>
                <w:rFonts w:eastAsia="SimSun"/>
                <w:color w:val="auto"/>
                <w:lang w:val="kk-KZ" w:eastAsia="zh-CN" w:bidi="ar"/>
              </w:rPr>
              <w:t xml:space="preserve">Топырақтың </w:t>
            </w:r>
          </w:p>
          <w:p w14:paraId="76835963">
            <w:pPr>
              <w:pStyle w:val="301"/>
              <w:widowControl w:val="0"/>
              <w:tabs>
                <w:tab w:val="left" w:pos="0"/>
              </w:tabs>
              <w:spacing w:before="0" w:after="0"/>
              <w:jc w:val="both"/>
              <w:rPr>
                <w:color w:val="auto"/>
                <w:lang w:val="kk-KZ"/>
              </w:rPr>
            </w:pPr>
            <w:r>
              <w:rPr>
                <w:rFonts w:eastAsia="SimSun"/>
                <w:color w:val="auto"/>
                <w:lang w:val="kk-KZ" w:eastAsia="zh-CN" w:bidi="ar"/>
              </w:rPr>
              <w:t xml:space="preserve">кебуіне және көмірсутектердің </w:t>
            </w:r>
          </w:p>
        </w:tc>
      </w:tr>
    </w:tbl>
    <w:p w14:paraId="0FE5F23D">
      <w:pPr>
        <w:pStyle w:val="301"/>
        <w:widowControl w:val="0"/>
        <w:tabs>
          <w:tab w:val="left" w:pos="0"/>
        </w:tabs>
        <w:spacing w:before="0" w:after="0"/>
        <w:rPr>
          <w:color w:val="auto"/>
          <w:sz w:val="28"/>
          <w:szCs w:val="28"/>
          <w:lang w:val="kk-KZ" w:eastAsia="zh-CN" w:bidi="ar"/>
        </w:rPr>
      </w:pPr>
      <w:r>
        <w:rPr>
          <w:color w:val="auto"/>
          <w:sz w:val="28"/>
          <w:szCs w:val="28"/>
          <w:lang w:val="kk-KZ" w:eastAsia="zh-CN" w:bidi="ar"/>
        </w:rPr>
        <w:br w:type="page"/>
      </w:r>
    </w:p>
    <w:tbl>
      <w:tblPr>
        <w:tblStyle w:val="38"/>
        <w:tblW w:w="97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4"/>
        <w:gridCol w:w="2436"/>
        <w:gridCol w:w="2827"/>
        <w:gridCol w:w="2315"/>
      </w:tblGrid>
      <w:tr w14:paraId="1A06B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62" w:type="dxa"/>
            <w:gridSpan w:val="4"/>
            <w:tcBorders>
              <w:top w:val="nil"/>
              <w:left w:val="nil"/>
              <w:bottom w:val="single" w:color="auto" w:sz="4" w:space="0"/>
              <w:right w:val="nil"/>
            </w:tcBorders>
          </w:tcPr>
          <w:p w14:paraId="3A2BA6C8">
            <w:pPr>
              <w:pStyle w:val="301"/>
              <w:widowControl w:val="0"/>
              <w:tabs>
                <w:tab w:val="left" w:pos="0"/>
              </w:tabs>
              <w:spacing w:before="0" w:after="0"/>
              <w:rPr>
                <w:color w:val="auto"/>
                <w:sz w:val="28"/>
                <w:szCs w:val="28"/>
                <w:lang w:val="kk-KZ" w:eastAsia="zh-CN" w:bidi="ar"/>
              </w:rPr>
            </w:pPr>
            <w:r>
              <w:rPr>
                <w:color w:val="auto"/>
                <w:sz w:val="28"/>
                <w:szCs w:val="28"/>
                <w:lang w:val="kk-KZ" w:eastAsia="zh-CN" w:bidi="ar"/>
              </w:rPr>
              <w:t>Кесте 2 жалғасы</w:t>
            </w:r>
          </w:p>
        </w:tc>
      </w:tr>
      <w:tr w14:paraId="18971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trPr>
        <w:tc>
          <w:tcPr>
            <w:tcW w:w="2184" w:type="dxa"/>
          </w:tcPr>
          <w:p w14:paraId="0DE037C7">
            <w:pPr>
              <w:pStyle w:val="301"/>
              <w:widowControl w:val="0"/>
              <w:tabs>
                <w:tab w:val="left" w:pos="0"/>
              </w:tabs>
              <w:spacing w:before="0" w:after="0"/>
              <w:jc w:val="center"/>
              <w:rPr>
                <w:rFonts w:eastAsia="SimSun"/>
                <w:color w:val="auto"/>
                <w:lang w:val="en-US" w:eastAsia="zh-CN" w:bidi="ar"/>
              </w:rPr>
            </w:pPr>
          </w:p>
        </w:tc>
        <w:tc>
          <w:tcPr>
            <w:tcW w:w="2436" w:type="dxa"/>
          </w:tcPr>
          <w:p w14:paraId="2477968A">
            <w:pPr>
              <w:pStyle w:val="301"/>
              <w:widowControl w:val="0"/>
              <w:tabs>
                <w:tab w:val="left" w:pos="0"/>
              </w:tabs>
              <w:spacing w:before="0" w:after="0"/>
              <w:jc w:val="center"/>
              <w:rPr>
                <w:rFonts w:eastAsia="SimSun"/>
                <w:color w:val="auto"/>
                <w:lang w:val="kk-KZ" w:eastAsia="zh-CN" w:bidi="ar"/>
              </w:rPr>
            </w:pPr>
            <w:r>
              <w:rPr>
                <w:rFonts w:eastAsia="SimSun"/>
                <w:color w:val="auto"/>
                <w:lang w:val="kk-KZ" w:eastAsia="zh-CN" w:bidi="ar"/>
              </w:rPr>
              <w:t xml:space="preserve">бақылау, қоректік заттарды енгізу құрылғыларымен жабдықталған өңдеу аймағында жер үстінде жинақталады </w:t>
            </w:r>
          </w:p>
        </w:tc>
        <w:tc>
          <w:tcPr>
            <w:tcW w:w="2827" w:type="dxa"/>
          </w:tcPr>
          <w:p w14:paraId="62A99FC6">
            <w:pPr>
              <w:pStyle w:val="301"/>
              <w:widowControl w:val="0"/>
              <w:tabs>
                <w:tab w:val="left" w:pos="0"/>
              </w:tabs>
              <w:spacing w:before="0" w:after="0"/>
              <w:jc w:val="center"/>
              <w:rPr>
                <w:rFonts w:eastAsia="SimSun"/>
                <w:color w:val="auto"/>
                <w:lang w:val="kk-KZ" w:eastAsia="zh-CN" w:bidi="ar"/>
              </w:rPr>
            </w:pPr>
            <w:r>
              <w:rPr>
                <w:rFonts w:eastAsia="SimSun"/>
                <w:color w:val="auto"/>
                <w:lang w:val="kk-KZ" w:eastAsia="zh-CN" w:bidi="ar"/>
              </w:rPr>
              <w:t>салыстырмалы түрде аз алаңды қажет етеді; экономикалық тұрғыдан аз шығынды</w:t>
            </w:r>
          </w:p>
        </w:tc>
        <w:tc>
          <w:tcPr>
            <w:tcW w:w="2315" w:type="dxa"/>
          </w:tcPr>
          <w:p w14:paraId="64227FD0">
            <w:pPr>
              <w:pStyle w:val="301"/>
              <w:widowControl w:val="0"/>
              <w:tabs>
                <w:tab w:val="left" w:pos="0"/>
              </w:tabs>
              <w:spacing w:before="0" w:after="0"/>
              <w:jc w:val="both"/>
              <w:rPr>
                <w:rFonts w:eastAsia="SimSun"/>
                <w:color w:val="auto"/>
                <w:lang w:val="kk-KZ" w:eastAsia="zh-CN" w:bidi="ar"/>
              </w:rPr>
            </w:pPr>
            <w:r>
              <w:rPr>
                <w:rFonts w:eastAsia="SimSun"/>
                <w:color w:val="auto"/>
                <w:lang w:val="kk-KZ" w:eastAsia="zh-CN" w:bidi="ar"/>
              </w:rPr>
              <w:t>ыдырауынан гөрі ұшуына ықпал етеді; үздіксіз электр энергиясының берілуін қажет етеді</w:t>
            </w:r>
          </w:p>
        </w:tc>
      </w:tr>
      <w:tr w14:paraId="06FA6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4" w:type="dxa"/>
            <w:tcBorders>
              <w:bottom w:val="single" w:color="auto" w:sz="4" w:space="0"/>
            </w:tcBorders>
          </w:tcPr>
          <w:p w14:paraId="212FFCA4">
            <w:pPr>
              <w:pStyle w:val="301"/>
              <w:widowControl w:val="0"/>
              <w:tabs>
                <w:tab w:val="left" w:pos="0"/>
              </w:tabs>
              <w:spacing w:before="0" w:after="0"/>
              <w:jc w:val="center"/>
              <w:rPr>
                <w:color w:val="auto"/>
                <w:lang w:val="kk-KZ"/>
              </w:rPr>
            </w:pPr>
            <w:r>
              <w:rPr>
                <w:rFonts w:eastAsia="SimSun"/>
                <w:color w:val="auto"/>
                <w:lang w:val="en-US" w:eastAsia="zh-CN" w:bidi="ar"/>
              </w:rPr>
              <w:t>Биореакторлар</w:t>
            </w:r>
          </w:p>
        </w:tc>
        <w:tc>
          <w:tcPr>
            <w:tcW w:w="2436" w:type="dxa"/>
            <w:tcBorders>
              <w:bottom w:val="single" w:color="auto" w:sz="4" w:space="0"/>
            </w:tcBorders>
          </w:tcPr>
          <w:p w14:paraId="2ECEC87D">
            <w:pPr>
              <w:pStyle w:val="301"/>
              <w:widowControl w:val="0"/>
              <w:tabs>
                <w:tab w:val="left" w:pos="0"/>
              </w:tabs>
              <w:spacing w:before="0" w:after="0"/>
              <w:rPr>
                <w:color w:val="auto"/>
                <w:lang w:val="kk-KZ"/>
              </w:rPr>
            </w:pPr>
            <w:r>
              <w:rPr>
                <w:rFonts w:eastAsia="SimSun"/>
                <w:color w:val="auto"/>
                <w:lang w:val="kk-KZ" w:eastAsia="zh-CN" w:bidi="ar"/>
              </w:rPr>
              <w:t xml:space="preserve">Процестің өту ортасының параметрлерін реттеуге мүмкіндік беретін реактор қолдану арқылы биоремедиация технологиясы </w:t>
            </w:r>
          </w:p>
        </w:tc>
        <w:tc>
          <w:tcPr>
            <w:tcW w:w="2827" w:type="dxa"/>
            <w:tcBorders>
              <w:bottom w:val="single" w:color="auto" w:sz="4" w:space="0"/>
            </w:tcBorders>
          </w:tcPr>
          <w:p w14:paraId="293532A7">
            <w:pPr>
              <w:pStyle w:val="301"/>
              <w:widowControl w:val="0"/>
              <w:tabs>
                <w:tab w:val="left" w:pos="0"/>
              </w:tabs>
              <w:spacing w:before="0" w:after="0"/>
              <w:jc w:val="center"/>
              <w:rPr>
                <w:color w:val="auto"/>
                <w:lang w:val="kk-KZ"/>
              </w:rPr>
            </w:pPr>
            <w:r>
              <w:rPr>
                <w:rFonts w:eastAsia="SimSun"/>
                <w:color w:val="auto"/>
                <w:lang w:val="kk-KZ" w:eastAsia="zh-CN" w:bidi="ar"/>
              </w:rPr>
              <w:t xml:space="preserve">Аэробты және анаэробты жағдайларда жоғары тиімділік; биопроцестің барлық параметрлерін бақылау мүмкіндігі; генетикалық түрлендірілген микроорганизмдерді </w:t>
            </w:r>
          </w:p>
        </w:tc>
        <w:tc>
          <w:tcPr>
            <w:tcW w:w="2315" w:type="dxa"/>
            <w:tcBorders>
              <w:bottom w:val="single" w:color="auto" w:sz="4" w:space="0"/>
            </w:tcBorders>
          </w:tcPr>
          <w:p w14:paraId="3796377B">
            <w:pPr>
              <w:pStyle w:val="301"/>
              <w:widowControl w:val="0"/>
              <w:tabs>
                <w:tab w:val="left" w:pos="0"/>
              </w:tabs>
              <w:spacing w:before="0" w:after="0"/>
              <w:jc w:val="center"/>
              <w:rPr>
                <w:color w:val="auto"/>
                <w:lang w:val="kk-KZ"/>
              </w:rPr>
            </w:pPr>
            <w:r>
              <w:rPr>
                <w:rFonts w:eastAsia="SimSun"/>
                <w:color w:val="auto"/>
                <w:lang w:val="kk-KZ" w:eastAsia="zh-CN" w:bidi="ar"/>
              </w:rPr>
              <w:t>Жоғары құны; еңбек сыйымды әдіс; ластағышқа байланысты биореакторлардың әртүрлі құрылымдары қажет болуы мүмкін</w:t>
            </w:r>
          </w:p>
        </w:tc>
      </w:tr>
      <w:tr w14:paraId="04836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4" w:type="dxa"/>
            <w:tcBorders>
              <w:top w:val="single" w:color="auto" w:sz="4" w:space="0"/>
            </w:tcBorders>
          </w:tcPr>
          <w:p w14:paraId="4B17D1CC">
            <w:pPr>
              <w:pStyle w:val="301"/>
              <w:widowControl w:val="0"/>
              <w:tabs>
                <w:tab w:val="left" w:pos="0"/>
              </w:tabs>
              <w:spacing w:before="0" w:after="0"/>
              <w:jc w:val="center"/>
              <w:rPr>
                <w:rFonts w:eastAsia="SimSun"/>
                <w:color w:val="auto"/>
                <w:lang w:val="en-US" w:eastAsia="zh-CN" w:bidi="ar"/>
              </w:rPr>
            </w:pPr>
          </w:p>
        </w:tc>
        <w:tc>
          <w:tcPr>
            <w:tcW w:w="2436" w:type="dxa"/>
            <w:tcBorders>
              <w:top w:val="single" w:color="auto" w:sz="4" w:space="0"/>
            </w:tcBorders>
          </w:tcPr>
          <w:p w14:paraId="0F67007A">
            <w:pPr>
              <w:pStyle w:val="301"/>
              <w:widowControl w:val="0"/>
              <w:tabs>
                <w:tab w:val="left" w:pos="0"/>
              </w:tabs>
              <w:spacing w:before="0" w:after="0"/>
              <w:rPr>
                <w:rFonts w:eastAsia="SimSun"/>
                <w:color w:val="auto"/>
                <w:lang w:val="kk-KZ" w:eastAsia="zh-CN" w:bidi="ar"/>
              </w:rPr>
            </w:pPr>
          </w:p>
        </w:tc>
        <w:tc>
          <w:tcPr>
            <w:tcW w:w="2827" w:type="dxa"/>
            <w:tcBorders>
              <w:top w:val="single" w:color="auto" w:sz="4" w:space="0"/>
            </w:tcBorders>
          </w:tcPr>
          <w:p w14:paraId="783CE375">
            <w:pPr>
              <w:pStyle w:val="301"/>
              <w:widowControl w:val="0"/>
              <w:tabs>
                <w:tab w:val="left" w:pos="0"/>
              </w:tabs>
              <w:spacing w:before="0" w:after="0"/>
              <w:jc w:val="center"/>
              <w:rPr>
                <w:rFonts w:eastAsia="SimSun"/>
                <w:color w:val="auto"/>
                <w:lang w:val="kk-KZ" w:eastAsia="zh-CN" w:bidi="ar"/>
              </w:rPr>
            </w:pPr>
            <w:r>
              <w:rPr>
                <w:rFonts w:eastAsia="SimSun"/>
                <w:color w:val="auto"/>
                <w:lang w:val="kk-KZ" w:eastAsia="zh-CN" w:bidi="ar"/>
              </w:rPr>
              <w:t>пайдалануға болады</w:t>
            </w:r>
          </w:p>
        </w:tc>
        <w:tc>
          <w:tcPr>
            <w:tcW w:w="2315" w:type="dxa"/>
            <w:tcBorders>
              <w:top w:val="single" w:color="auto" w:sz="4" w:space="0"/>
            </w:tcBorders>
          </w:tcPr>
          <w:p w14:paraId="0257313E">
            <w:pPr>
              <w:pStyle w:val="301"/>
              <w:widowControl w:val="0"/>
              <w:tabs>
                <w:tab w:val="left" w:pos="0"/>
              </w:tabs>
              <w:spacing w:before="0" w:after="0"/>
              <w:jc w:val="center"/>
              <w:rPr>
                <w:rFonts w:eastAsia="SimSun"/>
                <w:color w:val="auto"/>
                <w:lang w:val="kk-KZ" w:eastAsia="zh-CN" w:bidi="ar"/>
              </w:rPr>
            </w:pPr>
          </w:p>
        </w:tc>
      </w:tr>
      <w:tr w14:paraId="3590B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4" w:type="dxa"/>
          </w:tcPr>
          <w:p w14:paraId="0CCC9B8B">
            <w:pPr>
              <w:pStyle w:val="301"/>
              <w:widowControl w:val="0"/>
              <w:tabs>
                <w:tab w:val="left" w:pos="0"/>
              </w:tabs>
              <w:spacing w:before="0" w:after="0"/>
              <w:jc w:val="center"/>
              <w:rPr>
                <w:color w:val="auto"/>
                <w:lang w:val="kk-KZ"/>
              </w:rPr>
            </w:pPr>
            <w:r>
              <w:rPr>
                <w:rFonts w:eastAsia="SimSun"/>
                <w:color w:val="auto"/>
                <w:lang w:val="en-US" w:eastAsia="zh-CN" w:bidi="ar"/>
              </w:rPr>
              <w:t>Компосттау</w:t>
            </w:r>
          </w:p>
        </w:tc>
        <w:tc>
          <w:tcPr>
            <w:tcW w:w="2436" w:type="dxa"/>
          </w:tcPr>
          <w:p w14:paraId="346594A5">
            <w:pPr>
              <w:pStyle w:val="301"/>
              <w:widowControl w:val="0"/>
              <w:tabs>
                <w:tab w:val="left" w:pos="0"/>
              </w:tabs>
              <w:spacing w:before="0" w:after="0"/>
              <w:rPr>
                <w:color w:val="auto"/>
                <w:lang w:val="kk-KZ"/>
              </w:rPr>
            </w:pPr>
            <w:r>
              <w:rPr>
                <w:rFonts w:eastAsia="SimSun"/>
                <w:color w:val="auto"/>
                <w:lang w:val="kk-KZ" w:eastAsia="zh-CN" w:bidi="ar"/>
              </w:rPr>
              <w:t xml:space="preserve">Қоршаған орта температурасының жоғарылауы кезінде микробтық катаболикалық белсенділіктің әсерінен органикалық заттардың гумусқа айналуы </w:t>
            </w:r>
          </w:p>
        </w:tc>
        <w:tc>
          <w:tcPr>
            <w:tcW w:w="2827" w:type="dxa"/>
          </w:tcPr>
          <w:p w14:paraId="503D9705">
            <w:pPr>
              <w:pStyle w:val="301"/>
              <w:widowControl w:val="0"/>
              <w:tabs>
                <w:tab w:val="left" w:pos="0"/>
              </w:tabs>
              <w:spacing w:before="0" w:after="0"/>
              <w:rPr>
                <w:color w:val="auto"/>
                <w:lang w:val="kk-KZ"/>
              </w:rPr>
            </w:pPr>
            <w:r>
              <w:rPr>
                <w:rFonts w:eastAsia="SimSun"/>
                <w:color w:val="auto"/>
                <w:lang w:val="kk-KZ" w:eastAsia="zh-CN" w:bidi="ar"/>
              </w:rPr>
              <w:t>Жоғары биологиялық тиімділік; пісіп-жетілген компостты ауыл шаруашылығы қажеттіліктері үшін пайдалануға болады; процесте температура көтеріледі</w:t>
            </w:r>
          </w:p>
        </w:tc>
        <w:tc>
          <w:tcPr>
            <w:tcW w:w="2315" w:type="dxa"/>
          </w:tcPr>
          <w:p w14:paraId="3B257982">
            <w:pPr>
              <w:pStyle w:val="301"/>
              <w:widowControl w:val="0"/>
              <w:tabs>
                <w:tab w:val="left" w:pos="0"/>
              </w:tabs>
              <w:spacing w:before="0" w:after="0"/>
              <w:rPr>
                <w:color w:val="auto"/>
                <w:lang w:val="kk-KZ"/>
              </w:rPr>
            </w:pPr>
            <w:r>
              <w:rPr>
                <w:rFonts w:eastAsia="SimSun"/>
                <w:color w:val="auto"/>
                <w:lang w:val="kk-KZ" w:eastAsia="zh-CN" w:bidi="ar"/>
              </w:rPr>
              <w:t>Үлкен алаңдарды және жиі араластыруды қажет етеді; сәтсіз операция жағдайында уытты аралық өнімдердің шайылу ықтималдығы</w:t>
            </w:r>
          </w:p>
        </w:tc>
      </w:tr>
      <w:tr w14:paraId="2FB01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4" w:type="dxa"/>
          </w:tcPr>
          <w:p w14:paraId="383419BA">
            <w:pPr>
              <w:pStyle w:val="301"/>
              <w:widowControl w:val="0"/>
              <w:tabs>
                <w:tab w:val="left" w:pos="0"/>
              </w:tabs>
              <w:spacing w:before="0" w:after="0"/>
              <w:jc w:val="center"/>
              <w:rPr>
                <w:rFonts w:eastAsia="SimSun"/>
                <w:color w:val="auto"/>
                <w:lang w:val="en-US" w:eastAsia="zh-CN" w:bidi="ar"/>
              </w:rPr>
            </w:pPr>
            <w:r>
              <w:rPr>
                <w:rFonts w:eastAsia="SimSun"/>
                <w:color w:val="auto"/>
                <w:lang w:val="en-US" w:eastAsia="zh-CN" w:bidi="ar"/>
              </w:rPr>
              <w:t xml:space="preserve">Егіншілік </w:t>
            </w:r>
          </w:p>
          <w:p w14:paraId="11721DEF">
            <w:pPr>
              <w:pStyle w:val="301"/>
              <w:widowControl w:val="0"/>
              <w:tabs>
                <w:tab w:val="left" w:pos="0"/>
              </w:tabs>
              <w:spacing w:before="0" w:after="0"/>
              <w:jc w:val="center"/>
              <w:rPr>
                <w:color w:val="auto"/>
                <w:lang w:val="kk-KZ"/>
              </w:rPr>
            </w:pPr>
            <w:r>
              <w:rPr>
                <w:rFonts w:eastAsia="SimSun"/>
                <w:color w:val="auto"/>
                <w:lang w:val="en-US" w:eastAsia="zh-CN" w:bidi="ar"/>
              </w:rPr>
              <w:t>(Land farming)</w:t>
            </w:r>
          </w:p>
        </w:tc>
        <w:tc>
          <w:tcPr>
            <w:tcW w:w="2436" w:type="dxa"/>
          </w:tcPr>
          <w:p w14:paraId="63C373E9">
            <w:pPr>
              <w:pStyle w:val="301"/>
              <w:widowControl w:val="0"/>
              <w:tabs>
                <w:tab w:val="left" w:pos="0"/>
              </w:tabs>
              <w:spacing w:before="0" w:after="0"/>
              <w:jc w:val="center"/>
              <w:rPr>
                <w:color w:val="auto"/>
                <w:lang w:val="kk-KZ"/>
              </w:rPr>
            </w:pPr>
            <w:r>
              <w:rPr>
                <w:rFonts w:eastAsia="SimSun"/>
                <w:color w:val="auto"/>
                <w:lang w:val="kk-KZ" w:eastAsia="zh-CN" w:bidi="ar"/>
              </w:rPr>
              <w:t xml:space="preserve">Ластанған топырақ ластағыш компоненттердің биожетімділігін арттыру үшін бет бойымен біркелкі таратылады </w:t>
            </w:r>
          </w:p>
        </w:tc>
        <w:tc>
          <w:tcPr>
            <w:tcW w:w="2827" w:type="dxa"/>
          </w:tcPr>
          <w:p w14:paraId="5A6978E1">
            <w:pPr>
              <w:pStyle w:val="301"/>
              <w:widowControl w:val="0"/>
              <w:tabs>
                <w:tab w:val="left" w:pos="0"/>
              </w:tabs>
              <w:spacing w:before="0" w:after="0"/>
              <w:jc w:val="center"/>
              <w:rPr>
                <w:color w:val="auto"/>
                <w:lang w:val="kk-KZ"/>
              </w:rPr>
            </w:pPr>
            <w:r>
              <w:rPr>
                <w:rFonts w:eastAsia="SimSun"/>
                <w:color w:val="auto"/>
                <w:lang w:val="kk-KZ" w:eastAsia="zh-CN" w:bidi="ar"/>
              </w:rPr>
              <w:t>Қарапайым әдіс, аз еңбек сыйымды, арзан; минималды мөлшерде жабдық пен технологияларды қолданады</w:t>
            </w:r>
          </w:p>
        </w:tc>
        <w:tc>
          <w:tcPr>
            <w:tcW w:w="2315" w:type="dxa"/>
          </w:tcPr>
          <w:p w14:paraId="784B8036">
            <w:pPr>
              <w:pStyle w:val="301"/>
              <w:widowControl w:val="0"/>
              <w:tabs>
                <w:tab w:val="left" w:pos="0"/>
              </w:tabs>
              <w:spacing w:before="0" w:after="0"/>
              <w:jc w:val="center"/>
              <w:rPr>
                <w:color w:val="auto"/>
                <w:lang w:val="kk-KZ"/>
              </w:rPr>
            </w:pPr>
            <w:r>
              <w:rPr>
                <w:rFonts w:eastAsia="SimSun"/>
                <w:color w:val="auto"/>
                <w:lang w:val="kk-KZ" w:eastAsia="zh-CN" w:bidi="ar"/>
              </w:rPr>
              <w:t>Үлкен алаңдарды қажет етеді; микробтық белсенділіктің төмендеуі (уытты ұшқыш ластағыштарға жарамды емес); еңбек сыйымды әдіс; ластанулардың шайылу ықтималдығы</w:t>
            </w:r>
          </w:p>
        </w:tc>
      </w:tr>
      <w:tr w14:paraId="6D6B7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62" w:type="dxa"/>
            <w:gridSpan w:val="4"/>
          </w:tcPr>
          <w:p w14:paraId="632E8FB4">
            <w:pPr>
              <w:pStyle w:val="301"/>
              <w:widowControl w:val="0"/>
              <w:tabs>
                <w:tab w:val="left" w:pos="0"/>
              </w:tabs>
              <w:spacing w:before="0" w:after="0"/>
              <w:jc w:val="center"/>
              <w:rPr>
                <w:color w:val="auto"/>
              </w:rPr>
            </w:pPr>
            <w:r>
              <w:rPr>
                <w:rStyle w:val="19"/>
                <w:rFonts w:eastAsia="SimSun"/>
                <w:b w:val="0"/>
                <w:bCs w:val="0"/>
                <w:color w:val="auto"/>
                <w:lang w:val="en-US" w:eastAsia="zh-CN" w:bidi="ar"/>
              </w:rPr>
              <w:t>In-situ биоремедиация</w:t>
            </w:r>
            <w:r>
              <w:rPr>
                <w:rStyle w:val="19"/>
                <w:rFonts w:eastAsia="SimSun"/>
                <w:b w:val="0"/>
                <w:bCs w:val="0"/>
                <w:color w:val="auto"/>
                <w:lang w:val="kk-KZ" w:eastAsia="zh-CN" w:bidi="ar"/>
              </w:rPr>
              <w:t>сы</w:t>
            </w:r>
          </w:p>
        </w:tc>
      </w:tr>
      <w:tr w14:paraId="480CB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184" w:type="dxa"/>
          </w:tcPr>
          <w:p w14:paraId="1BCE9036">
            <w:pPr>
              <w:pStyle w:val="301"/>
              <w:widowControl w:val="0"/>
              <w:tabs>
                <w:tab w:val="left" w:pos="0"/>
              </w:tabs>
              <w:spacing w:before="0" w:after="0"/>
              <w:jc w:val="center"/>
              <w:rPr>
                <w:color w:val="auto"/>
                <w:lang w:val="kk-KZ"/>
              </w:rPr>
            </w:pPr>
            <w:r>
              <w:rPr>
                <w:rFonts w:eastAsia="SimSun"/>
                <w:color w:val="auto"/>
                <w:lang w:val="en-US" w:eastAsia="zh-CN" w:bidi="ar"/>
              </w:rPr>
              <w:t>Биовентиляция</w:t>
            </w:r>
          </w:p>
        </w:tc>
        <w:tc>
          <w:tcPr>
            <w:tcW w:w="2436" w:type="dxa"/>
          </w:tcPr>
          <w:p w14:paraId="28E82CA8">
            <w:pPr>
              <w:pStyle w:val="301"/>
              <w:widowControl w:val="0"/>
              <w:tabs>
                <w:tab w:val="left" w:pos="0"/>
              </w:tabs>
              <w:spacing w:before="0" w:after="0"/>
              <w:jc w:val="center"/>
              <w:rPr>
                <w:rFonts w:eastAsia="SimSun"/>
                <w:color w:val="auto"/>
                <w:lang w:val="kk-KZ" w:eastAsia="zh-CN" w:bidi="ar"/>
              </w:rPr>
            </w:pPr>
            <w:r>
              <w:rPr>
                <w:rFonts w:eastAsia="SimSun"/>
                <w:color w:val="auto"/>
                <w:lang w:val="kk-KZ" w:eastAsia="zh-CN" w:bidi="ar"/>
              </w:rPr>
              <w:t xml:space="preserve">Ластағышқа қатысты жергілікті микроорганизмдердің деструкторлық қызметін ынталандыру үшін бақыланатын ауа ағынын пайдаланатын биоремедиация стратегиясы </w:t>
            </w:r>
          </w:p>
          <w:p w14:paraId="16314B35">
            <w:pPr>
              <w:pStyle w:val="301"/>
              <w:widowControl w:val="0"/>
              <w:tabs>
                <w:tab w:val="left" w:pos="0"/>
              </w:tabs>
              <w:spacing w:before="0" w:after="0"/>
              <w:jc w:val="center"/>
              <w:rPr>
                <w:rFonts w:eastAsia="SimSun"/>
                <w:color w:val="auto"/>
                <w:lang w:val="kk-KZ" w:eastAsia="zh-CN" w:bidi="ar"/>
              </w:rPr>
            </w:pPr>
          </w:p>
        </w:tc>
        <w:tc>
          <w:tcPr>
            <w:tcW w:w="2827" w:type="dxa"/>
          </w:tcPr>
          <w:p w14:paraId="70891BD3">
            <w:pPr>
              <w:pStyle w:val="301"/>
              <w:widowControl w:val="0"/>
              <w:tabs>
                <w:tab w:val="left" w:pos="0"/>
              </w:tabs>
              <w:spacing w:before="0" w:after="0"/>
              <w:jc w:val="center"/>
              <w:rPr>
                <w:color w:val="auto"/>
                <w:lang w:val="kk-KZ"/>
              </w:rPr>
            </w:pPr>
            <w:r>
              <w:rPr>
                <w:rFonts w:eastAsia="SimSun"/>
                <w:color w:val="auto"/>
                <w:lang w:val="kk-KZ" w:eastAsia="zh-CN" w:bidi="ar"/>
              </w:rPr>
              <w:t>Экономикалық тұрғыдан тиімді; микробтық белсенділікті күшейтеді</w:t>
            </w:r>
          </w:p>
        </w:tc>
        <w:tc>
          <w:tcPr>
            <w:tcW w:w="2315" w:type="dxa"/>
          </w:tcPr>
          <w:p w14:paraId="17E5FA45">
            <w:pPr>
              <w:pStyle w:val="301"/>
              <w:widowControl w:val="0"/>
              <w:tabs>
                <w:tab w:val="left" w:pos="0"/>
              </w:tabs>
              <w:spacing w:before="0" w:after="0"/>
              <w:jc w:val="center"/>
              <w:rPr>
                <w:color w:val="auto"/>
                <w:lang w:val="kk-KZ"/>
              </w:rPr>
            </w:pPr>
            <w:r>
              <w:rPr>
                <w:rFonts w:eastAsia="SimSun"/>
                <w:color w:val="auto"/>
                <w:lang w:val="kk-KZ" w:eastAsia="zh-CN" w:bidi="ar"/>
              </w:rPr>
              <w:t>Процесс ұзақ болуы мүмкін; ауа ағынының жылдамдығын реттеуді қажет етеді</w:t>
            </w:r>
          </w:p>
        </w:tc>
      </w:tr>
    </w:tbl>
    <w:p w14:paraId="739DE501">
      <w:pPr>
        <w:pStyle w:val="301"/>
        <w:widowControl w:val="0"/>
        <w:tabs>
          <w:tab w:val="left" w:pos="0"/>
        </w:tabs>
        <w:spacing w:before="0" w:after="0"/>
        <w:jc w:val="center"/>
        <w:rPr>
          <w:rFonts w:eastAsia="SimSun"/>
          <w:color w:val="auto"/>
          <w:lang w:val="en-US" w:eastAsia="zh-CN" w:bidi="ar"/>
        </w:rPr>
      </w:pPr>
      <w:r>
        <w:rPr>
          <w:rFonts w:eastAsia="SimSun"/>
          <w:color w:val="auto"/>
          <w:lang w:val="en-US" w:eastAsia="zh-CN" w:bidi="ar"/>
        </w:rPr>
        <w:br w:type="page"/>
      </w:r>
    </w:p>
    <w:tbl>
      <w:tblPr>
        <w:tblStyle w:val="38"/>
        <w:tblW w:w="97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4"/>
        <w:gridCol w:w="2436"/>
        <w:gridCol w:w="2827"/>
        <w:gridCol w:w="2315"/>
      </w:tblGrid>
      <w:tr w14:paraId="39E2D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9762" w:type="dxa"/>
            <w:gridSpan w:val="4"/>
            <w:tcBorders>
              <w:top w:val="nil"/>
              <w:left w:val="nil"/>
              <w:bottom w:val="single" w:color="auto" w:sz="4" w:space="0"/>
              <w:right w:val="nil"/>
            </w:tcBorders>
          </w:tcPr>
          <w:p w14:paraId="4CEA8105">
            <w:pPr>
              <w:pStyle w:val="301"/>
              <w:widowControl w:val="0"/>
              <w:tabs>
                <w:tab w:val="left" w:pos="0"/>
              </w:tabs>
              <w:spacing w:before="0" w:after="0"/>
              <w:rPr>
                <w:rFonts w:eastAsia="SimSun"/>
                <w:color w:val="auto"/>
                <w:lang w:val="kk-KZ" w:eastAsia="zh-CN" w:bidi="ar"/>
              </w:rPr>
            </w:pPr>
            <w:r>
              <w:rPr>
                <w:color w:val="auto"/>
                <w:sz w:val="28"/>
                <w:szCs w:val="28"/>
                <w:lang w:val="kk-KZ" w:eastAsia="zh-CN" w:bidi="ar"/>
              </w:rPr>
              <w:t>Кесте 2 жалғасы</w:t>
            </w:r>
          </w:p>
        </w:tc>
      </w:tr>
      <w:tr w14:paraId="1973F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8" w:hRule="atLeast"/>
        </w:trPr>
        <w:tc>
          <w:tcPr>
            <w:tcW w:w="2184" w:type="dxa"/>
          </w:tcPr>
          <w:p w14:paraId="62672309">
            <w:pPr>
              <w:pStyle w:val="301"/>
              <w:widowControl w:val="0"/>
              <w:tabs>
                <w:tab w:val="left" w:pos="0"/>
              </w:tabs>
              <w:spacing w:before="0" w:after="0"/>
              <w:jc w:val="center"/>
              <w:rPr>
                <w:rFonts w:eastAsia="SimSun"/>
                <w:color w:val="auto"/>
                <w:lang w:val="en-US" w:eastAsia="zh-CN" w:bidi="ar"/>
              </w:rPr>
            </w:pPr>
          </w:p>
          <w:p w14:paraId="23B28403">
            <w:pPr>
              <w:pStyle w:val="301"/>
              <w:widowControl w:val="0"/>
              <w:tabs>
                <w:tab w:val="left" w:pos="0"/>
              </w:tabs>
              <w:spacing w:before="0" w:after="0"/>
              <w:jc w:val="center"/>
              <w:rPr>
                <w:color w:val="auto"/>
                <w:lang w:val="kk-KZ"/>
              </w:rPr>
            </w:pPr>
            <w:r>
              <w:rPr>
                <w:rFonts w:eastAsia="SimSun"/>
                <w:color w:val="auto"/>
                <w:lang w:val="en-US" w:eastAsia="zh-CN" w:bidi="ar"/>
              </w:rPr>
              <w:t>Табиғи әлсіреу (аттенуация)</w:t>
            </w:r>
          </w:p>
        </w:tc>
        <w:tc>
          <w:tcPr>
            <w:tcW w:w="2436" w:type="dxa"/>
          </w:tcPr>
          <w:p w14:paraId="12AE63C0">
            <w:pPr>
              <w:pStyle w:val="301"/>
              <w:widowControl w:val="0"/>
              <w:tabs>
                <w:tab w:val="left" w:pos="0"/>
              </w:tabs>
              <w:spacing w:before="0" w:after="0"/>
              <w:jc w:val="center"/>
              <w:rPr>
                <w:rFonts w:eastAsia="SimSun"/>
                <w:color w:val="auto"/>
                <w:lang w:val="kk-KZ" w:eastAsia="zh-CN" w:bidi="ar"/>
              </w:rPr>
            </w:pPr>
          </w:p>
          <w:p w14:paraId="6518EAA3">
            <w:pPr>
              <w:pStyle w:val="301"/>
              <w:widowControl w:val="0"/>
              <w:tabs>
                <w:tab w:val="left" w:pos="0"/>
              </w:tabs>
              <w:spacing w:before="0" w:after="0"/>
              <w:jc w:val="center"/>
              <w:rPr>
                <w:rFonts w:eastAsia="SimSun"/>
                <w:color w:val="auto"/>
                <w:lang w:val="kk-KZ" w:eastAsia="zh-CN" w:bidi="ar"/>
              </w:rPr>
            </w:pPr>
            <w:r>
              <w:rPr>
                <w:rFonts w:eastAsia="SimSun"/>
                <w:color w:val="auto"/>
                <w:lang w:val="kk-KZ" w:eastAsia="zh-CN" w:bidi="ar"/>
              </w:rPr>
              <w:t xml:space="preserve">Әртүрлі физикалық, химиялық немесе биологиялық процестер, қолайлы жағдайларда адам араласуынсыз әрекет етіп, топырақтағы ластағыш заттардың массасын, уыттылығын, </w:t>
            </w:r>
          </w:p>
          <w:p w14:paraId="509571E7">
            <w:pPr>
              <w:pStyle w:val="301"/>
              <w:widowControl w:val="0"/>
              <w:tabs>
                <w:tab w:val="left" w:pos="0"/>
              </w:tabs>
              <w:spacing w:before="0" w:after="0"/>
              <w:jc w:val="center"/>
              <w:rPr>
                <w:rFonts w:eastAsia="SimSun"/>
                <w:color w:val="auto"/>
                <w:lang w:val="kk-KZ" w:eastAsia="zh-CN" w:bidi="ar"/>
              </w:rPr>
            </w:pPr>
            <w:r>
              <w:rPr>
                <w:rFonts w:eastAsia="SimSun"/>
                <w:color w:val="auto"/>
                <w:lang w:val="kk-KZ" w:eastAsia="zh-CN" w:bidi="ar"/>
              </w:rPr>
              <w:t xml:space="preserve">қозғалғыштығын, көлемін немесе концентрациясын азайтады </w:t>
            </w:r>
          </w:p>
        </w:tc>
        <w:tc>
          <w:tcPr>
            <w:tcW w:w="2827" w:type="dxa"/>
          </w:tcPr>
          <w:p w14:paraId="13A30BEE">
            <w:pPr>
              <w:pStyle w:val="301"/>
              <w:widowControl w:val="0"/>
              <w:tabs>
                <w:tab w:val="left" w:pos="0"/>
              </w:tabs>
              <w:spacing w:before="0" w:after="0"/>
              <w:jc w:val="center"/>
              <w:rPr>
                <w:rFonts w:eastAsia="SimSun"/>
                <w:color w:val="auto"/>
                <w:lang w:val="kk-KZ" w:eastAsia="zh-CN" w:bidi="ar"/>
              </w:rPr>
            </w:pPr>
          </w:p>
          <w:p w14:paraId="3D8B6F13">
            <w:pPr>
              <w:pStyle w:val="301"/>
              <w:widowControl w:val="0"/>
              <w:tabs>
                <w:tab w:val="left" w:pos="0"/>
              </w:tabs>
              <w:spacing w:before="0" w:after="0"/>
              <w:jc w:val="center"/>
              <w:rPr>
                <w:color w:val="auto"/>
                <w:lang w:val="kk-KZ"/>
              </w:rPr>
            </w:pPr>
            <w:r>
              <w:rPr>
                <w:rFonts w:eastAsia="SimSun"/>
                <w:color w:val="auto"/>
                <w:lang w:val="kk-KZ" w:eastAsia="zh-CN" w:bidi="ar"/>
              </w:rPr>
              <w:t>Арзан және аз еңбек сыйымды</w:t>
            </w:r>
          </w:p>
        </w:tc>
        <w:tc>
          <w:tcPr>
            <w:tcW w:w="2315" w:type="dxa"/>
          </w:tcPr>
          <w:p w14:paraId="14C5E068">
            <w:pPr>
              <w:pStyle w:val="301"/>
              <w:widowControl w:val="0"/>
              <w:tabs>
                <w:tab w:val="left" w:pos="0"/>
              </w:tabs>
              <w:spacing w:before="0" w:after="0"/>
              <w:jc w:val="center"/>
              <w:rPr>
                <w:rFonts w:eastAsia="SimSun"/>
                <w:color w:val="auto"/>
                <w:lang w:val="kk-KZ" w:eastAsia="zh-CN" w:bidi="ar"/>
              </w:rPr>
            </w:pPr>
          </w:p>
          <w:p w14:paraId="7C6F88C6">
            <w:pPr>
              <w:pStyle w:val="301"/>
              <w:widowControl w:val="0"/>
              <w:tabs>
                <w:tab w:val="left" w:pos="0"/>
              </w:tabs>
              <w:spacing w:before="0" w:after="0"/>
              <w:jc w:val="center"/>
              <w:rPr>
                <w:color w:val="auto"/>
                <w:lang w:val="kk-KZ"/>
              </w:rPr>
            </w:pPr>
            <w:r>
              <w:rPr>
                <w:rFonts w:eastAsia="SimSun"/>
                <w:color w:val="auto"/>
                <w:lang w:val="kk-KZ" w:eastAsia="zh-CN" w:bidi="ar"/>
              </w:rPr>
              <w:t>Ұзақ процесс; ластағыш заттардың шайылу және таралу ықтималдығы</w:t>
            </w:r>
          </w:p>
        </w:tc>
      </w:tr>
      <w:tr w14:paraId="1AAC4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4" w:type="dxa"/>
          </w:tcPr>
          <w:p w14:paraId="08169B33">
            <w:pPr>
              <w:pStyle w:val="301"/>
              <w:widowControl w:val="0"/>
              <w:tabs>
                <w:tab w:val="left" w:pos="0"/>
              </w:tabs>
              <w:spacing w:before="0" w:after="0"/>
              <w:jc w:val="center"/>
              <w:rPr>
                <w:rFonts w:eastAsia="SimSun"/>
                <w:color w:val="auto"/>
                <w:lang w:val="en-US" w:eastAsia="zh-CN" w:bidi="ar"/>
              </w:rPr>
            </w:pPr>
            <w:r>
              <w:rPr>
                <w:rFonts w:eastAsia="SimSun"/>
                <w:color w:val="auto"/>
                <w:lang w:val="en-US" w:eastAsia="zh-CN" w:bidi="ar"/>
              </w:rPr>
              <w:t>«Биожуу» (Biosparging)</w:t>
            </w:r>
          </w:p>
        </w:tc>
        <w:tc>
          <w:tcPr>
            <w:tcW w:w="2436" w:type="dxa"/>
          </w:tcPr>
          <w:p w14:paraId="1596E31B">
            <w:pPr>
              <w:pStyle w:val="301"/>
              <w:widowControl w:val="0"/>
              <w:tabs>
                <w:tab w:val="left" w:pos="0"/>
              </w:tabs>
              <w:spacing w:before="0" w:after="0"/>
              <w:jc w:val="center"/>
              <w:rPr>
                <w:rFonts w:eastAsia="SimSun"/>
                <w:color w:val="auto"/>
                <w:lang w:val="en-US" w:eastAsia="zh-CN" w:bidi="ar"/>
              </w:rPr>
            </w:pPr>
            <w:r>
              <w:rPr>
                <w:rFonts w:eastAsia="SimSun"/>
                <w:color w:val="auto"/>
                <w:lang w:val="en-US" w:eastAsia="zh-CN" w:bidi="ar"/>
              </w:rPr>
              <w:t xml:space="preserve">Биовентиляция әдісіне ұқсас, алайда ортадағы ластағыш заттардың концентрациясын теңестіру үшін бақыланатын сұйықтық ағыны қолданылады </w:t>
            </w:r>
          </w:p>
        </w:tc>
        <w:tc>
          <w:tcPr>
            <w:tcW w:w="2827" w:type="dxa"/>
          </w:tcPr>
          <w:p w14:paraId="116103BC">
            <w:pPr>
              <w:pStyle w:val="301"/>
              <w:widowControl w:val="0"/>
              <w:tabs>
                <w:tab w:val="left" w:pos="0"/>
              </w:tabs>
              <w:spacing w:before="0" w:after="0"/>
              <w:jc w:val="center"/>
              <w:rPr>
                <w:rFonts w:eastAsia="SimSun"/>
                <w:color w:val="auto"/>
                <w:lang w:val="en-US" w:eastAsia="zh-CN" w:bidi="ar"/>
              </w:rPr>
            </w:pPr>
            <w:r>
              <w:rPr>
                <w:rFonts w:eastAsia="SimSun"/>
                <w:color w:val="auto"/>
                <w:lang w:val="en-US" w:eastAsia="zh-CN" w:bidi="ar"/>
              </w:rPr>
              <w:t>Арзан; пайдалану қауіптері аз</w:t>
            </w:r>
          </w:p>
        </w:tc>
        <w:tc>
          <w:tcPr>
            <w:tcW w:w="2315" w:type="dxa"/>
          </w:tcPr>
          <w:p w14:paraId="0E2F5AC3">
            <w:pPr>
              <w:pStyle w:val="301"/>
              <w:widowControl w:val="0"/>
              <w:tabs>
                <w:tab w:val="left" w:pos="0"/>
              </w:tabs>
              <w:spacing w:before="0" w:after="0"/>
              <w:jc w:val="center"/>
              <w:rPr>
                <w:rFonts w:eastAsia="SimSun"/>
                <w:color w:val="auto"/>
                <w:lang w:val="en-US" w:eastAsia="zh-CN" w:bidi="ar"/>
              </w:rPr>
            </w:pPr>
            <w:r>
              <w:rPr>
                <w:rFonts w:eastAsia="SimSun"/>
                <w:color w:val="auto"/>
                <w:lang w:val="en-US" w:eastAsia="zh-CN" w:bidi="ar"/>
              </w:rPr>
              <w:t>Ұшқыш компоненттердің атмосфераға таралу ықтималдығы; судың бақыланатын шығынын қажет етеді</w:t>
            </w:r>
          </w:p>
        </w:tc>
      </w:tr>
      <w:tr w14:paraId="6A2EE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4" w:type="dxa"/>
          </w:tcPr>
          <w:p w14:paraId="253EDC47">
            <w:pPr>
              <w:pStyle w:val="301"/>
              <w:widowControl w:val="0"/>
              <w:tabs>
                <w:tab w:val="left" w:pos="0"/>
              </w:tabs>
              <w:spacing w:before="0" w:after="0"/>
              <w:jc w:val="center"/>
              <w:rPr>
                <w:rFonts w:eastAsia="SimSun"/>
                <w:color w:val="auto"/>
                <w:lang w:val="en-US" w:eastAsia="zh-CN" w:bidi="ar"/>
              </w:rPr>
            </w:pPr>
            <w:r>
              <w:rPr>
                <w:rFonts w:eastAsia="SimSun"/>
                <w:color w:val="auto"/>
                <w:lang w:val="en-US" w:eastAsia="zh-CN" w:bidi="ar"/>
              </w:rPr>
              <w:t>Фиторемедиация</w:t>
            </w:r>
          </w:p>
        </w:tc>
        <w:tc>
          <w:tcPr>
            <w:tcW w:w="2436" w:type="dxa"/>
          </w:tcPr>
          <w:p w14:paraId="56D78C52">
            <w:pPr>
              <w:pStyle w:val="301"/>
              <w:widowControl w:val="0"/>
              <w:tabs>
                <w:tab w:val="left" w:pos="0"/>
              </w:tabs>
              <w:spacing w:before="0" w:after="0"/>
              <w:jc w:val="center"/>
              <w:rPr>
                <w:rFonts w:eastAsia="SimSun"/>
                <w:color w:val="auto"/>
                <w:lang w:val="en-US" w:eastAsia="zh-CN" w:bidi="ar"/>
              </w:rPr>
            </w:pPr>
            <w:r>
              <w:rPr>
                <w:rFonts w:eastAsia="SimSun"/>
                <w:color w:val="auto"/>
                <w:lang w:val="en-US" w:eastAsia="zh-CN" w:bidi="ar"/>
              </w:rPr>
              <w:t xml:space="preserve">Топырақ және су орталарынан ластағыш заттарды шығару, жинақтау, ыдырату, сүзу, тұрақтандыру және ұшыру үшін өсімдіктерді пайдалануды қамтитын кешенді әдіс </w:t>
            </w:r>
          </w:p>
        </w:tc>
        <w:tc>
          <w:tcPr>
            <w:tcW w:w="2827" w:type="dxa"/>
          </w:tcPr>
          <w:p w14:paraId="34F3982E">
            <w:pPr>
              <w:pStyle w:val="301"/>
              <w:widowControl w:val="0"/>
              <w:tabs>
                <w:tab w:val="left" w:pos="0"/>
              </w:tabs>
              <w:spacing w:before="0" w:after="0"/>
              <w:jc w:val="center"/>
              <w:rPr>
                <w:rFonts w:eastAsia="SimSun"/>
                <w:color w:val="auto"/>
                <w:lang w:val="en-US" w:eastAsia="zh-CN" w:bidi="ar"/>
              </w:rPr>
            </w:pPr>
            <w:r>
              <w:rPr>
                <w:rFonts w:eastAsia="SimSun"/>
                <w:color w:val="auto"/>
                <w:lang w:val="en-US" w:eastAsia="zh-CN" w:bidi="ar"/>
              </w:rPr>
              <w:t>Аз қымбат; экологиялық таза; ірі масштабты ластанулар кезінде қолданылады; топырақтың құнарлы қасиеттерін жақсартады</w:t>
            </w:r>
          </w:p>
        </w:tc>
        <w:tc>
          <w:tcPr>
            <w:tcW w:w="2315" w:type="dxa"/>
          </w:tcPr>
          <w:p w14:paraId="1BBC4583">
            <w:pPr>
              <w:pStyle w:val="301"/>
              <w:widowControl w:val="0"/>
              <w:tabs>
                <w:tab w:val="left" w:pos="0"/>
              </w:tabs>
              <w:spacing w:before="0" w:after="0"/>
              <w:jc w:val="center"/>
              <w:rPr>
                <w:rFonts w:eastAsia="SimSun"/>
                <w:color w:val="auto"/>
                <w:lang w:val="en-US" w:eastAsia="zh-CN" w:bidi="ar"/>
              </w:rPr>
            </w:pPr>
            <w:r>
              <w:rPr>
                <w:rFonts w:eastAsia="SimSun"/>
                <w:color w:val="auto"/>
                <w:lang w:val="en-US" w:eastAsia="zh-CN" w:bidi="ar"/>
              </w:rPr>
              <w:t>Ұзақ процесс; уытты ластағыштардың тамақ тізбегі бойымен таралу ықтималдығы; қатты ластанған топырақ үшін жарамды емес</w:t>
            </w:r>
          </w:p>
        </w:tc>
      </w:tr>
      <w:tr w14:paraId="2CB07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4" w:type="dxa"/>
            <w:tcBorders>
              <w:bottom w:val="single" w:color="auto" w:sz="4" w:space="0"/>
            </w:tcBorders>
          </w:tcPr>
          <w:p w14:paraId="0E0D6B07">
            <w:pPr>
              <w:pStyle w:val="301"/>
              <w:widowControl w:val="0"/>
              <w:tabs>
                <w:tab w:val="left" w:pos="0"/>
              </w:tabs>
              <w:spacing w:before="0" w:after="0"/>
              <w:jc w:val="center"/>
              <w:rPr>
                <w:rFonts w:eastAsia="SimSun"/>
                <w:color w:val="auto"/>
                <w:lang w:val="en-US" w:eastAsia="zh-CN" w:bidi="ar"/>
              </w:rPr>
            </w:pPr>
            <w:r>
              <w:rPr>
                <w:rFonts w:eastAsia="SimSun"/>
                <w:color w:val="auto"/>
                <w:lang w:val="en-US" w:eastAsia="zh-CN" w:bidi="ar"/>
              </w:rPr>
              <w:t>Биостимуляция</w:t>
            </w:r>
          </w:p>
        </w:tc>
        <w:tc>
          <w:tcPr>
            <w:tcW w:w="2436" w:type="dxa"/>
            <w:tcBorders>
              <w:bottom w:val="single" w:color="auto" w:sz="4" w:space="0"/>
            </w:tcBorders>
          </w:tcPr>
          <w:p w14:paraId="52B9CE3C">
            <w:pPr>
              <w:pStyle w:val="301"/>
              <w:widowControl w:val="0"/>
              <w:tabs>
                <w:tab w:val="left" w:pos="0"/>
              </w:tabs>
              <w:spacing w:before="0" w:after="0"/>
              <w:jc w:val="center"/>
              <w:rPr>
                <w:rFonts w:eastAsia="SimSun"/>
                <w:color w:val="auto"/>
                <w:lang w:val="en-US" w:eastAsia="zh-CN" w:bidi="ar"/>
              </w:rPr>
            </w:pPr>
            <w:r>
              <w:rPr>
                <w:rFonts w:eastAsia="SimSun"/>
                <w:color w:val="auto"/>
                <w:lang w:val="en-US" w:eastAsia="zh-CN" w:bidi="ar"/>
              </w:rPr>
              <w:t xml:space="preserve">Биодеградация процесін жеделдету үшін электрон акцепторлары және/немесе донорлары, су немесе тыңайтқыш түріндегі қоректік заттарды қосу арқылы жергілікті микроорганизмдерді қасақана ынталандыру </w:t>
            </w:r>
          </w:p>
        </w:tc>
        <w:tc>
          <w:tcPr>
            <w:tcW w:w="2827" w:type="dxa"/>
            <w:tcBorders>
              <w:bottom w:val="single" w:color="auto" w:sz="4" w:space="0"/>
            </w:tcBorders>
          </w:tcPr>
          <w:p w14:paraId="409BE121">
            <w:pPr>
              <w:pStyle w:val="301"/>
              <w:widowControl w:val="0"/>
              <w:tabs>
                <w:tab w:val="left" w:pos="0"/>
              </w:tabs>
              <w:spacing w:before="0" w:after="0"/>
              <w:jc w:val="center"/>
              <w:rPr>
                <w:rFonts w:eastAsia="SimSun"/>
                <w:color w:val="auto"/>
                <w:lang w:val="en-US" w:eastAsia="zh-CN" w:bidi="ar"/>
              </w:rPr>
            </w:pPr>
            <w:r>
              <w:rPr>
                <w:rFonts w:eastAsia="SimSun"/>
                <w:color w:val="auto"/>
                <w:lang w:val="en-US" w:eastAsia="zh-CN" w:bidi="ar"/>
              </w:rPr>
              <w:t>Топырақтағы қоректік заттардың құрамын және ластағыш заттардың биожетімділігін арттырады; табиғи микрофлораның дамуына ықпал етеді</w:t>
            </w:r>
          </w:p>
        </w:tc>
        <w:tc>
          <w:tcPr>
            <w:tcW w:w="2315" w:type="dxa"/>
            <w:tcBorders>
              <w:bottom w:val="single" w:color="auto" w:sz="4" w:space="0"/>
            </w:tcBorders>
          </w:tcPr>
          <w:p w14:paraId="7B8F3F0C">
            <w:pPr>
              <w:pStyle w:val="301"/>
              <w:widowControl w:val="0"/>
              <w:tabs>
                <w:tab w:val="left" w:pos="0"/>
              </w:tabs>
              <w:spacing w:before="0" w:after="0"/>
              <w:jc w:val="center"/>
              <w:rPr>
                <w:rFonts w:eastAsia="SimSun"/>
                <w:color w:val="auto"/>
                <w:lang w:val="en-US" w:eastAsia="zh-CN" w:bidi="ar"/>
              </w:rPr>
            </w:pPr>
            <w:r>
              <w:rPr>
                <w:rFonts w:eastAsia="SimSun"/>
                <w:color w:val="auto"/>
                <w:lang w:val="en-US" w:eastAsia="zh-CN" w:bidi="ar"/>
              </w:rPr>
              <w:t>Қоректік заттардың жоғары құрамы (азот, фосфор) судағы балдырлардың гүлдеуін тудыруы мүмкін; беткі белсенді заттарды пайдалану топырақта уытты ерітінді жасай алады</w:t>
            </w:r>
          </w:p>
        </w:tc>
      </w:tr>
    </w:tbl>
    <w:p w14:paraId="2D8DB395">
      <w:pPr>
        <w:pStyle w:val="301"/>
        <w:widowControl w:val="0"/>
        <w:tabs>
          <w:tab w:val="left" w:pos="0"/>
        </w:tabs>
        <w:spacing w:before="0" w:after="0"/>
        <w:jc w:val="center"/>
        <w:rPr>
          <w:rFonts w:eastAsia="SimSun"/>
          <w:color w:val="auto"/>
          <w:lang w:val="en-US" w:eastAsia="zh-CN" w:bidi="ar"/>
        </w:rPr>
      </w:pPr>
      <w:r>
        <w:rPr>
          <w:rFonts w:eastAsia="SimSun"/>
          <w:color w:val="auto"/>
          <w:lang w:val="en-US" w:eastAsia="zh-CN" w:bidi="ar"/>
        </w:rPr>
        <w:br w:type="page"/>
      </w:r>
    </w:p>
    <w:tbl>
      <w:tblPr>
        <w:tblStyle w:val="38"/>
        <w:tblW w:w="97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4"/>
        <w:gridCol w:w="2436"/>
        <w:gridCol w:w="2827"/>
        <w:gridCol w:w="2315"/>
      </w:tblGrid>
      <w:tr w14:paraId="2D981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62" w:type="dxa"/>
            <w:gridSpan w:val="4"/>
            <w:tcBorders>
              <w:top w:val="nil"/>
              <w:left w:val="nil"/>
              <w:bottom w:val="single" w:color="auto" w:sz="4" w:space="0"/>
            </w:tcBorders>
          </w:tcPr>
          <w:p w14:paraId="3CEB7B04">
            <w:pPr>
              <w:pStyle w:val="301"/>
              <w:widowControl w:val="0"/>
              <w:tabs>
                <w:tab w:val="left" w:pos="0"/>
              </w:tabs>
              <w:spacing w:before="0" w:after="0"/>
              <w:jc w:val="left"/>
              <w:rPr>
                <w:rFonts w:eastAsia="SimSun"/>
                <w:color w:val="auto"/>
                <w:lang w:val="en-US" w:eastAsia="zh-CN" w:bidi="ar"/>
              </w:rPr>
            </w:pPr>
            <w:r>
              <w:rPr>
                <w:color w:val="auto"/>
                <w:sz w:val="28"/>
                <w:szCs w:val="28"/>
                <w:lang w:val="kk-KZ" w:eastAsia="zh-CN" w:bidi="ar"/>
              </w:rPr>
              <w:t>Кесте 2 жалғасы</w:t>
            </w:r>
          </w:p>
        </w:tc>
      </w:tr>
      <w:tr w14:paraId="6BE81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8" w:hRule="atLeast"/>
        </w:trPr>
        <w:tc>
          <w:tcPr>
            <w:tcW w:w="2184" w:type="dxa"/>
            <w:tcBorders>
              <w:top w:val="single" w:color="auto" w:sz="4" w:space="0"/>
            </w:tcBorders>
          </w:tcPr>
          <w:p w14:paraId="5F83A897">
            <w:pPr>
              <w:pStyle w:val="301"/>
              <w:widowControl w:val="0"/>
              <w:tabs>
                <w:tab w:val="left" w:pos="0"/>
              </w:tabs>
              <w:spacing w:before="0" w:after="0"/>
              <w:rPr>
                <w:rFonts w:eastAsia="SimSun"/>
                <w:color w:val="auto"/>
                <w:lang w:val="en-US" w:eastAsia="zh-CN" w:bidi="ar"/>
              </w:rPr>
            </w:pPr>
            <w:r>
              <w:rPr>
                <w:rFonts w:eastAsia="SimSun"/>
                <w:color w:val="auto"/>
                <w:lang w:val="en-US" w:eastAsia="zh-CN" w:bidi="ar"/>
              </w:rPr>
              <w:t>Биоаугментация</w:t>
            </w:r>
          </w:p>
        </w:tc>
        <w:tc>
          <w:tcPr>
            <w:tcW w:w="2436" w:type="dxa"/>
            <w:tcBorders>
              <w:top w:val="single" w:color="auto" w:sz="4" w:space="0"/>
            </w:tcBorders>
          </w:tcPr>
          <w:p w14:paraId="419E63C7">
            <w:pPr>
              <w:pStyle w:val="301"/>
              <w:widowControl w:val="0"/>
              <w:tabs>
                <w:tab w:val="left" w:pos="0"/>
              </w:tabs>
              <w:spacing w:before="0" w:after="0"/>
              <w:jc w:val="center"/>
              <w:rPr>
                <w:rFonts w:eastAsia="SimSun"/>
                <w:color w:val="auto"/>
                <w:lang w:val="en-US" w:eastAsia="zh-CN" w:bidi="ar"/>
              </w:rPr>
            </w:pPr>
            <w:r>
              <w:rPr>
                <w:rFonts w:eastAsia="SimSun"/>
                <w:color w:val="auto"/>
                <w:lang w:val="en-US" w:eastAsia="zh-CN" w:bidi="ar"/>
              </w:rPr>
              <w:t xml:space="preserve">Ластағыштың биоыдырау жылдамдығын арттыру үшін ластанған учаскеге нақты микроорганизмдердің жоғары концентрацияланған және мамандандырылған популяцияларын қосу </w:t>
            </w:r>
          </w:p>
        </w:tc>
        <w:tc>
          <w:tcPr>
            <w:tcW w:w="2827" w:type="dxa"/>
            <w:tcBorders>
              <w:top w:val="single" w:color="auto" w:sz="4" w:space="0"/>
            </w:tcBorders>
          </w:tcPr>
          <w:p w14:paraId="116CD43B">
            <w:pPr>
              <w:pStyle w:val="301"/>
              <w:widowControl w:val="0"/>
              <w:tabs>
                <w:tab w:val="left" w:pos="0"/>
              </w:tabs>
              <w:spacing w:before="0" w:after="0"/>
              <w:jc w:val="center"/>
              <w:rPr>
                <w:rFonts w:eastAsia="SimSun"/>
                <w:color w:val="auto"/>
                <w:lang w:val="en-US" w:eastAsia="zh-CN" w:bidi="ar"/>
              </w:rPr>
            </w:pPr>
            <w:r>
              <w:rPr>
                <w:rFonts w:eastAsia="SimSun"/>
                <w:color w:val="auto"/>
                <w:lang w:val="en-US" w:eastAsia="zh-CN" w:bidi="ar"/>
              </w:rPr>
              <w:t>Кометаболизм процестері жүреді; биоремедияцияның жоғары тиімділігі</w:t>
            </w:r>
          </w:p>
        </w:tc>
        <w:tc>
          <w:tcPr>
            <w:tcW w:w="2315" w:type="dxa"/>
            <w:tcBorders>
              <w:top w:val="single" w:color="auto" w:sz="4" w:space="0"/>
            </w:tcBorders>
          </w:tcPr>
          <w:p w14:paraId="3D44EA61">
            <w:pPr>
              <w:pStyle w:val="301"/>
              <w:widowControl w:val="0"/>
              <w:tabs>
                <w:tab w:val="left" w:pos="0"/>
              </w:tabs>
              <w:spacing w:before="0" w:after="0"/>
              <w:jc w:val="center"/>
              <w:rPr>
                <w:rFonts w:eastAsia="SimSun"/>
                <w:color w:val="auto"/>
                <w:lang w:val="en-US" w:eastAsia="zh-CN" w:bidi="ar"/>
              </w:rPr>
            </w:pPr>
            <w:r>
              <w:rPr>
                <w:rFonts w:eastAsia="SimSun"/>
                <w:color w:val="auto"/>
                <w:lang w:val="en-US" w:eastAsia="zh-CN" w:bidi="ar"/>
              </w:rPr>
              <w:t>Қоршаған орта параметрлері микроб өсуіне әсер етеді; бірқатар халықаралық келісімдер интродуцент микроорганизмдер мен генетикалық түрлендірілген организмдерді қолдануды шектейді; әртүрлі түрдегі</w:t>
            </w:r>
          </w:p>
          <w:p w14:paraId="36AF0883">
            <w:pPr>
              <w:pStyle w:val="301"/>
              <w:widowControl w:val="0"/>
              <w:tabs>
                <w:tab w:val="left" w:pos="0"/>
              </w:tabs>
              <w:spacing w:before="0" w:after="0"/>
              <w:rPr>
                <w:rFonts w:eastAsia="SimSun"/>
                <w:color w:val="auto"/>
                <w:lang w:val="en-US" w:eastAsia="zh-CN" w:bidi="ar"/>
              </w:rPr>
            </w:pPr>
            <w:r>
              <w:rPr>
                <w:rFonts w:eastAsia="SimSun"/>
                <w:color w:val="auto"/>
                <w:lang w:val="en-US" w:eastAsia="zh-CN" w:bidi="ar"/>
              </w:rPr>
              <w:t>микроорганизмдердің өмір сүру қызметінің өзара тежелу мүмкіндігі</w:t>
            </w:r>
          </w:p>
        </w:tc>
      </w:tr>
      <w:tr w14:paraId="2E36A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4" w:type="dxa"/>
          </w:tcPr>
          <w:p w14:paraId="581501E2">
            <w:pPr>
              <w:pStyle w:val="301"/>
              <w:widowControl w:val="0"/>
              <w:tabs>
                <w:tab w:val="left" w:pos="0"/>
              </w:tabs>
              <w:spacing w:before="0" w:after="0"/>
              <w:jc w:val="center"/>
              <w:rPr>
                <w:rFonts w:eastAsia="SimSun"/>
                <w:color w:val="auto"/>
                <w:lang w:val="en-US" w:eastAsia="zh-CN" w:bidi="ar"/>
              </w:rPr>
            </w:pPr>
            <w:r>
              <w:rPr>
                <w:rFonts w:eastAsia="SimSun"/>
                <w:color w:val="auto"/>
                <w:lang w:val="en-US" w:eastAsia="zh-CN" w:bidi="ar"/>
              </w:rPr>
              <w:t xml:space="preserve">Биосурфактанттарды </w:t>
            </w:r>
            <w:r>
              <w:rPr>
                <w:rFonts w:eastAsia="SimSun"/>
                <w:color w:val="auto"/>
                <w:lang w:val="kk-KZ" w:eastAsia="zh-CN" w:bidi="ar"/>
              </w:rPr>
              <w:t xml:space="preserve"> </w:t>
            </w:r>
            <w:r>
              <w:rPr>
                <w:rFonts w:eastAsia="SimSun"/>
                <w:color w:val="auto"/>
                <w:lang w:val="en-US" w:eastAsia="zh-CN" w:bidi="ar"/>
              </w:rPr>
              <w:t>қолдану</w:t>
            </w:r>
          </w:p>
        </w:tc>
        <w:tc>
          <w:tcPr>
            <w:tcW w:w="2436" w:type="dxa"/>
          </w:tcPr>
          <w:p w14:paraId="3BB01A69">
            <w:pPr>
              <w:pStyle w:val="301"/>
              <w:widowControl w:val="0"/>
              <w:tabs>
                <w:tab w:val="left" w:pos="0"/>
              </w:tabs>
              <w:spacing w:before="0" w:after="0"/>
              <w:jc w:val="center"/>
              <w:rPr>
                <w:rFonts w:eastAsia="SimSun"/>
                <w:color w:val="auto"/>
                <w:lang w:val="en-US" w:eastAsia="zh-CN" w:bidi="ar"/>
              </w:rPr>
            </w:pPr>
            <w:r>
              <w:rPr>
                <w:rFonts w:eastAsia="SimSun"/>
                <w:color w:val="auto"/>
                <w:lang w:val="en-US" w:eastAsia="zh-CN" w:bidi="ar"/>
              </w:rPr>
              <w:t xml:space="preserve">Ластанған топырақтарға биосурфактант өндірушілерді немесе биосурфактантты инокуляциялауды қамтитын биоаугментация стратегиясы </w:t>
            </w:r>
          </w:p>
        </w:tc>
        <w:tc>
          <w:tcPr>
            <w:tcW w:w="2827" w:type="dxa"/>
          </w:tcPr>
          <w:p w14:paraId="17120B5F">
            <w:pPr>
              <w:pStyle w:val="301"/>
              <w:widowControl w:val="0"/>
              <w:tabs>
                <w:tab w:val="left" w:pos="0"/>
              </w:tabs>
              <w:spacing w:before="0" w:after="0"/>
              <w:jc w:val="center"/>
              <w:rPr>
                <w:rFonts w:eastAsia="SimSun"/>
                <w:color w:val="auto"/>
                <w:lang w:val="en-US" w:eastAsia="zh-CN" w:bidi="ar"/>
              </w:rPr>
            </w:pPr>
            <w:r>
              <w:rPr>
                <w:rFonts w:eastAsia="SimSun"/>
                <w:color w:val="auto"/>
                <w:lang w:val="en-US" w:eastAsia="zh-CN" w:bidi="ar"/>
              </w:rPr>
              <w:t>Ластағыш заттардың биожетімділігін арттыру; биосурфактанттар экологиялық таза, биоыдырайтын, қауіпсіз, тұрақты; жоғары селективтілігі мен көбік түзу қабілеті бар; микробтық беткі белсенді заттар экстремалды температуралар, pH және тұздылық жағдайларында белсенді</w:t>
            </w:r>
          </w:p>
        </w:tc>
        <w:tc>
          <w:tcPr>
            <w:tcW w:w="2315" w:type="dxa"/>
          </w:tcPr>
          <w:p w14:paraId="11B77DA7">
            <w:pPr>
              <w:pStyle w:val="301"/>
              <w:widowControl w:val="0"/>
              <w:tabs>
                <w:tab w:val="left" w:pos="0"/>
              </w:tabs>
              <w:spacing w:before="0" w:after="0"/>
              <w:jc w:val="center"/>
              <w:rPr>
                <w:rFonts w:eastAsia="SimSun"/>
                <w:color w:val="auto"/>
                <w:lang w:val="en-US" w:eastAsia="zh-CN" w:bidi="ar"/>
              </w:rPr>
            </w:pPr>
            <w:r>
              <w:rPr>
                <w:rFonts w:eastAsia="SimSun"/>
                <w:color w:val="auto"/>
                <w:lang w:val="en-US" w:eastAsia="zh-CN" w:bidi="ar"/>
              </w:rPr>
              <w:t>Синтез кезінде жоғары құны және заттардың төмен шығымы; аз санды микроорганизмдер биосурфактанттардың өндірушілері болып табылады</w:t>
            </w:r>
          </w:p>
        </w:tc>
      </w:tr>
    </w:tbl>
    <w:p w14:paraId="059621AF">
      <w:pPr>
        <w:rPr>
          <w:i/>
          <w:iCs/>
          <w:color w:val="auto"/>
          <w:sz w:val="28"/>
          <w:szCs w:val="28"/>
          <w:lang w:val="kk-KZ"/>
        </w:rPr>
      </w:pPr>
      <w:r>
        <w:rPr>
          <w:i/>
          <w:iCs/>
          <w:color w:val="auto"/>
          <w:sz w:val="28"/>
          <w:szCs w:val="28"/>
          <w:lang w:val="kk-KZ"/>
        </w:rPr>
        <w:br w:type="page"/>
      </w:r>
    </w:p>
    <w:p w14:paraId="2DCE1366">
      <w:pPr>
        <w:pStyle w:val="301"/>
        <w:tabs>
          <w:tab w:val="left" w:pos="0"/>
        </w:tabs>
        <w:spacing w:before="0" w:after="0"/>
        <w:ind w:firstLine="709"/>
        <w:rPr>
          <w:color w:val="auto"/>
          <w:sz w:val="28"/>
          <w:szCs w:val="28"/>
          <w:lang w:val="kk-KZ"/>
        </w:rPr>
      </w:pPr>
      <w:r>
        <w:rPr>
          <w:color w:val="auto"/>
          <w:sz w:val="28"/>
          <w:szCs w:val="28"/>
          <w:lang w:val="kk-KZ"/>
        </w:rPr>
        <w:t>Биоремедияцияның әртүрлі әдістері – in-situ және ex-situ тәсілдері, биостимуляция, биоаугментация, фиторемедиация – өздерінің артықшылықтары мен кемшіліктеріне байланысты нақты жағдайларға қарай таңдалуы керек. Алайда, биоаугментация әдісін одан әрі зерттеу және көмірсутектерді тотықтыратын бактерияларды иммобилизациялау үшін әртүрлі биотасымалдаушыларды (ауыл шаруашылығы қалдықтары, биополимерлер, табиғи минералдар) қолдану қажеттілігі сақталуда, өйткені бұл микроорганизмдердің тұрақтылығын арттырып, олардың қоршаған орта стресіне төзімділігін жоғарылатады және биоремедиация процесінің жалпы тиімділігін күшейтеді.</w:t>
      </w:r>
    </w:p>
    <w:p w14:paraId="19C6DE02">
      <w:pPr>
        <w:pStyle w:val="301"/>
        <w:tabs>
          <w:tab w:val="left" w:pos="0"/>
        </w:tabs>
        <w:spacing w:before="0" w:after="0"/>
        <w:ind w:firstLine="709"/>
        <w:rPr>
          <w:i/>
          <w:iCs/>
          <w:color w:val="auto"/>
          <w:sz w:val="28"/>
          <w:szCs w:val="28"/>
          <w:lang w:val="kk-KZ"/>
        </w:rPr>
      </w:pPr>
    </w:p>
    <w:p w14:paraId="78BB9114">
      <w:pPr>
        <w:spacing w:after="0"/>
        <w:ind w:firstLine="709"/>
        <w:rPr>
          <w:color w:val="auto"/>
          <w:szCs w:val="28"/>
          <w:lang w:val="kk-KZ"/>
        </w:rPr>
      </w:pPr>
      <w:r>
        <w:rPr>
          <w:rFonts w:eastAsia="Times New Roman"/>
          <w:b/>
          <w:bCs/>
          <w:color w:val="auto"/>
          <w:szCs w:val="28"/>
          <w:lang w:val="kk-KZ"/>
        </w:rPr>
        <w:t>1.5 Мұнай және мұнай өнімдерін деструкциялайтын микроорганизмдер: жіктелуі, ерекшеліктері және белсенділігі</w:t>
      </w:r>
    </w:p>
    <w:p w14:paraId="63A0B04E">
      <w:pPr>
        <w:pStyle w:val="35"/>
        <w:spacing w:beforeAutospacing="0" w:afterAutospacing="0"/>
        <w:ind w:firstLine="709"/>
        <w:jc w:val="both"/>
        <w:rPr>
          <w:color w:val="auto"/>
          <w:sz w:val="28"/>
          <w:szCs w:val="28"/>
          <w:lang w:val="kk-KZ"/>
        </w:rPr>
      </w:pPr>
      <w:r>
        <w:rPr>
          <w:color w:val="auto"/>
          <w:sz w:val="28"/>
          <w:szCs w:val="28"/>
          <w:lang w:val="kk-KZ"/>
        </w:rPr>
        <w:t xml:space="preserve">Топырақта мұнайды биодеградациялайтын бактериялар негізінен </w:t>
      </w:r>
      <w:r>
        <w:rPr>
          <w:i/>
          <w:iCs/>
          <w:color w:val="auto"/>
          <w:sz w:val="28"/>
          <w:szCs w:val="28"/>
          <w:lang w:val="kk-KZ"/>
        </w:rPr>
        <w:t>Pseudomonas, Flavobacterium, Acinetobacter, Aeromonas, Arthrobacter, Rhodococcus</w:t>
      </w:r>
      <w:r>
        <w:rPr>
          <w:color w:val="auto"/>
          <w:sz w:val="28"/>
          <w:szCs w:val="28"/>
          <w:lang w:val="kk-KZ"/>
        </w:rPr>
        <w:t xml:space="preserve"> түрлеріне жатады [</w:t>
      </w:r>
      <w:r>
        <w:rPr>
          <w:rFonts w:hint="default"/>
          <w:color w:val="auto"/>
          <w:sz w:val="28"/>
          <w:szCs w:val="28"/>
          <w:lang w:val="en-US"/>
        </w:rPr>
        <w:t>41</w:t>
      </w:r>
      <w:r>
        <w:rPr>
          <w:color w:val="auto"/>
          <w:sz w:val="28"/>
          <w:szCs w:val="28"/>
          <w:lang w:val="kk-KZ"/>
        </w:rPr>
        <w:t xml:space="preserve">]. Сондай-ақ мұнай көмірсутектеріне қатысты биодеструкторлық қабілетке </w:t>
      </w:r>
      <w:r>
        <w:rPr>
          <w:i/>
          <w:iCs/>
          <w:color w:val="auto"/>
          <w:sz w:val="28"/>
          <w:szCs w:val="28"/>
          <w:lang w:val="kk-KZ"/>
        </w:rPr>
        <w:t>Alternaria, Aspergillus, Candida, Cephalosporium, Cladosporium, Fusarium, Geotrichum, Gliocladium, Mucor, Paecilomyces, Penicillium, Rhizopus, Rhodotolura, Saccharomyces, Talaromyces, Torulopsis</w:t>
      </w:r>
      <w:r>
        <w:rPr>
          <w:color w:val="auto"/>
          <w:sz w:val="28"/>
          <w:szCs w:val="28"/>
          <w:lang w:val="kk-KZ"/>
        </w:rPr>
        <w:t xml:space="preserve"> және т.б. түрлеріне жататын саңырауқұлақтар [</w:t>
      </w:r>
      <w:r>
        <w:rPr>
          <w:rFonts w:hint="default"/>
          <w:color w:val="auto"/>
          <w:sz w:val="28"/>
          <w:szCs w:val="28"/>
          <w:lang w:val="en-US"/>
        </w:rPr>
        <w:t>42</w:t>
      </w:r>
      <w:r>
        <w:rPr>
          <w:color w:val="auto"/>
          <w:sz w:val="28"/>
          <w:szCs w:val="28"/>
          <w:lang w:val="kk-KZ"/>
        </w:rPr>
        <w:t xml:space="preserve">], </w:t>
      </w:r>
      <w:r>
        <w:rPr>
          <w:i/>
          <w:iCs/>
          <w:color w:val="auto"/>
          <w:sz w:val="28"/>
          <w:szCs w:val="28"/>
          <w:lang w:val="kk-KZ"/>
        </w:rPr>
        <w:t>Chlorella vulgaris</w:t>
      </w:r>
      <w:r>
        <w:rPr>
          <w:color w:val="auto"/>
          <w:sz w:val="28"/>
          <w:szCs w:val="28"/>
          <w:lang w:val="kk-KZ"/>
        </w:rPr>
        <w:t xml:space="preserve"> микробалдырлары  ие</w:t>
      </w:r>
      <w:r>
        <w:rPr>
          <w:rFonts w:hint="default"/>
          <w:color w:val="auto"/>
          <w:sz w:val="28"/>
          <w:szCs w:val="28"/>
          <w:lang w:val="ru-RU"/>
        </w:rPr>
        <w:t xml:space="preserve"> </w:t>
      </w:r>
      <w:r>
        <w:rPr>
          <w:color w:val="auto"/>
          <w:sz w:val="28"/>
          <w:szCs w:val="28"/>
          <w:lang w:val="kk-KZ"/>
        </w:rPr>
        <w:t>[</w:t>
      </w:r>
      <w:r>
        <w:rPr>
          <w:rFonts w:hint="default"/>
          <w:color w:val="auto"/>
          <w:sz w:val="28"/>
          <w:szCs w:val="28"/>
          <w:lang w:val="en-US"/>
        </w:rPr>
        <w:t>43</w:t>
      </w:r>
      <w:r>
        <w:rPr>
          <w:color w:val="auto"/>
          <w:sz w:val="28"/>
          <w:szCs w:val="28"/>
          <w:lang w:val="kk-KZ"/>
        </w:rPr>
        <w:t>].</w:t>
      </w:r>
    </w:p>
    <w:p w14:paraId="6D1EDE0D">
      <w:pPr>
        <w:pStyle w:val="35"/>
        <w:spacing w:beforeAutospacing="0" w:afterAutospacing="0"/>
        <w:ind w:firstLine="709"/>
        <w:jc w:val="both"/>
        <w:rPr>
          <w:color w:val="auto"/>
          <w:sz w:val="28"/>
          <w:szCs w:val="28"/>
          <w:lang w:val="kk-KZ"/>
        </w:rPr>
      </w:pPr>
      <w:r>
        <w:rPr>
          <w:color w:val="auto"/>
          <w:sz w:val="28"/>
          <w:szCs w:val="28"/>
          <w:lang w:val="kk-KZ"/>
        </w:rPr>
        <w:t xml:space="preserve">Бактериялар ең ауыр парафиндерге дейінгі кез келген көмірсутектерді ыдырату қабілеті арқасында биоремедиация үшін ең тиімді микроорганизмдер болып табылады. Патенттерде әртүрлі ластағыш заттарды метаболизациялай алатын 70-тен астам бактерия түрлері сипатталған. Ең кең таралған және әмбебап түрлер – </w:t>
      </w:r>
      <w:r>
        <w:rPr>
          <w:i/>
          <w:iCs/>
          <w:color w:val="auto"/>
          <w:sz w:val="28"/>
          <w:szCs w:val="28"/>
          <w:lang w:val="kk-KZ"/>
        </w:rPr>
        <w:t>Pseudomonas spp., Rhodococcus spp.</w:t>
      </w:r>
      <w:r>
        <w:rPr>
          <w:color w:val="auto"/>
          <w:sz w:val="28"/>
          <w:szCs w:val="28"/>
          <w:lang w:val="kk-KZ"/>
        </w:rPr>
        <w:t xml:space="preserve"> және </w:t>
      </w:r>
      <w:r>
        <w:rPr>
          <w:i/>
          <w:iCs/>
          <w:color w:val="auto"/>
          <w:sz w:val="28"/>
          <w:szCs w:val="28"/>
          <w:lang w:val="kk-KZ"/>
        </w:rPr>
        <w:t>Acinetobacter spp</w:t>
      </w:r>
      <w:r>
        <w:rPr>
          <w:rFonts w:hint="default"/>
          <w:i/>
          <w:iCs/>
          <w:color w:val="auto"/>
          <w:sz w:val="28"/>
          <w:szCs w:val="28"/>
          <w:lang w:val="ru-RU"/>
        </w:rPr>
        <w:t xml:space="preserve"> </w:t>
      </w:r>
      <w:r>
        <w:rPr>
          <w:color w:val="auto"/>
          <w:sz w:val="28"/>
          <w:szCs w:val="28"/>
          <w:lang w:val="kk-KZ"/>
        </w:rPr>
        <w:t>[</w:t>
      </w:r>
      <w:r>
        <w:rPr>
          <w:rFonts w:hint="default"/>
          <w:color w:val="auto"/>
          <w:sz w:val="28"/>
          <w:szCs w:val="28"/>
          <w:lang w:val="en-US"/>
        </w:rPr>
        <w:t>4</w:t>
      </w:r>
      <w:r>
        <w:rPr>
          <w:rFonts w:hint="default"/>
          <w:color w:val="auto"/>
          <w:sz w:val="28"/>
          <w:szCs w:val="28"/>
          <w:lang w:val="ru-RU"/>
        </w:rPr>
        <w:t>4</w:t>
      </w:r>
      <w:r>
        <w:rPr>
          <w:color w:val="auto"/>
          <w:sz w:val="28"/>
          <w:szCs w:val="28"/>
          <w:lang w:val="kk-KZ"/>
        </w:rPr>
        <w:t xml:space="preserve">]. </w:t>
      </w:r>
    </w:p>
    <w:p w14:paraId="5327C9C0">
      <w:pPr>
        <w:pStyle w:val="35"/>
        <w:spacing w:beforeAutospacing="0" w:afterAutospacing="0"/>
        <w:ind w:firstLine="709"/>
        <w:jc w:val="both"/>
        <w:rPr>
          <w:color w:val="auto"/>
          <w:sz w:val="28"/>
          <w:szCs w:val="28"/>
          <w:lang w:val="kk-KZ"/>
        </w:rPr>
      </w:pPr>
      <w:r>
        <w:rPr>
          <w:color w:val="auto"/>
          <w:sz w:val="28"/>
          <w:szCs w:val="28"/>
          <w:lang w:val="kk-KZ"/>
        </w:rPr>
        <w:t xml:space="preserve">Қазақстанда мұнаймен ластанған топырақтарды биоремедиациялау бойынша бірқатар патенттелген технологиялар әзірленген. 2017 жылы KZ патенті №28836 бойынша биосурфактант өндіретін </w:t>
      </w:r>
      <w:r>
        <w:rPr>
          <w:i/>
          <w:iCs/>
          <w:color w:val="auto"/>
          <w:sz w:val="28"/>
          <w:szCs w:val="28"/>
          <w:lang w:val="kk-KZ"/>
        </w:rPr>
        <w:t>Bacillus subtilis J105-11</w:t>
      </w:r>
      <w:r>
        <w:rPr>
          <w:color w:val="auto"/>
          <w:sz w:val="28"/>
          <w:szCs w:val="28"/>
          <w:lang w:val="kk-KZ"/>
        </w:rPr>
        <w:t xml:space="preserve"> штаммын тіркеді, бұл микроорганизм көмірсутектердің биологиялық қол жетімділігін арттыру арқылы биоремедиация тиімділігін жоғарылатады</w:t>
      </w:r>
      <w:r>
        <w:rPr>
          <w:rFonts w:hint="default"/>
          <w:color w:val="auto"/>
          <w:sz w:val="28"/>
          <w:szCs w:val="28"/>
          <w:lang w:val="ru-RU"/>
        </w:rPr>
        <w:t xml:space="preserve"> </w:t>
      </w:r>
      <w:r>
        <w:rPr>
          <w:rFonts w:hint="default"/>
          <w:color w:val="auto"/>
          <w:sz w:val="28"/>
          <w:szCs w:val="28"/>
          <w:lang w:val="en-US"/>
        </w:rPr>
        <w:t>[48]</w:t>
      </w:r>
      <w:r>
        <w:rPr>
          <w:color w:val="auto"/>
          <w:sz w:val="28"/>
          <w:szCs w:val="28"/>
          <w:lang w:val="kk-KZ"/>
        </w:rPr>
        <w:t xml:space="preserve">. Қазақстандық ғалымдардың соңғы жетістігі әзірлеген жаңа бактериялық консорциум </w:t>
      </w:r>
      <w:r>
        <w:rPr>
          <w:i/>
          <w:iCs/>
          <w:color w:val="auto"/>
          <w:sz w:val="28"/>
          <w:szCs w:val="28"/>
          <w:lang w:val="kk-KZ"/>
        </w:rPr>
        <w:t>Rhodococcus qingshengii F2-1, F2-2</w:t>
      </w:r>
      <w:r>
        <w:rPr>
          <w:color w:val="auto"/>
          <w:sz w:val="28"/>
          <w:szCs w:val="28"/>
          <w:lang w:val="kk-KZ"/>
        </w:rPr>
        <w:t xml:space="preserve"> және </w:t>
      </w:r>
      <w:r>
        <w:rPr>
          <w:i/>
          <w:iCs/>
          <w:color w:val="auto"/>
          <w:sz w:val="28"/>
          <w:szCs w:val="28"/>
          <w:lang w:val="kk-KZ"/>
        </w:rPr>
        <w:t>Pseudomonas alloputida BS3701</w:t>
      </w:r>
      <w:r>
        <w:rPr>
          <w:color w:val="auto"/>
          <w:sz w:val="28"/>
          <w:szCs w:val="28"/>
          <w:lang w:val="kk-KZ"/>
        </w:rPr>
        <w:t xml:space="preserve"> штаммдарынан тұрады. Зертханалық жағдайда бұл консорциум 50 күн ішінде n-алкандардың 48 пайызын және полициклді хош иісті көмірсутектердің 39 пайызын ыдыратты</w:t>
      </w:r>
      <w:r>
        <w:rPr>
          <w:rFonts w:hint="default"/>
          <w:color w:val="auto"/>
          <w:sz w:val="28"/>
          <w:szCs w:val="28"/>
          <w:lang w:val="en-US"/>
        </w:rPr>
        <w:t xml:space="preserve"> [49]</w:t>
      </w:r>
      <w:r>
        <w:rPr>
          <w:color w:val="auto"/>
          <w:sz w:val="28"/>
          <w:szCs w:val="28"/>
          <w:lang w:val="kk-KZ"/>
        </w:rPr>
        <w:t xml:space="preserve">. </w:t>
      </w:r>
    </w:p>
    <w:p w14:paraId="2B89AAD2">
      <w:pPr>
        <w:pStyle w:val="35"/>
        <w:spacing w:beforeAutospacing="0" w:afterAutospacing="0"/>
        <w:ind w:firstLine="709"/>
        <w:jc w:val="both"/>
        <w:rPr>
          <w:color w:val="auto"/>
          <w:sz w:val="28"/>
          <w:szCs w:val="28"/>
          <w:highlight w:val="yellow"/>
          <w:lang w:val="kk-KZ"/>
        </w:rPr>
      </w:pPr>
      <w:r>
        <w:rPr>
          <w:color w:val="auto"/>
          <w:sz w:val="28"/>
          <w:szCs w:val="28"/>
          <w:lang w:val="kk-KZ"/>
        </w:rPr>
        <w:t>Алайда бактериялар сыртқы орта жағдайларына өте сезімтал, сондықтан олардың көпшілігінің көбеюі үшін ең қолайлы жағдайлар: 30-40 °С температура; оттегінің болуы (аэробты жағдайлар) және қоректік заттардың (азот, фосфор және темір) болуы; бейтарап pH мәні. Бірде-бір микроорганизм мұнайдың толық ыдырауына әкелмейтіні туралы эксперименталды түрде расталған деректер бар. Биоремедиация күрделі микробтық консорциумдармен, атап айтқанда тарихи ластанған аумақтарда</w:t>
      </w:r>
      <w:r>
        <w:rPr>
          <w:rFonts w:hint="default"/>
          <w:color w:val="auto"/>
          <w:sz w:val="28"/>
          <w:szCs w:val="28"/>
          <w:lang w:val="ru-RU"/>
        </w:rPr>
        <w:t xml:space="preserve"> </w:t>
      </w:r>
      <w:r>
        <w:rPr>
          <w:color w:val="auto"/>
          <w:sz w:val="28"/>
          <w:szCs w:val="28"/>
          <w:lang w:val="kk-KZ"/>
        </w:rPr>
        <w:t>өздігінен дамитын консорциумдармен жүзеге асырылғанда тиімдірек болады [</w:t>
      </w:r>
      <w:r>
        <w:rPr>
          <w:rFonts w:hint="default"/>
          <w:color w:val="auto"/>
          <w:sz w:val="28"/>
          <w:szCs w:val="28"/>
          <w:lang w:val="en-US"/>
        </w:rPr>
        <w:t>50</w:t>
      </w:r>
      <w:r>
        <w:rPr>
          <w:color w:val="auto"/>
          <w:sz w:val="28"/>
          <w:szCs w:val="28"/>
          <w:lang w:val="kk-KZ"/>
        </w:rPr>
        <w:t>].</w:t>
      </w:r>
    </w:p>
    <w:p w14:paraId="580754B1">
      <w:pPr>
        <w:pStyle w:val="35"/>
        <w:spacing w:beforeAutospacing="0" w:afterAutospacing="0"/>
        <w:ind w:firstLine="709"/>
        <w:jc w:val="both"/>
        <w:rPr>
          <w:color w:val="auto"/>
          <w:sz w:val="28"/>
          <w:szCs w:val="28"/>
          <w:lang w:val="kk-KZ"/>
        </w:rPr>
      </w:pPr>
      <w:r>
        <w:rPr>
          <w:color w:val="auto"/>
          <w:sz w:val="28"/>
          <w:szCs w:val="28"/>
          <w:lang w:val="kk-KZ"/>
        </w:rPr>
        <w:t>Микроскопиялық саңырауқұлақтар топырақты микробиологиялық биоремедиациялау үшін кеңінен қолданылады. Көптеген тармақталған гифалары бартеулерде негізгі әдіс биостимуляция болып табылады. Биоремедиация үшін биопрепараттарды қолдану кезінде топыраққа интродуцент-микроорганизмдер енгізіледі. Биопрепараттар әртүрлі құрамда болуы мүмкін – белсенді агенттер ретінде бір түрдің, штаммның микроорганизмдері де, микроорганизмдер консорциумдары да қызмет етуі мүмкін.</w:t>
      </w:r>
    </w:p>
    <w:p w14:paraId="55F76D23">
      <w:pPr>
        <w:pStyle w:val="35"/>
        <w:spacing w:beforeAutospacing="0" w:afterAutospacing="0"/>
        <w:ind w:firstLine="709"/>
        <w:jc w:val="both"/>
        <w:rPr>
          <w:color w:val="auto"/>
          <w:sz w:val="28"/>
          <w:szCs w:val="28"/>
          <w:lang w:val="kk-KZ"/>
        </w:rPr>
      </w:pPr>
      <w:r>
        <w:rPr>
          <w:color w:val="auto"/>
          <w:sz w:val="28"/>
          <w:szCs w:val="28"/>
          <w:lang w:val="kk-KZ"/>
        </w:rPr>
        <w:t>Микроорганизмдер консорциумдары негізіндегі биопрепараттар жоғары дәлелденген тиімділікке ие, өйткені микроорганизмдердің әртүрлі түрлері органикалық қосылыстардың әртүрлі кластарына қатысты биодеструкторлық белсенділікке ие. Мұндай биопрепараттар көп мөлшерде әзірленген:</w:t>
      </w:r>
    </w:p>
    <w:p w14:paraId="4314FC8E">
      <w:pPr>
        <w:pStyle w:val="35"/>
        <w:spacing w:beforeAutospacing="0" w:afterAutospacing="0"/>
        <w:ind w:firstLine="709"/>
        <w:jc w:val="both"/>
        <w:rPr>
          <w:color w:val="auto"/>
          <w:sz w:val="28"/>
          <w:szCs w:val="28"/>
          <w:lang w:val="kk-KZ"/>
        </w:rPr>
      </w:pPr>
      <w:r>
        <w:rPr>
          <w:color w:val="auto"/>
          <w:sz w:val="28"/>
          <w:szCs w:val="28"/>
          <w:lang w:val="kk-KZ"/>
        </w:rPr>
        <w:t>«Деворойл» – бес түрлі мұнайтотықтыратын бактериялар және ашытқылар</w:t>
      </w:r>
      <w:r>
        <w:rPr>
          <w:rFonts w:hint="default"/>
          <w:color w:val="auto"/>
          <w:sz w:val="28"/>
          <w:szCs w:val="28"/>
          <w:lang w:val="en-US"/>
        </w:rPr>
        <w:t>[51]</w:t>
      </w:r>
      <w:r>
        <w:rPr>
          <w:color w:val="auto"/>
          <w:sz w:val="28"/>
          <w:szCs w:val="28"/>
          <w:lang w:val="kk-KZ"/>
        </w:rPr>
        <w:t>.</w:t>
      </w:r>
    </w:p>
    <w:p w14:paraId="22856409">
      <w:pPr>
        <w:pStyle w:val="35"/>
        <w:spacing w:beforeAutospacing="0" w:afterAutospacing="0"/>
        <w:ind w:firstLine="709"/>
        <w:jc w:val="both"/>
        <w:rPr>
          <w:color w:val="auto"/>
          <w:sz w:val="28"/>
          <w:szCs w:val="28"/>
          <w:lang w:val="kk-KZ"/>
        </w:rPr>
      </w:pPr>
      <w:r>
        <w:rPr>
          <w:color w:val="auto"/>
          <w:sz w:val="28"/>
          <w:szCs w:val="28"/>
          <w:lang w:val="kk-KZ"/>
        </w:rPr>
        <w:t xml:space="preserve">«Экойл» – аэробты мұнайтотықтыратын </w:t>
      </w:r>
      <w:r>
        <w:rPr>
          <w:i/>
          <w:iCs/>
          <w:color w:val="auto"/>
          <w:sz w:val="28"/>
          <w:szCs w:val="28"/>
          <w:lang w:val="kk-KZ"/>
        </w:rPr>
        <w:t xml:space="preserve">Mycobacterium, Rhodococcus </w:t>
      </w:r>
      <w:r>
        <w:rPr>
          <w:color w:val="auto"/>
          <w:sz w:val="28"/>
          <w:szCs w:val="28"/>
          <w:lang w:val="kk-KZ"/>
        </w:rPr>
        <w:t xml:space="preserve">және </w:t>
      </w:r>
      <w:r>
        <w:rPr>
          <w:i/>
          <w:iCs/>
          <w:color w:val="auto"/>
          <w:sz w:val="28"/>
          <w:szCs w:val="28"/>
          <w:lang w:val="kk-KZ"/>
        </w:rPr>
        <w:t xml:space="preserve">Acinetobacter </w:t>
      </w:r>
      <w:r>
        <w:rPr>
          <w:color w:val="auto"/>
          <w:sz w:val="28"/>
          <w:szCs w:val="28"/>
          <w:lang w:val="kk-KZ"/>
        </w:rPr>
        <w:t>бактериялары, сахароза, полиэтиленгликоль, мұнай және су</w:t>
      </w:r>
      <w:r>
        <w:rPr>
          <w:rFonts w:hint="default"/>
          <w:color w:val="auto"/>
          <w:sz w:val="28"/>
          <w:szCs w:val="28"/>
          <w:lang w:val="en-US"/>
        </w:rPr>
        <w:t xml:space="preserve"> [46]</w:t>
      </w:r>
      <w:r>
        <w:rPr>
          <w:color w:val="auto"/>
          <w:sz w:val="28"/>
          <w:szCs w:val="28"/>
          <w:lang w:val="kk-KZ"/>
        </w:rPr>
        <w:t>.</w:t>
      </w:r>
    </w:p>
    <w:p w14:paraId="5C85D9A7">
      <w:pPr>
        <w:pStyle w:val="35"/>
        <w:spacing w:beforeAutospacing="0" w:afterAutospacing="0"/>
        <w:ind w:firstLine="709"/>
        <w:jc w:val="both"/>
        <w:rPr>
          <w:color w:val="auto"/>
          <w:sz w:val="28"/>
          <w:szCs w:val="28"/>
          <w:lang w:val="kk-KZ"/>
        </w:rPr>
      </w:pPr>
      <w:r>
        <w:rPr>
          <w:color w:val="auto"/>
          <w:sz w:val="28"/>
          <w:szCs w:val="28"/>
          <w:lang w:val="kk-KZ"/>
        </w:rPr>
        <w:t xml:space="preserve">«Бак-Верад» – </w:t>
      </w:r>
      <w:r>
        <w:rPr>
          <w:i/>
          <w:iCs/>
          <w:color w:val="auto"/>
          <w:sz w:val="28"/>
          <w:szCs w:val="28"/>
          <w:lang w:val="kk-KZ"/>
        </w:rPr>
        <w:t>Bacillus, Arthrobacter, Rhodococcus</w:t>
      </w:r>
      <w:r>
        <w:rPr>
          <w:color w:val="auto"/>
          <w:sz w:val="28"/>
          <w:szCs w:val="28"/>
          <w:lang w:val="kk-KZ"/>
        </w:rPr>
        <w:t xml:space="preserve"> және </w:t>
      </w:r>
      <w:r>
        <w:rPr>
          <w:i/>
          <w:iCs/>
          <w:color w:val="auto"/>
          <w:sz w:val="28"/>
          <w:szCs w:val="28"/>
          <w:lang w:val="kk-KZ"/>
        </w:rPr>
        <w:t xml:space="preserve">Pseudomonas </w:t>
      </w:r>
      <w:r>
        <w:rPr>
          <w:color w:val="auto"/>
          <w:sz w:val="28"/>
          <w:szCs w:val="28"/>
          <w:lang w:val="kk-KZ"/>
        </w:rPr>
        <w:t>түрлеріне жататын бактериялар штаммдарының консорциумынан тұратын бактериялық препарат. Зерттеу нәтижелері биопрепаратты енгізу топырақтағы мұнай өнімдерінің құрамын айтарлықтай төмендететінін және табиғи деструкцияны 3-4 есе жеделдететінін көрсетті [</w:t>
      </w:r>
      <w:r>
        <w:rPr>
          <w:rFonts w:hint="default"/>
          <w:color w:val="auto"/>
          <w:sz w:val="28"/>
          <w:szCs w:val="28"/>
          <w:lang w:val="ru-RU"/>
        </w:rPr>
        <w:t>5</w:t>
      </w:r>
      <w:r>
        <w:rPr>
          <w:rFonts w:hint="default"/>
          <w:color w:val="auto"/>
          <w:sz w:val="28"/>
          <w:szCs w:val="28"/>
          <w:lang w:val="en-US"/>
        </w:rPr>
        <w:t>2</w:t>
      </w:r>
      <w:r>
        <w:rPr>
          <w:color w:val="auto"/>
          <w:sz w:val="28"/>
          <w:szCs w:val="28"/>
          <w:lang w:val="kk-KZ"/>
        </w:rPr>
        <w:t>].</w:t>
      </w:r>
    </w:p>
    <w:p w14:paraId="13F4935C">
      <w:pPr>
        <w:pStyle w:val="35"/>
        <w:spacing w:beforeAutospacing="0" w:afterAutospacing="0"/>
        <w:ind w:firstLine="709"/>
        <w:jc w:val="both"/>
        <w:rPr>
          <w:color w:val="auto"/>
          <w:sz w:val="28"/>
          <w:szCs w:val="28"/>
          <w:lang w:val="kk-KZ"/>
        </w:rPr>
      </w:pPr>
      <w:r>
        <w:rPr>
          <w:i/>
          <w:iCs/>
          <w:color w:val="auto"/>
          <w:sz w:val="28"/>
          <w:szCs w:val="28"/>
          <w:lang w:val="kk-KZ"/>
        </w:rPr>
        <w:t>Rhodococcus qingshengii F2-1, R. qingshengii F2-2,</w:t>
      </w:r>
      <w:r>
        <w:rPr>
          <w:color w:val="auto"/>
          <w:sz w:val="28"/>
          <w:szCs w:val="28"/>
          <w:lang w:val="kk-KZ"/>
        </w:rPr>
        <w:t xml:space="preserve"> түрлеріне жататын бактериялар штаммдарынан, сондай-ақ </w:t>
      </w:r>
      <w:r>
        <w:rPr>
          <w:i/>
          <w:iCs/>
          <w:color w:val="auto"/>
          <w:sz w:val="28"/>
          <w:szCs w:val="28"/>
          <w:lang w:val="kk-KZ"/>
        </w:rPr>
        <w:t>Pseudomonas alloputida BS3701</w:t>
      </w:r>
      <w:r>
        <w:rPr>
          <w:color w:val="auto"/>
          <w:sz w:val="28"/>
          <w:szCs w:val="28"/>
          <w:lang w:val="kk-KZ"/>
        </w:rPr>
        <w:t xml:space="preserve">  микроорганизмдер консорциумы [</w:t>
      </w:r>
      <w:r>
        <w:rPr>
          <w:rFonts w:hint="default"/>
          <w:color w:val="auto"/>
          <w:sz w:val="28"/>
          <w:szCs w:val="28"/>
          <w:lang w:val="en-US"/>
        </w:rPr>
        <w:t>53</w:t>
      </w:r>
      <w:r>
        <w:rPr>
          <w:color w:val="auto"/>
          <w:sz w:val="28"/>
          <w:szCs w:val="28"/>
          <w:lang w:val="kk-KZ"/>
        </w:rPr>
        <w:t>] жұмысында далалық эксперименте мұнаймен ластанған топырақтарын тазарту тиімділігін бағалау үшін қолданылды. 6 ай ішінде шикі мұнай мөлшері бастапқыдан 70%-ға төмендеді.</w:t>
      </w:r>
    </w:p>
    <w:p w14:paraId="5EA37CC6">
      <w:pPr>
        <w:pStyle w:val="35"/>
        <w:spacing w:beforeAutospacing="0" w:afterAutospacing="0"/>
        <w:ind w:firstLine="709"/>
        <w:jc w:val="both"/>
        <w:rPr>
          <w:color w:val="auto"/>
          <w:sz w:val="28"/>
          <w:szCs w:val="28"/>
          <w:highlight w:val="yellow"/>
          <w:lang w:val="kk-KZ"/>
        </w:rPr>
      </w:pPr>
    </w:p>
    <w:p w14:paraId="158E6C61">
      <w:pPr>
        <w:tabs>
          <w:tab w:val="left" w:pos="0"/>
        </w:tabs>
        <w:spacing w:after="0"/>
        <w:ind w:firstLine="709"/>
        <w:rPr>
          <w:b/>
          <w:bCs/>
          <w:color w:val="auto"/>
          <w:lang w:val="kk-KZ"/>
        </w:rPr>
      </w:pPr>
      <w:r>
        <w:rPr>
          <w:b/>
          <w:bCs/>
          <w:color w:val="auto"/>
          <w:lang w:val="kk-KZ"/>
        </w:rPr>
        <w:t>1.6 Микроорганизмдерді иммобилизациялау: тәсілдер,  тасымалдағыштар түрлері және қолданудың артықшылықтары</w:t>
      </w:r>
    </w:p>
    <w:p w14:paraId="4EAE87D8">
      <w:pPr>
        <w:tabs>
          <w:tab w:val="left" w:pos="0"/>
        </w:tabs>
        <w:spacing w:after="0"/>
        <w:ind w:firstLine="709"/>
        <w:rPr>
          <w:color w:val="auto"/>
          <w:szCs w:val="28"/>
          <w:lang w:val="kk-KZ"/>
        </w:rPr>
      </w:pPr>
      <w:r>
        <w:rPr>
          <w:color w:val="auto"/>
          <w:szCs w:val="28"/>
          <w:lang w:val="kk-KZ"/>
        </w:rPr>
        <w:t>Микроорганизмдерді иммобилизациялау қатты материалға орналастыру немесе полимерлі құрылымға орау арқылы жасушалардың кеңістікте қозғалысын шектеуге мүмкіндік беретін заманауи биотехнологиядағы негізгі технологиялардың бірі болып табылады. Бұл технология биокатализаторларды қайта пайдалану мүмкіндігіне, олардың тұрақтылығын арттыруға және өнімдерді биомассадан бөлу процестерін жеңілдетуге байланысты кеңінен қолданылды [</w:t>
      </w:r>
      <w:r>
        <w:rPr>
          <w:rFonts w:hint="default"/>
          <w:color w:val="auto"/>
          <w:szCs w:val="28"/>
          <w:lang w:val="en-US"/>
        </w:rPr>
        <w:t>54</w:t>
      </w:r>
      <w:r>
        <w:rPr>
          <w:color w:val="auto"/>
          <w:szCs w:val="28"/>
          <w:lang w:val="kk-KZ"/>
        </w:rPr>
        <w:t>].</w:t>
      </w:r>
    </w:p>
    <w:p w14:paraId="3D00BE71">
      <w:pPr>
        <w:pStyle w:val="301"/>
        <w:spacing w:before="0" w:after="0"/>
        <w:ind w:firstLine="709"/>
        <w:rPr>
          <w:color w:val="auto"/>
          <w:sz w:val="28"/>
          <w:szCs w:val="28"/>
          <w:lang w:val="kk-KZ"/>
        </w:rPr>
      </w:pPr>
      <w:r>
        <w:rPr>
          <w:color w:val="auto"/>
          <w:sz w:val="28"/>
          <w:szCs w:val="28"/>
          <w:lang w:val="kk-KZ"/>
        </w:rPr>
        <w:t>Тарихи тұрғыдан иммобилизация технологияларының дамуы 1969 жылы L-амин қышқылдарының үздіксіз өндірісі үшін иммобилизацияланған аминоацилазаны қолданудан басталды. 1970 жылдардың аяғынан бастап иммобилизация әдістері зертханалық және өндірістік жағдайларда кеңінен қолданыла бастады [</w:t>
      </w:r>
      <w:r>
        <w:rPr>
          <w:rFonts w:hint="default"/>
          <w:color w:val="auto"/>
          <w:sz w:val="28"/>
          <w:szCs w:val="28"/>
          <w:lang w:val="en-US"/>
        </w:rPr>
        <w:t>55</w:t>
      </w:r>
      <w:r>
        <w:rPr>
          <w:color w:val="auto"/>
          <w:sz w:val="28"/>
          <w:szCs w:val="28"/>
          <w:lang w:val="kk-KZ"/>
        </w:rPr>
        <w:t>]. Заманауи зерттеулер химиялық қосылыстарды өндіруден бастап қоршаған ортаны биоремедациялауға дейін қолданудың кең ауқымын қамтиды.</w:t>
      </w:r>
    </w:p>
    <w:p w14:paraId="1B623DAF">
      <w:pPr>
        <w:pStyle w:val="301"/>
        <w:spacing w:before="0" w:after="0"/>
        <w:ind w:firstLine="709"/>
        <w:rPr>
          <w:rFonts w:hint="default"/>
          <w:color w:val="auto"/>
          <w:sz w:val="28"/>
          <w:szCs w:val="28"/>
          <w:lang w:val="kk-KZ"/>
        </w:rPr>
      </w:pPr>
      <w:r>
        <w:rPr>
          <w:color w:val="auto"/>
          <w:sz w:val="28"/>
          <w:szCs w:val="28"/>
          <w:lang w:val="kk-KZ"/>
        </w:rPr>
        <w:t>Иммобилизация әдістерінің заманауи жіктелуі төрт негізгі тәсілді қамтиды: адсорбция, ковалентті байланыс, полимерлі матрицаға түсіру және инкапсуляция</w:t>
      </w:r>
      <w:r>
        <w:rPr>
          <w:rFonts w:hint="default"/>
          <w:color w:val="auto"/>
          <w:sz w:val="28"/>
          <w:szCs w:val="28"/>
          <w:lang w:val="kk-KZ"/>
        </w:rPr>
        <w:t xml:space="preserve"> (сурет 5)</w:t>
      </w:r>
    </w:p>
    <w:p w14:paraId="680C0AD5">
      <w:pPr>
        <w:pStyle w:val="301"/>
        <w:spacing w:before="0" w:after="0"/>
        <w:ind w:firstLine="709"/>
        <w:rPr>
          <w:b/>
          <w:i/>
          <w:color w:val="auto"/>
          <w:sz w:val="28"/>
          <w:szCs w:val="28"/>
          <w:lang w:val="kk-KZ"/>
        </w:rPr>
      </w:pPr>
      <w:r>
        <w:rPr>
          <w:b/>
          <w:i/>
          <w:color w:val="auto"/>
          <w:sz w:val="28"/>
          <w:szCs w:val="28"/>
        </w:rPr>
        <w:drawing>
          <wp:anchor distT="0" distB="0" distL="0" distR="0" simplePos="0" relativeHeight="251660288" behindDoc="1" locked="0" layoutInCell="0" allowOverlap="1">
            <wp:simplePos x="0" y="0"/>
            <wp:positionH relativeFrom="page">
              <wp:posOffset>1076325</wp:posOffset>
            </wp:positionH>
            <wp:positionV relativeFrom="paragraph">
              <wp:posOffset>316230</wp:posOffset>
            </wp:positionV>
            <wp:extent cx="5414010" cy="1066800"/>
            <wp:effectExtent l="0" t="0" r="0" b="0"/>
            <wp:wrapTopAndBottom/>
            <wp:docPr id="5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 4"/>
                    <pic:cNvPicPr>
                      <a:picLocks noChangeAspect="1" noChangeArrowheads="1"/>
                    </pic:cNvPicPr>
                  </pic:nvPicPr>
                  <pic:blipFill>
                    <a:blip r:embed="rId11"/>
                    <a:srcRect l="-5" t="-29" r="-5" b="-29"/>
                    <a:stretch>
                      <a:fillRect/>
                    </a:stretch>
                  </pic:blipFill>
                  <pic:spPr>
                    <a:xfrm>
                      <a:off x="0" y="0"/>
                      <a:ext cx="5414010" cy="1066800"/>
                    </a:xfrm>
                    <a:prstGeom prst="rect">
                      <a:avLst/>
                    </a:prstGeom>
                  </pic:spPr>
                </pic:pic>
              </a:graphicData>
            </a:graphic>
          </wp:anchor>
        </w:drawing>
      </w:r>
    </w:p>
    <w:tbl>
      <w:tblPr>
        <w:tblStyle w:val="12"/>
        <w:tblW w:w="9275" w:type="dxa"/>
        <w:tblInd w:w="-108" w:type="dxa"/>
        <w:tblLayout w:type="fixed"/>
        <w:tblCellMar>
          <w:top w:w="0" w:type="dxa"/>
          <w:left w:w="108" w:type="dxa"/>
          <w:bottom w:w="0" w:type="dxa"/>
          <w:right w:w="108" w:type="dxa"/>
        </w:tblCellMar>
      </w:tblPr>
      <w:tblGrid>
        <w:gridCol w:w="2424"/>
        <w:gridCol w:w="2585"/>
        <w:gridCol w:w="2259"/>
        <w:gridCol w:w="2007"/>
      </w:tblGrid>
      <w:tr w14:paraId="7E223D96">
        <w:tblPrEx>
          <w:tblCellMar>
            <w:top w:w="0" w:type="dxa"/>
            <w:left w:w="108" w:type="dxa"/>
            <w:bottom w:w="0" w:type="dxa"/>
            <w:right w:w="108" w:type="dxa"/>
          </w:tblCellMar>
        </w:tblPrEx>
        <w:trPr>
          <w:trHeight w:val="793" w:hRule="atLeast"/>
        </w:trPr>
        <w:tc>
          <w:tcPr>
            <w:tcW w:w="2424" w:type="dxa"/>
          </w:tcPr>
          <w:p w14:paraId="4E7BC543">
            <w:pPr>
              <w:pStyle w:val="301"/>
              <w:snapToGrid w:val="0"/>
              <w:spacing w:before="0" w:after="0"/>
              <w:rPr>
                <w:rStyle w:val="185"/>
                <w:b w:val="0"/>
                <w:bCs w:val="0"/>
                <w:color w:val="auto"/>
                <w:sz w:val="28"/>
                <w:szCs w:val="28"/>
              </w:rPr>
            </w:pPr>
            <w:r>
              <w:rPr>
                <w:rStyle w:val="185"/>
                <w:b w:val="0"/>
                <w:bCs w:val="0"/>
                <w:color w:val="auto"/>
                <w:sz w:val="28"/>
                <w:szCs w:val="28"/>
              </w:rPr>
              <w:t>а) Адсорбция</w:t>
            </w:r>
          </w:p>
        </w:tc>
        <w:tc>
          <w:tcPr>
            <w:tcW w:w="2585" w:type="dxa"/>
          </w:tcPr>
          <w:p w14:paraId="2EDB2D3C">
            <w:pPr>
              <w:pStyle w:val="301"/>
              <w:snapToGrid w:val="0"/>
              <w:spacing w:before="0" w:after="0"/>
              <w:rPr>
                <w:rStyle w:val="185"/>
                <w:b w:val="0"/>
                <w:bCs w:val="0"/>
                <w:color w:val="auto"/>
                <w:sz w:val="28"/>
                <w:szCs w:val="28"/>
              </w:rPr>
            </w:pPr>
            <w:r>
              <w:rPr>
                <w:rStyle w:val="185"/>
                <w:b w:val="0"/>
                <w:bCs w:val="0"/>
                <w:color w:val="auto"/>
                <w:sz w:val="28"/>
                <w:szCs w:val="28"/>
              </w:rPr>
              <w:t xml:space="preserve"> б) ковалентті </w:t>
            </w:r>
          </w:p>
          <w:p w14:paraId="7AF6123F">
            <w:pPr>
              <w:pStyle w:val="301"/>
              <w:snapToGrid w:val="0"/>
              <w:spacing w:before="0" w:after="0"/>
              <w:rPr>
                <w:rStyle w:val="185"/>
                <w:b w:val="0"/>
                <w:bCs w:val="0"/>
                <w:color w:val="auto"/>
                <w:sz w:val="28"/>
                <w:szCs w:val="28"/>
              </w:rPr>
            </w:pPr>
            <w:r>
              <w:rPr>
                <w:rStyle w:val="185"/>
                <w:b w:val="0"/>
                <w:bCs w:val="0"/>
                <w:color w:val="auto"/>
                <w:sz w:val="28"/>
                <w:szCs w:val="28"/>
              </w:rPr>
              <w:t>иммобилизация</w:t>
            </w:r>
          </w:p>
          <w:p w14:paraId="7E3E9194">
            <w:pPr>
              <w:pStyle w:val="301"/>
              <w:snapToGrid w:val="0"/>
              <w:spacing w:before="0" w:after="0"/>
              <w:jc w:val="center"/>
              <w:rPr>
                <w:rStyle w:val="185"/>
                <w:b w:val="0"/>
                <w:bCs w:val="0"/>
                <w:color w:val="auto"/>
                <w:sz w:val="28"/>
                <w:szCs w:val="28"/>
              </w:rPr>
            </w:pPr>
          </w:p>
        </w:tc>
        <w:tc>
          <w:tcPr>
            <w:tcW w:w="2259" w:type="dxa"/>
          </w:tcPr>
          <w:p w14:paraId="666383A8">
            <w:pPr>
              <w:pStyle w:val="301"/>
              <w:snapToGrid w:val="0"/>
              <w:spacing w:before="0" w:after="0"/>
              <w:jc w:val="left"/>
              <w:rPr>
                <w:rStyle w:val="185"/>
                <w:b w:val="0"/>
                <w:bCs w:val="0"/>
                <w:color w:val="auto"/>
                <w:sz w:val="28"/>
                <w:szCs w:val="28"/>
              </w:rPr>
            </w:pPr>
            <w:r>
              <w:rPr>
                <w:rStyle w:val="185"/>
                <w:b w:val="0"/>
                <w:bCs w:val="0"/>
                <w:color w:val="auto"/>
                <w:sz w:val="28"/>
                <w:szCs w:val="28"/>
              </w:rPr>
              <w:t>в) полимерлі матрицаға түсіру</w:t>
            </w:r>
          </w:p>
        </w:tc>
        <w:tc>
          <w:tcPr>
            <w:tcW w:w="2007" w:type="dxa"/>
          </w:tcPr>
          <w:p w14:paraId="4D9E4306">
            <w:pPr>
              <w:pStyle w:val="301"/>
              <w:snapToGrid w:val="0"/>
              <w:spacing w:before="0" w:after="0"/>
              <w:rPr>
                <w:rStyle w:val="185"/>
                <w:b w:val="0"/>
                <w:bCs w:val="0"/>
                <w:color w:val="auto"/>
                <w:sz w:val="28"/>
                <w:szCs w:val="28"/>
              </w:rPr>
            </w:pPr>
            <w:r>
              <w:rPr>
                <w:rStyle w:val="185"/>
                <w:b w:val="0"/>
                <w:bCs w:val="0"/>
                <w:color w:val="auto"/>
                <w:sz w:val="28"/>
                <w:szCs w:val="28"/>
              </w:rPr>
              <w:t>г)инкапсуля</w:t>
            </w:r>
            <w:r>
              <w:rPr>
                <w:rStyle w:val="185"/>
                <w:rFonts w:hint="default"/>
                <w:b w:val="0"/>
                <w:bCs w:val="0"/>
                <w:color w:val="auto"/>
                <w:sz w:val="28"/>
                <w:szCs w:val="28"/>
                <w:lang w:val="ru-RU"/>
              </w:rPr>
              <w:t>-</w:t>
            </w:r>
            <w:r>
              <w:rPr>
                <w:rStyle w:val="185"/>
                <w:b w:val="0"/>
                <w:bCs w:val="0"/>
                <w:color w:val="auto"/>
                <w:sz w:val="28"/>
                <w:szCs w:val="28"/>
              </w:rPr>
              <w:t>циялау</w:t>
            </w:r>
          </w:p>
        </w:tc>
      </w:tr>
    </w:tbl>
    <w:p w14:paraId="5A729AAD">
      <w:pPr>
        <w:pStyle w:val="301"/>
        <w:spacing w:before="0" w:after="0"/>
        <w:jc w:val="center"/>
        <w:rPr>
          <w:rStyle w:val="185"/>
          <w:rFonts w:hint="default"/>
          <w:b w:val="0"/>
          <w:bCs w:val="0"/>
          <w:i/>
          <w:iCs/>
          <w:color w:val="auto"/>
          <w:sz w:val="28"/>
          <w:szCs w:val="28"/>
          <w:lang w:val="en-US"/>
        </w:rPr>
      </w:pPr>
      <w:r>
        <w:rPr>
          <w:color w:val="auto"/>
          <w:sz w:val="28"/>
          <w:szCs w:val="28"/>
          <w:lang w:val="kk-KZ"/>
        </w:rPr>
        <w:t>С</w:t>
      </w:r>
      <w:r>
        <w:rPr>
          <w:color w:val="auto"/>
          <w:sz w:val="28"/>
          <w:szCs w:val="28"/>
        </w:rPr>
        <w:t xml:space="preserve">урет </w:t>
      </w:r>
      <w:r>
        <w:rPr>
          <w:color w:val="auto"/>
          <w:sz w:val="28"/>
          <w:szCs w:val="28"/>
          <w:lang w:val="kk-KZ"/>
        </w:rPr>
        <w:t xml:space="preserve">5 - </w:t>
      </w:r>
      <w:r>
        <w:rPr>
          <w:color w:val="auto"/>
          <w:sz w:val="28"/>
          <w:szCs w:val="28"/>
        </w:rPr>
        <w:t>Иммобилизация түрлері</w:t>
      </w:r>
      <w:r>
        <w:rPr>
          <w:rFonts w:hint="default"/>
          <w:color w:val="auto"/>
          <w:sz w:val="28"/>
          <w:szCs w:val="28"/>
          <w:lang w:val="en-US"/>
        </w:rPr>
        <w:t xml:space="preserve"> [56]</w:t>
      </w:r>
    </w:p>
    <w:p w14:paraId="452FE106">
      <w:pPr>
        <w:pStyle w:val="301"/>
        <w:spacing w:before="0" w:after="0"/>
        <w:ind w:firstLine="709"/>
        <w:rPr>
          <w:rStyle w:val="185"/>
          <w:b w:val="0"/>
          <w:bCs w:val="0"/>
          <w:i/>
          <w:iCs/>
          <w:color w:val="auto"/>
          <w:sz w:val="28"/>
          <w:szCs w:val="28"/>
        </w:rPr>
      </w:pPr>
    </w:p>
    <w:p w14:paraId="35515CE0">
      <w:pPr>
        <w:pStyle w:val="301"/>
        <w:spacing w:before="0" w:after="0"/>
        <w:ind w:firstLine="709"/>
        <w:rPr>
          <w:rStyle w:val="185"/>
          <w:b w:val="0"/>
          <w:bCs w:val="0"/>
          <w:color w:val="auto"/>
          <w:sz w:val="28"/>
          <w:szCs w:val="28"/>
        </w:rPr>
      </w:pPr>
      <w:r>
        <w:rPr>
          <w:rStyle w:val="185"/>
          <w:b w:val="0"/>
          <w:bCs w:val="0"/>
          <w:i/>
          <w:iCs/>
          <w:color w:val="auto"/>
          <w:sz w:val="28"/>
          <w:szCs w:val="28"/>
        </w:rPr>
        <w:t xml:space="preserve">Адсорбциялық иммобилизация </w:t>
      </w:r>
      <w:r>
        <w:rPr>
          <w:rStyle w:val="185"/>
          <w:b w:val="0"/>
          <w:bCs w:val="0"/>
          <w:color w:val="auto"/>
          <w:sz w:val="28"/>
          <w:szCs w:val="28"/>
        </w:rPr>
        <w:t xml:space="preserve">жасушалар мен тасымалдаушы бетінің физикалық өзара әрекеттесуіне негізделген. Әдіс орындаудың қарапайымдылығымен, жұмсақ технологиялық жағдайлармен және тасымалдаушыны қайта пайдалану мүмкіндігімен сипатталады. </w:t>
      </w:r>
      <w:r>
        <w:rPr>
          <w:rStyle w:val="185"/>
          <w:rFonts w:hint="default"/>
          <w:b w:val="0"/>
          <w:bCs w:val="0"/>
          <w:color w:val="auto"/>
          <w:sz w:val="28"/>
          <w:szCs w:val="28"/>
        </w:rPr>
        <w:t>Wang, X.</w:t>
      </w:r>
      <w:r>
        <w:rPr>
          <w:rStyle w:val="185"/>
          <w:b w:val="0"/>
          <w:bCs w:val="0"/>
          <w:color w:val="auto"/>
          <w:sz w:val="28"/>
          <w:szCs w:val="28"/>
        </w:rPr>
        <w:t xml:space="preserve"> et al. өзгертілген бентонитке </w:t>
      </w:r>
      <w:r>
        <w:rPr>
          <w:rStyle w:val="185"/>
          <w:b w:val="0"/>
          <w:bCs w:val="0"/>
          <w:i/>
          <w:iCs/>
          <w:color w:val="auto"/>
          <w:sz w:val="28"/>
          <w:szCs w:val="28"/>
        </w:rPr>
        <w:t>Lactobacillus plantarum</w:t>
      </w:r>
      <w:r>
        <w:rPr>
          <w:rStyle w:val="185"/>
          <w:b w:val="0"/>
          <w:bCs w:val="0"/>
          <w:color w:val="auto"/>
          <w:sz w:val="28"/>
          <w:szCs w:val="28"/>
        </w:rPr>
        <w:t xml:space="preserve"> адсорбциясы рН 2,0 кезінде 2 сағат бойы жасуша өміршеңдігінің 89% сақталуын қамтамасыз ететінін көрсетті</w:t>
      </w:r>
      <w:r>
        <w:rPr>
          <w:rStyle w:val="185"/>
          <w:rFonts w:hint="default"/>
          <w:b w:val="0"/>
          <w:bCs w:val="0"/>
          <w:color w:val="auto"/>
          <w:sz w:val="28"/>
          <w:szCs w:val="28"/>
          <w:lang w:val="en-US"/>
        </w:rPr>
        <w:t xml:space="preserve"> </w:t>
      </w:r>
      <w:r>
        <w:rPr>
          <w:rStyle w:val="185"/>
          <w:b w:val="0"/>
          <w:bCs w:val="0"/>
          <w:color w:val="auto"/>
          <w:sz w:val="28"/>
          <w:szCs w:val="28"/>
        </w:rPr>
        <w:t>[</w:t>
      </w:r>
      <w:r>
        <w:rPr>
          <w:rStyle w:val="185"/>
          <w:rFonts w:hint="default"/>
          <w:b w:val="0"/>
          <w:bCs w:val="0"/>
          <w:color w:val="auto"/>
          <w:sz w:val="28"/>
          <w:szCs w:val="28"/>
          <w:lang w:val="en-US"/>
        </w:rPr>
        <w:t>57</w:t>
      </w:r>
      <w:r>
        <w:rPr>
          <w:rStyle w:val="185"/>
          <w:b w:val="0"/>
          <w:bCs w:val="0"/>
          <w:color w:val="auto"/>
          <w:sz w:val="28"/>
          <w:szCs w:val="28"/>
        </w:rPr>
        <w:t>]. Әдістің негізгі кемшілігі жасушалардың тасымалдаушыдан жуылып кетуіне әкелетін байланыстардың әлсіздігі болып табылады.</w:t>
      </w:r>
    </w:p>
    <w:p w14:paraId="65EAE140">
      <w:pPr>
        <w:pStyle w:val="301"/>
        <w:spacing w:before="0" w:after="0"/>
        <w:ind w:firstLine="709"/>
        <w:rPr>
          <w:rStyle w:val="185"/>
          <w:b w:val="0"/>
          <w:bCs w:val="0"/>
          <w:color w:val="auto"/>
          <w:sz w:val="28"/>
          <w:szCs w:val="28"/>
        </w:rPr>
      </w:pPr>
      <w:r>
        <w:rPr>
          <w:rStyle w:val="185"/>
          <w:b w:val="0"/>
          <w:bCs w:val="0"/>
          <w:i/>
          <w:iCs/>
          <w:color w:val="auto"/>
          <w:sz w:val="28"/>
          <w:szCs w:val="28"/>
        </w:rPr>
        <w:t xml:space="preserve">Ковалентті иммобилизация </w:t>
      </w:r>
      <w:r>
        <w:rPr>
          <w:rStyle w:val="185"/>
          <w:b w:val="0"/>
          <w:bCs w:val="0"/>
          <w:color w:val="auto"/>
          <w:sz w:val="28"/>
          <w:szCs w:val="28"/>
        </w:rPr>
        <w:t xml:space="preserve">ковалентті байланыстардың түзілуі арқылы жасушалардың тасымалдаушымен ең күшті байланысын қамтамасыз етеді. Сингх пен Кумар ковалентті иммобилизацияның тиімділігін көрсетті </w:t>
      </w:r>
      <w:r>
        <w:rPr>
          <w:rStyle w:val="185"/>
          <w:b w:val="0"/>
          <w:bCs w:val="0"/>
          <w:i/>
          <w:iCs/>
          <w:color w:val="auto"/>
          <w:sz w:val="28"/>
          <w:szCs w:val="28"/>
        </w:rPr>
        <w:t>Escherichia coli</w:t>
      </w:r>
      <w:r>
        <w:rPr>
          <w:rStyle w:val="185"/>
          <w:b w:val="0"/>
          <w:bCs w:val="0"/>
          <w:color w:val="auto"/>
          <w:sz w:val="28"/>
          <w:szCs w:val="28"/>
        </w:rPr>
        <w:t>, эпоксидтелген тасымалдағыштарда L-аспарагиназа өндіретін. Иммобилизацияланған жасушалардың белсенділігі 20 пайдалану циклінен кейін 75% деңгейінде сақталды. Әдістің кемшілігі химиялық реагенттердің әсерінен жасушалардың өміршеңдігінің ықтимал төмендеуі болып табылады [</w:t>
      </w:r>
      <w:r>
        <w:rPr>
          <w:rStyle w:val="185"/>
          <w:rFonts w:hint="default"/>
          <w:b w:val="0"/>
          <w:bCs w:val="0"/>
          <w:color w:val="auto"/>
          <w:sz w:val="28"/>
          <w:szCs w:val="28"/>
          <w:lang w:val="en-US"/>
        </w:rPr>
        <w:t>58</w:t>
      </w:r>
      <w:r>
        <w:rPr>
          <w:rStyle w:val="185"/>
          <w:b w:val="0"/>
          <w:bCs w:val="0"/>
          <w:color w:val="auto"/>
          <w:sz w:val="28"/>
          <w:szCs w:val="28"/>
        </w:rPr>
        <w:t>].</w:t>
      </w:r>
    </w:p>
    <w:p w14:paraId="1F47E1A9">
      <w:pPr>
        <w:pStyle w:val="301"/>
        <w:spacing w:before="0" w:after="0"/>
        <w:ind w:firstLine="709"/>
        <w:rPr>
          <w:rStyle w:val="185"/>
          <w:b w:val="0"/>
          <w:bCs w:val="0"/>
          <w:color w:val="auto"/>
          <w:sz w:val="28"/>
          <w:szCs w:val="28"/>
        </w:rPr>
      </w:pPr>
      <w:r>
        <w:rPr>
          <w:rStyle w:val="185"/>
          <w:b w:val="0"/>
          <w:bCs w:val="0"/>
          <w:i/>
          <w:iCs/>
          <w:color w:val="auto"/>
          <w:sz w:val="28"/>
          <w:szCs w:val="28"/>
        </w:rPr>
        <w:t>Полимерлік матрицаға</w:t>
      </w:r>
      <w:r>
        <w:rPr>
          <w:rStyle w:val="185"/>
          <w:b w:val="0"/>
          <w:bCs w:val="0"/>
          <w:color w:val="auto"/>
          <w:sz w:val="28"/>
          <w:szCs w:val="28"/>
        </w:rPr>
        <w:t xml:space="preserve"> </w:t>
      </w:r>
      <w:r>
        <w:rPr>
          <w:rStyle w:val="185"/>
          <w:b w:val="0"/>
          <w:bCs w:val="0"/>
          <w:color w:val="auto"/>
          <w:sz w:val="28"/>
          <w:szCs w:val="28"/>
          <w:lang w:val="kk-KZ"/>
        </w:rPr>
        <w:t>орнықтыру</w:t>
      </w:r>
      <w:r>
        <w:rPr>
          <w:rStyle w:val="185"/>
          <w:b w:val="0"/>
          <w:bCs w:val="0"/>
          <w:color w:val="auto"/>
          <w:sz w:val="28"/>
          <w:szCs w:val="28"/>
        </w:rPr>
        <w:t xml:space="preserve"> микроорганизмдерді иммобилизациялаудың ең кең тараған әдісін ұсынады. Лю және т.б. (2019) биогаз алу үшін альгинат түйіршіктеріндегі метан түзуші бактериялардың иммобилизациясын зерттеді. Жүйе 6 ай үздіксіз жұмыс істегенде 0,35 м3/кг құрғақ заттан тұрақты метан өндірісін көрсетті. Әдістің артықшылығы жасушаларды қолайсыз жағдайлардан қорғау және масса алмасуды бақылау мүмкіндігі болып табылады [</w:t>
      </w:r>
      <w:r>
        <w:rPr>
          <w:rStyle w:val="185"/>
          <w:rFonts w:hint="default"/>
          <w:b w:val="0"/>
          <w:bCs w:val="0"/>
          <w:color w:val="auto"/>
          <w:sz w:val="28"/>
          <w:szCs w:val="28"/>
          <w:lang w:val="en-US"/>
        </w:rPr>
        <w:t>59</w:t>
      </w:r>
      <w:r>
        <w:rPr>
          <w:rStyle w:val="185"/>
          <w:b w:val="0"/>
          <w:bCs w:val="0"/>
          <w:color w:val="auto"/>
          <w:sz w:val="28"/>
          <w:szCs w:val="28"/>
        </w:rPr>
        <w:t>].</w:t>
      </w:r>
    </w:p>
    <w:p w14:paraId="11830CC0">
      <w:pPr>
        <w:pStyle w:val="301"/>
        <w:spacing w:before="0" w:after="0"/>
        <w:ind w:firstLine="709"/>
        <w:rPr>
          <w:rStyle w:val="185"/>
          <w:b w:val="0"/>
          <w:bCs w:val="0"/>
          <w:color w:val="auto"/>
          <w:sz w:val="28"/>
          <w:szCs w:val="28"/>
        </w:rPr>
      </w:pPr>
      <w:r>
        <w:rPr>
          <w:rStyle w:val="185"/>
          <w:b w:val="0"/>
          <w:bCs w:val="0"/>
          <w:i/>
          <w:iCs/>
          <w:color w:val="auto"/>
          <w:sz w:val="28"/>
          <w:szCs w:val="28"/>
        </w:rPr>
        <w:t>Инкапсуляциялау</w:t>
      </w:r>
      <w:r>
        <w:rPr>
          <w:rStyle w:val="185"/>
          <w:b w:val="0"/>
          <w:bCs w:val="0"/>
          <w:color w:val="auto"/>
          <w:sz w:val="28"/>
          <w:szCs w:val="28"/>
        </w:rPr>
        <w:t xml:space="preserve"> жасушаларды бақыланатын өткізгіштігі бар жартылай өткізгіш микрокапсулаларға орауды қамтамасыз етеді. Чен және т.б. (2020) инсулин өндіретін жасушаларды иммобилизациялау үшін альгинат және хитозан негізіндегі микрокапсулаларды әзірледі. Жүйе глюкоза концентрациясының өзгеруіне жауап ретінде инсулинді бөлу қабілетін сақтай отырып, жасушаларды иммундық жауаптан қорғауды қамтамасыз етті [</w:t>
      </w:r>
      <w:r>
        <w:rPr>
          <w:rStyle w:val="185"/>
          <w:rFonts w:hint="default"/>
          <w:b w:val="0"/>
          <w:bCs w:val="0"/>
          <w:color w:val="auto"/>
          <w:sz w:val="28"/>
          <w:szCs w:val="28"/>
          <w:lang w:val="en-US"/>
        </w:rPr>
        <w:t>60</w:t>
      </w:r>
      <w:r>
        <w:rPr>
          <w:rStyle w:val="185"/>
          <w:b w:val="0"/>
          <w:bCs w:val="0"/>
          <w:color w:val="auto"/>
          <w:sz w:val="28"/>
          <w:szCs w:val="28"/>
        </w:rPr>
        <w:t>].</w:t>
      </w:r>
    </w:p>
    <w:p w14:paraId="696C6585">
      <w:pPr>
        <w:pStyle w:val="301"/>
        <w:spacing w:before="0" w:after="0"/>
        <w:ind w:firstLine="709"/>
        <w:rPr>
          <w:color w:val="auto"/>
          <w:sz w:val="28"/>
          <w:szCs w:val="28"/>
        </w:rPr>
      </w:pPr>
      <w:r>
        <w:rPr>
          <w:color w:val="auto"/>
          <w:sz w:val="28"/>
          <w:szCs w:val="28"/>
        </w:rPr>
        <w:t>Осылайша, иммобилизация технологиясы микроорганизмдерді қатты материалға орналастыру немесе полимерлі құрылымға орау арқылы жасушалардың кеңістікте қозғалысын шектеуге мүмкіндік беретін заманауи биотехнологиядағы негізгі технологиялардың бірі болып табылады. Бұл технология биокатализаторларды қайта пайдалану мүмкіндігіне, олардың тұрақтылығын арттыруға және өнімдерді биомассадан бөлу процестерін жеңілдетуге байланысты кеңінен қолданылды.</w:t>
      </w:r>
    </w:p>
    <w:p w14:paraId="6C0CE99F">
      <w:pPr>
        <w:spacing w:after="0"/>
        <w:ind w:firstLine="709"/>
        <w:rPr>
          <w:color w:val="auto"/>
          <w:szCs w:val="28"/>
          <w:lang w:val="kk-KZ"/>
        </w:rPr>
      </w:pPr>
      <w:r>
        <w:rPr>
          <w:color w:val="auto"/>
          <w:szCs w:val="28"/>
          <w:lang w:val="kk-KZ"/>
        </w:rPr>
        <w:t>Тасымалдаушыны таңдау биоремедиация процестерінде микроорганизмдердің сәтті иммобилизациясының шешуші факторы болып табылады. Үлгілі тасымалдаушы бірқатар талаптарға сай болуы керек: ерімейтіндігі, иммобилизацияланған микроорганизмдер үшін де, қоршаған орта үшін де улы еместігі, оңай қол жетімділігі, төмен құны, тұрақтылығы және қайта өңдеуге жарамдылығы [</w:t>
      </w:r>
      <w:r>
        <w:rPr>
          <w:rFonts w:hint="default"/>
          <w:color w:val="auto"/>
          <w:szCs w:val="28"/>
          <w:lang w:val="en-US"/>
        </w:rPr>
        <w:t>61,62</w:t>
      </w:r>
      <w:r>
        <w:rPr>
          <w:color w:val="auto"/>
          <w:szCs w:val="28"/>
          <w:lang w:val="kk-KZ"/>
        </w:rPr>
        <w:t>]. Иммобилизация процесі технологиялық жағынан қарапайым және зиянсыз болуы керек.</w:t>
      </w:r>
    </w:p>
    <w:p w14:paraId="455883F4">
      <w:pPr>
        <w:spacing w:after="0"/>
        <w:ind w:firstLine="709"/>
        <w:rPr>
          <w:color w:val="auto"/>
          <w:szCs w:val="28"/>
          <w:lang w:val="kk-KZ"/>
        </w:rPr>
      </w:pPr>
      <w:r>
        <w:rPr>
          <w:color w:val="auto"/>
          <w:szCs w:val="28"/>
          <w:lang w:val="kk-KZ"/>
        </w:rPr>
        <w:t>Ғылыми жұмыста адсорбциялық  әдісі арқылы көмірсутектерді ыдыратушы микроорганизмдерді өсімдік текті тасымалдаушыларға иммобилизациялау қарастырылған болатын.</w:t>
      </w:r>
    </w:p>
    <w:p w14:paraId="0782002A">
      <w:pPr>
        <w:spacing w:after="0"/>
        <w:ind w:firstLine="709"/>
        <w:rPr>
          <w:color w:val="auto"/>
          <w:szCs w:val="28"/>
          <w:lang w:val="kk-KZ"/>
        </w:rPr>
      </w:pPr>
      <w:r>
        <w:rPr>
          <w:color w:val="auto"/>
          <w:szCs w:val="28"/>
          <w:lang w:val="kk-KZ"/>
        </w:rPr>
        <w:t>Адсорбциялық иммобилизацияға арналған тасымалдаушылар микроорганизмдер мен тасымалдаушы арасындағы ең үлкен жанасу аймағын қамтамасыз ету үшін жоғары кеуектілікке ие болуы керек [</w:t>
      </w:r>
      <w:r>
        <w:rPr>
          <w:rFonts w:hint="default"/>
          <w:color w:val="auto"/>
          <w:szCs w:val="28"/>
          <w:lang w:val="en-US"/>
        </w:rPr>
        <w:t>64</w:t>
      </w:r>
      <w:r>
        <w:rPr>
          <w:color w:val="auto"/>
          <w:szCs w:val="28"/>
          <w:lang w:val="kk-KZ"/>
        </w:rPr>
        <w:t>,</w:t>
      </w:r>
      <w:r>
        <w:rPr>
          <w:rFonts w:hint="default"/>
          <w:color w:val="auto"/>
          <w:szCs w:val="28"/>
          <w:lang w:val="en-US"/>
        </w:rPr>
        <w:t>65</w:t>
      </w:r>
      <w:r>
        <w:rPr>
          <w:color w:val="auto"/>
          <w:szCs w:val="28"/>
          <w:lang w:val="kk-KZ"/>
        </w:rPr>
        <w:t>]. Орындалатын биоремедиация процестерінің сипаты тасымалдаушы түрін таңдауға шешуші әсер етеді: орнында биологиялық жақсарту үшін оңай биологиялық ыдырайтын материалдарды қажет етеді, ал ағынды суларды тазарту жүйелері жоғары механикалық беріктікті қажет етеді [</w:t>
      </w:r>
      <w:r>
        <w:rPr>
          <w:rFonts w:hint="default"/>
          <w:color w:val="auto"/>
          <w:szCs w:val="28"/>
          <w:lang w:val="en-US"/>
        </w:rPr>
        <w:t>66</w:t>
      </w:r>
      <w:r>
        <w:rPr>
          <w:color w:val="auto"/>
          <w:szCs w:val="28"/>
          <w:lang w:val="kk-KZ"/>
        </w:rPr>
        <w:t>,</w:t>
      </w:r>
      <w:r>
        <w:rPr>
          <w:rFonts w:hint="default"/>
          <w:color w:val="auto"/>
          <w:szCs w:val="28"/>
          <w:lang w:val="en-US"/>
        </w:rPr>
        <w:t>67</w:t>
      </w:r>
      <w:r>
        <w:rPr>
          <w:color w:val="auto"/>
          <w:szCs w:val="28"/>
          <w:lang w:val="kk-KZ"/>
        </w:rPr>
        <w:t>].</w:t>
      </w:r>
    </w:p>
    <w:p w14:paraId="05F84537">
      <w:pPr>
        <w:spacing w:after="0"/>
        <w:ind w:firstLine="709"/>
        <w:rPr>
          <w:color w:val="auto"/>
          <w:szCs w:val="28"/>
          <w:lang w:val="kk-KZ"/>
        </w:rPr>
      </w:pPr>
      <w:r>
        <w:rPr>
          <w:color w:val="auto"/>
          <w:szCs w:val="28"/>
          <w:lang w:val="kk-KZ"/>
        </w:rPr>
        <w:t>Адсорбциялық иммобилизация механизмі өзара әрекеттесулер кешені арқылы жүзеге асырылады: әмбебап ван-дер-Ваальс күштері, сутектік байланыстар, тасымалдаушы мен микроорганизмдердің жасуша қабырғасының қызметтік топтары арасындағы электростатикалық және гидрофобты әрекеттесулер [</w:t>
      </w:r>
      <w:r>
        <w:rPr>
          <w:rFonts w:hint="default"/>
          <w:color w:val="auto"/>
          <w:szCs w:val="28"/>
          <w:lang w:val="en-US"/>
        </w:rPr>
        <w:t>68</w:t>
      </w:r>
      <w:r>
        <w:rPr>
          <w:color w:val="auto"/>
          <w:szCs w:val="28"/>
          <w:lang w:val="kk-KZ"/>
        </w:rPr>
        <w:t>,</w:t>
      </w:r>
      <w:r>
        <w:rPr>
          <w:rFonts w:hint="default"/>
          <w:color w:val="auto"/>
          <w:szCs w:val="28"/>
          <w:lang w:val="en-US"/>
        </w:rPr>
        <w:t>69</w:t>
      </w:r>
      <w:r>
        <w:rPr>
          <w:color w:val="auto"/>
          <w:szCs w:val="28"/>
          <w:lang w:val="kk-KZ"/>
        </w:rPr>
        <w:t>,</w:t>
      </w:r>
      <w:r>
        <w:rPr>
          <w:rFonts w:hint="default"/>
          <w:color w:val="auto"/>
          <w:szCs w:val="28"/>
          <w:lang w:val="en-US"/>
        </w:rPr>
        <w:t>70</w:t>
      </w:r>
      <w:r>
        <w:rPr>
          <w:color w:val="auto"/>
          <w:szCs w:val="28"/>
          <w:lang w:val="kk-KZ"/>
        </w:rPr>
        <w:t>].</w:t>
      </w:r>
    </w:p>
    <w:p w14:paraId="42DAC421">
      <w:pPr>
        <w:spacing w:after="0"/>
        <w:ind w:firstLine="709"/>
        <w:rPr>
          <w:color w:val="auto"/>
          <w:szCs w:val="28"/>
          <w:lang w:val="kk-KZ"/>
        </w:rPr>
      </w:pPr>
      <w:r>
        <w:rPr>
          <w:color w:val="auto"/>
          <w:szCs w:val="28"/>
          <w:lang w:val="kk-KZ"/>
        </w:rPr>
        <w:t>Бос жасушалармен салыстырғанда иммобилизацияланған микроорганизмдерді пайдалану кезінде байқалған биологиялық ыдыраудың жоғары тиімділігі олардың биоремедиация процестерінде қолданылуына қызығушылықтың артуына әкелді [</w:t>
      </w:r>
      <w:r>
        <w:rPr>
          <w:rFonts w:hint="default"/>
          <w:color w:val="auto"/>
          <w:szCs w:val="28"/>
          <w:lang w:val="en-US"/>
        </w:rPr>
        <w:t>71</w:t>
      </w:r>
      <w:r>
        <w:rPr>
          <w:color w:val="auto"/>
          <w:szCs w:val="28"/>
          <w:lang w:val="kk-KZ"/>
        </w:rPr>
        <w:t>,</w:t>
      </w:r>
      <w:r>
        <w:rPr>
          <w:rFonts w:hint="default"/>
          <w:color w:val="auto"/>
          <w:szCs w:val="28"/>
          <w:lang w:val="en-US"/>
        </w:rPr>
        <w:t>72</w:t>
      </w:r>
      <w:r>
        <w:rPr>
          <w:color w:val="auto"/>
          <w:szCs w:val="28"/>
          <w:lang w:val="kk-KZ"/>
        </w:rPr>
        <w:t>]. Тасымалдаушы жасушаларды қорғауды қамтамасыз етеді және органикалық ластаушы заттардың таралуын тежейді, осылайша иммобилизацияланған микроорганизмдердегі беттік улы заттардың концентрациясын төмендетеді деп болжанады. Иммобилизациядан кейінгі микроортаның өзгеруі жасушалардың морфологиясының, физиологиясының және алмасу белсенділігінің өзгеруіне әкелуі мүмкін [</w:t>
      </w:r>
      <w:r>
        <w:rPr>
          <w:rFonts w:hint="default"/>
          <w:color w:val="auto"/>
          <w:szCs w:val="28"/>
          <w:lang w:val="en-US"/>
        </w:rPr>
        <w:t>73</w:t>
      </w:r>
      <w:r>
        <w:rPr>
          <w:color w:val="auto"/>
          <w:szCs w:val="28"/>
          <w:lang w:val="kk-KZ"/>
        </w:rPr>
        <w:t>].</w:t>
      </w:r>
    </w:p>
    <w:p w14:paraId="349A7AA7">
      <w:pPr>
        <w:pStyle w:val="301"/>
        <w:spacing w:before="0" w:after="0"/>
        <w:ind w:firstLine="709"/>
        <w:rPr>
          <w:color w:val="auto"/>
          <w:sz w:val="28"/>
          <w:szCs w:val="28"/>
          <w:lang w:val="kk-KZ"/>
        </w:rPr>
      </w:pPr>
      <w:r>
        <w:rPr>
          <w:color w:val="auto"/>
          <w:sz w:val="28"/>
          <w:szCs w:val="28"/>
          <w:lang w:val="kk-KZ"/>
        </w:rPr>
        <w:t>Заманауи тасымалдаушылар органикалық және бейорганикалық материалдарға жіктеледі, олардың әрқайсысы белгілі бір артықшылықтар мен шектеулермен сипатталады.</w:t>
      </w:r>
    </w:p>
    <w:p w14:paraId="4C4A4811">
      <w:pPr>
        <w:pStyle w:val="35"/>
        <w:spacing w:beforeAutospacing="0" w:afterAutospacing="0"/>
        <w:ind w:firstLine="709"/>
        <w:jc w:val="both"/>
        <w:rPr>
          <w:color w:val="auto"/>
          <w:sz w:val="28"/>
          <w:szCs w:val="28"/>
          <w:lang w:val="kk-KZ" w:eastAsia="ru-RU"/>
        </w:rPr>
      </w:pPr>
      <w:r>
        <w:rPr>
          <w:color w:val="auto"/>
          <w:sz w:val="28"/>
          <w:szCs w:val="28"/>
          <w:lang w:val="kk-KZ" w:eastAsia="ru-RU"/>
        </w:rPr>
        <w:t>Табиғи органикалық тасымалдаушылар – үгінділер, сабан, өсімдік талшықтары, жүгері масақтары, қант қамысы целлюлозасы (багас), күріш және күнбағыс қауыздары, мақта талшықтары – микроорганизмдерді иммобилизациялау үшін көптеген қызметтік топтарға ие [</w:t>
      </w:r>
      <w:r>
        <w:rPr>
          <w:rFonts w:hint="default"/>
          <w:color w:val="auto"/>
          <w:sz w:val="28"/>
          <w:szCs w:val="28"/>
          <w:lang w:val="en-US" w:eastAsia="ru-RU"/>
        </w:rPr>
        <w:t>74</w:t>
      </w:r>
      <w:r>
        <w:rPr>
          <w:color w:val="auto"/>
          <w:sz w:val="28"/>
          <w:szCs w:val="28"/>
          <w:lang w:val="kk-KZ" w:eastAsia="ru-RU"/>
        </w:rPr>
        <w:t>-</w:t>
      </w:r>
      <w:r>
        <w:rPr>
          <w:rFonts w:hint="default"/>
          <w:color w:val="auto"/>
          <w:sz w:val="28"/>
          <w:szCs w:val="28"/>
          <w:lang w:val="en-US" w:eastAsia="ru-RU"/>
        </w:rPr>
        <w:t>81</w:t>
      </w:r>
      <w:r>
        <w:rPr>
          <w:color w:val="auto"/>
          <w:sz w:val="28"/>
          <w:szCs w:val="28"/>
          <w:lang w:val="kk-KZ" w:eastAsia="ru-RU"/>
        </w:rPr>
        <w:t>]. Бұл материалдар суға ұқсастығымен, биологиялық ыдырағыштығымен, биологиялық үйлесімділігімен және төмен құнымен сипатталады, өйткені олар азық-түлік және агроөнеркәсіптік қайта өңдеу қалдықтары болып табылады. Люфа губкасы (85-95% кеуектілікпен) иммобилизацияланған Bacillus licheniformis арқылы хош иісті заттардың 79% ыдырауын қамтамасыз етті (бос жасушалар: 74%) және 7 рет қайта өңделеді [</w:t>
      </w:r>
      <w:r>
        <w:rPr>
          <w:rFonts w:hint="default"/>
          <w:color w:val="auto"/>
          <w:sz w:val="28"/>
          <w:szCs w:val="28"/>
          <w:lang w:val="en-US" w:eastAsia="ru-RU"/>
        </w:rPr>
        <w:t>80</w:t>
      </w:r>
      <w:r>
        <w:rPr>
          <w:color w:val="auto"/>
          <w:sz w:val="28"/>
          <w:szCs w:val="28"/>
          <w:lang w:val="kk-KZ" w:eastAsia="ru-RU"/>
        </w:rPr>
        <w:t>-</w:t>
      </w:r>
      <w:r>
        <w:rPr>
          <w:rFonts w:hint="default"/>
          <w:color w:val="auto"/>
          <w:sz w:val="28"/>
          <w:szCs w:val="28"/>
          <w:lang w:val="en-US" w:eastAsia="ru-RU"/>
        </w:rPr>
        <w:t>81</w:t>
      </w:r>
      <w:r>
        <w:rPr>
          <w:color w:val="auto"/>
          <w:sz w:val="28"/>
          <w:szCs w:val="28"/>
          <w:lang w:val="kk-KZ" w:eastAsia="ru-RU"/>
        </w:rPr>
        <w:t xml:space="preserve">]. Қант қамысы целлюлозасында иммобилизацияланған </w:t>
      </w:r>
      <w:r>
        <w:rPr>
          <w:i/>
          <w:iCs/>
          <w:color w:val="auto"/>
          <w:sz w:val="28"/>
          <w:szCs w:val="28"/>
          <w:lang w:val="kk-KZ" w:eastAsia="ru-RU"/>
        </w:rPr>
        <w:t>Phanerochaete chrysosporium, Acinetobacter venetianus</w:t>
      </w:r>
      <w:r>
        <w:rPr>
          <w:color w:val="auto"/>
          <w:sz w:val="28"/>
          <w:szCs w:val="28"/>
          <w:lang w:val="kk-KZ" w:eastAsia="ru-RU"/>
        </w:rPr>
        <w:t xml:space="preserve"> және </w:t>
      </w:r>
      <w:r>
        <w:rPr>
          <w:i/>
          <w:iCs/>
          <w:color w:val="auto"/>
          <w:sz w:val="28"/>
          <w:szCs w:val="28"/>
          <w:lang w:val="kk-KZ" w:eastAsia="ru-RU"/>
        </w:rPr>
        <w:t xml:space="preserve">Candida tropicalis </w:t>
      </w:r>
      <w:r>
        <w:rPr>
          <w:color w:val="auto"/>
          <w:sz w:val="28"/>
          <w:szCs w:val="28"/>
          <w:lang w:val="kk-KZ" w:eastAsia="ru-RU"/>
        </w:rPr>
        <w:t>микроорганизмдер 8 цикл бойы белсенділікті сақтай отырып, антрацен, тетрадекан және фенолды тиімді ыдыратты [</w:t>
      </w:r>
      <w:r>
        <w:rPr>
          <w:rFonts w:hint="default"/>
          <w:color w:val="auto"/>
          <w:sz w:val="28"/>
          <w:szCs w:val="28"/>
          <w:lang w:val="en-US" w:eastAsia="ru-RU"/>
        </w:rPr>
        <w:t>78</w:t>
      </w:r>
      <w:r>
        <w:rPr>
          <w:color w:val="auto"/>
          <w:sz w:val="28"/>
          <w:szCs w:val="28"/>
          <w:lang w:val="kk-KZ" w:eastAsia="ru-RU"/>
        </w:rPr>
        <w:t xml:space="preserve">]. Жүгері масақтарында иммобилизацияланған </w:t>
      </w:r>
      <w:r>
        <w:rPr>
          <w:i/>
          <w:iCs/>
          <w:color w:val="auto"/>
          <w:sz w:val="28"/>
          <w:szCs w:val="28"/>
          <w:lang w:val="kk-KZ" w:eastAsia="ru-RU"/>
        </w:rPr>
        <w:t>Pseudomonas sp.</w:t>
      </w:r>
      <w:r>
        <w:rPr>
          <w:color w:val="auto"/>
          <w:sz w:val="28"/>
          <w:szCs w:val="28"/>
          <w:lang w:val="kk-KZ" w:eastAsia="ru-RU"/>
        </w:rPr>
        <w:t xml:space="preserve"> гексадеканның 92% ыдырауын қамтамасыз етті (бос: 38%), ал </w:t>
      </w:r>
      <w:r>
        <w:rPr>
          <w:i/>
          <w:iCs/>
          <w:color w:val="auto"/>
          <w:sz w:val="28"/>
          <w:szCs w:val="28"/>
          <w:lang w:val="kk-KZ" w:eastAsia="ru-RU"/>
        </w:rPr>
        <w:t>Arthrobacter protophormiae RKJ100</w:t>
      </w:r>
      <w:r>
        <w:rPr>
          <w:color w:val="auto"/>
          <w:sz w:val="28"/>
          <w:szCs w:val="28"/>
          <w:lang w:val="kk-KZ" w:eastAsia="ru-RU"/>
        </w:rPr>
        <w:t xml:space="preserve"> р-нитрофенолды 82% тиімділікпен ыдыратты (бос: 48%), бұл топырақ құрылымын жақсартуға және оттегімен қанығуды арттыруға байланысты [</w:t>
      </w:r>
      <w:r>
        <w:rPr>
          <w:rFonts w:hint="default"/>
          <w:color w:val="auto"/>
          <w:sz w:val="28"/>
          <w:szCs w:val="28"/>
          <w:lang w:val="en-US" w:eastAsia="ru-RU"/>
        </w:rPr>
        <w:t>82</w:t>
      </w:r>
      <w:r>
        <w:rPr>
          <w:color w:val="auto"/>
          <w:sz w:val="28"/>
          <w:szCs w:val="28"/>
          <w:lang w:val="kk-KZ" w:eastAsia="ru-RU"/>
        </w:rPr>
        <w:t>].</w:t>
      </w:r>
    </w:p>
    <w:p w14:paraId="2D40BB73">
      <w:pPr>
        <w:pStyle w:val="35"/>
        <w:spacing w:beforeAutospacing="0" w:afterAutospacing="0"/>
        <w:ind w:firstLine="709"/>
        <w:jc w:val="both"/>
        <w:rPr>
          <w:color w:val="auto"/>
          <w:sz w:val="28"/>
          <w:szCs w:val="28"/>
          <w:lang w:val="kk-KZ" w:eastAsia="ru-RU"/>
        </w:rPr>
      </w:pPr>
      <w:r>
        <w:rPr>
          <w:color w:val="auto"/>
          <w:sz w:val="28"/>
          <w:szCs w:val="28"/>
          <w:lang w:val="kk-KZ" w:eastAsia="ru-RU"/>
        </w:rPr>
        <w:t>Перспективалы агроөнеркәсіптік қалдықтар арасында кокос шымтезегі (ауыр мұнайдың 86,6% ыдырауы 60 күнде, бос жасушалар: 51,2%) және күнбағыс тұқымының қабығы (</w:t>
      </w:r>
      <w:r>
        <w:rPr>
          <w:i/>
          <w:iCs/>
          <w:color w:val="auto"/>
          <w:sz w:val="28"/>
          <w:szCs w:val="28"/>
          <w:lang w:val="kk-KZ" w:eastAsia="ru-RU"/>
        </w:rPr>
        <w:t>Rhodococcus sp. QBT</w:t>
      </w:r>
      <w:r>
        <w:rPr>
          <w:color w:val="auto"/>
          <w:sz w:val="28"/>
          <w:szCs w:val="28"/>
          <w:lang w:val="kk-KZ" w:eastAsia="ru-RU"/>
        </w:rPr>
        <w:t>o үшін 10°C температурада 120 күн бойы 76% өміршеңдігін сақтау) ерекше орын алады [</w:t>
      </w:r>
      <w:r>
        <w:rPr>
          <w:rFonts w:hint="default"/>
          <w:color w:val="auto"/>
          <w:sz w:val="28"/>
          <w:szCs w:val="28"/>
          <w:lang w:val="en-US" w:eastAsia="ru-RU"/>
        </w:rPr>
        <w:t>74</w:t>
      </w:r>
      <w:r>
        <w:rPr>
          <w:color w:val="auto"/>
          <w:sz w:val="28"/>
          <w:szCs w:val="28"/>
          <w:lang w:val="kk-KZ" w:eastAsia="ru-RU"/>
        </w:rPr>
        <w:t>]. Бейорганикалық минералды тасымалдаушылар – ісінген перлит, тезонтл, вермикулит, диатомит, табиғи цеолиттер және бентониттер – жоғары механикалық беріктігімен, химиялық белсенсіздігімен және биологиялық ыдырауға төзімділігімен сипатталады [</w:t>
      </w:r>
      <w:r>
        <w:rPr>
          <w:rFonts w:hint="default"/>
          <w:color w:val="auto"/>
          <w:sz w:val="28"/>
          <w:szCs w:val="28"/>
          <w:lang w:val="en-US" w:eastAsia="ru-RU"/>
        </w:rPr>
        <w:t>75</w:t>
      </w:r>
      <w:r>
        <w:rPr>
          <w:color w:val="auto"/>
          <w:sz w:val="28"/>
          <w:szCs w:val="28"/>
          <w:lang w:val="kk-KZ" w:eastAsia="ru-RU"/>
        </w:rPr>
        <w:t>-</w:t>
      </w:r>
      <w:r>
        <w:rPr>
          <w:rFonts w:hint="default"/>
          <w:color w:val="auto"/>
          <w:sz w:val="28"/>
          <w:szCs w:val="28"/>
          <w:lang w:val="en-US" w:eastAsia="ru-RU"/>
        </w:rPr>
        <w:t>97</w:t>
      </w:r>
      <w:r>
        <w:rPr>
          <w:color w:val="auto"/>
          <w:sz w:val="28"/>
          <w:szCs w:val="28"/>
          <w:lang w:val="kk-KZ" w:eastAsia="ru-RU"/>
        </w:rPr>
        <w:t>]. Вермикулит саңырауқұлақтар мен бактериялардың бірге иммобилизациясы кезінде полициклді хош иісті көмірсутектердің ыдырауын айтарлықтай жеделдетеді [</w:t>
      </w:r>
      <w:r>
        <w:rPr>
          <w:rFonts w:hint="default"/>
          <w:color w:val="auto"/>
          <w:sz w:val="28"/>
          <w:szCs w:val="28"/>
          <w:lang w:val="en-US" w:eastAsia="ru-RU"/>
        </w:rPr>
        <w:t>92</w:t>
      </w:r>
      <w:r>
        <w:rPr>
          <w:color w:val="auto"/>
          <w:sz w:val="28"/>
          <w:szCs w:val="28"/>
          <w:lang w:val="kk-KZ" w:eastAsia="ru-RU"/>
        </w:rPr>
        <w:t>]. Диатомит (SiO₂: 80-96%) көмірсутектерді тотықтыратын микроорганизмдер үшін оңтайлы орта қамтамасыз етеді, мұнай өнімдерін адсорбциялайды және микробиологиялық ыдырауға қол жетімді етеді [</w:t>
      </w:r>
      <w:r>
        <w:rPr>
          <w:rFonts w:hint="default"/>
          <w:color w:val="auto"/>
          <w:sz w:val="28"/>
          <w:szCs w:val="28"/>
          <w:lang w:val="en-US" w:eastAsia="ru-RU"/>
        </w:rPr>
        <w:t>93</w:t>
      </w:r>
      <w:r>
        <w:rPr>
          <w:color w:val="auto"/>
          <w:sz w:val="28"/>
          <w:szCs w:val="28"/>
          <w:lang w:val="kk-KZ" w:eastAsia="ru-RU"/>
        </w:rPr>
        <w:t>]. Бентониттер жоғары ион алмасу қабілетіне ие, топырақтың агрофизикалық қасиеттерін жақсартады және далалық тәжірибелерде 10-15 т/га қолдану ауылшаруашылық дақылдарының өнімділігін 16-22%-ға арттырды [</w:t>
      </w:r>
      <w:r>
        <w:rPr>
          <w:rFonts w:hint="default"/>
          <w:color w:val="auto"/>
          <w:sz w:val="28"/>
          <w:szCs w:val="28"/>
          <w:lang w:val="en-US" w:eastAsia="ru-RU"/>
        </w:rPr>
        <w:t>95</w:t>
      </w:r>
      <w:r>
        <w:rPr>
          <w:color w:val="auto"/>
          <w:sz w:val="28"/>
          <w:szCs w:val="28"/>
          <w:lang w:val="kk-KZ" w:eastAsia="ru-RU"/>
        </w:rPr>
        <w:t>].</w:t>
      </w:r>
    </w:p>
    <w:p w14:paraId="6C859613">
      <w:pPr>
        <w:pStyle w:val="301"/>
        <w:spacing w:before="0" w:after="0"/>
        <w:ind w:firstLine="709"/>
        <w:rPr>
          <w:rFonts w:eastAsia="SimSun"/>
          <w:color w:val="auto"/>
          <w:sz w:val="28"/>
          <w:szCs w:val="28"/>
          <w:lang w:val="kk-KZ"/>
        </w:rPr>
      </w:pPr>
      <w:r>
        <w:rPr>
          <w:color w:val="auto"/>
          <w:sz w:val="28"/>
          <w:szCs w:val="28"/>
          <w:lang w:val="kk-KZ"/>
        </w:rPr>
        <w:t xml:space="preserve"> Төменде келтірілген 3 - кестеде, биоремедиация процессі кезіндегі бос түріндегі және әр түрлі тасымалдаушыларға иммобилизацияланған микроорганизмдердің эффективтілігі көруге болады. </w:t>
      </w:r>
    </w:p>
    <w:p w14:paraId="3AAF8F57">
      <w:pPr>
        <w:pStyle w:val="301"/>
        <w:spacing w:before="0" w:after="0"/>
        <w:ind w:firstLine="709"/>
        <w:rPr>
          <w:rFonts w:eastAsia="SimSun"/>
          <w:color w:val="auto"/>
          <w:sz w:val="28"/>
          <w:szCs w:val="28"/>
          <w:lang w:val="kk-KZ"/>
        </w:rPr>
      </w:pPr>
    </w:p>
    <w:p w14:paraId="7D0C3F91">
      <w:pPr>
        <w:pStyle w:val="301"/>
        <w:spacing w:before="0" w:after="0"/>
        <w:rPr>
          <w:color w:val="auto"/>
          <w:sz w:val="28"/>
          <w:szCs w:val="28"/>
          <w:lang w:val="kk-KZ"/>
        </w:rPr>
      </w:pPr>
      <w:r>
        <w:rPr>
          <w:color w:val="auto"/>
          <w:sz w:val="28"/>
          <w:szCs w:val="28"/>
          <w:lang w:val="kk-KZ"/>
        </w:rPr>
        <w:t>Кесте 3 - Әртүрлі қосылыстардың биологиялық ыдырауы үшін иммобилизацияланған микроорганизмдерді қолдану</w:t>
      </w:r>
    </w:p>
    <w:p w14:paraId="65F8F486">
      <w:pPr>
        <w:pStyle w:val="301"/>
        <w:spacing w:before="0" w:after="0"/>
        <w:ind w:firstLine="709"/>
        <w:jc w:val="left"/>
        <w:rPr>
          <w:color w:val="auto"/>
          <w:sz w:val="28"/>
          <w:szCs w:val="28"/>
          <w:lang w:val="kk-KZ"/>
        </w:rPr>
      </w:pPr>
    </w:p>
    <w:tbl>
      <w:tblPr>
        <w:tblStyle w:val="12"/>
        <w:tblW w:w="4995" w:type="pct"/>
        <w:tblInd w:w="0" w:type="dxa"/>
        <w:tblLayout w:type="fixed"/>
        <w:tblCellMar>
          <w:top w:w="0" w:type="dxa"/>
          <w:left w:w="108" w:type="dxa"/>
          <w:bottom w:w="0" w:type="dxa"/>
          <w:right w:w="108" w:type="dxa"/>
        </w:tblCellMar>
      </w:tblPr>
      <w:tblGrid>
        <w:gridCol w:w="2003"/>
        <w:gridCol w:w="1961"/>
        <w:gridCol w:w="1885"/>
        <w:gridCol w:w="2351"/>
        <w:gridCol w:w="1362"/>
      </w:tblGrid>
      <w:tr w14:paraId="067FA7ED">
        <w:tblPrEx>
          <w:tblCellMar>
            <w:top w:w="0" w:type="dxa"/>
            <w:left w:w="108" w:type="dxa"/>
            <w:bottom w:w="0" w:type="dxa"/>
            <w:right w:w="108" w:type="dxa"/>
          </w:tblCellMar>
        </w:tblPrEx>
        <w:trPr>
          <w:trHeight w:val="90" w:hRule="atLeast"/>
        </w:trPr>
        <w:tc>
          <w:tcPr>
            <w:tcW w:w="1047" w:type="pct"/>
            <w:tcBorders>
              <w:top w:val="single" w:color="000000" w:sz="4" w:space="0"/>
              <w:left w:val="single" w:color="000000" w:sz="4" w:space="0"/>
              <w:bottom w:val="single" w:color="000000" w:sz="4" w:space="0"/>
              <w:right w:val="single" w:color="000000" w:sz="4" w:space="0"/>
            </w:tcBorders>
          </w:tcPr>
          <w:p w14:paraId="32F97D6C">
            <w:pPr>
              <w:pStyle w:val="301"/>
              <w:snapToGrid w:val="0"/>
              <w:spacing w:before="0" w:after="0"/>
              <w:rPr>
                <w:color w:val="auto"/>
              </w:rPr>
            </w:pPr>
            <w:r>
              <w:rPr>
                <w:color w:val="auto"/>
              </w:rPr>
              <w:t>Тасымалдаушы</w:t>
            </w:r>
          </w:p>
        </w:tc>
        <w:tc>
          <w:tcPr>
            <w:tcW w:w="1025" w:type="pct"/>
            <w:tcBorders>
              <w:top w:val="single" w:color="000000" w:sz="4" w:space="0"/>
              <w:left w:val="single" w:color="000000" w:sz="4" w:space="0"/>
              <w:bottom w:val="single" w:color="000000" w:sz="4" w:space="0"/>
              <w:right w:val="single" w:color="000000" w:sz="4" w:space="0"/>
            </w:tcBorders>
          </w:tcPr>
          <w:p w14:paraId="51095329">
            <w:pPr>
              <w:pStyle w:val="301"/>
              <w:snapToGrid w:val="0"/>
              <w:spacing w:before="0" w:after="0"/>
              <w:rPr>
                <w:color w:val="auto"/>
              </w:rPr>
            </w:pPr>
            <w:r>
              <w:rPr>
                <w:rFonts w:eastAsia="SimSun"/>
                <w:color w:val="auto"/>
                <w:lang w:eastAsia="zh-CN" w:bidi="ar"/>
              </w:rPr>
              <w:t>Ы</w:t>
            </w:r>
            <w:r>
              <w:rPr>
                <w:rFonts w:eastAsia="SimSun"/>
                <w:color w:val="auto"/>
                <w:lang w:val="kk-KZ" w:eastAsia="zh-CN" w:bidi="ar"/>
              </w:rPr>
              <w:t xml:space="preserve">дыратылатын </w:t>
            </w:r>
            <w:r>
              <w:rPr>
                <w:rFonts w:eastAsia="SimSun"/>
                <w:color w:val="auto"/>
                <w:lang w:val="en-US" w:eastAsia="zh-CN" w:bidi="ar"/>
              </w:rPr>
              <w:t>қосылыстар</w:t>
            </w:r>
          </w:p>
        </w:tc>
        <w:tc>
          <w:tcPr>
            <w:tcW w:w="985" w:type="pct"/>
            <w:tcBorders>
              <w:top w:val="single" w:color="000000" w:sz="4" w:space="0"/>
              <w:left w:val="single" w:color="000000" w:sz="4" w:space="0"/>
              <w:bottom w:val="single" w:color="000000" w:sz="4" w:space="0"/>
              <w:right w:val="single" w:color="000000" w:sz="4" w:space="0"/>
            </w:tcBorders>
          </w:tcPr>
          <w:p w14:paraId="674B1268">
            <w:pPr>
              <w:pStyle w:val="301"/>
              <w:snapToGrid w:val="0"/>
              <w:spacing w:before="0" w:after="0"/>
              <w:rPr>
                <w:rFonts w:eastAsia="SimSun"/>
                <w:color w:val="auto"/>
                <w:lang w:val="kk-KZ" w:eastAsia="zh-CN" w:bidi="ar"/>
              </w:rPr>
            </w:pPr>
            <w:r>
              <w:rPr>
                <w:rFonts w:eastAsia="SimSun"/>
                <w:color w:val="auto"/>
                <w:lang w:val="kk-KZ" w:eastAsia="zh-CN" w:bidi="ar"/>
              </w:rPr>
              <w:t>Иммобилизацияланған микроағза</w:t>
            </w:r>
          </w:p>
        </w:tc>
        <w:tc>
          <w:tcPr>
            <w:tcW w:w="1229" w:type="pct"/>
            <w:tcBorders>
              <w:top w:val="single" w:color="000000" w:sz="4" w:space="0"/>
              <w:left w:val="single" w:color="000000" w:sz="4" w:space="0"/>
              <w:bottom w:val="single" w:color="000000" w:sz="4" w:space="0"/>
              <w:right w:val="single" w:color="000000" w:sz="4" w:space="0"/>
            </w:tcBorders>
          </w:tcPr>
          <w:p w14:paraId="0526D4D2">
            <w:pPr>
              <w:pStyle w:val="301"/>
              <w:snapToGrid w:val="0"/>
              <w:spacing w:before="0" w:after="0"/>
              <w:rPr>
                <w:color w:val="auto"/>
              </w:rPr>
            </w:pPr>
            <w:r>
              <w:rPr>
                <w:color w:val="auto"/>
              </w:rPr>
              <w:t>Биоремедиацияның тиімділігі</w:t>
            </w:r>
          </w:p>
        </w:tc>
        <w:tc>
          <w:tcPr>
            <w:tcW w:w="712" w:type="pct"/>
            <w:tcBorders>
              <w:top w:val="single" w:color="000000" w:sz="4" w:space="0"/>
              <w:left w:val="single" w:color="000000" w:sz="4" w:space="0"/>
              <w:bottom w:val="single" w:color="000000" w:sz="4" w:space="0"/>
              <w:right w:val="single" w:color="000000" w:sz="4" w:space="0"/>
            </w:tcBorders>
          </w:tcPr>
          <w:p w14:paraId="30F9268E">
            <w:pPr>
              <w:pStyle w:val="301"/>
              <w:snapToGrid w:val="0"/>
              <w:spacing w:before="0" w:after="0"/>
              <w:rPr>
                <w:color w:val="auto"/>
              </w:rPr>
            </w:pPr>
            <w:r>
              <w:rPr>
                <w:color w:val="auto"/>
              </w:rPr>
              <w:t>Сілтеме</w:t>
            </w:r>
            <w:r>
              <w:rPr>
                <w:color w:val="auto"/>
                <w:lang w:val="kk-KZ"/>
              </w:rPr>
              <w:t>-</w:t>
            </w:r>
            <w:r>
              <w:rPr>
                <w:color w:val="auto"/>
              </w:rPr>
              <w:t>лер</w:t>
            </w:r>
          </w:p>
        </w:tc>
      </w:tr>
      <w:tr w14:paraId="132C7A48">
        <w:tblPrEx>
          <w:tblCellMar>
            <w:top w:w="0" w:type="dxa"/>
            <w:left w:w="108" w:type="dxa"/>
            <w:bottom w:w="0" w:type="dxa"/>
            <w:right w:w="108" w:type="dxa"/>
          </w:tblCellMar>
        </w:tblPrEx>
        <w:tc>
          <w:tcPr>
            <w:tcW w:w="1047" w:type="pct"/>
            <w:tcBorders>
              <w:top w:val="single" w:color="000000" w:sz="4" w:space="0"/>
              <w:left w:val="single" w:color="000000" w:sz="4" w:space="0"/>
              <w:bottom w:val="single" w:color="000000" w:sz="4" w:space="0"/>
              <w:right w:val="single" w:color="000000" w:sz="4" w:space="0"/>
            </w:tcBorders>
          </w:tcPr>
          <w:p w14:paraId="17124C90">
            <w:pPr>
              <w:pStyle w:val="301"/>
              <w:snapToGrid w:val="0"/>
              <w:spacing w:before="0" w:after="0"/>
              <w:rPr>
                <w:color w:val="auto"/>
              </w:rPr>
            </w:pPr>
            <w:r>
              <w:rPr>
                <w:color w:val="auto"/>
              </w:rPr>
              <w:t>Өсімдік талшықтары (л</w:t>
            </w:r>
            <w:r>
              <w:rPr>
                <w:color w:val="auto"/>
                <w:lang w:val="kk-KZ"/>
              </w:rPr>
              <w:t>ю</w:t>
            </w:r>
            <w:r>
              <w:rPr>
                <w:color w:val="auto"/>
              </w:rPr>
              <w:t>фа)</w:t>
            </w:r>
          </w:p>
        </w:tc>
        <w:tc>
          <w:tcPr>
            <w:tcW w:w="1025" w:type="pct"/>
            <w:tcBorders>
              <w:top w:val="single" w:color="000000" w:sz="4" w:space="0"/>
              <w:left w:val="single" w:color="000000" w:sz="4" w:space="0"/>
              <w:bottom w:val="single" w:color="000000" w:sz="4" w:space="0"/>
              <w:right w:val="single" w:color="000000" w:sz="4" w:space="0"/>
            </w:tcBorders>
          </w:tcPr>
          <w:p w14:paraId="64F8AD0A">
            <w:pPr>
              <w:pStyle w:val="301"/>
              <w:snapToGrid w:val="0"/>
              <w:spacing w:before="0" w:after="0"/>
              <w:rPr>
                <w:color w:val="auto"/>
              </w:rPr>
            </w:pPr>
            <w:r>
              <w:rPr>
                <w:color w:val="auto"/>
              </w:rPr>
              <w:t>Хош иісті көмірсутектер</w:t>
            </w:r>
          </w:p>
        </w:tc>
        <w:tc>
          <w:tcPr>
            <w:tcW w:w="985" w:type="pct"/>
            <w:tcBorders>
              <w:top w:val="single" w:color="000000" w:sz="4" w:space="0"/>
              <w:left w:val="single" w:color="000000" w:sz="4" w:space="0"/>
              <w:bottom w:val="single" w:color="000000" w:sz="4" w:space="0"/>
              <w:right w:val="single" w:color="000000" w:sz="4" w:space="0"/>
            </w:tcBorders>
          </w:tcPr>
          <w:p w14:paraId="712F16B0">
            <w:pPr>
              <w:pStyle w:val="26"/>
              <w:snapToGrid w:val="0"/>
              <w:spacing w:after="0"/>
              <w:ind w:firstLine="0"/>
              <w:rPr>
                <w:rFonts w:ascii="Times New Roman" w:hAnsi="Times New Roman"/>
                <w:i/>
                <w:iCs/>
                <w:color w:val="auto"/>
                <w:sz w:val="24"/>
                <w:szCs w:val="24"/>
              </w:rPr>
            </w:pPr>
            <w:r>
              <w:rPr>
                <w:rFonts w:ascii="Times New Roman" w:hAnsi="Times New Roman"/>
                <w:i/>
                <w:iCs/>
                <w:color w:val="auto"/>
                <w:sz w:val="24"/>
                <w:szCs w:val="24"/>
              </w:rPr>
              <w:t>Bacillus cereus</w:t>
            </w:r>
          </w:p>
        </w:tc>
        <w:tc>
          <w:tcPr>
            <w:tcW w:w="1229" w:type="pct"/>
            <w:tcBorders>
              <w:top w:val="single" w:color="000000" w:sz="4" w:space="0"/>
              <w:left w:val="single" w:color="000000" w:sz="4" w:space="0"/>
              <w:bottom w:val="single" w:color="000000" w:sz="4" w:space="0"/>
              <w:right w:val="single" w:color="000000" w:sz="4" w:space="0"/>
            </w:tcBorders>
          </w:tcPr>
          <w:p w14:paraId="4DE73F10">
            <w:pPr>
              <w:pStyle w:val="301"/>
              <w:snapToGrid w:val="0"/>
              <w:spacing w:before="0" w:after="0"/>
              <w:rPr>
                <w:color w:val="auto"/>
              </w:rPr>
            </w:pPr>
            <w:r>
              <w:rPr>
                <w:color w:val="auto"/>
              </w:rPr>
              <w:t xml:space="preserve">Бос </w:t>
            </w:r>
            <w:r>
              <w:rPr>
                <w:color w:val="auto"/>
                <w:lang w:val="kk-KZ"/>
              </w:rPr>
              <w:t>түрінде</w:t>
            </w:r>
            <w:r>
              <w:rPr>
                <w:color w:val="auto"/>
              </w:rPr>
              <w:t>- 74%</w:t>
            </w:r>
          </w:p>
          <w:p w14:paraId="7D3BD643">
            <w:pPr>
              <w:pStyle w:val="301"/>
              <w:snapToGrid w:val="0"/>
              <w:spacing w:before="0" w:after="0"/>
              <w:rPr>
                <w:color w:val="auto"/>
              </w:rPr>
            </w:pPr>
            <w:r>
              <w:rPr>
                <w:color w:val="auto"/>
                <w:lang w:val="kk-KZ"/>
              </w:rPr>
              <w:t>Иммобилизацияланған</w:t>
            </w:r>
            <w:r>
              <w:rPr>
                <w:color w:val="auto"/>
              </w:rPr>
              <w:t xml:space="preserve"> - 79%</w:t>
            </w:r>
          </w:p>
        </w:tc>
        <w:tc>
          <w:tcPr>
            <w:tcW w:w="712" w:type="pct"/>
            <w:tcBorders>
              <w:top w:val="single" w:color="000000" w:sz="4" w:space="0"/>
              <w:left w:val="single" w:color="000000" w:sz="4" w:space="0"/>
              <w:bottom w:val="single" w:color="000000" w:sz="4" w:space="0"/>
              <w:right w:val="single" w:color="000000" w:sz="4" w:space="0"/>
            </w:tcBorders>
          </w:tcPr>
          <w:p w14:paraId="77DB40FF">
            <w:pPr>
              <w:pStyle w:val="301"/>
              <w:snapToGrid w:val="0"/>
              <w:spacing w:before="0" w:after="0"/>
              <w:rPr>
                <w:rFonts w:hint="default"/>
                <w:color w:val="auto"/>
                <w:lang w:val="ru-RU"/>
              </w:rPr>
            </w:pPr>
            <w:r>
              <w:rPr>
                <w:rFonts w:hint="default"/>
                <w:color w:val="auto"/>
                <w:lang w:val="ru-RU"/>
              </w:rPr>
              <w:t>80</w:t>
            </w:r>
          </w:p>
        </w:tc>
      </w:tr>
    </w:tbl>
    <w:p w14:paraId="2D03F470">
      <w:pPr>
        <w:pStyle w:val="301"/>
        <w:snapToGrid w:val="0"/>
        <w:spacing w:before="0" w:after="0"/>
        <w:rPr>
          <w:color w:val="auto"/>
        </w:rPr>
      </w:pPr>
      <w:r>
        <w:rPr>
          <w:color w:val="auto"/>
        </w:rPr>
        <w:br w:type="page"/>
      </w:r>
    </w:p>
    <w:tbl>
      <w:tblPr>
        <w:tblStyle w:val="12"/>
        <w:tblW w:w="4995" w:type="pct"/>
        <w:tblInd w:w="0" w:type="dxa"/>
        <w:tblLayout w:type="fixed"/>
        <w:tblCellMar>
          <w:top w:w="0" w:type="dxa"/>
          <w:left w:w="108" w:type="dxa"/>
          <w:bottom w:w="0" w:type="dxa"/>
          <w:right w:w="108" w:type="dxa"/>
        </w:tblCellMar>
      </w:tblPr>
      <w:tblGrid>
        <w:gridCol w:w="2003"/>
        <w:gridCol w:w="1961"/>
        <w:gridCol w:w="1885"/>
        <w:gridCol w:w="2351"/>
        <w:gridCol w:w="1362"/>
      </w:tblGrid>
      <w:tr w14:paraId="1F0AFEA0">
        <w:tblPrEx>
          <w:tblCellMar>
            <w:top w:w="0" w:type="dxa"/>
            <w:left w:w="108" w:type="dxa"/>
            <w:bottom w:w="0" w:type="dxa"/>
            <w:right w:w="108" w:type="dxa"/>
          </w:tblCellMar>
        </w:tblPrEx>
        <w:tc>
          <w:tcPr>
            <w:tcW w:w="5000" w:type="pct"/>
            <w:gridSpan w:val="5"/>
            <w:tcBorders>
              <w:top w:val="nil"/>
              <w:left w:val="nil"/>
              <w:bottom w:val="single" w:color="000000" w:sz="4" w:space="0"/>
              <w:right w:val="nil"/>
            </w:tcBorders>
          </w:tcPr>
          <w:p w14:paraId="17B30D63">
            <w:pPr>
              <w:keepNext w:val="0"/>
              <w:keepLines w:val="0"/>
              <w:pageBreakBefore w:val="0"/>
              <w:widowControl/>
              <w:kinsoku/>
              <w:wordWrap/>
              <w:overflowPunct/>
              <w:topLinePunct w:val="0"/>
              <w:autoSpaceDE/>
              <w:autoSpaceDN/>
              <w:bidi w:val="0"/>
              <w:adjustRightInd/>
              <w:spacing w:after="0"/>
              <w:textAlignment w:val="auto"/>
              <w:rPr>
                <w:rFonts w:hint="default"/>
                <w:color w:val="auto"/>
                <w:lang w:val="ru-RU"/>
              </w:rPr>
            </w:pPr>
            <w:r>
              <w:rPr>
                <w:color w:val="auto"/>
                <w:lang w:val="kk-KZ"/>
              </w:rPr>
              <w:t>Кесте</w:t>
            </w:r>
            <w:r>
              <w:rPr>
                <w:rFonts w:hint="default"/>
                <w:color w:val="auto"/>
                <w:lang w:val="kk-KZ"/>
              </w:rPr>
              <w:t xml:space="preserve"> 3 жалғасы</w:t>
            </w:r>
          </w:p>
        </w:tc>
      </w:tr>
      <w:tr w14:paraId="36DBA63A">
        <w:tblPrEx>
          <w:tblCellMar>
            <w:top w:w="0" w:type="dxa"/>
            <w:left w:w="108" w:type="dxa"/>
            <w:bottom w:w="0" w:type="dxa"/>
            <w:right w:w="108" w:type="dxa"/>
          </w:tblCellMar>
        </w:tblPrEx>
        <w:tc>
          <w:tcPr>
            <w:tcW w:w="1047" w:type="pct"/>
            <w:tcBorders>
              <w:top w:val="single" w:color="000000" w:sz="4" w:space="0"/>
              <w:left w:val="single" w:color="000000" w:sz="4" w:space="0"/>
              <w:bottom w:val="single" w:color="000000" w:sz="4" w:space="0"/>
              <w:right w:val="single" w:color="000000" w:sz="4" w:space="0"/>
            </w:tcBorders>
          </w:tcPr>
          <w:p w14:paraId="3E0BFD5F">
            <w:pPr>
              <w:keepNext w:val="0"/>
              <w:keepLines w:val="0"/>
              <w:pageBreakBefore w:val="0"/>
              <w:widowControl/>
              <w:kinsoku/>
              <w:wordWrap/>
              <w:overflowPunct/>
              <w:topLinePunct w:val="0"/>
              <w:autoSpaceDE/>
              <w:autoSpaceDN/>
              <w:bidi w:val="0"/>
              <w:adjustRightInd/>
              <w:snapToGrid w:val="0"/>
              <w:spacing w:after="0"/>
              <w:textAlignment w:val="auto"/>
              <w:rPr>
                <w:color w:val="auto"/>
                <w:sz w:val="24"/>
                <w:szCs w:val="24"/>
              </w:rPr>
            </w:pPr>
            <w:r>
              <w:rPr>
                <w:color w:val="auto"/>
                <w:sz w:val="24"/>
                <w:szCs w:val="24"/>
              </w:rPr>
              <w:t xml:space="preserve">Қант қамысы целлюлозасы (багас) </w:t>
            </w:r>
          </w:p>
          <w:p w14:paraId="1A032E4D">
            <w:pPr>
              <w:pStyle w:val="301"/>
              <w:keepNext w:val="0"/>
              <w:keepLines w:val="0"/>
              <w:pageBreakBefore w:val="0"/>
              <w:widowControl/>
              <w:kinsoku/>
              <w:wordWrap/>
              <w:overflowPunct/>
              <w:topLinePunct w:val="0"/>
              <w:autoSpaceDE/>
              <w:autoSpaceDN/>
              <w:bidi w:val="0"/>
              <w:adjustRightInd/>
              <w:snapToGrid w:val="0"/>
              <w:spacing w:before="0" w:after="0"/>
              <w:textAlignment w:val="auto"/>
              <w:rPr>
                <w:i/>
                <w:iCs/>
                <w:color w:val="auto"/>
              </w:rPr>
            </w:pPr>
          </w:p>
        </w:tc>
        <w:tc>
          <w:tcPr>
            <w:tcW w:w="1025" w:type="pct"/>
            <w:tcBorders>
              <w:top w:val="single" w:color="000000" w:sz="4" w:space="0"/>
              <w:left w:val="single" w:color="000000" w:sz="4" w:space="0"/>
              <w:bottom w:val="single" w:color="000000" w:sz="4" w:space="0"/>
              <w:right w:val="single" w:color="000000" w:sz="4" w:space="0"/>
            </w:tcBorders>
          </w:tcPr>
          <w:p w14:paraId="6C26CA05">
            <w:pPr>
              <w:pStyle w:val="26"/>
              <w:keepNext w:val="0"/>
              <w:keepLines w:val="0"/>
              <w:pageBreakBefore w:val="0"/>
              <w:widowControl/>
              <w:kinsoku/>
              <w:wordWrap/>
              <w:overflowPunct/>
              <w:topLinePunct w:val="0"/>
              <w:autoSpaceDE/>
              <w:autoSpaceDN/>
              <w:bidi w:val="0"/>
              <w:adjustRightInd/>
              <w:snapToGrid w:val="0"/>
              <w:spacing w:after="0"/>
              <w:ind w:firstLine="0"/>
              <w:textAlignment w:val="auto"/>
              <w:rPr>
                <w:rFonts w:ascii="Times New Roman" w:hAnsi="Times New Roman"/>
                <w:color w:val="auto"/>
                <w:sz w:val="24"/>
                <w:szCs w:val="24"/>
              </w:rPr>
            </w:pPr>
            <w:r>
              <w:rPr>
                <w:rFonts w:ascii="Times New Roman" w:hAnsi="Times New Roman"/>
                <w:color w:val="auto"/>
                <w:spacing w:val="-2"/>
                <w:sz w:val="24"/>
                <w:szCs w:val="24"/>
              </w:rPr>
              <w:t>Тетрадекан</w:t>
            </w:r>
          </w:p>
          <w:p w14:paraId="04B999AE">
            <w:pPr>
              <w:pStyle w:val="301"/>
              <w:keepNext w:val="0"/>
              <w:keepLines w:val="0"/>
              <w:pageBreakBefore w:val="0"/>
              <w:widowControl/>
              <w:kinsoku/>
              <w:wordWrap/>
              <w:overflowPunct/>
              <w:topLinePunct w:val="0"/>
              <w:autoSpaceDE/>
              <w:autoSpaceDN/>
              <w:bidi w:val="0"/>
              <w:adjustRightInd/>
              <w:snapToGrid w:val="0"/>
              <w:spacing w:before="0" w:after="0"/>
              <w:textAlignment w:val="auto"/>
              <w:rPr>
                <w:color w:val="auto"/>
              </w:rPr>
            </w:pPr>
          </w:p>
        </w:tc>
        <w:tc>
          <w:tcPr>
            <w:tcW w:w="985" w:type="pct"/>
            <w:tcBorders>
              <w:top w:val="single" w:color="000000" w:sz="4" w:space="0"/>
              <w:left w:val="single" w:color="000000" w:sz="4" w:space="0"/>
              <w:bottom w:val="single" w:color="000000" w:sz="4" w:space="0"/>
              <w:right w:val="single" w:color="000000" w:sz="4" w:space="0"/>
            </w:tcBorders>
          </w:tcPr>
          <w:p w14:paraId="01DCF647">
            <w:pPr>
              <w:pStyle w:val="301"/>
              <w:keepNext w:val="0"/>
              <w:keepLines w:val="0"/>
              <w:pageBreakBefore w:val="0"/>
              <w:widowControl/>
              <w:kinsoku/>
              <w:wordWrap/>
              <w:overflowPunct/>
              <w:topLinePunct w:val="0"/>
              <w:autoSpaceDE/>
              <w:autoSpaceDN/>
              <w:bidi w:val="0"/>
              <w:adjustRightInd/>
              <w:snapToGrid w:val="0"/>
              <w:spacing w:before="0" w:after="0"/>
              <w:textAlignment w:val="auto"/>
              <w:rPr>
                <w:i/>
                <w:iCs/>
                <w:color w:val="auto"/>
                <w:lang w:val="en-US"/>
              </w:rPr>
            </w:pPr>
            <w:r>
              <w:rPr>
                <w:i/>
                <w:iCs/>
                <w:color w:val="auto"/>
                <w:lang w:val="en-US"/>
              </w:rPr>
              <w:t>A.venetianus</w:t>
            </w:r>
          </w:p>
        </w:tc>
        <w:tc>
          <w:tcPr>
            <w:tcW w:w="1229" w:type="pct"/>
            <w:tcBorders>
              <w:top w:val="single" w:color="000000" w:sz="4" w:space="0"/>
              <w:left w:val="single" w:color="000000" w:sz="4" w:space="0"/>
              <w:bottom w:val="single" w:color="000000" w:sz="4" w:space="0"/>
              <w:right w:val="single" w:color="000000" w:sz="4" w:space="0"/>
            </w:tcBorders>
          </w:tcPr>
          <w:p w14:paraId="7DB76F8E">
            <w:pPr>
              <w:pStyle w:val="301"/>
              <w:keepNext w:val="0"/>
              <w:keepLines w:val="0"/>
              <w:pageBreakBefore w:val="0"/>
              <w:widowControl/>
              <w:kinsoku/>
              <w:wordWrap/>
              <w:overflowPunct/>
              <w:topLinePunct w:val="0"/>
              <w:autoSpaceDE/>
              <w:autoSpaceDN/>
              <w:bidi w:val="0"/>
              <w:adjustRightInd/>
              <w:snapToGrid w:val="0"/>
              <w:spacing w:before="0" w:after="0"/>
              <w:textAlignment w:val="auto"/>
              <w:rPr>
                <w:color w:val="auto"/>
              </w:rPr>
            </w:pPr>
            <w:r>
              <w:rPr>
                <w:color w:val="auto"/>
              </w:rPr>
              <w:t xml:space="preserve">Бос </w:t>
            </w:r>
            <w:r>
              <w:rPr>
                <w:color w:val="auto"/>
                <w:lang w:val="kk-KZ"/>
              </w:rPr>
              <w:t>түрінде</w:t>
            </w:r>
            <w:r>
              <w:rPr>
                <w:color w:val="auto"/>
              </w:rPr>
              <w:t xml:space="preserve"> - </w:t>
            </w:r>
            <w:r>
              <w:rPr>
                <w:color w:val="auto"/>
                <w:lang w:val="en-US"/>
              </w:rPr>
              <w:t>22,3</w:t>
            </w:r>
            <w:r>
              <w:rPr>
                <w:color w:val="auto"/>
              </w:rPr>
              <w:t>%</w:t>
            </w:r>
          </w:p>
          <w:p w14:paraId="47454C34">
            <w:pPr>
              <w:pStyle w:val="301"/>
              <w:keepNext w:val="0"/>
              <w:keepLines w:val="0"/>
              <w:pageBreakBefore w:val="0"/>
              <w:widowControl/>
              <w:kinsoku/>
              <w:wordWrap/>
              <w:overflowPunct/>
              <w:topLinePunct w:val="0"/>
              <w:autoSpaceDE/>
              <w:autoSpaceDN/>
              <w:bidi w:val="0"/>
              <w:adjustRightInd/>
              <w:snapToGrid w:val="0"/>
              <w:spacing w:before="0" w:after="0"/>
              <w:textAlignment w:val="auto"/>
              <w:rPr>
                <w:color w:val="auto"/>
              </w:rPr>
            </w:pPr>
            <w:r>
              <w:rPr>
                <w:color w:val="auto"/>
                <w:lang w:val="kk-KZ"/>
              </w:rPr>
              <w:t>Иммобилизацияланған</w:t>
            </w:r>
            <w:r>
              <w:rPr>
                <w:color w:val="auto"/>
              </w:rPr>
              <w:t xml:space="preserve"> - </w:t>
            </w:r>
            <w:r>
              <w:rPr>
                <w:color w:val="auto"/>
                <w:lang w:val="en-US"/>
              </w:rPr>
              <w:t>76,8</w:t>
            </w:r>
            <w:r>
              <w:rPr>
                <w:color w:val="auto"/>
              </w:rPr>
              <w:t>%</w:t>
            </w:r>
          </w:p>
        </w:tc>
        <w:tc>
          <w:tcPr>
            <w:tcW w:w="712" w:type="pct"/>
            <w:tcBorders>
              <w:top w:val="single" w:color="000000" w:sz="4" w:space="0"/>
              <w:left w:val="single" w:color="000000" w:sz="4" w:space="0"/>
              <w:bottom w:val="single" w:color="000000" w:sz="4" w:space="0"/>
              <w:right w:val="single" w:color="000000" w:sz="4" w:space="0"/>
            </w:tcBorders>
          </w:tcPr>
          <w:p w14:paraId="3303BBED">
            <w:pPr>
              <w:pStyle w:val="301"/>
              <w:keepNext w:val="0"/>
              <w:keepLines w:val="0"/>
              <w:pageBreakBefore w:val="0"/>
              <w:widowControl/>
              <w:kinsoku/>
              <w:wordWrap/>
              <w:overflowPunct/>
              <w:topLinePunct w:val="0"/>
              <w:autoSpaceDE/>
              <w:autoSpaceDN/>
              <w:bidi w:val="0"/>
              <w:adjustRightInd/>
              <w:snapToGrid w:val="0"/>
              <w:spacing w:before="0" w:after="0"/>
              <w:textAlignment w:val="auto"/>
              <w:rPr>
                <w:rFonts w:hint="default"/>
                <w:color w:val="auto"/>
                <w:lang w:val="ru-RU"/>
              </w:rPr>
            </w:pPr>
            <w:r>
              <w:rPr>
                <w:rFonts w:hint="default"/>
                <w:color w:val="auto"/>
                <w:lang w:val="ru-RU"/>
              </w:rPr>
              <w:t>98</w:t>
            </w:r>
          </w:p>
          <w:p w14:paraId="129780D4">
            <w:pPr>
              <w:pStyle w:val="301"/>
              <w:keepNext w:val="0"/>
              <w:keepLines w:val="0"/>
              <w:pageBreakBefore w:val="0"/>
              <w:widowControl/>
              <w:kinsoku/>
              <w:wordWrap/>
              <w:overflowPunct/>
              <w:topLinePunct w:val="0"/>
              <w:autoSpaceDE/>
              <w:autoSpaceDN/>
              <w:bidi w:val="0"/>
              <w:adjustRightInd/>
              <w:snapToGrid w:val="0"/>
              <w:spacing w:before="0" w:after="0"/>
              <w:textAlignment w:val="auto"/>
              <w:rPr>
                <w:color w:val="auto"/>
                <w:lang w:val="en-US"/>
              </w:rPr>
            </w:pPr>
          </w:p>
        </w:tc>
      </w:tr>
      <w:tr w14:paraId="3B9E250B">
        <w:tblPrEx>
          <w:tblCellMar>
            <w:top w:w="0" w:type="dxa"/>
            <w:left w:w="108" w:type="dxa"/>
            <w:bottom w:w="0" w:type="dxa"/>
            <w:right w:w="108" w:type="dxa"/>
          </w:tblCellMar>
        </w:tblPrEx>
        <w:tc>
          <w:tcPr>
            <w:tcW w:w="1047" w:type="pct"/>
            <w:tcBorders>
              <w:top w:val="single" w:color="000000" w:sz="4" w:space="0"/>
              <w:left w:val="single" w:color="000000" w:sz="4" w:space="0"/>
              <w:bottom w:val="single" w:color="000000" w:sz="4" w:space="0"/>
              <w:right w:val="single" w:color="000000" w:sz="4" w:space="0"/>
            </w:tcBorders>
          </w:tcPr>
          <w:p w14:paraId="548FA293">
            <w:pPr>
              <w:pStyle w:val="26"/>
              <w:snapToGrid w:val="0"/>
              <w:spacing w:after="0"/>
              <w:ind w:firstLine="0"/>
              <w:rPr>
                <w:rFonts w:ascii="Times New Roman" w:hAnsi="Times New Roman"/>
                <w:color w:val="auto"/>
                <w:sz w:val="24"/>
                <w:szCs w:val="24"/>
              </w:rPr>
            </w:pPr>
            <w:r>
              <w:rPr>
                <w:rFonts w:ascii="Times New Roman" w:hAnsi="Times New Roman"/>
                <w:color w:val="auto"/>
                <w:spacing w:val="-2"/>
                <w:w w:val="105"/>
                <w:sz w:val="24"/>
                <w:szCs w:val="24"/>
              </w:rPr>
              <w:t>Үгінділер</w:t>
            </w:r>
          </w:p>
        </w:tc>
        <w:tc>
          <w:tcPr>
            <w:tcW w:w="1025" w:type="pct"/>
            <w:tcBorders>
              <w:top w:val="single" w:color="000000" w:sz="4" w:space="0"/>
              <w:left w:val="single" w:color="000000" w:sz="4" w:space="0"/>
              <w:bottom w:val="single" w:color="000000" w:sz="4" w:space="0"/>
              <w:right w:val="single" w:color="000000" w:sz="4" w:space="0"/>
            </w:tcBorders>
          </w:tcPr>
          <w:p w14:paraId="539B2944">
            <w:pPr>
              <w:pStyle w:val="301"/>
              <w:snapToGrid w:val="0"/>
              <w:spacing w:before="0" w:after="0"/>
              <w:rPr>
                <w:color w:val="auto"/>
              </w:rPr>
            </w:pPr>
            <w:r>
              <w:rPr>
                <w:color w:val="auto"/>
              </w:rPr>
              <w:t>Мұнай майы</w:t>
            </w:r>
          </w:p>
        </w:tc>
        <w:tc>
          <w:tcPr>
            <w:tcW w:w="985" w:type="pct"/>
            <w:tcBorders>
              <w:top w:val="single" w:color="000000" w:sz="4" w:space="0"/>
              <w:left w:val="single" w:color="000000" w:sz="4" w:space="0"/>
              <w:bottom w:val="single" w:color="000000" w:sz="4" w:space="0"/>
              <w:right w:val="single" w:color="000000" w:sz="4" w:space="0"/>
            </w:tcBorders>
          </w:tcPr>
          <w:p w14:paraId="74697B59">
            <w:pPr>
              <w:pStyle w:val="26"/>
              <w:snapToGrid w:val="0"/>
              <w:spacing w:after="0"/>
              <w:ind w:firstLine="0"/>
              <w:rPr>
                <w:rFonts w:ascii="Times New Roman" w:hAnsi="Times New Roman"/>
                <w:i/>
                <w:iCs/>
                <w:color w:val="auto"/>
                <w:sz w:val="24"/>
                <w:szCs w:val="24"/>
              </w:rPr>
            </w:pPr>
            <w:r>
              <w:rPr>
                <w:rFonts w:ascii="Times New Roman" w:hAnsi="Times New Roman"/>
                <w:i/>
                <w:iCs/>
                <w:color w:val="auto"/>
                <w:w w:val="105"/>
                <w:sz w:val="24"/>
                <w:szCs w:val="24"/>
              </w:rPr>
              <w:t>Arthrobacter sp.</w:t>
            </w:r>
          </w:p>
          <w:p w14:paraId="4BC6D675">
            <w:pPr>
              <w:pStyle w:val="301"/>
              <w:snapToGrid w:val="0"/>
              <w:spacing w:before="0" w:after="0"/>
              <w:rPr>
                <w:i/>
                <w:iCs/>
                <w:color w:val="auto"/>
              </w:rPr>
            </w:pPr>
          </w:p>
        </w:tc>
        <w:tc>
          <w:tcPr>
            <w:tcW w:w="1229" w:type="pct"/>
            <w:tcBorders>
              <w:top w:val="single" w:color="000000" w:sz="4" w:space="0"/>
              <w:left w:val="single" w:color="000000" w:sz="4" w:space="0"/>
              <w:bottom w:val="single" w:color="000000" w:sz="4" w:space="0"/>
              <w:right w:val="single" w:color="000000" w:sz="4" w:space="0"/>
            </w:tcBorders>
          </w:tcPr>
          <w:p w14:paraId="65D967CE">
            <w:pPr>
              <w:pStyle w:val="301"/>
              <w:snapToGrid w:val="0"/>
              <w:spacing w:before="0" w:after="0"/>
              <w:rPr>
                <w:color w:val="auto"/>
              </w:rPr>
            </w:pPr>
            <w:r>
              <w:rPr>
                <w:color w:val="auto"/>
              </w:rPr>
              <w:t xml:space="preserve">Бос </w:t>
            </w:r>
            <w:r>
              <w:rPr>
                <w:color w:val="auto"/>
                <w:lang w:val="kk-KZ"/>
              </w:rPr>
              <w:t>түрінде</w:t>
            </w:r>
            <w:r>
              <w:rPr>
                <w:color w:val="auto"/>
              </w:rPr>
              <w:t xml:space="preserve"> - 18%</w:t>
            </w:r>
          </w:p>
          <w:p w14:paraId="72FF536F">
            <w:pPr>
              <w:pStyle w:val="301"/>
              <w:snapToGrid w:val="0"/>
              <w:spacing w:before="0" w:after="0"/>
              <w:rPr>
                <w:color w:val="auto"/>
              </w:rPr>
            </w:pPr>
            <w:r>
              <w:rPr>
                <w:color w:val="auto"/>
                <w:lang w:val="kk-KZ"/>
              </w:rPr>
              <w:t>Иммобилизацияланған</w:t>
            </w:r>
            <w:r>
              <w:rPr>
                <w:color w:val="auto"/>
              </w:rPr>
              <w:t xml:space="preserve"> - 36%</w:t>
            </w:r>
          </w:p>
        </w:tc>
        <w:tc>
          <w:tcPr>
            <w:tcW w:w="712" w:type="pct"/>
            <w:tcBorders>
              <w:top w:val="single" w:color="000000" w:sz="4" w:space="0"/>
              <w:left w:val="single" w:color="000000" w:sz="4" w:space="0"/>
              <w:bottom w:val="single" w:color="000000" w:sz="4" w:space="0"/>
              <w:right w:val="single" w:color="000000" w:sz="4" w:space="0"/>
            </w:tcBorders>
          </w:tcPr>
          <w:p w14:paraId="009ABBB2">
            <w:pPr>
              <w:pStyle w:val="301"/>
              <w:snapToGrid w:val="0"/>
              <w:spacing w:before="0" w:after="0"/>
              <w:rPr>
                <w:rFonts w:hint="default"/>
                <w:color w:val="auto"/>
                <w:lang w:val="ru-RU"/>
              </w:rPr>
            </w:pPr>
            <w:r>
              <w:rPr>
                <w:rFonts w:hint="default"/>
                <w:color w:val="auto"/>
                <w:lang w:val="ru-RU"/>
              </w:rPr>
              <w:t>79</w:t>
            </w:r>
          </w:p>
          <w:p w14:paraId="3E57A877">
            <w:pPr>
              <w:pStyle w:val="301"/>
              <w:snapToGrid w:val="0"/>
              <w:spacing w:before="0" w:after="0"/>
              <w:rPr>
                <w:color w:val="auto"/>
              </w:rPr>
            </w:pPr>
          </w:p>
        </w:tc>
      </w:tr>
      <w:tr w14:paraId="29B67544">
        <w:tblPrEx>
          <w:tblCellMar>
            <w:top w:w="0" w:type="dxa"/>
            <w:left w:w="108" w:type="dxa"/>
            <w:bottom w:w="0" w:type="dxa"/>
            <w:right w:w="108" w:type="dxa"/>
          </w:tblCellMar>
        </w:tblPrEx>
        <w:tc>
          <w:tcPr>
            <w:tcW w:w="1047" w:type="pct"/>
            <w:tcBorders>
              <w:top w:val="single" w:color="000000" w:sz="4" w:space="0"/>
              <w:left w:val="single" w:color="000000" w:sz="4" w:space="0"/>
              <w:bottom w:val="single" w:color="000000" w:sz="4" w:space="0"/>
              <w:right w:val="single" w:color="000000" w:sz="4" w:space="0"/>
            </w:tcBorders>
          </w:tcPr>
          <w:p w14:paraId="69CC1C2F">
            <w:pPr>
              <w:pStyle w:val="301"/>
              <w:snapToGrid w:val="0"/>
              <w:spacing w:before="0" w:after="0"/>
              <w:rPr>
                <w:color w:val="auto"/>
              </w:rPr>
            </w:pPr>
            <w:r>
              <w:rPr>
                <w:color w:val="auto"/>
                <w:spacing w:val="-2"/>
                <w:w w:val="105"/>
              </w:rPr>
              <w:t>Үгінділер</w:t>
            </w:r>
          </w:p>
        </w:tc>
        <w:tc>
          <w:tcPr>
            <w:tcW w:w="1025" w:type="pct"/>
            <w:tcBorders>
              <w:top w:val="single" w:color="000000" w:sz="4" w:space="0"/>
              <w:left w:val="single" w:color="000000" w:sz="4" w:space="0"/>
              <w:bottom w:val="single" w:color="000000" w:sz="4" w:space="0"/>
              <w:right w:val="single" w:color="000000" w:sz="4" w:space="0"/>
            </w:tcBorders>
          </w:tcPr>
          <w:p w14:paraId="0BA0A2D9">
            <w:pPr>
              <w:pStyle w:val="301"/>
              <w:snapToGrid w:val="0"/>
              <w:spacing w:before="0" w:after="0"/>
              <w:rPr>
                <w:color w:val="auto"/>
              </w:rPr>
            </w:pPr>
            <w:r>
              <w:rPr>
                <w:color w:val="auto"/>
              </w:rPr>
              <w:t>Шикі мұнайдың көмірсутектері</w:t>
            </w:r>
          </w:p>
        </w:tc>
        <w:tc>
          <w:tcPr>
            <w:tcW w:w="985" w:type="pct"/>
            <w:tcBorders>
              <w:top w:val="single" w:color="000000" w:sz="4" w:space="0"/>
              <w:left w:val="single" w:color="000000" w:sz="4" w:space="0"/>
              <w:bottom w:val="single" w:color="000000" w:sz="4" w:space="0"/>
              <w:right w:val="single" w:color="000000" w:sz="4" w:space="0"/>
            </w:tcBorders>
          </w:tcPr>
          <w:p w14:paraId="4E73CDD5">
            <w:pPr>
              <w:pStyle w:val="301"/>
              <w:snapToGrid w:val="0"/>
              <w:spacing w:before="0" w:after="0"/>
              <w:rPr>
                <w:i/>
                <w:iCs/>
                <w:color w:val="auto"/>
              </w:rPr>
            </w:pPr>
            <w:r>
              <w:rPr>
                <w:i/>
                <w:iCs/>
                <w:color w:val="auto"/>
              </w:rPr>
              <w:t>Бактериялар консорциумы</w:t>
            </w:r>
          </w:p>
        </w:tc>
        <w:tc>
          <w:tcPr>
            <w:tcW w:w="1229" w:type="pct"/>
            <w:tcBorders>
              <w:top w:val="single" w:color="000000" w:sz="4" w:space="0"/>
              <w:left w:val="single" w:color="000000" w:sz="4" w:space="0"/>
              <w:bottom w:val="single" w:color="000000" w:sz="4" w:space="0"/>
              <w:right w:val="single" w:color="000000" w:sz="4" w:space="0"/>
            </w:tcBorders>
          </w:tcPr>
          <w:p w14:paraId="75697758">
            <w:pPr>
              <w:pStyle w:val="301"/>
              <w:snapToGrid w:val="0"/>
              <w:spacing w:before="0" w:after="0"/>
              <w:rPr>
                <w:color w:val="auto"/>
              </w:rPr>
            </w:pPr>
            <w:r>
              <w:rPr>
                <w:color w:val="auto"/>
              </w:rPr>
              <w:t xml:space="preserve">Бос </w:t>
            </w:r>
            <w:r>
              <w:rPr>
                <w:color w:val="auto"/>
                <w:lang w:val="kk-KZ"/>
              </w:rPr>
              <w:t>түрінде</w:t>
            </w:r>
            <w:r>
              <w:rPr>
                <w:color w:val="auto"/>
              </w:rPr>
              <w:t xml:space="preserve"> - 79,37%</w:t>
            </w:r>
          </w:p>
          <w:p w14:paraId="65C15035">
            <w:pPr>
              <w:pStyle w:val="301"/>
              <w:snapToGrid w:val="0"/>
              <w:spacing w:before="0" w:after="0"/>
              <w:rPr>
                <w:color w:val="auto"/>
              </w:rPr>
            </w:pPr>
            <w:r>
              <w:rPr>
                <w:color w:val="auto"/>
              </w:rPr>
              <w:t>Иммобилизацияланған - 95.9%</w:t>
            </w:r>
          </w:p>
        </w:tc>
        <w:tc>
          <w:tcPr>
            <w:tcW w:w="712" w:type="pct"/>
            <w:tcBorders>
              <w:top w:val="single" w:color="000000" w:sz="4" w:space="0"/>
              <w:left w:val="single" w:color="000000" w:sz="4" w:space="0"/>
              <w:bottom w:val="single" w:color="000000" w:sz="4" w:space="0"/>
              <w:right w:val="single" w:color="000000" w:sz="4" w:space="0"/>
            </w:tcBorders>
          </w:tcPr>
          <w:p w14:paraId="24C2557C">
            <w:pPr>
              <w:pStyle w:val="301"/>
              <w:snapToGrid w:val="0"/>
              <w:spacing w:before="0" w:after="0"/>
              <w:rPr>
                <w:rFonts w:hint="default"/>
                <w:color w:val="auto"/>
                <w:lang w:val="ru-RU"/>
              </w:rPr>
            </w:pPr>
            <w:r>
              <w:rPr>
                <w:rFonts w:hint="default"/>
                <w:color w:val="auto"/>
                <w:lang w:val="ru-RU"/>
              </w:rPr>
              <w:t>82</w:t>
            </w:r>
          </w:p>
          <w:p w14:paraId="451F6C12">
            <w:pPr>
              <w:pStyle w:val="306"/>
              <w:tabs>
                <w:tab w:val="left" w:pos="645"/>
                <w:tab w:val="left" w:pos="777"/>
              </w:tabs>
              <w:snapToGrid w:val="0"/>
              <w:spacing w:after="0" w:line="355" w:lineRule="auto"/>
              <w:ind w:left="0" w:right="114"/>
              <w:jc w:val="left"/>
              <w:rPr>
                <w:color w:val="auto"/>
                <w:sz w:val="24"/>
                <w:szCs w:val="24"/>
              </w:rPr>
            </w:pPr>
          </w:p>
          <w:p w14:paraId="40396741">
            <w:pPr>
              <w:pStyle w:val="301"/>
              <w:snapToGrid w:val="0"/>
              <w:spacing w:before="0" w:after="0"/>
              <w:rPr>
                <w:color w:val="auto"/>
              </w:rPr>
            </w:pPr>
          </w:p>
        </w:tc>
      </w:tr>
      <w:tr w14:paraId="0BE41102">
        <w:tblPrEx>
          <w:tblCellMar>
            <w:top w:w="0" w:type="dxa"/>
            <w:left w:w="108" w:type="dxa"/>
            <w:bottom w:w="0" w:type="dxa"/>
            <w:right w:w="108" w:type="dxa"/>
          </w:tblCellMar>
        </w:tblPrEx>
        <w:tc>
          <w:tcPr>
            <w:tcW w:w="1047" w:type="pct"/>
            <w:tcBorders>
              <w:top w:val="single" w:color="000000" w:sz="4" w:space="0"/>
              <w:left w:val="single" w:color="000000" w:sz="4" w:space="0"/>
              <w:bottom w:val="single" w:color="000000" w:sz="4" w:space="0"/>
              <w:right w:val="single" w:color="000000" w:sz="4" w:space="0"/>
            </w:tcBorders>
          </w:tcPr>
          <w:p w14:paraId="524BB7B7">
            <w:pPr>
              <w:pStyle w:val="301"/>
              <w:snapToGrid w:val="0"/>
              <w:spacing w:before="0" w:after="0"/>
              <w:rPr>
                <w:color w:val="auto"/>
              </w:rPr>
            </w:pPr>
            <w:r>
              <w:rPr>
                <w:color w:val="auto"/>
              </w:rPr>
              <w:t xml:space="preserve">Жүгері масағы </w:t>
            </w:r>
          </w:p>
        </w:tc>
        <w:tc>
          <w:tcPr>
            <w:tcW w:w="1025" w:type="pct"/>
            <w:tcBorders>
              <w:top w:val="single" w:color="000000" w:sz="4" w:space="0"/>
              <w:left w:val="single" w:color="000000" w:sz="4" w:space="0"/>
              <w:bottom w:val="single" w:color="000000" w:sz="4" w:space="0"/>
              <w:right w:val="single" w:color="000000" w:sz="4" w:space="0"/>
            </w:tcBorders>
          </w:tcPr>
          <w:p w14:paraId="7B22173F">
            <w:pPr>
              <w:pStyle w:val="301"/>
              <w:snapToGrid w:val="0"/>
              <w:spacing w:before="0" w:after="0"/>
              <w:rPr>
                <w:color w:val="auto"/>
                <w:lang w:val="kk-KZ"/>
              </w:rPr>
            </w:pPr>
            <w:r>
              <w:rPr>
                <w:color w:val="auto"/>
                <w:lang w:val="kk-KZ"/>
              </w:rPr>
              <w:t>Гексадекан</w:t>
            </w:r>
          </w:p>
        </w:tc>
        <w:tc>
          <w:tcPr>
            <w:tcW w:w="985" w:type="pct"/>
            <w:tcBorders>
              <w:top w:val="single" w:color="000000" w:sz="4" w:space="0"/>
              <w:left w:val="single" w:color="000000" w:sz="4" w:space="0"/>
              <w:bottom w:val="single" w:color="000000" w:sz="4" w:space="0"/>
              <w:right w:val="single" w:color="000000" w:sz="4" w:space="0"/>
            </w:tcBorders>
          </w:tcPr>
          <w:p w14:paraId="316EB2BA">
            <w:pPr>
              <w:pStyle w:val="301"/>
              <w:snapToGrid w:val="0"/>
              <w:spacing w:before="0" w:after="0"/>
              <w:rPr>
                <w:i/>
                <w:iCs/>
                <w:color w:val="auto"/>
                <w:lang w:val="en-US"/>
              </w:rPr>
            </w:pPr>
            <w:r>
              <w:rPr>
                <w:i/>
                <w:iCs/>
                <w:color w:val="auto"/>
                <w:lang w:val="en-US"/>
              </w:rPr>
              <w:t>Pseudomonas sp.</w:t>
            </w:r>
          </w:p>
        </w:tc>
        <w:tc>
          <w:tcPr>
            <w:tcW w:w="1229" w:type="pct"/>
            <w:tcBorders>
              <w:top w:val="single" w:color="000000" w:sz="4" w:space="0"/>
              <w:left w:val="single" w:color="000000" w:sz="4" w:space="0"/>
              <w:bottom w:val="single" w:color="000000" w:sz="4" w:space="0"/>
              <w:right w:val="single" w:color="000000" w:sz="4" w:space="0"/>
            </w:tcBorders>
          </w:tcPr>
          <w:p w14:paraId="016FD39F">
            <w:pPr>
              <w:pStyle w:val="301"/>
              <w:snapToGrid w:val="0"/>
              <w:spacing w:before="0" w:after="0"/>
              <w:rPr>
                <w:color w:val="auto"/>
              </w:rPr>
            </w:pPr>
            <w:r>
              <w:rPr>
                <w:color w:val="auto"/>
              </w:rPr>
              <w:t xml:space="preserve">Бос </w:t>
            </w:r>
            <w:r>
              <w:rPr>
                <w:color w:val="auto"/>
                <w:lang w:val="kk-KZ"/>
              </w:rPr>
              <w:t>түрінде</w:t>
            </w:r>
            <w:r>
              <w:rPr>
                <w:color w:val="auto"/>
              </w:rPr>
              <w:t xml:space="preserve"> - </w:t>
            </w:r>
            <w:r>
              <w:rPr>
                <w:color w:val="auto"/>
                <w:lang w:val="en-US"/>
              </w:rPr>
              <w:t>33</w:t>
            </w:r>
            <w:r>
              <w:rPr>
                <w:color w:val="auto"/>
              </w:rPr>
              <w:t>%</w:t>
            </w:r>
          </w:p>
          <w:p w14:paraId="72B4E335">
            <w:pPr>
              <w:pStyle w:val="301"/>
              <w:snapToGrid w:val="0"/>
              <w:spacing w:before="0" w:after="0"/>
              <w:rPr>
                <w:color w:val="auto"/>
              </w:rPr>
            </w:pPr>
            <w:r>
              <w:rPr>
                <w:color w:val="auto"/>
              </w:rPr>
              <w:t xml:space="preserve">Иммобилизацияланған - </w:t>
            </w:r>
            <w:r>
              <w:rPr>
                <w:color w:val="auto"/>
                <w:lang w:val="en-US"/>
              </w:rPr>
              <w:t>56</w:t>
            </w:r>
            <w:r>
              <w:rPr>
                <w:color w:val="auto"/>
              </w:rPr>
              <w:t>%</w:t>
            </w:r>
          </w:p>
        </w:tc>
        <w:tc>
          <w:tcPr>
            <w:tcW w:w="712" w:type="pct"/>
            <w:tcBorders>
              <w:top w:val="single" w:color="000000" w:sz="4" w:space="0"/>
              <w:left w:val="single" w:color="000000" w:sz="4" w:space="0"/>
              <w:bottom w:val="single" w:color="000000" w:sz="4" w:space="0"/>
              <w:right w:val="single" w:color="000000" w:sz="4" w:space="0"/>
            </w:tcBorders>
          </w:tcPr>
          <w:p w14:paraId="62BCF1FB">
            <w:pPr>
              <w:pStyle w:val="301"/>
              <w:snapToGrid w:val="0"/>
              <w:spacing w:before="0" w:after="0"/>
              <w:rPr>
                <w:rFonts w:hint="default"/>
                <w:color w:val="auto"/>
                <w:highlight w:val="none"/>
                <w:lang w:val="ru-RU"/>
              </w:rPr>
            </w:pPr>
            <w:r>
              <w:rPr>
                <w:rFonts w:hint="default"/>
                <w:color w:val="auto"/>
                <w:highlight w:val="none"/>
                <w:lang w:val="ru-RU"/>
              </w:rPr>
              <w:t>100</w:t>
            </w:r>
          </w:p>
          <w:p w14:paraId="0DF0CF79">
            <w:pPr>
              <w:pStyle w:val="301"/>
              <w:snapToGrid w:val="0"/>
              <w:spacing w:before="0" w:after="0"/>
              <w:rPr>
                <w:color w:val="auto"/>
                <w:lang w:val="en-US"/>
              </w:rPr>
            </w:pPr>
          </w:p>
        </w:tc>
      </w:tr>
      <w:tr w14:paraId="13D4432A">
        <w:tblPrEx>
          <w:tblCellMar>
            <w:top w:w="0" w:type="dxa"/>
            <w:left w:w="108" w:type="dxa"/>
            <w:bottom w:w="0" w:type="dxa"/>
            <w:right w:w="108" w:type="dxa"/>
          </w:tblCellMar>
        </w:tblPrEx>
        <w:tc>
          <w:tcPr>
            <w:tcW w:w="1047" w:type="pct"/>
            <w:tcBorders>
              <w:top w:val="single" w:color="000000" w:sz="4" w:space="0"/>
              <w:left w:val="single" w:color="000000" w:sz="4" w:space="0"/>
              <w:bottom w:val="single" w:color="000000" w:sz="4" w:space="0"/>
              <w:right w:val="single" w:color="000000" w:sz="4" w:space="0"/>
            </w:tcBorders>
          </w:tcPr>
          <w:p w14:paraId="46980FB6">
            <w:pPr>
              <w:pStyle w:val="301"/>
              <w:snapToGrid w:val="0"/>
              <w:spacing w:before="0" w:after="0"/>
              <w:rPr>
                <w:color w:val="auto"/>
              </w:rPr>
            </w:pPr>
            <w:r>
              <w:rPr>
                <w:color w:val="auto"/>
              </w:rPr>
              <w:t>Ісінген перлит</w:t>
            </w:r>
          </w:p>
        </w:tc>
        <w:tc>
          <w:tcPr>
            <w:tcW w:w="1025" w:type="pct"/>
            <w:tcBorders>
              <w:top w:val="single" w:color="000000" w:sz="4" w:space="0"/>
              <w:left w:val="single" w:color="000000" w:sz="4" w:space="0"/>
              <w:bottom w:val="single" w:color="000000" w:sz="4" w:space="0"/>
              <w:right w:val="single" w:color="000000" w:sz="4" w:space="0"/>
            </w:tcBorders>
          </w:tcPr>
          <w:p w14:paraId="728DF318">
            <w:pPr>
              <w:pStyle w:val="301"/>
              <w:snapToGrid w:val="0"/>
              <w:spacing w:before="0" w:after="0"/>
              <w:rPr>
                <w:color w:val="auto"/>
              </w:rPr>
            </w:pPr>
            <w:r>
              <w:rPr>
                <w:color w:val="auto"/>
                <w:lang w:val="kk-KZ"/>
              </w:rPr>
              <w:t>Гексадекан</w:t>
            </w:r>
          </w:p>
        </w:tc>
        <w:tc>
          <w:tcPr>
            <w:tcW w:w="985" w:type="pct"/>
            <w:tcBorders>
              <w:top w:val="single" w:color="000000" w:sz="4" w:space="0"/>
              <w:left w:val="single" w:color="000000" w:sz="4" w:space="0"/>
              <w:bottom w:val="single" w:color="000000" w:sz="4" w:space="0"/>
              <w:right w:val="single" w:color="000000" w:sz="4" w:space="0"/>
            </w:tcBorders>
          </w:tcPr>
          <w:p w14:paraId="3DB20913">
            <w:pPr>
              <w:pStyle w:val="301"/>
              <w:snapToGrid w:val="0"/>
              <w:spacing w:before="0" w:after="0"/>
              <w:rPr>
                <w:i/>
                <w:iCs/>
                <w:color w:val="auto"/>
                <w:lang w:val="en-US"/>
              </w:rPr>
            </w:pPr>
            <w:r>
              <w:rPr>
                <w:i/>
                <w:iCs/>
                <w:color w:val="auto"/>
                <w:lang w:val="en-US"/>
              </w:rPr>
              <w:t>Aspergillus niger</w:t>
            </w:r>
          </w:p>
        </w:tc>
        <w:tc>
          <w:tcPr>
            <w:tcW w:w="1229" w:type="pct"/>
            <w:tcBorders>
              <w:top w:val="single" w:color="000000" w:sz="4" w:space="0"/>
              <w:left w:val="single" w:color="000000" w:sz="4" w:space="0"/>
              <w:bottom w:val="single" w:color="000000" w:sz="4" w:space="0"/>
              <w:right w:val="single" w:color="000000" w:sz="4" w:space="0"/>
            </w:tcBorders>
          </w:tcPr>
          <w:p w14:paraId="481BE01D">
            <w:pPr>
              <w:pStyle w:val="301"/>
              <w:snapToGrid w:val="0"/>
              <w:spacing w:before="0" w:after="0"/>
              <w:rPr>
                <w:color w:val="auto"/>
              </w:rPr>
            </w:pPr>
            <w:r>
              <w:rPr>
                <w:color w:val="auto"/>
              </w:rPr>
              <w:t xml:space="preserve">Бос </w:t>
            </w:r>
            <w:r>
              <w:rPr>
                <w:color w:val="auto"/>
                <w:lang w:val="kk-KZ"/>
              </w:rPr>
              <w:t>түрінде</w:t>
            </w:r>
            <w:r>
              <w:rPr>
                <w:color w:val="auto"/>
              </w:rPr>
              <w:t xml:space="preserve"> - </w:t>
            </w:r>
            <w:r>
              <w:rPr>
                <w:color w:val="auto"/>
                <w:lang w:val="en-US"/>
              </w:rPr>
              <w:t>81</w:t>
            </w:r>
            <w:r>
              <w:rPr>
                <w:color w:val="auto"/>
              </w:rPr>
              <w:t>%</w:t>
            </w:r>
          </w:p>
          <w:p w14:paraId="7C607AE5">
            <w:pPr>
              <w:pStyle w:val="301"/>
              <w:snapToGrid w:val="0"/>
              <w:spacing w:before="0" w:after="0"/>
              <w:rPr>
                <w:color w:val="auto"/>
              </w:rPr>
            </w:pPr>
            <w:r>
              <w:rPr>
                <w:color w:val="auto"/>
              </w:rPr>
              <w:t xml:space="preserve">Иммобилизацияланған - </w:t>
            </w:r>
            <w:r>
              <w:rPr>
                <w:color w:val="auto"/>
                <w:lang w:val="en-US"/>
              </w:rPr>
              <w:t>96</w:t>
            </w:r>
            <w:r>
              <w:rPr>
                <w:color w:val="auto"/>
              </w:rPr>
              <w:t>%</w:t>
            </w:r>
          </w:p>
        </w:tc>
        <w:tc>
          <w:tcPr>
            <w:tcW w:w="712" w:type="pct"/>
            <w:tcBorders>
              <w:top w:val="single" w:color="000000" w:sz="4" w:space="0"/>
              <w:left w:val="single" w:color="000000" w:sz="4" w:space="0"/>
              <w:bottom w:val="single" w:color="000000" w:sz="4" w:space="0"/>
              <w:right w:val="single" w:color="000000" w:sz="4" w:space="0"/>
            </w:tcBorders>
          </w:tcPr>
          <w:p w14:paraId="1C535157">
            <w:pPr>
              <w:pStyle w:val="301"/>
              <w:snapToGrid w:val="0"/>
              <w:spacing w:before="0" w:after="0"/>
              <w:rPr>
                <w:rFonts w:hint="default"/>
                <w:color w:val="auto"/>
                <w:lang w:val="ru-RU"/>
              </w:rPr>
            </w:pPr>
            <w:r>
              <w:rPr>
                <w:rFonts w:hint="default"/>
                <w:color w:val="auto"/>
                <w:lang w:val="ru-RU"/>
              </w:rPr>
              <w:t>90</w:t>
            </w:r>
          </w:p>
          <w:p w14:paraId="3CA7790F">
            <w:pPr>
              <w:pStyle w:val="301"/>
              <w:snapToGrid w:val="0"/>
              <w:spacing w:before="0" w:after="0"/>
              <w:rPr>
                <w:color w:val="auto"/>
                <w:lang w:val="en-US"/>
              </w:rPr>
            </w:pPr>
          </w:p>
        </w:tc>
      </w:tr>
      <w:tr w14:paraId="623151A0">
        <w:tblPrEx>
          <w:tblCellMar>
            <w:top w:w="0" w:type="dxa"/>
            <w:left w:w="108" w:type="dxa"/>
            <w:bottom w:w="0" w:type="dxa"/>
            <w:right w:w="108" w:type="dxa"/>
          </w:tblCellMar>
        </w:tblPrEx>
        <w:tc>
          <w:tcPr>
            <w:tcW w:w="1047" w:type="pct"/>
            <w:tcBorders>
              <w:top w:val="single" w:color="000000" w:sz="4" w:space="0"/>
              <w:left w:val="single" w:color="000000" w:sz="4" w:space="0"/>
              <w:bottom w:val="single" w:color="000000" w:sz="4" w:space="0"/>
              <w:right w:val="single" w:color="000000" w:sz="4" w:space="0"/>
            </w:tcBorders>
          </w:tcPr>
          <w:p w14:paraId="178FEB4D">
            <w:pPr>
              <w:pStyle w:val="301"/>
              <w:snapToGrid w:val="0"/>
              <w:spacing w:before="0" w:after="0"/>
              <w:rPr>
                <w:color w:val="auto"/>
              </w:rPr>
            </w:pPr>
            <w:r>
              <w:rPr>
                <w:color w:val="auto"/>
              </w:rPr>
              <w:t>Кокос шымтезегі</w:t>
            </w:r>
          </w:p>
        </w:tc>
        <w:tc>
          <w:tcPr>
            <w:tcW w:w="1025" w:type="pct"/>
            <w:tcBorders>
              <w:top w:val="single" w:color="000000" w:sz="4" w:space="0"/>
              <w:left w:val="single" w:color="000000" w:sz="4" w:space="0"/>
              <w:bottom w:val="single" w:color="000000" w:sz="4" w:space="0"/>
              <w:right w:val="single" w:color="000000" w:sz="4" w:space="0"/>
            </w:tcBorders>
          </w:tcPr>
          <w:p w14:paraId="3303B041">
            <w:pPr>
              <w:pStyle w:val="301"/>
              <w:snapToGrid w:val="0"/>
              <w:spacing w:before="0" w:after="0"/>
              <w:rPr>
                <w:color w:val="auto"/>
                <w:lang w:val="kk-KZ"/>
              </w:rPr>
            </w:pPr>
            <w:r>
              <w:rPr>
                <w:color w:val="auto"/>
                <w:lang w:val="kk-KZ"/>
              </w:rPr>
              <w:t xml:space="preserve">Мұнай </w:t>
            </w:r>
            <w:r>
              <w:rPr>
                <w:color w:val="auto"/>
              </w:rPr>
              <w:t>май</w:t>
            </w:r>
            <w:r>
              <w:rPr>
                <w:color w:val="auto"/>
                <w:lang w:val="kk-KZ"/>
              </w:rPr>
              <w:t>ы</w:t>
            </w:r>
          </w:p>
        </w:tc>
        <w:tc>
          <w:tcPr>
            <w:tcW w:w="985" w:type="pct"/>
            <w:tcBorders>
              <w:top w:val="single" w:color="000000" w:sz="4" w:space="0"/>
              <w:left w:val="single" w:color="000000" w:sz="4" w:space="0"/>
              <w:bottom w:val="single" w:color="000000" w:sz="4" w:space="0"/>
              <w:right w:val="single" w:color="000000" w:sz="4" w:space="0"/>
            </w:tcBorders>
          </w:tcPr>
          <w:p w14:paraId="321223D5">
            <w:pPr>
              <w:pStyle w:val="301"/>
              <w:snapToGrid w:val="0"/>
              <w:spacing w:before="0" w:after="0"/>
              <w:rPr>
                <w:i/>
                <w:iCs/>
                <w:color w:val="auto"/>
                <w:lang w:val="en-US"/>
              </w:rPr>
            </w:pPr>
            <w:r>
              <w:rPr>
                <w:color w:val="auto"/>
              </w:rPr>
              <w:t>Бактериялар консорциумы</w:t>
            </w:r>
          </w:p>
        </w:tc>
        <w:tc>
          <w:tcPr>
            <w:tcW w:w="1229" w:type="pct"/>
            <w:tcBorders>
              <w:top w:val="single" w:color="000000" w:sz="4" w:space="0"/>
              <w:left w:val="single" w:color="000000" w:sz="4" w:space="0"/>
              <w:bottom w:val="single" w:color="000000" w:sz="4" w:space="0"/>
              <w:right w:val="single" w:color="000000" w:sz="4" w:space="0"/>
            </w:tcBorders>
          </w:tcPr>
          <w:p w14:paraId="5DC71F92">
            <w:pPr>
              <w:pStyle w:val="301"/>
              <w:snapToGrid w:val="0"/>
              <w:spacing w:before="0" w:after="0"/>
              <w:rPr>
                <w:color w:val="auto"/>
              </w:rPr>
            </w:pPr>
            <w:r>
              <w:rPr>
                <w:color w:val="auto"/>
              </w:rPr>
              <w:t xml:space="preserve">Бос </w:t>
            </w:r>
            <w:r>
              <w:rPr>
                <w:color w:val="auto"/>
                <w:lang w:val="kk-KZ"/>
              </w:rPr>
              <w:t>түрінде</w:t>
            </w:r>
            <w:r>
              <w:rPr>
                <w:color w:val="auto"/>
              </w:rPr>
              <w:t xml:space="preserve"> - 51,2%</w:t>
            </w:r>
          </w:p>
          <w:p w14:paraId="0FE2A921">
            <w:pPr>
              <w:pStyle w:val="301"/>
              <w:snapToGrid w:val="0"/>
              <w:spacing w:before="0" w:after="0"/>
              <w:rPr>
                <w:color w:val="auto"/>
              </w:rPr>
            </w:pPr>
            <w:r>
              <w:rPr>
                <w:color w:val="auto"/>
              </w:rPr>
              <w:t>Иммобилизацияланған - 86,6%</w:t>
            </w:r>
          </w:p>
        </w:tc>
        <w:tc>
          <w:tcPr>
            <w:tcW w:w="712" w:type="pct"/>
            <w:tcBorders>
              <w:top w:val="single" w:color="000000" w:sz="4" w:space="0"/>
              <w:left w:val="single" w:color="000000" w:sz="4" w:space="0"/>
              <w:bottom w:val="single" w:color="000000" w:sz="4" w:space="0"/>
              <w:right w:val="single" w:color="000000" w:sz="4" w:space="0"/>
            </w:tcBorders>
          </w:tcPr>
          <w:p w14:paraId="6F07E86F">
            <w:pPr>
              <w:pStyle w:val="301"/>
              <w:snapToGrid w:val="0"/>
              <w:spacing w:before="0" w:after="0"/>
              <w:rPr>
                <w:rFonts w:hint="default"/>
                <w:color w:val="auto"/>
                <w:lang w:val="ru-RU"/>
              </w:rPr>
            </w:pPr>
            <w:r>
              <w:rPr>
                <w:rFonts w:hint="default"/>
                <w:color w:val="auto"/>
                <w:lang w:val="ru-RU"/>
              </w:rPr>
              <w:t>99</w:t>
            </w:r>
          </w:p>
          <w:p w14:paraId="3B5E4FC8">
            <w:pPr>
              <w:pStyle w:val="301"/>
              <w:snapToGrid w:val="0"/>
              <w:spacing w:before="0" w:after="0"/>
              <w:rPr>
                <w:color w:val="auto"/>
              </w:rPr>
            </w:pPr>
          </w:p>
        </w:tc>
      </w:tr>
      <w:tr w14:paraId="06D5B0BE">
        <w:tblPrEx>
          <w:tblCellMar>
            <w:top w:w="0" w:type="dxa"/>
            <w:left w:w="108" w:type="dxa"/>
            <w:bottom w:w="0" w:type="dxa"/>
            <w:right w:w="108" w:type="dxa"/>
          </w:tblCellMar>
        </w:tblPrEx>
        <w:tc>
          <w:tcPr>
            <w:tcW w:w="1047" w:type="pct"/>
            <w:tcBorders>
              <w:top w:val="single" w:color="000000" w:sz="4" w:space="0"/>
              <w:left w:val="single" w:color="000000" w:sz="4" w:space="0"/>
              <w:bottom w:val="single" w:color="000000" w:sz="4" w:space="0"/>
              <w:right w:val="single" w:color="000000" w:sz="4" w:space="0"/>
            </w:tcBorders>
          </w:tcPr>
          <w:p w14:paraId="4D69F711">
            <w:pPr>
              <w:pStyle w:val="301"/>
              <w:snapToGrid w:val="0"/>
              <w:spacing w:before="0" w:after="0"/>
              <w:rPr>
                <w:color w:val="auto"/>
              </w:rPr>
            </w:pPr>
            <w:r>
              <w:rPr>
                <w:color w:val="auto"/>
              </w:rPr>
              <w:t>Күнбағыс тұқымының қауызы</w:t>
            </w:r>
          </w:p>
        </w:tc>
        <w:tc>
          <w:tcPr>
            <w:tcW w:w="1025" w:type="pct"/>
            <w:tcBorders>
              <w:top w:val="single" w:color="000000" w:sz="4" w:space="0"/>
              <w:left w:val="single" w:color="000000" w:sz="4" w:space="0"/>
              <w:bottom w:val="single" w:color="000000" w:sz="4" w:space="0"/>
              <w:right w:val="single" w:color="000000" w:sz="4" w:space="0"/>
            </w:tcBorders>
          </w:tcPr>
          <w:p w14:paraId="692B6976">
            <w:pPr>
              <w:pStyle w:val="301"/>
              <w:snapToGrid w:val="0"/>
              <w:spacing w:before="0" w:after="0"/>
              <w:rPr>
                <w:color w:val="auto"/>
                <w:lang w:val="en-US"/>
              </w:rPr>
            </w:pPr>
            <w:r>
              <w:rPr>
                <w:color w:val="auto"/>
              </w:rPr>
              <w:t>Шикі мұнай</w:t>
            </w:r>
          </w:p>
        </w:tc>
        <w:tc>
          <w:tcPr>
            <w:tcW w:w="985" w:type="pct"/>
            <w:tcBorders>
              <w:top w:val="single" w:color="000000" w:sz="4" w:space="0"/>
              <w:left w:val="single" w:color="000000" w:sz="4" w:space="0"/>
              <w:bottom w:val="single" w:color="000000" w:sz="4" w:space="0"/>
              <w:right w:val="single" w:color="000000" w:sz="4" w:space="0"/>
            </w:tcBorders>
          </w:tcPr>
          <w:p w14:paraId="72FA991B">
            <w:pPr>
              <w:pStyle w:val="301"/>
              <w:snapToGrid w:val="0"/>
              <w:spacing w:before="0" w:after="0"/>
              <w:rPr>
                <w:i/>
                <w:iCs/>
                <w:color w:val="auto"/>
                <w:lang w:val="en-US"/>
              </w:rPr>
            </w:pPr>
            <w:r>
              <w:rPr>
                <w:i/>
                <w:iCs/>
                <w:color w:val="auto"/>
                <w:lang w:val="en-US"/>
              </w:rPr>
              <w:t>Rhodococcus sp. QBTo</w:t>
            </w:r>
          </w:p>
        </w:tc>
        <w:tc>
          <w:tcPr>
            <w:tcW w:w="1229" w:type="pct"/>
            <w:tcBorders>
              <w:top w:val="single" w:color="000000" w:sz="4" w:space="0"/>
              <w:left w:val="single" w:color="000000" w:sz="4" w:space="0"/>
              <w:bottom w:val="single" w:color="000000" w:sz="4" w:space="0"/>
              <w:right w:val="single" w:color="000000" w:sz="4" w:space="0"/>
            </w:tcBorders>
          </w:tcPr>
          <w:p w14:paraId="255DC9C0">
            <w:pPr>
              <w:pStyle w:val="301"/>
              <w:snapToGrid w:val="0"/>
              <w:spacing w:before="0" w:after="0"/>
              <w:rPr>
                <w:color w:val="auto"/>
              </w:rPr>
            </w:pPr>
            <w:r>
              <w:rPr>
                <w:color w:val="auto"/>
              </w:rPr>
              <w:t xml:space="preserve">Бос </w:t>
            </w:r>
            <w:r>
              <w:rPr>
                <w:color w:val="auto"/>
                <w:lang w:val="kk-KZ"/>
              </w:rPr>
              <w:t>түрінде</w:t>
            </w:r>
            <w:r>
              <w:rPr>
                <w:color w:val="auto"/>
              </w:rPr>
              <w:t xml:space="preserve"> - </w:t>
            </w:r>
            <w:r>
              <w:rPr>
                <w:color w:val="auto"/>
                <w:lang w:val="en-US"/>
              </w:rPr>
              <w:t>28</w:t>
            </w:r>
            <w:r>
              <w:rPr>
                <w:color w:val="auto"/>
              </w:rPr>
              <w:t>%</w:t>
            </w:r>
          </w:p>
          <w:p w14:paraId="746C76F6">
            <w:pPr>
              <w:pStyle w:val="301"/>
              <w:snapToGrid w:val="0"/>
              <w:spacing w:before="0" w:after="0"/>
              <w:rPr>
                <w:color w:val="auto"/>
              </w:rPr>
            </w:pPr>
            <w:r>
              <w:rPr>
                <w:color w:val="auto"/>
              </w:rPr>
              <w:t xml:space="preserve">Иммобилизацияланған  - </w:t>
            </w:r>
            <w:r>
              <w:rPr>
                <w:color w:val="auto"/>
                <w:lang w:val="en-US"/>
              </w:rPr>
              <w:t>66,1</w:t>
            </w:r>
            <w:r>
              <w:rPr>
                <w:color w:val="auto"/>
              </w:rPr>
              <w:t>%</w:t>
            </w:r>
          </w:p>
        </w:tc>
        <w:tc>
          <w:tcPr>
            <w:tcW w:w="712" w:type="pct"/>
            <w:tcBorders>
              <w:top w:val="single" w:color="000000" w:sz="4" w:space="0"/>
              <w:left w:val="single" w:color="000000" w:sz="4" w:space="0"/>
              <w:bottom w:val="single" w:color="000000" w:sz="4" w:space="0"/>
              <w:right w:val="single" w:color="000000" w:sz="4" w:space="0"/>
            </w:tcBorders>
          </w:tcPr>
          <w:p w14:paraId="0012F749">
            <w:pPr>
              <w:pStyle w:val="301"/>
              <w:snapToGrid w:val="0"/>
              <w:spacing w:before="0" w:after="0"/>
              <w:rPr>
                <w:rFonts w:hint="default"/>
                <w:color w:val="auto"/>
                <w:lang w:val="ru-RU"/>
              </w:rPr>
            </w:pPr>
            <w:r>
              <w:rPr>
                <w:rFonts w:hint="default"/>
                <w:color w:val="auto"/>
                <w:lang w:val="ru-RU"/>
              </w:rPr>
              <w:t>74</w:t>
            </w:r>
          </w:p>
          <w:p w14:paraId="7C4870FB">
            <w:pPr>
              <w:snapToGrid w:val="0"/>
              <w:spacing w:after="0"/>
              <w:jc w:val="left"/>
              <w:rPr>
                <w:color w:val="auto"/>
                <w:sz w:val="24"/>
                <w:szCs w:val="24"/>
              </w:rPr>
            </w:pPr>
          </w:p>
          <w:p w14:paraId="1290B8A7">
            <w:pPr>
              <w:pStyle w:val="301"/>
              <w:snapToGrid w:val="0"/>
              <w:spacing w:before="0" w:after="0"/>
              <w:rPr>
                <w:color w:val="auto"/>
                <w:lang w:val="en-US"/>
              </w:rPr>
            </w:pPr>
          </w:p>
        </w:tc>
      </w:tr>
      <w:tr w14:paraId="1BBAD2E5">
        <w:tblPrEx>
          <w:tblCellMar>
            <w:top w:w="0" w:type="dxa"/>
            <w:left w:w="108" w:type="dxa"/>
            <w:bottom w:w="0" w:type="dxa"/>
            <w:right w:w="108" w:type="dxa"/>
          </w:tblCellMar>
        </w:tblPrEx>
        <w:trPr>
          <w:trHeight w:val="690" w:hRule="atLeast"/>
        </w:trPr>
        <w:tc>
          <w:tcPr>
            <w:tcW w:w="1047" w:type="pct"/>
            <w:tcBorders>
              <w:top w:val="single" w:color="000000" w:sz="4" w:space="0"/>
              <w:left w:val="single" w:color="000000" w:sz="4" w:space="0"/>
              <w:bottom w:val="single" w:color="000000" w:sz="4" w:space="0"/>
              <w:right w:val="single" w:color="000000" w:sz="4" w:space="0"/>
            </w:tcBorders>
          </w:tcPr>
          <w:p w14:paraId="6D1B75F5">
            <w:pPr>
              <w:snapToGrid w:val="0"/>
              <w:spacing w:after="0"/>
              <w:jc w:val="left"/>
              <w:rPr>
                <w:color w:val="auto"/>
                <w:sz w:val="24"/>
                <w:szCs w:val="24"/>
              </w:rPr>
            </w:pPr>
            <w:r>
              <w:rPr>
                <w:rFonts w:eastAsia="Times New Roman"/>
                <w:color w:val="auto"/>
                <w:sz w:val="24"/>
                <w:szCs w:val="24"/>
              </w:rPr>
              <w:t>Мақта талшықтары</w:t>
            </w:r>
          </w:p>
        </w:tc>
        <w:tc>
          <w:tcPr>
            <w:tcW w:w="1025" w:type="pct"/>
            <w:tcBorders>
              <w:top w:val="single" w:color="000000" w:sz="4" w:space="0"/>
              <w:left w:val="single" w:color="000000" w:sz="4" w:space="0"/>
              <w:bottom w:val="single" w:color="000000" w:sz="4" w:space="0"/>
              <w:right w:val="single" w:color="000000" w:sz="4" w:space="0"/>
            </w:tcBorders>
          </w:tcPr>
          <w:p w14:paraId="5C27A4D9">
            <w:pPr>
              <w:pStyle w:val="301"/>
              <w:snapToGrid w:val="0"/>
              <w:spacing w:before="0" w:after="0"/>
              <w:rPr>
                <w:color w:val="auto"/>
                <w:lang w:val="en-US"/>
              </w:rPr>
            </w:pPr>
            <w:r>
              <w:rPr>
                <w:color w:val="auto"/>
                <w:lang w:val="en-US"/>
              </w:rPr>
              <w:t>n-</w:t>
            </w:r>
            <w:r>
              <w:rPr>
                <w:color w:val="auto"/>
              </w:rPr>
              <w:t>гептадекан</w:t>
            </w:r>
          </w:p>
        </w:tc>
        <w:tc>
          <w:tcPr>
            <w:tcW w:w="985" w:type="pct"/>
            <w:tcBorders>
              <w:top w:val="single" w:color="000000" w:sz="4" w:space="0"/>
              <w:left w:val="single" w:color="000000" w:sz="4" w:space="0"/>
              <w:bottom w:val="single" w:color="000000" w:sz="4" w:space="0"/>
              <w:right w:val="single" w:color="000000" w:sz="4" w:space="0"/>
            </w:tcBorders>
          </w:tcPr>
          <w:p w14:paraId="230D3FA4">
            <w:pPr>
              <w:pStyle w:val="301"/>
              <w:snapToGrid w:val="0"/>
              <w:spacing w:before="0" w:after="0"/>
              <w:rPr>
                <w:i/>
                <w:iCs/>
                <w:color w:val="auto"/>
                <w:lang w:val="en-US"/>
              </w:rPr>
            </w:pPr>
            <w:r>
              <w:rPr>
                <w:i/>
                <w:iCs/>
                <w:color w:val="auto"/>
                <w:lang w:val="en-US"/>
              </w:rPr>
              <w:t>Acinobacter sp.HC8-3S</w:t>
            </w:r>
          </w:p>
        </w:tc>
        <w:tc>
          <w:tcPr>
            <w:tcW w:w="1229" w:type="pct"/>
            <w:tcBorders>
              <w:top w:val="single" w:color="000000" w:sz="4" w:space="0"/>
              <w:left w:val="single" w:color="000000" w:sz="4" w:space="0"/>
              <w:bottom w:val="single" w:color="000000" w:sz="4" w:space="0"/>
              <w:right w:val="single" w:color="000000" w:sz="4" w:space="0"/>
            </w:tcBorders>
          </w:tcPr>
          <w:p w14:paraId="1A9C4DA4">
            <w:pPr>
              <w:pStyle w:val="301"/>
              <w:snapToGrid w:val="0"/>
              <w:spacing w:before="0" w:after="0"/>
              <w:rPr>
                <w:color w:val="auto"/>
              </w:rPr>
            </w:pPr>
            <w:r>
              <w:rPr>
                <w:color w:val="auto"/>
              </w:rPr>
              <w:t xml:space="preserve">Бос </w:t>
            </w:r>
            <w:r>
              <w:rPr>
                <w:color w:val="auto"/>
                <w:lang w:val="kk-KZ"/>
              </w:rPr>
              <w:t>түрінде</w:t>
            </w:r>
            <w:r>
              <w:rPr>
                <w:color w:val="auto"/>
              </w:rPr>
              <w:t xml:space="preserve"> - </w:t>
            </w:r>
            <w:r>
              <w:rPr>
                <w:color w:val="auto"/>
                <w:lang w:val="en-US"/>
              </w:rPr>
              <w:t>82</w:t>
            </w:r>
            <w:r>
              <w:rPr>
                <w:color w:val="auto"/>
              </w:rPr>
              <w:t>%</w:t>
            </w:r>
          </w:p>
          <w:p w14:paraId="46DA0A22">
            <w:pPr>
              <w:pStyle w:val="301"/>
              <w:snapToGrid w:val="0"/>
              <w:spacing w:before="0" w:after="0"/>
              <w:rPr>
                <w:color w:val="auto"/>
              </w:rPr>
            </w:pPr>
            <w:r>
              <w:rPr>
                <w:color w:val="auto"/>
              </w:rPr>
              <w:t xml:space="preserve">Иммобилизацияланған  - </w:t>
            </w:r>
            <w:r>
              <w:rPr>
                <w:color w:val="auto"/>
                <w:lang w:val="en-US"/>
              </w:rPr>
              <w:t>96</w:t>
            </w:r>
            <w:r>
              <w:rPr>
                <w:color w:val="auto"/>
              </w:rPr>
              <w:t>%</w:t>
            </w:r>
          </w:p>
          <w:p w14:paraId="6724AEA7">
            <w:pPr>
              <w:pStyle w:val="301"/>
              <w:snapToGrid w:val="0"/>
              <w:spacing w:before="0" w:after="0"/>
              <w:rPr>
                <w:color w:val="auto"/>
              </w:rPr>
            </w:pPr>
          </w:p>
        </w:tc>
        <w:tc>
          <w:tcPr>
            <w:tcW w:w="712" w:type="pct"/>
            <w:tcBorders>
              <w:top w:val="single" w:color="000000" w:sz="4" w:space="0"/>
              <w:left w:val="single" w:color="000000" w:sz="4" w:space="0"/>
              <w:bottom w:val="single" w:color="000000" w:sz="4" w:space="0"/>
              <w:right w:val="single" w:color="000000" w:sz="4" w:space="0"/>
            </w:tcBorders>
          </w:tcPr>
          <w:p w14:paraId="0100C6CE">
            <w:pPr>
              <w:pStyle w:val="301"/>
              <w:snapToGrid w:val="0"/>
              <w:spacing w:before="0" w:after="0"/>
              <w:rPr>
                <w:rFonts w:hint="default"/>
                <w:color w:val="auto"/>
                <w:highlight w:val="none"/>
                <w:lang w:val="ru-RU"/>
              </w:rPr>
            </w:pPr>
            <w:r>
              <w:rPr>
                <w:color w:val="auto"/>
                <w:highlight w:val="none"/>
              </w:rPr>
              <w:t>1</w:t>
            </w:r>
            <w:r>
              <w:rPr>
                <w:rFonts w:hint="default"/>
                <w:color w:val="auto"/>
                <w:highlight w:val="none"/>
                <w:lang w:val="ru-RU"/>
              </w:rPr>
              <w:t>02</w:t>
            </w:r>
          </w:p>
          <w:p w14:paraId="07AB4B5D">
            <w:pPr>
              <w:pStyle w:val="301"/>
              <w:snapToGrid w:val="0"/>
              <w:spacing w:before="0" w:after="0"/>
              <w:rPr>
                <w:color w:val="auto"/>
                <w:highlight w:val="none"/>
                <w:lang w:val="en-US"/>
              </w:rPr>
            </w:pPr>
          </w:p>
        </w:tc>
      </w:tr>
      <w:tr w14:paraId="159347E8">
        <w:tblPrEx>
          <w:tblCellMar>
            <w:top w:w="0" w:type="dxa"/>
            <w:left w:w="108" w:type="dxa"/>
            <w:bottom w:w="0" w:type="dxa"/>
            <w:right w:w="108" w:type="dxa"/>
          </w:tblCellMar>
        </w:tblPrEx>
        <w:trPr>
          <w:trHeight w:val="690" w:hRule="atLeast"/>
        </w:trPr>
        <w:tc>
          <w:tcPr>
            <w:tcW w:w="1047" w:type="pct"/>
            <w:tcBorders>
              <w:top w:val="single" w:color="000000" w:sz="4" w:space="0"/>
              <w:left w:val="single" w:color="000000" w:sz="4" w:space="0"/>
              <w:bottom w:val="single" w:color="000000" w:sz="4" w:space="0"/>
              <w:right w:val="single" w:color="000000" w:sz="4" w:space="0"/>
            </w:tcBorders>
          </w:tcPr>
          <w:p w14:paraId="1E4F0D52">
            <w:pPr>
              <w:snapToGrid w:val="0"/>
              <w:spacing w:after="0"/>
              <w:jc w:val="left"/>
              <w:rPr>
                <w:rFonts w:eastAsia="Times New Roman"/>
                <w:color w:val="auto"/>
                <w:sz w:val="24"/>
                <w:szCs w:val="24"/>
              </w:rPr>
            </w:pPr>
            <w:r>
              <w:rPr>
                <w:color w:val="auto"/>
                <w:sz w:val="24"/>
                <w:szCs w:val="24"/>
                <w:lang w:val="en-US" w:eastAsia="zh-CN" w:bidi="ar"/>
              </w:rPr>
              <w:t>Поливинил спирті</w:t>
            </w:r>
          </w:p>
        </w:tc>
        <w:tc>
          <w:tcPr>
            <w:tcW w:w="1025" w:type="pct"/>
            <w:tcBorders>
              <w:top w:val="single" w:color="000000" w:sz="4" w:space="0"/>
              <w:left w:val="single" w:color="000000" w:sz="4" w:space="0"/>
              <w:bottom w:val="single" w:color="000000" w:sz="4" w:space="0"/>
              <w:right w:val="single" w:color="000000" w:sz="4" w:space="0"/>
            </w:tcBorders>
          </w:tcPr>
          <w:p w14:paraId="4B03655F">
            <w:pPr>
              <w:pStyle w:val="301"/>
              <w:snapToGrid w:val="0"/>
              <w:spacing w:before="0" w:after="0"/>
              <w:rPr>
                <w:color w:val="auto"/>
                <w:lang w:val="en-US"/>
              </w:rPr>
            </w:pPr>
            <w:r>
              <w:rPr>
                <w:rFonts w:eastAsia="SimSun"/>
                <w:color w:val="auto"/>
                <w:lang w:val="en-US" w:eastAsia="zh-CN" w:bidi="ar"/>
              </w:rPr>
              <w:t>Дизель отыны</w:t>
            </w:r>
          </w:p>
        </w:tc>
        <w:tc>
          <w:tcPr>
            <w:tcW w:w="985" w:type="pct"/>
            <w:tcBorders>
              <w:top w:val="single" w:color="000000" w:sz="4" w:space="0"/>
              <w:left w:val="single" w:color="000000" w:sz="4" w:space="0"/>
              <w:bottom w:val="single" w:color="000000" w:sz="4" w:space="0"/>
              <w:right w:val="single" w:color="000000" w:sz="4" w:space="0"/>
            </w:tcBorders>
          </w:tcPr>
          <w:p w14:paraId="18534A80">
            <w:pPr>
              <w:pStyle w:val="301"/>
              <w:snapToGrid w:val="0"/>
              <w:spacing w:before="0" w:after="0"/>
              <w:rPr>
                <w:i/>
                <w:iCs/>
                <w:color w:val="auto"/>
                <w:lang w:val="en-US"/>
              </w:rPr>
            </w:pPr>
            <w:r>
              <w:rPr>
                <w:color w:val="auto"/>
              </w:rPr>
              <w:t>Бактериялар консорциумы</w:t>
            </w:r>
          </w:p>
        </w:tc>
        <w:tc>
          <w:tcPr>
            <w:tcW w:w="1229" w:type="pct"/>
            <w:tcBorders>
              <w:top w:val="single" w:color="000000" w:sz="4" w:space="0"/>
              <w:left w:val="single" w:color="000000" w:sz="4" w:space="0"/>
              <w:bottom w:val="single" w:color="000000" w:sz="4" w:space="0"/>
              <w:right w:val="single" w:color="000000" w:sz="4" w:space="0"/>
            </w:tcBorders>
          </w:tcPr>
          <w:p w14:paraId="5A17BFB1">
            <w:pPr>
              <w:pStyle w:val="301"/>
              <w:snapToGrid w:val="0"/>
              <w:spacing w:before="0" w:after="0"/>
              <w:rPr>
                <w:color w:val="auto"/>
              </w:rPr>
            </w:pPr>
            <w:r>
              <w:rPr>
                <w:color w:val="auto"/>
              </w:rPr>
              <w:t xml:space="preserve">Бос </w:t>
            </w:r>
            <w:r>
              <w:rPr>
                <w:color w:val="auto"/>
                <w:lang w:val="kk-KZ"/>
              </w:rPr>
              <w:t>түрінде</w:t>
            </w:r>
            <w:r>
              <w:rPr>
                <w:color w:val="auto"/>
              </w:rPr>
              <w:t xml:space="preserve"> - </w:t>
            </w:r>
            <w:r>
              <w:rPr>
                <w:color w:val="auto"/>
                <w:lang w:val="en-US"/>
              </w:rPr>
              <w:t>82</w:t>
            </w:r>
            <w:r>
              <w:rPr>
                <w:color w:val="auto"/>
              </w:rPr>
              <w:t>%</w:t>
            </w:r>
          </w:p>
          <w:p w14:paraId="33BFA81F">
            <w:pPr>
              <w:pStyle w:val="301"/>
              <w:snapToGrid w:val="0"/>
              <w:spacing w:before="0" w:after="0"/>
              <w:rPr>
                <w:color w:val="auto"/>
              </w:rPr>
            </w:pPr>
            <w:r>
              <w:rPr>
                <w:color w:val="auto"/>
              </w:rPr>
              <w:t xml:space="preserve">Иммобилизацияланған  - </w:t>
            </w:r>
            <w:r>
              <w:rPr>
                <w:color w:val="auto"/>
                <w:lang w:val="en-US"/>
              </w:rPr>
              <w:t>96</w:t>
            </w:r>
            <w:r>
              <w:rPr>
                <w:color w:val="auto"/>
              </w:rPr>
              <w:t>%</w:t>
            </w:r>
          </w:p>
        </w:tc>
        <w:tc>
          <w:tcPr>
            <w:tcW w:w="712" w:type="pct"/>
            <w:tcBorders>
              <w:top w:val="single" w:color="000000" w:sz="4" w:space="0"/>
              <w:left w:val="single" w:color="000000" w:sz="4" w:space="0"/>
              <w:bottom w:val="single" w:color="000000" w:sz="4" w:space="0"/>
              <w:right w:val="single" w:color="000000" w:sz="4" w:space="0"/>
            </w:tcBorders>
          </w:tcPr>
          <w:p w14:paraId="1306307A">
            <w:pPr>
              <w:pStyle w:val="301"/>
              <w:snapToGrid w:val="0"/>
              <w:spacing w:before="0" w:after="0"/>
              <w:rPr>
                <w:rFonts w:hint="default"/>
                <w:color w:val="auto"/>
                <w:highlight w:val="none"/>
                <w:lang w:val="ru-RU"/>
              </w:rPr>
            </w:pPr>
            <w:r>
              <w:rPr>
                <w:rFonts w:eastAsia="SimSun"/>
                <w:color w:val="auto"/>
                <w:highlight w:val="none"/>
              </w:rPr>
              <w:t>1</w:t>
            </w:r>
            <w:r>
              <w:rPr>
                <w:rFonts w:hint="default" w:eastAsia="SimSun"/>
                <w:color w:val="auto"/>
                <w:highlight w:val="none"/>
                <w:lang w:val="ru-RU"/>
              </w:rPr>
              <w:t>03</w:t>
            </w:r>
          </w:p>
        </w:tc>
      </w:tr>
      <w:tr w14:paraId="640EAAB0">
        <w:tblPrEx>
          <w:tblCellMar>
            <w:top w:w="0" w:type="dxa"/>
            <w:left w:w="108" w:type="dxa"/>
            <w:bottom w:w="0" w:type="dxa"/>
            <w:right w:w="108" w:type="dxa"/>
          </w:tblCellMar>
        </w:tblPrEx>
        <w:trPr>
          <w:trHeight w:val="690" w:hRule="atLeast"/>
        </w:trPr>
        <w:tc>
          <w:tcPr>
            <w:tcW w:w="1047" w:type="pct"/>
            <w:tcBorders>
              <w:top w:val="single" w:color="000000" w:sz="4" w:space="0"/>
              <w:left w:val="single" w:color="000000" w:sz="4" w:space="0"/>
              <w:bottom w:val="single" w:color="000000" w:sz="4" w:space="0"/>
              <w:right w:val="single" w:color="000000" w:sz="4" w:space="0"/>
            </w:tcBorders>
          </w:tcPr>
          <w:p w14:paraId="02E722E1">
            <w:pPr>
              <w:snapToGrid w:val="0"/>
              <w:spacing w:after="0"/>
              <w:jc w:val="left"/>
              <w:rPr>
                <w:rFonts w:eastAsia="Times New Roman"/>
                <w:color w:val="auto"/>
                <w:sz w:val="24"/>
                <w:szCs w:val="24"/>
              </w:rPr>
            </w:pPr>
            <w:r>
              <w:rPr>
                <w:color w:val="auto"/>
                <w:sz w:val="24"/>
                <w:szCs w:val="24"/>
                <w:lang w:val="en-US" w:eastAsia="zh-CN" w:bidi="ar"/>
              </w:rPr>
              <w:t>Альгинат, агар, полиакриламид</w:t>
            </w:r>
          </w:p>
        </w:tc>
        <w:tc>
          <w:tcPr>
            <w:tcW w:w="1025" w:type="pct"/>
            <w:tcBorders>
              <w:top w:val="single" w:color="000000" w:sz="4" w:space="0"/>
              <w:left w:val="single" w:color="000000" w:sz="4" w:space="0"/>
              <w:bottom w:val="single" w:color="000000" w:sz="4" w:space="0"/>
              <w:right w:val="single" w:color="000000" w:sz="4" w:space="0"/>
            </w:tcBorders>
          </w:tcPr>
          <w:p w14:paraId="020EFF93">
            <w:pPr>
              <w:pStyle w:val="301"/>
              <w:snapToGrid w:val="0"/>
              <w:spacing w:before="0" w:after="0"/>
              <w:rPr>
                <w:color w:val="auto"/>
                <w:lang w:val="en-US"/>
              </w:rPr>
            </w:pPr>
            <w:r>
              <w:rPr>
                <w:rFonts w:eastAsia="SimSun"/>
                <w:color w:val="auto"/>
                <w:lang w:val="en-US" w:eastAsia="zh-CN" w:bidi="ar"/>
              </w:rPr>
              <w:t>Этилбензол</w:t>
            </w:r>
          </w:p>
        </w:tc>
        <w:tc>
          <w:tcPr>
            <w:tcW w:w="985" w:type="pct"/>
            <w:tcBorders>
              <w:top w:val="single" w:color="000000" w:sz="4" w:space="0"/>
              <w:left w:val="single" w:color="000000" w:sz="4" w:space="0"/>
              <w:bottom w:val="single" w:color="000000" w:sz="4" w:space="0"/>
              <w:right w:val="single" w:color="000000" w:sz="4" w:space="0"/>
            </w:tcBorders>
          </w:tcPr>
          <w:p w14:paraId="3D4C24DF">
            <w:pPr>
              <w:pStyle w:val="301"/>
              <w:snapToGrid w:val="0"/>
              <w:spacing w:before="0" w:after="0"/>
              <w:rPr>
                <w:i/>
                <w:iCs/>
                <w:color w:val="auto"/>
                <w:lang w:val="en-US"/>
              </w:rPr>
            </w:pPr>
            <w:r>
              <w:rPr>
                <w:rFonts w:eastAsia="SimSun"/>
                <w:i/>
                <w:iCs/>
                <w:color w:val="auto"/>
                <w:lang w:val="en-US" w:eastAsia="zh-CN" w:bidi="ar"/>
              </w:rPr>
              <w:t>Pseudomonas fluorescens CS2</w:t>
            </w:r>
          </w:p>
        </w:tc>
        <w:tc>
          <w:tcPr>
            <w:tcW w:w="1229" w:type="pct"/>
            <w:tcBorders>
              <w:top w:val="single" w:color="000000" w:sz="4" w:space="0"/>
              <w:left w:val="single" w:color="000000" w:sz="4" w:space="0"/>
              <w:bottom w:val="single" w:color="000000" w:sz="4" w:space="0"/>
              <w:right w:val="single" w:color="000000" w:sz="4" w:space="0"/>
            </w:tcBorders>
          </w:tcPr>
          <w:p w14:paraId="30E78414">
            <w:pPr>
              <w:pStyle w:val="301"/>
              <w:snapToGrid w:val="0"/>
              <w:spacing w:before="0" w:after="0"/>
              <w:rPr>
                <w:color w:val="auto"/>
              </w:rPr>
            </w:pPr>
            <w:r>
              <w:rPr>
                <w:color w:val="auto"/>
              </w:rPr>
              <w:t xml:space="preserve">Бос </w:t>
            </w:r>
            <w:r>
              <w:rPr>
                <w:color w:val="auto"/>
                <w:lang w:val="kk-KZ"/>
              </w:rPr>
              <w:t>түрінде</w:t>
            </w:r>
            <w:r>
              <w:rPr>
                <w:color w:val="auto"/>
              </w:rPr>
              <w:t xml:space="preserve"> - </w:t>
            </w:r>
            <w:r>
              <w:rPr>
                <w:color w:val="auto"/>
                <w:lang w:val="en-US"/>
              </w:rPr>
              <w:t>82</w:t>
            </w:r>
            <w:r>
              <w:rPr>
                <w:color w:val="auto"/>
              </w:rPr>
              <w:t>%</w:t>
            </w:r>
          </w:p>
          <w:p w14:paraId="6BA899ED">
            <w:pPr>
              <w:pStyle w:val="301"/>
              <w:snapToGrid w:val="0"/>
              <w:spacing w:before="0" w:after="0"/>
              <w:rPr>
                <w:color w:val="auto"/>
              </w:rPr>
            </w:pPr>
            <w:r>
              <w:rPr>
                <w:color w:val="auto"/>
              </w:rPr>
              <w:t>Иммобилизациялан</w:t>
            </w:r>
            <w:r>
              <w:rPr>
                <w:rFonts w:hint="default"/>
                <w:color w:val="auto"/>
                <w:lang w:val="kk-KZ"/>
              </w:rPr>
              <w:t>-</w:t>
            </w:r>
            <w:r>
              <w:rPr>
                <w:color w:val="auto"/>
              </w:rPr>
              <w:t xml:space="preserve">ған  - </w:t>
            </w:r>
            <w:r>
              <w:rPr>
                <w:color w:val="auto"/>
                <w:lang w:val="en-US"/>
              </w:rPr>
              <w:t>96</w:t>
            </w:r>
            <w:r>
              <w:rPr>
                <w:color w:val="auto"/>
              </w:rPr>
              <w:t>%</w:t>
            </w:r>
          </w:p>
        </w:tc>
        <w:tc>
          <w:tcPr>
            <w:tcW w:w="712" w:type="pct"/>
            <w:tcBorders>
              <w:top w:val="single" w:color="000000" w:sz="4" w:space="0"/>
              <w:left w:val="single" w:color="000000" w:sz="4" w:space="0"/>
              <w:bottom w:val="single" w:color="000000" w:sz="4" w:space="0"/>
              <w:right w:val="single" w:color="000000" w:sz="4" w:space="0"/>
            </w:tcBorders>
          </w:tcPr>
          <w:p w14:paraId="189454C2">
            <w:pPr>
              <w:pStyle w:val="301"/>
              <w:snapToGrid w:val="0"/>
              <w:spacing w:before="0" w:after="0"/>
              <w:rPr>
                <w:rFonts w:hint="default"/>
                <w:color w:val="auto"/>
                <w:highlight w:val="none"/>
                <w:lang w:val="ru-RU"/>
              </w:rPr>
            </w:pPr>
            <w:r>
              <w:rPr>
                <w:color w:val="auto"/>
                <w:highlight w:val="none"/>
              </w:rPr>
              <w:t>1</w:t>
            </w:r>
            <w:r>
              <w:rPr>
                <w:rFonts w:hint="default"/>
                <w:color w:val="auto"/>
                <w:highlight w:val="none"/>
                <w:lang w:val="ru-RU"/>
              </w:rPr>
              <w:t>04</w:t>
            </w:r>
          </w:p>
        </w:tc>
      </w:tr>
    </w:tbl>
    <w:p w14:paraId="4C52AAED">
      <w:pPr>
        <w:pStyle w:val="35"/>
        <w:spacing w:beforeAutospacing="0" w:afterAutospacing="0"/>
        <w:ind w:firstLine="709"/>
        <w:jc w:val="both"/>
        <w:rPr>
          <w:color w:val="auto"/>
          <w:sz w:val="28"/>
          <w:szCs w:val="28"/>
        </w:rPr>
      </w:pPr>
    </w:p>
    <w:p w14:paraId="2CEEDDFA">
      <w:pPr>
        <w:pStyle w:val="35"/>
        <w:spacing w:beforeAutospacing="0" w:afterAutospacing="0"/>
        <w:ind w:firstLine="709"/>
        <w:jc w:val="both"/>
        <w:rPr>
          <w:color w:val="auto"/>
          <w:sz w:val="28"/>
          <w:szCs w:val="28"/>
        </w:rPr>
      </w:pPr>
      <w:r>
        <w:rPr>
          <w:color w:val="auto"/>
          <w:sz w:val="28"/>
          <w:szCs w:val="28"/>
        </w:rPr>
        <w:t>Тасымалдаушыларды таңдау биоремедиация процестерінің сәттілігін анықтайтын шешуші фактор болып табылады. Органикалық тасымалдаушылар (өсімдік талшықтары, агроөнеркәсіптік қалдықтар) биологиялық үйлесімділігімен, төмен құнымен және қол жетімділігімен ерекшеленеді, ал бейорганикалық минералды материалдар (перлит, вермикулит, диатомит, цеолиттер, бентонит) жоғары механикалық беріктікпен, химиялық белсенсіздікпен және қайта пайдалануға жарамдылықпен сипатталады. Зерттеулер көрсеткендей, иммобилизацияланған микроорганизмдер бос жасушалармен салыстырғанда мұнай көмірсутектері, хош иісті қосылыстар және басқа да органикалық ластаушы заттарды ыдыратуда айтарлықтай жоғары тиімділік көрсетеді, бұл биоремедиация технологияларында олардың қолданылу перспективаларын растайды.</w:t>
      </w:r>
    </w:p>
    <w:p w14:paraId="6C29E798">
      <w:pPr>
        <w:rPr>
          <w:color w:val="auto"/>
          <w:sz w:val="28"/>
          <w:szCs w:val="28"/>
        </w:rPr>
      </w:pPr>
      <w:r>
        <w:rPr>
          <w:color w:val="auto"/>
          <w:sz w:val="28"/>
          <w:szCs w:val="28"/>
        </w:rPr>
        <w:br w:type="page"/>
      </w:r>
    </w:p>
    <w:p w14:paraId="05384C68">
      <w:pPr>
        <w:pStyle w:val="35"/>
        <w:spacing w:beforeAutospacing="0" w:afterAutospacing="0"/>
        <w:ind w:firstLine="709"/>
        <w:jc w:val="both"/>
        <w:rPr>
          <w:color w:val="auto"/>
          <w:sz w:val="28"/>
          <w:szCs w:val="28"/>
          <w:lang w:val="kk-KZ"/>
        </w:rPr>
      </w:pPr>
      <w:r>
        <w:rPr>
          <w:b/>
          <w:bCs/>
          <w:color w:val="auto"/>
          <w:sz w:val="28"/>
          <w:szCs w:val="28"/>
          <w:lang w:val="kk-KZ"/>
        </w:rPr>
        <w:t>1.7 Б</w:t>
      </w:r>
      <w:r>
        <w:rPr>
          <w:b/>
          <w:bCs/>
          <w:color w:val="auto"/>
          <w:sz w:val="28"/>
          <w:szCs w:val="28"/>
        </w:rPr>
        <w:t>иоремедиацияның қолданыстағы технологияларын талдау және олардың шектеулерін анықтау</w:t>
      </w:r>
    </w:p>
    <w:p w14:paraId="0E292BE9">
      <w:pPr>
        <w:pStyle w:val="35"/>
        <w:spacing w:beforeAutospacing="0" w:afterAutospacing="0"/>
        <w:ind w:firstLine="709"/>
        <w:jc w:val="both"/>
        <w:rPr>
          <w:color w:val="auto"/>
          <w:sz w:val="28"/>
          <w:szCs w:val="28"/>
          <w:lang w:val="kk-KZ"/>
        </w:rPr>
      </w:pPr>
      <w:r>
        <w:rPr>
          <w:color w:val="auto"/>
          <w:sz w:val="28"/>
          <w:szCs w:val="28"/>
          <w:lang w:val="kk-KZ"/>
        </w:rPr>
        <w:t>Қазіргі таңда мұнай және мұнай өнімдерімен ластанған топырақтарды тазарту үшін әлемде және Қазақстанда әртүрлі биоремедиация технологиялары қолданылуда. Бұл технологиялардың тиімділігі климаттық жағдайларға, топырақ қасиеттеріне және ластану деңгейіне байланысты болады. Алайда Қазақстанның аридті климаты, экстремалды температуралық режимдері және топырақтың жоғары минералдануы қолданыстағы биоремедиация әдістерінің қолданылуына елеулі шектеулер қояды</w:t>
      </w:r>
      <w:r>
        <w:rPr>
          <w:rFonts w:hint="default"/>
          <w:color w:val="auto"/>
          <w:sz w:val="28"/>
          <w:szCs w:val="28"/>
          <w:lang w:val="en-US"/>
        </w:rPr>
        <w:t xml:space="preserve"> [105]</w:t>
      </w:r>
      <w:r>
        <w:rPr>
          <w:color w:val="auto"/>
          <w:sz w:val="28"/>
          <w:szCs w:val="28"/>
          <w:lang w:val="kk-KZ"/>
        </w:rPr>
        <w:t>.</w:t>
      </w:r>
    </w:p>
    <w:p w14:paraId="551A344B">
      <w:pPr>
        <w:pStyle w:val="35"/>
        <w:spacing w:beforeAutospacing="0" w:afterAutospacing="0"/>
        <w:ind w:firstLine="709"/>
        <w:jc w:val="both"/>
        <w:rPr>
          <w:color w:val="auto"/>
          <w:sz w:val="28"/>
          <w:szCs w:val="28"/>
          <w:lang w:val="kk-KZ"/>
        </w:rPr>
      </w:pPr>
      <w:r>
        <w:rPr>
          <w:i/>
          <w:iCs/>
          <w:color w:val="auto"/>
          <w:sz w:val="28"/>
          <w:szCs w:val="28"/>
          <w:lang w:val="kk-KZ" w:bidi="ar"/>
        </w:rPr>
        <w:t>Табиғи әлсіреу (аттенуация)</w:t>
      </w:r>
      <w:r>
        <w:rPr>
          <w:color w:val="auto"/>
          <w:sz w:val="28"/>
          <w:szCs w:val="28"/>
          <w:lang w:val="kk-KZ"/>
        </w:rPr>
        <w:t xml:space="preserve"> топырақтағы жергілікті микроорганизмдердің өздігінен мұнайды ыдыратуына негізделген. Әдіс арзан болғанымен, өте ұзақ (5-20 жыл) және тиімділігі төмен (15%) [1</w:t>
      </w:r>
      <w:r>
        <w:rPr>
          <w:rFonts w:hint="default"/>
          <w:color w:val="auto"/>
          <w:sz w:val="28"/>
          <w:szCs w:val="28"/>
          <w:lang w:val="ru-RU"/>
        </w:rPr>
        <w:t>0</w:t>
      </w:r>
      <w:r>
        <w:rPr>
          <w:rFonts w:hint="default"/>
          <w:color w:val="auto"/>
          <w:sz w:val="28"/>
          <w:szCs w:val="28"/>
          <w:lang w:val="en-US"/>
        </w:rPr>
        <w:t>6</w:t>
      </w:r>
      <w:r>
        <w:rPr>
          <w:color w:val="auto"/>
          <w:sz w:val="28"/>
          <w:szCs w:val="28"/>
          <w:lang w:val="kk-KZ"/>
        </w:rPr>
        <w:t>]. Қазақстанның құрғақ климатында, су тапшылығы мен аборигенді микрофлораның әлсіз дамығандығы әдісті іс жүзінде қолдануға жарамсыз етеді.</w:t>
      </w:r>
    </w:p>
    <w:p w14:paraId="5A87EE2F">
      <w:pPr>
        <w:pStyle w:val="35"/>
        <w:spacing w:beforeAutospacing="0" w:afterAutospacing="0"/>
        <w:ind w:firstLine="709"/>
        <w:jc w:val="both"/>
        <w:rPr>
          <w:color w:val="auto"/>
          <w:sz w:val="28"/>
          <w:szCs w:val="28"/>
          <w:lang w:val="kk-KZ"/>
        </w:rPr>
      </w:pPr>
      <w:r>
        <w:rPr>
          <w:rStyle w:val="19"/>
          <w:b w:val="0"/>
          <w:bCs w:val="0"/>
          <w:i/>
          <w:iCs/>
          <w:color w:val="auto"/>
          <w:sz w:val="28"/>
          <w:szCs w:val="28"/>
          <w:lang w:val="kk-KZ"/>
        </w:rPr>
        <w:t>Биостимуляция</w:t>
      </w:r>
      <w:r>
        <w:rPr>
          <w:i/>
          <w:iCs/>
          <w:color w:val="auto"/>
          <w:sz w:val="28"/>
          <w:szCs w:val="28"/>
          <w:lang w:val="kk-KZ"/>
        </w:rPr>
        <w:t xml:space="preserve"> </w:t>
      </w:r>
      <w:r>
        <w:rPr>
          <w:color w:val="auto"/>
          <w:sz w:val="28"/>
          <w:szCs w:val="28"/>
          <w:lang w:val="kk-KZ"/>
        </w:rPr>
        <w:t>қоректік заттар (N, P, K) және оттегі қосу арқылы жергілікті микроорганизмдердің белсенділігін арттырады. Дегенмен, тарихи ластанған аймақтарда аборигенді нефтедеструкторлар аз, ал қоректік заттар құрғақ климатта тез шайылады. Ғылыми мақаласында [1</w:t>
      </w:r>
      <w:r>
        <w:rPr>
          <w:rFonts w:hint="default"/>
          <w:color w:val="auto"/>
          <w:sz w:val="28"/>
          <w:szCs w:val="28"/>
          <w:lang w:val="ru-RU"/>
        </w:rPr>
        <w:t>0</w:t>
      </w:r>
      <w:r>
        <w:rPr>
          <w:rFonts w:hint="default"/>
          <w:color w:val="auto"/>
          <w:sz w:val="28"/>
          <w:szCs w:val="28"/>
          <w:lang w:val="en-US"/>
        </w:rPr>
        <w:t>7</w:t>
      </w:r>
      <w:r>
        <w:rPr>
          <w:color w:val="auto"/>
          <w:sz w:val="28"/>
          <w:szCs w:val="28"/>
          <w:lang w:val="kk-KZ"/>
        </w:rPr>
        <w:t>] биостимуляция тиімділігі биоаугментациядан 1.5-2 есе төмен екенін көрсетті.</w:t>
      </w:r>
    </w:p>
    <w:p w14:paraId="59C576A0">
      <w:pPr>
        <w:pStyle w:val="35"/>
        <w:spacing w:beforeAutospacing="0" w:afterAutospacing="0"/>
        <w:ind w:firstLine="709"/>
        <w:jc w:val="both"/>
        <w:rPr>
          <w:color w:val="auto"/>
          <w:sz w:val="28"/>
          <w:szCs w:val="28"/>
          <w:lang w:val="kk-KZ"/>
        </w:rPr>
      </w:pPr>
      <w:r>
        <w:rPr>
          <w:rStyle w:val="19"/>
          <w:b w:val="0"/>
          <w:bCs w:val="0"/>
          <w:i/>
          <w:iCs/>
          <w:color w:val="auto"/>
          <w:sz w:val="28"/>
          <w:szCs w:val="28"/>
          <w:lang w:val="kk-KZ"/>
        </w:rPr>
        <w:t>Биоаугментация</w:t>
      </w:r>
      <w:r>
        <w:rPr>
          <w:rStyle w:val="19"/>
          <w:b w:val="0"/>
          <w:bCs w:val="0"/>
          <w:color w:val="auto"/>
          <w:sz w:val="28"/>
          <w:szCs w:val="28"/>
          <w:lang w:val="kk-KZ"/>
        </w:rPr>
        <w:t xml:space="preserve"> бос жасушалармен</w:t>
      </w:r>
      <w:r>
        <w:rPr>
          <w:color w:val="auto"/>
          <w:sz w:val="28"/>
          <w:szCs w:val="28"/>
          <w:lang w:val="kk-KZ"/>
        </w:rPr>
        <w:t xml:space="preserve"> арнайы таңдалған бактериялардың бос дақылын енгізуге негізделген. Негізгі мәселе – бос жасушалардың 7-14 күнде өміршеңдігін 90% жоғалтуы. Салыстырмалы зерттеулер айқын көрсетеді: р-нитрофенолды ыдыратуда бос жасушалар 4</w:t>
      </w:r>
      <w:r>
        <w:rPr>
          <w:rFonts w:hint="default"/>
          <w:color w:val="auto"/>
          <w:sz w:val="28"/>
          <w:szCs w:val="28"/>
          <w:lang w:val="ru-RU"/>
        </w:rPr>
        <w:t>5</w:t>
      </w:r>
      <w:r>
        <w:rPr>
          <w:color w:val="auto"/>
          <w:sz w:val="28"/>
          <w:szCs w:val="28"/>
          <w:lang w:val="kk-KZ"/>
        </w:rPr>
        <w:t xml:space="preserve">%, иммобилизацияланған </w:t>
      </w:r>
      <w:r>
        <w:rPr>
          <w:rFonts w:hint="default"/>
          <w:color w:val="auto"/>
          <w:sz w:val="28"/>
          <w:szCs w:val="28"/>
          <w:lang w:val="ru-RU"/>
        </w:rPr>
        <w:t>99</w:t>
      </w:r>
      <w:r>
        <w:rPr>
          <w:color w:val="auto"/>
          <w:sz w:val="28"/>
          <w:szCs w:val="28"/>
          <w:lang w:val="kk-KZ"/>
        </w:rPr>
        <w:t>% [</w:t>
      </w:r>
      <w:r>
        <w:rPr>
          <w:rFonts w:hint="default"/>
          <w:color w:val="auto"/>
          <w:sz w:val="28"/>
          <w:szCs w:val="28"/>
          <w:lang w:val="ru-RU"/>
        </w:rPr>
        <w:t>108</w:t>
      </w:r>
      <w:r>
        <w:rPr>
          <w:color w:val="auto"/>
          <w:sz w:val="28"/>
          <w:szCs w:val="28"/>
          <w:lang w:val="kk-KZ"/>
        </w:rPr>
        <w:t xml:space="preserve">]; гексадекан үшін </w:t>
      </w:r>
      <w:r>
        <w:rPr>
          <w:rFonts w:hint="default"/>
          <w:color w:val="auto"/>
          <w:sz w:val="28"/>
          <w:szCs w:val="28"/>
          <w:lang w:val="ru-RU"/>
        </w:rPr>
        <w:t>68</w:t>
      </w:r>
      <w:r>
        <w:rPr>
          <w:color w:val="auto"/>
          <w:sz w:val="28"/>
          <w:szCs w:val="28"/>
          <w:lang w:val="kk-KZ"/>
        </w:rPr>
        <w:t>% және 9</w:t>
      </w:r>
      <w:r>
        <w:rPr>
          <w:rFonts w:hint="default"/>
          <w:color w:val="auto"/>
          <w:sz w:val="28"/>
          <w:szCs w:val="28"/>
          <w:lang w:val="ru-RU"/>
        </w:rPr>
        <w:t>4</w:t>
      </w:r>
      <w:r>
        <w:rPr>
          <w:color w:val="auto"/>
          <w:sz w:val="28"/>
          <w:szCs w:val="28"/>
          <w:lang w:val="kk-KZ"/>
        </w:rPr>
        <w:t>% [1</w:t>
      </w:r>
      <w:r>
        <w:rPr>
          <w:rFonts w:hint="default"/>
          <w:color w:val="auto"/>
          <w:sz w:val="28"/>
          <w:szCs w:val="28"/>
          <w:lang w:val="ru-RU"/>
        </w:rPr>
        <w:t>09</w:t>
      </w:r>
      <w:r>
        <w:rPr>
          <w:color w:val="auto"/>
          <w:sz w:val="28"/>
          <w:szCs w:val="28"/>
          <w:lang w:val="kk-KZ"/>
        </w:rPr>
        <w:t>]; ауыр мұнай үшін 51.2% және 86.6% [1</w:t>
      </w:r>
      <w:r>
        <w:rPr>
          <w:rFonts w:hint="default"/>
          <w:color w:val="auto"/>
          <w:sz w:val="28"/>
          <w:szCs w:val="28"/>
          <w:lang w:val="ru-RU"/>
        </w:rPr>
        <w:t>10</w:t>
      </w:r>
      <w:r>
        <w:rPr>
          <w:color w:val="auto"/>
          <w:sz w:val="28"/>
          <w:szCs w:val="28"/>
          <w:lang w:val="kk-KZ"/>
        </w:rPr>
        <w:t>] тиімділік көрсетті. Қазақстанның экстремалды температурасы (-30°C...+45°C) және топырақ тұздылығы бос жасушалардың өміршеңдігін одан әрі төмендетеді.</w:t>
      </w:r>
    </w:p>
    <w:p w14:paraId="05C9F6A5">
      <w:pPr>
        <w:pStyle w:val="35"/>
        <w:spacing w:beforeAutospacing="0" w:afterAutospacing="0"/>
        <w:ind w:firstLine="709"/>
        <w:jc w:val="both"/>
        <w:rPr>
          <w:color w:val="auto"/>
          <w:sz w:val="28"/>
          <w:szCs w:val="28"/>
          <w:lang w:val="kk-KZ"/>
        </w:rPr>
      </w:pPr>
      <w:r>
        <w:rPr>
          <w:rStyle w:val="19"/>
          <w:b w:val="0"/>
          <w:bCs w:val="0"/>
          <w:i/>
          <w:iCs/>
          <w:color w:val="auto"/>
          <w:sz w:val="28"/>
          <w:szCs w:val="28"/>
          <w:highlight w:val="none"/>
          <w:lang w:val="kk-KZ"/>
        </w:rPr>
        <w:t>Фиторемедиация</w:t>
      </w:r>
      <w:r>
        <w:rPr>
          <w:i/>
          <w:iCs/>
          <w:color w:val="auto"/>
          <w:sz w:val="28"/>
          <w:szCs w:val="28"/>
          <w:highlight w:val="none"/>
          <w:lang w:val="kk-KZ"/>
        </w:rPr>
        <w:t xml:space="preserve"> </w:t>
      </w:r>
      <w:r>
        <w:rPr>
          <w:color w:val="auto"/>
          <w:sz w:val="28"/>
          <w:szCs w:val="28"/>
          <w:highlight w:val="none"/>
          <w:lang w:val="kk-KZ"/>
        </w:rPr>
        <w:t xml:space="preserve">өсімдіктер арқылы </w:t>
      </w:r>
      <w:r>
        <w:rPr>
          <w:color w:val="auto"/>
          <w:sz w:val="28"/>
          <w:szCs w:val="28"/>
          <w:lang w:val="kk-KZ"/>
        </w:rPr>
        <w:t>мұнайды жұтуға негізделген. Процесс өте ұзақ (3-5 жыл), қатты ластануға жарамсыз (&gt;10000 мг/кг) [1</w:t>
      </w:r>
      <w:r>
        <w:rPr>
          <w:rFonts w:hint="default"/>
          <w:color w:val="auto"/>
          <w:sz w:val="28"/>
          <w:szCs w:val="28"/>
          <w:lang w:val="ru-RU"/>
        </w:rPr>
        <w:t>09</w:t>
      </w:r>
      <w:r>
        <w:rPr>
          <w:color w:val="auto"/>
          <w:sz w:val="28"/>
          <w:szCs w:val="28"/>
          <w:lang w:val="kk-KZ"/>
        </w:rPr>
        <w:t>], ал Қазақстанда маусымдық шектеулер (өсу кезеңі 120-150 күн) және су тапшылығы (жауын-шашын 100-150 мм/жыл) әдісті қосымша ретінде ғана қолдануға мүмкіндік береді</w:t>
      </w:r>
      <w:r>
        <w:rPr>
          <w:rFonts w:hint="default"/>
          <w:color w:val="auto"/>
          <w:sz w:val="28"/>
          <w:szCs w:val="28"/>
          <w:lang w:val="en-US"/>
        </w:rPr>
        <w:t xml:space="preserve"> </w:t>
      </w:r>
      <w:r>
        <w:rPr>
          <w:color w:val="auto"/>
          <w:sz w:val="28"/>
          <w:szCs w:val="28"/>
          <w:lang w:val="kk-KZ"/>
        </w:rPr>
        <w:t>[1</w:t>
      </w:r>
      <w:r>
        <w:rPr>
          <w:rFonts w:hint="default"/>
          <w:color w:val="auto"/>
          <w:sz w:val="28"/>
          <w:szCs w:val="28"/>
          <w:lang w:val="ru-RU"/>
        </w:rPr>
        <w:t>1</w:t>
      </w:r>
      <w:r>
        <w:rPr>
          <w:rFonts w:hint="default"/>
          <w:color w:val="auto"/>
          <w:sz w:val="28"/>
          <w:szCs w:val="28"/>
          <w:lang w:val="en-US"/>
        </w:rPr>
        <w:t>1</w:t>
      </w:r>
      <w:r>
        <w:rPr>
          <w:color w:val="auto"/>
          <w:sz w:val="28"/>
          <w:szCs w:val="28"/>
          <w:lang w:val="kk-KZ"/>
        </w:rPr>
        <w:t>].</w:t>
      </w:r>
    </w:p>
    <w:p w14:paraId="25E005B8">
      <w:pPr>
        <w:pStyle w:val="35"/>
        <w:spacing w:beforeAutospacing="0" w:afterAutospacing="0"/>
        <w:ind w:firstLine="709"/>
        <w:jc w:val="both"/>
        <w:rPr>
          <w:color w:val="auto"/>
          <w:sz w:val="28"/>
          <w:szCs w:val="28"/>
          <w:highlight w:val="none"/>
          <w:lang w:val="kk-KZ"/>
        </w:rPr>
      </w:pPr>
      <w:r>
        <w:rPr>
          <w:rStyle w:val="19"/>
          <w:b w:val="0"/>
          <w:bCs w:val="0"/>
          <w:i/>
          <w:iCs/>
          <w:color w:val="auto"/>
          <w:sz w:val="28"/>
          <w:szCs w:val="28"/>
          <w:highlight w:val="none"/>
          <w:lang w:val="kk-KZ"/>
        </w:rPr>
        <w:t>Биореакторлық әдістер</w:t>
      </w:r>
      <w:r>
        <w:rPr>
          <w:color w:val="auto"/>
          <w:sz w:val="28"/>
          <w:szCs w:val="28"/>
          <w:highlight w:val="none"/>
          <w:lang w:val="kk-KZ"/>
        </w:rPr>
        <w:t xml:space="preserve"> (ex-situ) жоғары тиімділікті (80-95%) қамтамасыз етеді, бірақ өте қымбат, топырақты қазу және тасымалдауды талап етеді, үлкен аумақтарға жарамсыз</w:t>
      </w:r>
      <w:r>
        <w:rPr>
          <w:rFonts w:hint="default"/>
          <w:color w:val="auto"/>
          <w:sz w:val="28"/>
          <w:szCs w:val="28"/>
          <w:highlight w:val="none"/>
          <w:lang w:val="en-US"/>
        </w:rPr>
        <w:t xml:space="preserve"> [112]</w:t>
      </w:r>
      <w:r>
        <w:rPr>
          <w:color w:val="auto"/>
          <w:sz w:val="28"/>
          <w:szCs w:val="28"/>
          <w:highlight w:val="none"/>
          <w:lang w:val="kk-KZ"/>
        </w:rPr>
        <w:t>.</w:t>
      </w:r>
    </w:p>
    <w:p w14:paraId="1D8D61FE">
      <w:pPr>
        <w:pStyle w:val="35"/>
        <w:spacing w:beforeAutospacing="0" w:afterAutospacing="0"/>
        <w:ind w:firstLine="709"/>
        <w:jc w:val="both"/>
        <w:rPr>
          <w:color w:val="auto"/>
          <w:sz w:val="28"/>
          <w:szCs w:val="28"/>
          <w:lang w:val="ru-RU"/>
        </w:rPr>
      </w:pPr>
      <w:r>
        <w:rPr>
          <w:rStyle w:val="19"/>
          <w:b w:val="0"/>
          <w:bCs w:val="0"/>
          <w:i/>
          <w:iCs/>
          <w:color w:val="auto"/>
          <w:sz w:val="28"/>
          <w:szCs w:val="28"/>
          <w:highlight w:val="none"/>
          <w:lang w:val="ru-RU"/>
        </w:rPr>
        <w:t>Пиролиз</w:t>
      </w:r>
      <w:r>
        <w:rPr>
          <w:color w:val="auto"/>
          <w:sz w:val="28"/>
          <w:szCs w:val="28"/>
          <w:highlight w:val="none"/>
          <w:lang w:val="ru-RU"/>
        </w:rPr>
        <w:t xml:space="preserve"> – жоғары температурада </w:t>
      </w:r>
      <w:r>
        <w:rPr>
          <w:color w:val="auto"/>
          <w:sz w:val="28"/>
          <w:szCs w:val="28"/>
          <w:lang w:val="ru-RU"/>
        </w:rPr>
        <w:t>(400-800°</w:t>
      </w:r>
      <w:r>
        <w:rPr>
          <w:color w:val="auto"/>
          <w:sz w:val="28"/>
          <w:szCs w:val="28"/>
        </w:rPr>
        <w:t>C</w:t>
      </w:r>
      <w:r>
        <w:rPr>
          <w:color w:val="auto"/>
          <w:sz w:val="28"/>
          <w:szCs w:val="28"/>
          <w:lang w:val="ru-RU"/>
        </w:rPr>
        <w:t>) термиялық өңдеу. Қазақстанда Атырау және Маңғыстау облыстарында қолданылады. Тиімділігі жоғары (95-99%), бірақ өте қымбат (300$-800/тонна), энергия шығындары үлкен (150-250 кВт/сағ), топырақтың биологиялық қасиеттерін толығымен жояды, зиянды эмиссиялар шығарады. Қазіргі уақытта негізінен буровой шламдар үшін қолданылады</w:t>
      </w:r>
      <w:r>
        <w:rPr>
          <w:rFonts w:hint="default"/>
          <w:color w:val="auto"/>
          <w:sz w:val="28"/>
          <w:szCs w:val="28"/>
          <w:lang w:val="en-US"/>
        </w:rPr>
        <w:t xml:space="preserve"> [113]</w:t>
      </w:r>
      <w:r>
        <w:rPr>
          <w:color w:val="auto"/>
          <w:sz w:val="28"/>
          <w:szCs w:val="28"/>
          <w:lang w:val="ru-RU"/>
        </w:rPr>
        <w:t>.</w:t>
      </w:r>
    </w:p>
    <w:p w14:paraId="2441F71E">
      <w:pPr>
        <w:pStyle w:val="35"/>
        <w:spacing w:beforeAutospacing="0" w:afterAutospacing="0"/>
        <w:ind w:firstLine="709"/>
        <w:jc w:val="both"/>
        <w:rPr>
          <w:color w:val="auto"/>
          <w:sz w:val="28"/>
          <w:szCs w:val="28"/>
          <w:lang w:val="ru-RU"/>
        </w:rPr>
      </w:pPr>
      <w:r>
        <w:rPr>
          <w:rStyle w:val="19"/>
          <w:b w:val="0"/>
          <w:bCs w:val="0"/>
          <w:i/>
          <w:iCs/>
          <w:color w:val="auto"/>
          <w:sz w:val="28"/>
          <w:szCs w:val="28"/>
          <w:lang w:val="ru-RU"/>
        </w:rPr>
        <w:t>Цеолиттерге иммобилизация</w:t>
      </w:r>
      <w:r>
        <w:rPr>
          <w:color w:val="auto"/>
          <w:sz w:val="28"/>
          <w:szCs w:val="28"/>
          <w:lang w:val="ru-RU"/>
        </w:rPr>
        <w:t xml:space="preserve"> – Қазақстанда зерттелетін бағыт. Қазақстан табиғи цеолиттердің ірі қорларына ие (Шанканай, Тайжұзген кен орындары). Қазақстандық зерттеулер  [1</w:t>
      </w:r>
      <w:r>
        <w:rPr>
          <w:rFonts w:hint="default"/>
          <w:color w:val="auto"/>
          <w:sz w:val="28"/>
          <w:szCs w:val="28"/>
          <w:lang w:val="en-US"/>
        </w:rPr>
        <w:t>13, 114</w:t>
      </w:r>
      <w:r>
        <w:rPr>
          <w:color w:val="auto"/>
          <w:sz w:val="28"/>
          <w:szCs w:val="28"/>
          <w:lang w:val="ru-RU"/>
        </w:rPr>
        <w:t xml:space="preserve">] 58-72% </w:t>
      </w:r>
      <w:r>
        <w:rPr>
          <w:color w:val="auto"/>
          <w:sz w:val="28"/>
          <w:szCs w:val="28"/>
          <w:lang w:val="kk-KZ"/>
        </w:rPr>
        <w:t xml:space="preserve">ЖМӨ </w:t>
      </w:r>
      <w:r>
        <w:rPr>
          <w:color w:val="auto"/>
          <w:sz w:val="28"/>
          <w:szCs w:val="28"/>
          <w:lang w:val="ru-RU"/>
        </w:rPr>
        <w:t xml:space="preserve">ыдырауын көрсетті. Артықшылықтары: жергілікті қолжетімділік ($0,5-1.5/кг), </w:t>
      </w:r>
      <w:r>
        <w:rPr>
          <w:color w:val="auto"/>
          <w:sz w:val="28"/>
          <w:szCs w:val="28"/>
        </w:rPr>
        <w:t>pH</w:t>
      </w:r>
      <w:r>
        <w:rPr>
          <w:color w:val="auto"/>
          <w:sz w:val="28"/>
          <w:szCs w:val="28"/>
          <w:lang w:val="ru-RU"/>
        </w:rPr>
        <w:t xml:space="preserve"> буферизациясы, ылғал ұстау. Шектеулер</w:t>
      </w:r>
      <w:r>
        <w:rPr>
          <w:color w:val="auto"/>
          <w:sz w:val="28"/>
          <w:szCs w:val="28"/>
          <w:lang w:val="kk-KZ"/>
        </w:rPr>
        <w:t>і</w:t>
      </w:r>
      <w:r>
        <w:rPr>
          <w:color w:val="auto"/>
          <w:sz w:val="28"/>
          <w:szCs w:val="28"/>
          <w:lang w:val="ru-RU"/>
        </w:rPr>
        <w:t>: агроқалдықтарға қарағанда төмен кеуектілік (85-95%</w:t>
      </w:r>
      <w:r>
        <w:rPr>
          <w:color w:val="auto"/>
          <w:sz w:val="28"/>
          <w:szCs w:val="28"/>
          <w:lang w:val="kk-KZ"/>
        </w:rPr>
        <w:t xml:space="preserve"> қарағанда </w:t>
      </w:r>
      <w:r>
        <w:rPr>
          <w:color w:val="auto"/>
          <w:sz w:val="28"/>
          <w:szCs w:val="28"/>
          <w:lang w:val="ru-RU"/>
        </w:rPr>
        <w:t>30-50% ), гидрофильділік (гидрофобты мұнайға қол жеткізу қиын), биологиялық ыдырамайды (қоршаған ортаға ұзақ мерзімді жүктеме), модификация қажет (қышқылмен өңдеу, силанизация), құны агроқалдықтардан жоғары.</w:t>
      </w:r>
    </w:p>
    <w:p w14:paraId="6887424B">
      <w:pPr>
        <w:pStyle w:val="35"/>
        <w:spacing w:beforeAutospacing="0" w:afterAutospacing="0"/>
        <w:ind w:firstLine="709"/>
        <w:jc w:val="both"/>
        <w:rPr>
          <w:color w:val="auto"/>
          <w:sz w:val="28"/>
          <w:szCs w:val="28"/>
          <w:lang w:val="ru-RU"/>
        </w:rPr>
      </w:pPr>
      <w:r>
        <w:rPr>
          <w:color w:val="auto"/>
          <w:sz w:val="28"/>
          <w:szCs w:val="28"/>
          <w:lang w:val="ru-RU"/>
        </w:rPr>
        <w:t>Қазақстанның Маңғыстау және Атырау облыстарының климаты биоремедиация үшін оңтайлы параметрлерден айтарлықтай ерекшеленеді: температура -25°</w:t>
      </w:r>
      <w:r>
        <w:rPr>
          <w:color w:val="auto"/>
          <w:sz w:val="28"/>
          <w:szCs w:val="28"/>
        </w:rPr>
        <w:t>C</w:t>
      </w:r>
      <w:r>
        <w:rPr>
          <w:color w:val="auto"/>
          <w:sz w:val="28"/>
          <w:szCs w:val="28"/>
          <w:lang w:val="ru-RU"/>
        </w:rPr>
        <w:t>...+45°</w:t>
      </w:r>
      <w:r>
        <w:rPr>
          <w:color w:val="auto"/>
          <w:sz w:val="28"/>
          <w:szCs w:val="28"/>
        </w:rPr>
        <w:t>C</w:t>
      </w:r>
      <w:r>
        <w:rPr>
          <w:color w:val="auto"/>
          <w:sz w:val="28"/>
          <w:szCs w:val="28"/>
          <w:lang w:val="ru-RU"/>
        </w:rPr>
        <w:t xml:space="preserve"> (оптимум +20,..+30°</w:t>
      </w:r>
      <w:r>
        <w:rPr>
          <w:color w:val="auto"/>
          <w:sz w:val="28"/>
          <w:szCs w:val="28"/>
        </w:rPr>
        <w:t>C</w:t>
      </w:r>
      <w:r>
        <w:rPr>
          <w:color w:val="auto"/>
          <w:sz w:val="28"/>
          <w:szCs w:val="28"/>
          <w:lang w:val="ru-RU"/>
        </w:rPr>
        <w:t xml:space="preserve">), ылғалдылық 100-200 мм/жыл (қажет &gt;400 мм/жыл), топырақ </w:t>
      </w:r>
      <w:r>
        <w:rPr>
          <w:color w:val="auto"/>
          <w:sz w:val="28"/>
          <w:szCs w:val="28"/>
        </w:rPr>
        <w:t>pH</w:t>
      </w:r>
      <w:r>
        <w:rPr>
          <w:color w:val="auto"/>
          <w:sz w:val="28"/>
          <w:szCs w:val="28"/>
          <w:lang w:val="ru-RU"/>
        </w:rPr>
        <w:t xml:space="preserve"> 8,0-9.5 (оптимум 6.5-7,5), тұздылық 0,5-3% (қажет &lt;0,1%)</w:t>
      </w:r>
      <w:r>
        <w:rPr>
          <w:color w:val="auto"/>
          <w:sz w:val="28"/>
          <w:szCs w:val="28"/>
          <w:lang w:val="kk-KZ"/>
        </w:rPr>
        <w:t xml:space="preserve"> </w:t>
      </w:r>
      <w:r>
        <w:rPr>
          <w:color w:val="auto"/>
          <w:sz w:val="28"/>
          <w:szCs w:val="28"/>
          <w:lang w:val="ru-RU"/>
        </w:rPr>
        <w:t>[1</w:t>
      </w:r>
      <w:r>
        <w:rPr>
          <w:rFonts w:hint="default"/>
          <w:color w:val="auto"/>
          <w:sz w:val="28"/>
          <w:szCs w:val="28"/>
          <w:lang w:val="ru-RU"/>
        </w:rPr>
        <w:t>15</w:t>
      </w:r>
      <w:r>
        <w:rPr>
          <w:color w:val="auto"/>
          <w:sz w:val="28"/>
          <w:szCs w:val="28"/>
          <w:lang w:val="ru-RU"/>
        </w:rPr>
        <w:t>].</w:t>
      </w:r>
    </w:p>
    <w:p w14:paraId="25652F55">
      <w:pPr>
        <w:pStyle w:val="35"/>
        <w:spacing w:beforeAutospacing="0" w:afterAutospacing="0"/>
        <w:ind w:firstLine="709"/>
        <w:jc w:val="both"/>
        <w:rPr>
          <w:color w:val="auto"/>
          <w:sz w:val="28"/>
          <w:szCs w:val="28"/>
          <w:lang w:val="ru-RU"/>
        </w:rPr>
      </w:pPr>
      <w:r>
        <w:rPr>
          <w:color w:val="auto"/>
          <w:sz w:val="28"/>
          <w:szCs w:val="28"/>
          <w:lang w:val="ru-RU"/>
        </w:rPr>
        <w:t xml:space="preserve">Бос жасушалардың төмен өміршеңдігі қолданыстағы технологиялардың негізгі проблемасы. Температуралық шок, осмотикалық стресс және аборигенді микрофлорамен антагонизм 7-14 күнде өміршеңдіктің 90% жоғалтуына әкеледі. </w:t>
      </w:r>
      <w:r>
        <w:rPr>
          <w:color w:val="auto"/>
          <w:sz w:val="28"/>
          <w:szCs w:val="28"/>
          <w:lang w:val="ru-RU"/>
        </w:rPr>
        <w:tab/>
      </w:r>
      <w:r>
        <w:rPr>
          <w:color w:val="auto"/>
          <w:sz w:val="28"/>
          <w:szCs w:val="28"/>
          <w:lang w:val="ru-RU"/>
        </w:rPr>
        <w:t>Коммерциялық биопрепараттар (Деворойл, Экойл, Бак-Верад) бос жасушалар негізінде жасалған, +4°</w:t>
      </w:r>
      <w:r>
        <w:rPr>
          <w:color w:val="auto"/>
          <w:sz w:val="28"/>
          <w:szCs w:val="28"/>
        </w:rPr>
        <w:t>C</w:t>
      </w:r>
      <w:r>
        <w:rPr>
          <w:color w:val="auto"/>
          <w:sz w:val="28"/>
          <w:szCs w:val="28"/>
          <w:lang w:val="ru-RU"/>
        </w:rPr>
        <w:t xml:space="preserve"> сақтау, 30 күн жарамдылық мерзімі, құрғақ климатта тиімсіз </w:t>
      </w:r>
      <w:r>
        <w:rPr>
          <w:color w:val="auto"/>
          <w:sz w:val="28"/>
          <w:szCs w:val="28"/>
          <w:lang w:val="kk-KZ"/>
        </w:rPr>
        <w:t>болып келеді</w:t>
      </w:r>
      <w:r>
        <w:rPr>
          <w:color w:val="auto"/>
          <w:sz w:val="28"/>
          <w:szCs w:val="28"/>
          <w:lang w:val="ru-RU"/>
        </w:rPr>
        <w:t>.</w:t>
      </w:r>
    </w:p>
    <w:p w14:paraId="0C575243">
      <w:pPr>
        <w:pStyle w:val="35"/>
        <w:spacing w:beforeAutospacing="0" w:afterAutospacing="0"/>
        <w:ind w:firstLine="709"/>
        <w:jc w:val="both"/>
        <w:rPr>
          <w:color w:val="auto"/>
          <w:sz w:val="28"/>
          <w:szCs w:val="28"/>
          <w:lang w:val="ru-RU"/>
        </w:rPr>
      </w:pPr>
      <w:r>
        <w:rPr>
          <w:rStyle w:val="19"/>
          <w:b w:val="0"/>
          <w:bCs w:val="0"/>
          <w:i/>
          <w:iCs/>
          <w:color w:val="auto"/>
          <w:sz w:val="28"/>
          <w:szCs w:val="28"/>
          <w:lang w:val="ru-RU"/>
        </w:rPr>
        <w:t>Агроөнеркәсіптік қалдықтар</w:t>
      </w:r>
      <w:r>
        <w:rPr>
          <w:color w:val="auto"/>
          <w:sz w:val="28"/>
          <w:szCs w:val="28"/>
          <w:lang w:val="ru-RU"/>
        </w:rPr>
        <w:t xml:space="preserve"> (люфа губкасы, қант қамысы целлюлозасы, ағаш үгінділері, жүгері масақтары, кокос шымтезегі, күнбағыс тұқымының қабығы, мақта талшықтары, күріш және қарақұмық қауызы) микроорганизмдерді иммобилизациялау үшін перспективалы тасымалдаушылар болып табылады. Олар суға ұқсастығымен, биологиялық ыдырағыштығымен, биологиялық үйлесімділігімен және төмен құнымен сипатталады.</w:t>
      </w:r>
    </w:p>
    <w:p w14:paraId="07994B82">
      <w:pPr>
        <w:pStyle w:val="35"/>
        <w:spacing w:beforeAutospacing="0" w:afterAutospacing="0"/>
        <w:ind w:firstLine="709"/>
        <w:jc w:val="both"/>
        <w:rPr>
          <w:color w:val="auto"/>
          <w:sz w:val="28"/>
          <w:szCs w:val="28"/>
          <w:lang w:val="ru-RU"/>
        </w:rPr>
      </w:pPr>
      <w:r>
        <w:rPr>
          <w:color w:val="auto"/>
          <w:sz w:val="28"/>
          <w:szCs w:val="28"/>
          <w:lang w:val="ru-RU"/>
        </w:rPr>
        <w:t>Иммобилизацияланған жасушалар бос жасушалармен салыстырғанда айтарлықтай жоғары тұрақтылық көрсетеді: 7-ші күнде 95% белсенділік (бос: 60%), 30-шы күнде 80% (бос: &lt;10%), 90 күннен кейін 60% белсенділік сақталады</w:t>
      </w:r>
      <w:r>
        <w:rPr>
          <w:rFonts w:hint="default"/>
          <w:color w:val="auto"/>
          <w:sz w:val="28"/>
          <w:szCs w:val="28"/>
          <w:lang w:val="en-US"/>
        </w:rPr>
        <w:t xml:space="preserve"> [110]</w:t>
      </w:r>
      <w:r>
        <w:rPr>
          <w:color w:val="auto"/>
          <w:sz w:val="28"/>
          <w:szCs w:val="28"/>
          <w:lang w:val="ru-RU"/>
        </w:rPr>
        <w:t>. Тасымалдаушы микроорганизмдерді  температура ауытқулары, осмотикалық стресстен қорғайды.</w:t>
      </w:r>
    </w:p>
    <w:p w14:paraId="2619944B">
      <w:pPr>
        <w:pStyle w:val="35"/>
        <w:spacing w:beforeAutospacing="0" w:afterAutospacing="0"/>
        <w:ind w:firstLine="709"/>
        <w:jc w:val="both"/>
        <w:rPr>
          <w:color w:val="auto"/>
          <w:sz w:val="28"/>
          <w:szCs w:val="28"/>
          <w:lang w:val="ru-RU"/>
        </w:rPr>
      </w:pPr>
      <w:r>
        <w:rPr>
          <w:color w:val="auto"/>
          <w:sz w:val="28"/>
          <w:szCs w:val="28"/>
          <w:lang w:val="ru-RU"/>
        </w:rPr>
        <w:t>Агроқалдықтардың артықшылықтары: жоғары кеуектілік (85-95%), күнбағыс қабығында 10°</w:t>
      </w:r>
      <w:r>
        <w:rPr>
          <w:color w:val="auto"/>
          <w:sz w:val="28"/>
          <w:szCs w:val="28"/>
        </w:rPr>
        <w:t>C</w:t>
      </w:r>
      <w:r>
        <w:rPr>
          <w:color w:val="auto"/>
          <w:sz w:val="28"/>
          <w:szCs w:val="28"/>
          <w:lang w:val="ru-RU"/>
        </w:rPr>
        <w:t>, 120 күн → 76% өміршеңдік</w:t>
      </w:r>
      <w:r>
        <w:rPr>
          <w:rFonts w:hint="default"/>
          <w:color w:val="auto"/>
          <w:sz w:val="28"/>
          <w:szCs w:val="28"/>
          <w:lang w:val="en-US"/>
        </w:rPr>
        <w:t xml:space="preserve"> [74]</w:t>
      </w:r>
      <w:r>
        <w:rPr>
          <w:color w:val="auto"/>
          <w:sz w:val="28"/>
          <w:szCs w:val="28"/>
          <w:lang w:val="ru-RU"/>
        </w:rPr>
        <w:t>; биосурфактант өндірісі артады</w:t>
      </w:r>
      <w:r>
        <w:rPr>
          <w:color w:val="auto"/>
          <w:sz w:val="28"/>
          <w:szCs w:val="28"/>
          <w:lang w:val="kk-KZ"/>
        </w:rPr>
        <w:t xml:space="preserve"> </w:t>
      </w:r>
      <w:r>
        <w:rPr>
          <w:color w:val="auto"/>
          <w:sz w:val="28"/>
          <w:szCs w:val="28"/>
          <w:lang w:val="ru-RU"/>
        </w:rPr>
        <w:t>[109] ; қайта пайдалану (люфа 7 рет, багас 8 цикл)</w:t>
      </w:r>
      <w:r>
        <w:rPr>
          <w:color w:val="auto"/>
          <w:sz w:val="28"/>
          <w:szCs w:val="28"/>
          <w:lang w:val="kk-KZ"/>
        </w:rPr>
        <w:t xml:space="preserve"> </w:t>
      </w:r>
      <w:r>
        <w:rPr>
          <w:color w:val="auto"/>
          <w:sz w:val="28"/>
          <w:szCs w:val="28"/>
          <w:lang w:val="ru-RU"/>
        </w:rPr>
        <w:t>[1</w:t>
      </w:r>
      <w:r>
        <w:rPr>
          <w:rFonts w:hint="default"/>
          <w:color w:val="auto"/>
          <w:sz w:val="28"/>
          <w:szCs w:val="28"/>
          <w:lang w:val="en-US"/>
        </w:rPr>
        <w:t>16</w:t>
      </w:r>
      <w:r>
        <w:rPr>
          <w:color w:val="auto"/>
          <w:sz w:val="28"/>
          <w:szCs w:val="28"/>
          <w:lang w:val="ru-RU"/>
        </w:rPr>
        <w:t>] ; ұзақ сақтау (+4°</w:t>
      </w:r>
      <w:r>
        <w:rPr>
          <w:color w:val="auto"/>
          <w:sz w:val="28"/>
          <w:szCs w:val="28"/>
        </w:rPr>
        <w:t>C</w:t>
      </w:r>
      <w:r>
        <w:rPr>
          <w:color w:val="auto"/>
          <w:sz w:val="28"/>
          <w:szCs w:val="28"/>
          <w:lang w:val="ru-RU"/>
        </w:rPr>
        <w:t>, 6-12 ай); тасымалдау оңай; биологиялық ыдырағыштық (қоршаған ортаға жүктеме жоқ); өте төмен құн (0</w:t>
      </w:r>
      <w:r>
        <w:rPr>
          <w:rFonts w:hint="default"/>
          <w:color w:val="auto"/>
          <w:sz w:val="28"/>
          <w:szCs w:val="28"/>
          <w:lang w:val="ru-RU"/>
        </w:rPr>
        <w:t>,</w:t>
      </w:r>
      <w:r>
        <w:rPr>
          <w:color w:val="auto"/>
          <w:sz w:val="28"/>
          <w:szCs w:val="28"/>
          <w:lang w:val="ru-RU"/>
        </w:rPr>
        <w:t>2$-0</w:t>
      </w:r>
      <w:r>
        <w:rPr>
          <w:rFonts w:hint="default"/>
          <w:color w:val="auto"/>
          <w:sz w:val="28"/>
          <w:szCs w:val="28"/>
          <w:lang w:val="ru-RU"/>
        </w:rPr>
        <w:t>,</w:t>
      </w:r>
      <w:r>
        <w:rPr>
          <w:color w:val="auto"/>
          <w:sz w:val="28"/>
          <w:szCs w:val="28"/>
          <w:lang w:val="ru-RU"/>
        </w:rPr>
        <w:t>5/кг).</w:t>
      </w:r>
    </w:p>
    <w:p w14:paraId="0D188AF0">
      <w:pPr>
        <w:pStyle w:val="35"/>
        <w:spacing w:beforeAutospacing="0" w:afterAutospacing="0"/>
        <w:ind w:firstLine="709"/>
        <w:jc w:val="both"/>
        <w:rPr>
          <w:color w:val="auto"/>
          <w:sz w:val="28"/>
          <w:szCs w:val="28"/>
          <w:lang w:val="ru-RU"/>
        </w:rPr>
      </w:pPr>
      <w:r>
        <w:rPr>
          <w:color w:val="auto"/>
          <w:sz w:val="28"/>
          <w:szCs w:val="28"/>
          <w:lang w:val="ru-RU"/>
        </w:rPr>
        <w:t>Қолданыстағы технологиялар Қазақстанның аридті климатында тиімсіз: бос жасушалар тез өміршеңдігін жоғалтады, биостимуляция аборигенді микрофлораның жоқтығынан нашар, фиторемедиация өте ұзақ және суды талап етеді, пиролиз қымбат және топырақты өлтіреді, цеолиттер төмен кеуектілікпен және модификация қажеттілігімен шектелген.</w:t>
      </w:r>
    </w:p>
    <w:p w14:paraId="661CC17E">
      <w:pPr>
        <w:pStyle w:val="35"/>
        <w:spacing w:beforeAutospacing="0" w:afterAutospacing="0"/>
        <w:ind w:firstLine="709"/>
        <w:jc w:val="both"/>
        <w:rPr>
          <w:color w:val="auto"/>
          <w:sz w:val="28"/>
          <w:szCs w:val="28"/>
          <w:lang w:val="kk-KZ"/>
        </w:rPr>
      </w:pPr>
      <w:r>
        <w:rPr>
          <w:rStyle w:val="19"/>
          <w:b w:val="0"/>
          <w:bCs w:val="0"/>
          <w:i/>
          <w:iCs/>
          <w:color w:val="auto"/>
          <w:sz w:val="28"/>
          <w:szCs w:val="28"/>
          <w:lang w:val="ru-RU"/>
        </w:rPr>
        <w:t>Күріш және қарақұмық қауызы</w:t>
      </w:r>
      <w:r>
        <w:rPr>
          <w:color w:val="auto"/>
          <w:sz w:val="28"/>
          <w:szCs w:val="28"/>
          <w:lang w:val="ru-RU"/>
        </w:rPr>
        <w:t xml:space="preserve"> Қазақстан жағдайында ерекше орын алады: Қызылорда облысында жергілікті қолжетімді, 15-20% аморфты </w:t>
      </w:r>
      <w:r>
        <w:rPr>
          <w:color w:val="auto"/>
          <w:sz w:val="28"/>
          <w:szCs w:val="28"/>
        </w:rPr>
        <w:t>SiO</w:t>
      </w:r>
      <w:r>
        <w:rPr>
          <w:color w:val="auto"/>
          <w:sz w:val="28"/>
          <w:szCs w:val="28"/>
          <w:lang w:val="ru-RU"/>
        </w:rPr>
        <w:t>₂ (жоғары механикалық беріктік, биоыдырауға төзімділік), лигноцеллюлозалық табиғат (көмірсутектерді ыдырататын бактерияларды иммобилизациялауға қолайлы), өнеркәсіптік ферменттерді иммобилизациялау үшін дәлелденген тиімділік, цеолиттермен салыстырғанда жоғары кеуектілік және төмен құн</w:t>
      </w:r>
      <w:r>
        <w:rPr>
          <w:rFonts w:hint="default"/>
          <w:color w:val="auto"/>
          <w:sz w:val="28"/>
          <w:szCs w:val="28"/>
          <w:lang w:val="en-US"/>
        </w:rPr>
        <w:t xml:space="preserve"> [116,117]</w:t>
      </w:r>
      <w:r>
        <w:rPr>
          <w:color w:val="auto"/>
          <w:sz w:val="28"/>
          <w:szCs w:val="28"/>
          <w:lang w:val="ru-RU"/>
        </w:rPr>
        <w:t>.</w:t>
      </w:r>
      <w:r>
        <w:rPr>
          <w:color w:val="auto"/>
          <w:sz w:val="28"/>
          <w:szCs w:val="28"/>
          <w:lang w:val="kk-KZ"/>
        </w:rPr>
        <w:t xml:space="preserve"> Осыған орай, ғылыми зерттеуде шикі мұнаймен ластанған топырақты тазалау үшін көмірсутекті ыдыратушы микроорганизмдер перспективті тасымалдаушысы ретінде к</w:t>
      </w:r>
      <w:r>
        <w:rPr>
          <w:rStyle w:val="19"/>
          <w:b w:val="0"/>
          <w:bCs w:val="0"/>
          <w:color w:val="auto"/>
          <w:sz w:val="28"/>
          <w:szCs w:val="28"/>
          <w:lang w:val="kk-KZ"/>
        </w:rPr>
        <w:t>үріш және қарақұмық қауызы</w:t>
      </w:r>
      <w:r>
        <w:rPr>
          <w:color w:val="auto"/>
          <w:sz w:val="28"/>
          <w:szCs w:val="28"/>
          <w:lang w:val="kk-KZ"/>
        </w:rPr>
        <w:t xml:space="preserve"> таңдалды.</w:t>
      </w:r>
    </w:p>
    <w:p w14:paraId="411E531F">
      <w:pPr>
        <w:pStyle w:val="35"/>
        <w:spacing w:beforeAutospacing="0" w:afterAutospacing="0"/>
        <w:ind w:firstLine="709"/>
        <w:jc w:val="both"/>
        <w:rPr>
          <w:color w:val="auto"/>
          <w:sz w:val="28"/>
          <w:szCs w:val="28"/>
          <w:lang w:val="kk-KZ"/>
        </w:rPr>
      </w:pPr>
      <w:r>
        <w:rPr>
          <w:color w:val="auto"/>
          <w:sz w:val="28"/>
          <w:szCs w:val="28"/>
          <w:lang w:val="kk-KZ"/>
        </w:rPr>
        <w:t>Осылайша, микроорганизмдерді иммобилизациялау қазіргі биотехнологияда және биоремедиацияда кеңінен қолданылатын маңызды технология болып табылады. Иммобилизация әдістері адсорбция, ковалентті байланыс, полимерлік матрицаға қамау және инкапсуляция сияқты негізгі тәсілдерді қамтиды. Әрбір әдістің өзіндік артықшылықтары мен шектеулері бар: адсорбция орындаудың қарапайымдылығымен ерекшеленсе, ковалентті иммобилизация ең күшті байланысты қамтамасыз етеді, ал полимерлік матрицаға қамау мен инкапсуляция жасушаларды қолайсыз факторлардан тиімді қорғауды ұсынады.</w:t>
      </w:r>
    </w:p>
    <w:p w14:paraId="2018EB71">
      <w:pPr>
        <w:pStyle w:val="35"/>
        <w:spacing w:beforeAutospacing="0" w:afterAutospacing="0"/>
        <w:ind w:firstLine="709"/>
        <w:jc w:val="both"/>
        <w:rPr>
          <w:color w:val="auto"/>
          <w:sz w:val="28"/>
          <w:szCs w:val="28"/>
          <w:lang w:val="kk-KZ"/>
        </w:rPr>
      </w:pPr>
    </w:p>
    <w:p w14:paraId="39C41C97">
      <w:pPr>
        <w:pStyle w:val="35"/>
        <w:numPr>
          <w:ilvl w:val="0"/>
          <w:numId w:val="5"/>
        </w:numPr>
        <w:spacing w:beforeAutospacing="0" w:afterAutospacing="0"/>
        <w:ind w:firstLine="709"/>
        <w:jc w:val="both"/>
        <w:rPr>
          <w:b/>
          <w:bCs/>
          <w:color w:val="auto"/>
          <w:sz w:val="28"/>
          <w:szCs w:val="28"/>
          <w:lang w:val="kk-KZ"/>
        </w:rPr>
      </w:pPr>
      <w:r>
        <w:rPr>
          <w:b/>
          <w:bCs/>
          <w:color w:val="auto"/>
          <w:sz w:val="28"/>
          <w:szCs w:val="28"/>
        </w:rPr>
        <w:t>бөлім бойынша қорытынды</w:t>
      </w:r>
    </w:p>
    <w:p w14:paraId="578CECF0">
      <w:pPr>
        <w:pStyle w:val="35"/>
        <w:numPr>
          <w:ilvl w:val="0"/>
          <w:numId w:val="6"/>
        </w:numPr>
        <w:spacing w:beforeAutospacing="0" w:afterAutospacing="0"/>
        <w:ind w:left="0" w:firstLine="709"/>
        <w:jc w:val="both"/>
        <w:rPr>
          <w:color w:val="auto"/>
          <w:sz w:val="28"/>
          <w:szCs w:val="28"/>
          <w:lang w:val="kk-KZ"/>
        </w:rPr>
      </w:pPr>
      <w:r>
        <w:rPr>
          <w:color w:val="auto"/>
          <w:sz w:val="28"/>
          <w:szCs w:val="28"/>
          <w:lang w:val="kk-KZ"/>
        </w:rPr>
        <w:t>Мұнай көмірсутектерімен топырақтың ластануы қазіргі заманның ең күрделі экологиялық мәселелерінің бірі болып табылады. Әлемдік деңгейде мұнайласқан территориялар 5 миллион км² астам аумақты қамтиды. Қазақстан Республикасында ластанған территориялардың жалпы алқабы 43 000 км² асады, оның ішінде 6 000 км² тікелей мұнай өнімдерімен ластанған. Қазақстанда мұнай өндіру 1992 жылдан 2022 жылға дейінгі кезеңде 25,8 млн тоннадан 90,0 млн тоннаға дейін өсті, ал 2023 жылы 87,56 млн тоннаны құрады. Халықаралық тәжірибе бойынша мұнай қалдықтарының түзілу коэффициенті өндіріс көлемінің 2-3%-ын құрайды, бұл Қазақстанда жылына шамамен 2,2 миллион тонна қалдық түзілетінін білдіреді.</w:t>
      </w:r>
    </w:p>
    <w:p w14:paraId="0AAF498D">
      <w:pPr>
        <w:pStyle w:val="35"/>
        <w:numPr>
          <w:ilvl w:val="0"/>
          <w:numId w:val="6"/>
        </w:numPr>
        <w:spacing w:beforeAutospacing="0" w:afterAutospacing="0"/>
        <w:ind w:left="0" w:firstLine="709"/>
        <w:jc w:val="both"/>
        <w:rPr>
          <w:color w:val="auto"/>
          <w:sz w:val="28"/>
          <w:szCs w:val="28"/>
          <w:lang w:val="kk-KZ"/>
        </w:rPr>
      </w:pPr>
      <w:r>
        <w:rPr>
          <w:color w:val="auto"/>
          <w:sz w:val="28"/>
          <w:szCs w:val="28"/>
          <w:lang w:val="kk-KZ"/>
        </w:rPr>
        <w:t>Мұнай өнімдерінің топыраққа түсуі физикалық, химиялық және биологиялық қасиеттерде кешенді өзгерістер тудырады. Аридті климат жағдайларында мұнай құрғақ топырақта 10-13 см тереңдікке ғана енеді (ылғалды аймақта 30-40 см), ал төмен жауын-шашын (150 мм/жыл) және қатаң климат нәтижесінде биоремедиация процестері айтарлықтай баяулайды.</w:t>
      </w:r>
    </w:p>
    <w:p w14:paraId="24F07C7F">
      <w:pPr>
        <w:pStyle w:val="35"/>
        <w:numPr>
          <w:ilvl w:val="0"/>
          <w:numId w:val="6"/>
        </w:numPr>
        <w:spacing w:beforeAutospacing="0" w:afterAutospacing="0"/>
        <w:ind w:left="0" w:firstLine="709"/>
        <w:jc w:val="both"/>
        <w:rPr>
          <w:color w:val="auto"/>
          <w:sz w:val="28"/>
          <w:szCs w:val="28"/>
          <w:lang w:val="kk-KZ"/>
        </w:rPr>
      </w:pPr>
      <w:r>
        <w:rPr>
          <w:color w:val="auto"/>
          <w:sz w:val="28"/>
          <w:szCs w:val="28"/>
          <w:lang w:val="kk-KZ"/>
        </w:rPr>
        <w:t>Физикалық әдістер (термиялық десорбция, жағу) жоғары тиімділікті (95-99%) қамтамасыз етсе де, қымбат (300-800 $/тонна) және топырақтың құнарлы қасиеттерін жояды. Физика-химиялық әдістер (еріткіштермен жуу, сорбция) орташа тиімділікті (60-85%) көрсетеді, бірақ қосымша материалдар мен жабдықтарды қажет етеді.</w:t>
      </w:r>
    </w:p>
    <w:p w14:paraId="48A786D0">
      <w:pPr>
        <w:pStyle w:val="35"/>
        <w:spacing w:beforeAutospacing="0" w:afterAutospacing="0"/>
        <w:ind w:firstLine="709"/>
        <w:jc w:val="both"/>
        <w:rPr>
          <w:color w:val="auto"/>
          <w:sz w:val="28"/>
          <w:szCs w:val="28"/>
          <w:lang w:val="kk-KZ"/>
        </w:rPr>
      </w:pPr>
      <w:r>
        <w:rPr>
          <w:color w:val="auto"/>
          <w:sz w:val="28"/>
          <w:szCs w:val="28"/>
          <w:lang w:val="ru-RU"/>
        </w:rPr>
        <w:t>4</w:t>
      </w:r>
      <w:r>
        <w:rPr>
          <w:rFonts w:hint="default"/>
          <w:color w:val="auto"/>
          <w:sz w:val="28"/>
          <w:szCs w:val="28"/>
          <w:lang w:val="ru-RU"/>
        </w:rPr>
        <w:t>.</w:t>
      </w:r>
      <w:r>
        <w:rPr>
          <w:color w:val="auto"/>
          <w:sz w:val="28"/>
          <w:szCs w:val="28"/>
          <w:lang w:val="kk-KZ"/>
        </w:rPr>
        <w:t xml:space="preserve"> Биоремедиация экологиялық таза және салыстырмалы түрде арзан әдіс болып табылады. Негізгі әдістерге биовентиляция, табиғи әлсіреу, фиторемедиация, биостимуляция және биоаугментация жатады. Биоаугментация ең тиімді әдіс, бірақ бос жасушалардың төмен өміршеңдігімен (7-14 күнде 90% жоғалту) шектелген.</w:t>
      </w:r>
    </w:p>
    <w:p w14:paraId="00BFF1E8">
      <w:pPr>
        <w:pStyle w:val="35"/>
        <w:spacing w:beforeAutospacing="0" w:afterAutospacing="0"/>
        <w:ind w:firstLine="709"/>
        <w:jc w:val="both"/>
        <w:rPr>
          <w:color w:val="auto"/>
          <w:sz w:val="28"/>
          <w:szCs w:val="28"/>
          <w:lang w:val="kk-KZ"/>
        </w:rPr>
      </w:pPr>
      <w:r>
        <w:rPr>
          <w:color w:val="auto"/>
          <w:sz w:val="28"/>
          <w:szCs w:val="28"/>
          <w:lang w:val="kk-KZ"/>
        </w:rPr>
        <w:t xml:space="preserve">5.Мұнайдеструкторлық микроорганизмдер. Негізгі мұнайдеструкторлар </w:t>
      </w:r>
      <w:r>
        <w:rPr>
          <w:i/>
          <w:iCs/>
          <w:color w:val="auto"/>
          <w:sz w:val="28"/>
          <w:szCs w:val="28"/>
          <w:lang w:val="kk-KZ"/>
        </w:rPr>
        <w:t>Pseudomonas, Rhodococcus, Acinetobacter, Arthrobacter</w:t>
      </w:r>
      <w:r>
        <w:rPr>
          <w:color w:val="auto"/>
          <w:sz w:val="28"/>
          <w:szCs w:val="28"/>
          <w:lang w:val="kk-KZ"/>
        </w:rPr>
        <w:t xml:space="preserve"> бактерияларына жатады. Микробтық консорциумдарды қолдану монокультуралардан тиімдірек. Қазақстандық </w:t>
      </w:r>
      <w:r>
        <w:rPr>
          <w:i/>
          <w:iCs/>
          <w:color w:val="auto"/>
          <w:sz w:val="28"/>
          <w:szCs w:val="28"/>
          <w:lang w:val="kk-KZ"/>
        </w:rPr>
        <w:t>Rhodococcus qingshengii, Pseudomonas alloputida</w:t>
      </w:r>
      <w:r>
        <w:rPr>
          <w:color w:val="auto"/>
          <w:sz w:val="28"/>
          <w:szCs w:val="28"/>
          <w:lang w:val="kk-KZ"/>
        </w:rPr>
        <w:t xml:space="preserve"> консорциумы 50 күн ішінде n-алкандардың 48%-ын және полициклді хош иісті көмірсутектердің 39%-ын ыдыратты.</w:t>
      </w:r>
    </w:p>
    <w:p w14:paraId="044D46B9">
      <w:pPr>
        <w:pStyle w:val="35"/>
        <w:spacing w:beforeAutospacing="0" w:afterAutospacing="0"/>
        <w:ind w:firstLine="709"/>
        <w:jc w:val="both"/>
        <w:rPr>
          <w:color w:val="auto"/>
          <w:sz w:val="28"/>
          <w:szCs w:val="28"/>
          <w:lang w:val="kk-KZ"/>
        </w:rPr>
      </w:pPr>
      <w:r>
        <w:rPr>
          <w:color w:val="auto"/>
          <w:sz w:val="28"/>
          <w:szCs w:val="28"/>
          <w:lang w:val="kk-KZ"/>
        </w:rPr>
        <w:t>6.Микроорганизмдерді иммобилизациялау. Иммобилизация жасушалардың кеңістікте қозғалысын қатты материалға орналастыру арқылы шектейтін технология. Негізгі әдістері: адсорбция, ковалентті байланыс, полимерлік матрицаға қамау және инкапсуляция. Иммобилизацияланған микроорганизмдер бос жасушалармен салыстырғанда жоғары тұрақтылық көрсетеді: 7-ші күнде 95% белсенділік (бос: 60%), 30-шы күнде 80% (бос: &lt;10%).</w:t>
      </w:r>
    </w:p>
    <w:p w14:paraId="2226EBFB">
      <w:pPr>
        <w:pStyle w:val="35"/>
        <w:spacing w:beforeAutospacing="0" w:afterAutospacing="0"/>
        <w:ind w:firstLine="709"/>
        <w:jc w:val="both"/>
        <w:rPr>
          <w:color w:val="auto"/>
          <w:sz w:val="28"/>
          <w:szCs w:val="28"/>
          <w:lang w:val="kk-KZ"/>
        </w:rPr>
      </w:pPr>
      <w:r>
        <w:rPr>
          <w:color w:val="auto"/>
          <w:sz w:val="28"/>
          <w:szCs w:val="28"/>
          <w:lang w:val="ru-RU"/>
        </w:rPr>
        <w:t>7</w:t>
      </w:r>
      <w:r>
        <w:rPr>
          <w:rFonts w:hint="default"/>
          <w:color w:val="auto"/>
          <w:sz w:val="28"/>
          <w:szCs w:val="28"/>
          <w:lang w:val="ru-RU"/>
        </w:rPr>
        <w:t>.</w:t>
      </w:r>
      <w:r>
        <w:rPr>
          <w:color w:val="auto"/>
          <w:sz w:val="28"/>
          <w:szCs w:val="28"/>
          <w:lang w:val="kk-KZ"/>
        </w:rPr>
        <w:t>Тасымалдаушылар органикалық (өсімдік талшықтары, агроқалдықтар) және бейорганикалық (минералды материалдар) болып бөлінеді. Органикалық тасымалдаушылар биологиялық үйлесімділігімен, төмен құнымен (0</w:t>
      </w:r>
      <w:r>
        <w:rPr>
          <w:rFonts w:hint="default"/>
          <w:color w:val="auto"/>
          <w:sz w:val="28"/>
          <w:szCs w:val="28"/>
          <w:lang w:val="ru-RU"/>
        </w:rPr>
        <w:t>,</w:t>
      </w:r>
      <w:r>
        <w:rPr>
          <w:color w:val="auto"/>
          <w:sz w:val="28"/>
          <w:szCs w:val="28"/>
          <w:lang w:val="kk-KZ"/>
        </w:rPr>
        <w:t>2-0</w:t>
      </w:r>
      <w:r>
        <w:rPr>
          <w:rFonts w:hint="default"/>
          <w:color w:val="auto"/>
          <w:sz w:val="28"/>
          <w:szCs w:val="28"/>
          <w:lang w:val="ru-RU"/>
        </w:rPr>
        <w:t>,</w:t>
      </w:r>
      <w:r>
        <w:rPr>
          <w:color w:val="auto"/>
          <w:sz w:val="28"/>
          <w:szCs w:val="28"/>
          <w:lang w:val="kk-KZ"/>
        </w:rPr>
        <w:t>5 $/кг), жоғары кеуектілігімен (85-95%) ерекшеленеді. Иммобилизацияланған жасушалар мұнай көмірсутектерін ыдыратуда айтарлықтай жоғары тиімділік көрсетеді: гексадекан үшін 92% (бос: 38%), ауыр мұнай үшін 86,6% (бос: 51,2%). Минералды тасымалдаушылар (цеолиттер, вермикулит) жоғары механикалық беріктікпен сипатталады, бірақ төмен кеуектілікпен (30-50%) және жоғары құнмен шектелген.</w:t>
      </w:r>
    </w:p>
    <w:p w14:paraId="6CD5121C">
      <w:pPr>
        <w:pStyle w:val="35"/>
        <w:spacing w:beforeAutospacing="0" w:afterAutospacing="0"/>
        <w:ind w:firstLine="709"/>
        <w:jc w:val="both"/>
        <w:rPr>
          <w:color w:val="auto"/>
          <w:sz w:val="28"/>
          <w:szCs w:val="28"/>
          <w:lang w:val="kk-KZ"/>
        </w:rPr>
      </w:pPr>
      <w:r>
        <w:rPr>
          <w:color w:val="auto"/>
          <w:sz w:val="28"/>
          <w:szCs w:val="28"/>
          <w:lang w:val="ru-RU"/>
        </w:rPr>
        <w:t>8</w:t>
      </w:r>
      <w:r>
        <w:rPr>
          <w:rFonts w:hint="default"/>
          <w:color w:val="auto"/>
          <w:sz w:val="28"/>
          <w:szCs w:val="28"/>
          <w:lang w:val="ru-RU"/>
        </w:rPr>
        <w:t>.</w:t>
      </w:r>
      <w:r>
        <w:rPr>
          <w:color w:val="auto"/>
          <w:sz w:val="28"/>
          <w:szCs w:val="28"/>
          <w:lang w:val="kk-KZ"/>
        </w:rPr>
        <w:t>Қолданыстағы технологиялардың шектеулері. Қазақстанның аридті климаты (температура -25°C...+45°C, жауын-шашын 100-200 мм/жыл, топырақ pH 8</w:t>
      </w:r>
      <w:r>
        <w:rPr>
          <w:rFonts w:hint="default"/>
          <w:color w:val="auto"/>
          <w:sz w:val="28"/>
          <w:szCs w:val="28"/>
          <w:lang w:val="ru-RU"/>
        </w:rPr>
        <w:t>,</w:t>
      </w:r>
      <w:r>
        <w:rPr>
          <w:color w:val="auto"/>
          <w:sz w:val="28"/>
          <w:szCs w:val="28"/>
          <w:lang w:val="kk-KZ"/>
        </w:rPr>
        <w:t>0-9</w:t>
      </w:r>
      <w:r>
        <w:rPr>
          <w:rFonts w:hint="default"/>
          <w:color w:val="auto"/>
          <w:sz w:val="28"/>
          <w:szCs w:val="28"/>
          <w:lang w:val="ru-RU"/>
        </w:rPr>
        <w:t>,</w:t>
      </w:r>
      <w:r>
        <w:rPr>
          <w:color w:val="auto"/>
          <w:sz w:val="28"/>
          <w:szCs w:val="28"/>
          <w:lang w:val="kk-KZ"/>
        </w:rPr>
        <w:t>5, тұздылық 0</w:t>
      </w:r>
      <w:r>
        <w:rPr>
          <w:rFonts w:hint="default"/>
          <w:color w:val="auto"/>
          <w:sz w:val="28"/>
          <w:szCs w:val="28"/>
          <w:lang w:val="ru-RU"/>
        </w:rPr>
        <w:t>,</w:t>
      </w:r>
      <w:r>
        <w:rPr>
          <w:color w:val="auto"/>
          <w:sz w:val="28"/>
          <w:szCs w:val="28"/>
          <w:lang w:val="kk-KZ"/>
        </w:rPr>
        <w:t xml:space="preserve">5-3%) қолданыстағы технологияларды тиімсіз етеді. Күріш және қарақұмық қауызы Қазақстан жағдайында ерекше перспектива көрсетеді: жергілікті қолжетімді (жылына 28-36 мың тонна), өте төмен құны, жоғары кеуектілігі (85-95%), биологиялық ыдырағыштығы. Күнбағыс қабығында иммобилизацияланған </w:t>
      </w:r>
      <w:r>
        <w:rPr>
          <w:i/>
          <w:iCs/>
          <w:color w:val="auto"/>
          <w:sz w:val="28"/>
          <w:szCs w:val="28"/>
          <w:lang w:val="kk-KZ"/>
        </w:rPr>
        <w:t>Rhodococcus sp.</w:t>
      </w:r>
      <w:r>
        <w:rPr>
          <w:color w:val="auto"/>
          <w:sz w:val="28"/>
          <w:szCs w:val="28"/>
          <w:lang w:val="kk-KZ"/>
        </w:rPr>
        <w:t xml:space="preserve"> 10°C температурада 120 күн бойы 76% өміршеңдігін сақтап, шикі мұнайды ыдыратуда 66,1% тиімділік көрсетті (бос: 28%). Бұл агроөнеркәсіптік қалдықтарды Қазақстанның аридті климат жағдайларында мұнайласқан топырақтарды биоремедиациялау үшін перспективті тасымалдаушы ретінде таңдауды негіздейді.</w:t>
      </w:r>
    </w:p>
    <w:p w14:paraId="723DC99C">
      <w:pPr>
        <w:pStyle w:val="35"/>
        <w:spacing w:beforeAutospacing="0" w:afterAutospacing="0"/>
        <w:ind w:firstLine="709"/>
        <w:jc w:val="both"/>
        <w:rPr>
          <w:color w:val="auto"/>
          <w:sz w:val="28"/>
          <w:szCs w:val="28"/>
          <w:lang w:val="kk-KZ"/>
        </w:rPr>
      </w:pPr>
    </w:p>
    <w:p w14:paraId="7C5870A9">
      <w:pPr>
        <w:pStyle w:val="35"/>
        <w:spacing w:beforeAutospacing="0" w:afterAutospacing="0"/>
        <w:ind w:firstLine="709"/>
        <w:jc w:val="both"/>
        <w:rPr>
          <w:color w:val="auto"/>
          <w:sz w:val="28"/>
          <w:szCs w:val="28"/>
          <w:lang w:val="kk-KZ"/>
        </w:rPr>
      </w:pPr>
    </w:p>
    <w:p w14:paraId="4F583957">
      <w:pPr>
        <w:pStyle w:val="35"/>
        <w:spacing w:beforeAutospacing="0" w:afterAutospacing="0"/>
        <w:ind w:firstLine="709"/>
        <w:jc w:val="both"/>
        <w:rPr>
          <w:color w:val="auto"/>
          <w:sz w:val="28"/>
          <w:szCs w:val="28"/>
          <w:lang w:val="kk-KZ"/>
        </w:rPr>
      </w:pPr>
    </w:p>
    <w:p w14:paraId="2E5492BD">
      <w:pPr>
        <w:pStyle w:val="35"/>
        <w:spacing w:beforeAutospacing="0" w:afterAutospacing="0"/>
        <w:ind w:firstLine="709"/>
        <w:jc w:val="both"/>
        <w:rPr>
          <w:color w:val="auto"/>
          <w:sz w:val="28"/>
          <w:szCs w:val="28"/>
          <w:lang w:val="kk-KZ"/>
        </w:rPr>
      </w:pPr>
    </w:p>
    <w:p w14:paraId="0F12EE0D">
      <w:pPr>
        <w:spacing w:after="0"/>
        <w:rPr>
          <w:b/>
          <w:bCs/>
          <w:color w:val="auto"/>
          <w:szCs w:val="28"/>
          <w:lang w:val="kk-KZ"/>
        </w:rPr>
      </w:pPr>
      <w:r>
        <w:rPr>
          <w:b/>
          <w:bCs/>
          <w:color w:val="auto"/>
          <w:szCs w:val="28"/>
          <w:lang w:val="kk-KZ"/>
        </w:rPr>
        <w:tab/>
      </w:r>
    </w:p>
    <w:p w14:paraId="4EE4BC79">
      <w:pPr>
        <w:spacing w:after="0"/>
        <w:rPr>
          <w:b/>
          <w:bCs/>
          <w:color w:val="auto"/>
          <w:szCs w:val="28"/>
          <w:lang w:val="kk-KZ"/>
        </w:rPr>
      </w:pPr>
    </w:p>
    <w:p w14:paraId="1BBF3A3C">
      <w:pPr>
        <w:spacing w:after="0"/>
        <w:rPr>
          <w:b/>
          <w:bCs/>
          <w:color w:val="auto"/>
          <w:szCs w:val="28"/>
          <w:lang w:val="kk-KZ"/>
        </w:rPr>
      </w:pPr>
    </w:p>
    <w:p w14:paraId="7384A7D1">
      <w:pPr>
        <w:spacing w:after="0"/>
        <w:rPr>
          <w:b/>
          <w:bCs/>
          <w:color w:val="auto"/>
          <w:szCs w:val="28"/>
          <w:lang w:val="kk-KZ"/>
        </w:rPr>
      </w:pPr>
    </w:p>
    <w:p w14:paraId="648BB46D">
      <w:pPr>
        <w:spacing w:after="0"/>
        <w:rPr>
          <w:b/>
          <w:bCs/>
          <w:color w:val="auto"/>
          <w:szCs w:val="28"/>
          <w:lang w:val="kk-KZ"/>
        </w:rPr>
      </w:pPr>
    </w:p>
    <w:p w14:paraId="4301C53C">
      <w:pPr>
        <w:spacing w:after="0"/>
        <w:rPr>
          <w:b/>
          <w:bCs/>
          <w:color w:val="auto"/>
          <w:szCs w:val="28"/>
          <w:lang w:val="kk-KZ"/>
        </w:rPr>
      </w:pPr>
    </w:p>
    <w:p w14:paraId="34F55BF3">
      <w:pPr>
        <w:spacing w:after="0"/>
        <w:rPr>
          <w:b/>
          <w:bCs/>
          <w:color w:val="auto"/>
          <w:szCs w:val="28"/>
          <w:lang w:val="kk-KZ"/>
        </w:rPr>
      </w:pPr>
    </w:p>
    <w:p w14:paraId="37C9EFC7">
      <w:pPr>
        <w:spacing w:after="0"/>
        <w:rPr>
          <w:b/>
          <w:bCs/>
          <w:color w:val="auto"/>
          <w:szCs w:val="28"/>
          <w:lang w:val="kk-KZ"/>
        </w:rPr>
      </w:pPr>
    </w:p>
    <w:p w14:paraId="6FCCCCEF">
      <w:pPr>
        <w:spacing w:after="0"/>
        <w:rPr>
          <w:b/>
          <w:bCs/>
          <w:color w:val="auto"/>
          <w:szCs w:val="28"/>
          <w:lang w:val="kk-KZ"/>
        </w:rPr>
      </w:pPr>
    </w:p>
    <w:p w14:paraId="5E92A4B1">
      <w:pPr>
        <w:spacing w:after="0"/>
        <w:rPr>
          <w:b/>
          <w:bCs/>
          <w:color w:val="auto"/>
          <w:szCs w:val="28"/>
          <w:lang w:val="kk-KZ"/>
        </w:rPr>
      </w:pPr>
    </w:p>
    <w:p w14:paraId="2F486A2F">
      <w:pPr>
        <w:spacing w:after="0"/>
        <w:rPr>
          <w:b/>
          <w:bCs/>
          <w:color w:val="auto"/>
          <w:szCs w:val="28"/>
          <w:lang w:val="kk-KZ"/>
        </w:rPr>
      </w:pPr>
    </w:p>
    <w:p w14:paraId="40C8C06F">
      <w:pPr>
        <w:spacing w:after="0"/>
        <w:ind w:firstLine="709" w:firstLineChars="0"/>
        <w:rPr>
          <w:b/>
          <w:color w:val="auto"/>
          <w:szCs w:val="28"/>
        </w:rPr>
      </w:pPr>
      <w:r>
        <w:rPr>
          <w:b/>
          <w:color w:val="auto"/>
          <w:szCs w:val="28"/>
          <w:lang w:val="kk-KZ"/>
        </w:rPr>
        <w:t xml:space="preserve">2 </w:t>
      </w:r>
      <w:r>
        <w:rPr>
          <w:b/>
          <w:color w:val="auto"/>
          <w:szCs w:val="28"/>
        </w:rPr>
        <w:t>ЗЕРТТЕУ МАТЕРИАЛДАРЫ МЕН ӘДІСТЕРІ</w:t>
      </w:r>
    </w:p>
    <w:p w14:paraId="7B7512CC">
      <w:pPr>
        <w:spacing w:after="0"/>
        <w:ind w:firstLine="709"/>
        <w:rPr>
          <w:b/>
          <w:color w:val="auto"/>
          <w:szCs w:val="28"/>
          <w:lang w:val="kk-KZ"/>
        </w:rPr>
      </w:pPr>
    </w:p>
    <w:p w14:paraId="2DC0E4EF">
      <w:pPr>
        <w:numPr>
          <w:ilvl w:val="0"/>
          <w:numId w:val="0"/>
        </w:numPr>
        <w:spacing w:after="0"/>
        <w:ind w:left="709" w:leftChars="0"/>
        <w:rPr>
          <w:rFonts w:ascii="SimSun" w:hAnsi="SimSun" w:cs="SimSun"/>
          <w:color w:val="auto"/>
          <w:szCs w:val="28"/>
          <w:lang w:val="kk-KZ"/>
        </w:rPr>
      </w:pPr>
      <w:r>
        <w:rPr>
          <w:rFonts w:hint="default"/>
          <w:b/>
          <w:bCs/>
          <w:color w:val="auto"/>
          <w:szCs w:val="28"/>
          <w:lang w:val="ru-RU"/>
        </w:rPr>
        <w:t xml:space="preserve">2.1 </w:t>
      </w:r>
      <w:r>
        <w:rPr>
          <w:b/>
          <w:bCs/>
          <w:color w:val="auto"/>
          <w:szCs w:val="28"/>
          <w:lang w:val="kk-KZ"/>
        </w:rPr>
        <w:t>Зерттеу аймағының сипаттмасы және зерттеу жағдайлары</w:t>
      </w:r>
    </w:p>
    <w:p w14:paraId="44A68B80">
      <w:pPr>
        <w:pStyle w:val="35"/>
        <w:spacing w:beforeAutospacing="0" w:afterAutospacing="0"/>
        <w:ind w:firstLine="709"/>
        <w:jc w:val="both"/>
        <w:rPr>
          <w:color w:val="auto"/>
          <w:sz w:val="28"/>
          <w:szCs w:val="28"/>
          <w:lang w:val="kk-KZ"/>
        </w:rPr>
      </w:pPr>
      <w:r>
        <w:rPr>
          <w:color w:val="auto"/>
          <w:sz w:val="28"/>
          <w:szCs w:val="28"/>
          <w:lang w:val="kk-KZ"/>
        </w:rPr>
        <w:t xml:space="preserve">Қаражанбас кен орны Маңғыстау облысындағы ең ірі кен орындарының бірі болып табылады, жылдық мұнай өндірісі 2 млн тоннадан асады </w:t>
      </w:r>
      <w:r>
        <w:rPr>
          <w:rStyle w:val="19"/>
          <w:b w:val="0"/>
          <w:bCs w:val="0"/>
          <w:color w:val="auto"/>
          <w:sz w:val="28"/>
          <w:szCs w:val="28"/>
          <w:lang w:val="kk-KZ"/>
        </w:rPr>
        <w:t>[1</w:t>
      </w:r>
      <w:r>
        <w:rPr>
          <w:rStyle w:val="19"/>
          <w:rFonts w:hint="default"/>
          <w:b w:val="0"/>
          <w:bCs w:val="0"/>
          <w:color w:val="auto"/>
          <w:sz w:val="28"/>
          <w:szCs w:val="28"/>
          <w:lang w:val="ru-RU"/>
        </w:rPr>
        <w:t>01</w:t>
      </w:r>
      <w:r>
        <w:rPr>
          <w:rStyle w:val="19"/>
          <w:b w:val="0"/>
          <w:bCs w:val="0"/>
          <w:color w:val="auto"/>
          <w:sz w:val="28"/>
          <w:szCs w:val="28"/>
          <w:lang w:val="kk-KZ"/>
        </w:rPr>
        <w:t>]</w:t>
      </w:r>
      <w:r>
        <w:rPr>
          <w:color w:val="auto"/>
          <w:sz w:val="28"/>
          <w:szCs w:val="28"/>
          <w:lang w:val="kk-KZ"/>
        </w:rPr>
        <w:t xml:space="preserve">. Кен орнын 1974 жылдан бастап ұзақ мерзімді пайдалану (50 жыл) мұнаймен ластанған топырақтардың едәуір көлемінің жинақталуына әкелді. Халықаралық тәжірибе бойынша мұнай қалдықтарының түзілу коэффициенті өндіріс көлемінің 2-3%-ын құрайды </w:t>
      </w:r>
      <w:r>
        <w:rPr>
          <w:rStyle w:val="19"/>
          <w:b w:val="0"/>
          <w:bCs w:val="0"/>
          <w:color w:val="auto"/>
          <w:sz w:val="28"/>
          <w:szCs w:val="28"/>
          <w:lang w:val="kk-KZ"/>
        </w:rPr>
        <w:t>[</w:t>
      </w:r>
      <w:r>
        <w:rPr>
          <w:rStyle w:val="19"/>
          <w:rFonts w:hint="default"/>
          <w:b w:val="0"/>
          <w:bCs w:val="0"/>
          <w:color w:val="auto"/>
          <w:sz w:val="28"/>
          <w:szCs w:val="28"/>
          <w:lang w:val="en-US"/>
        </w:rPr>
        <w:t>9</w:t>
      </w:r>
      <w:r>
        <w:rPr>
          <w:rStyle w:val="19"/>
          <w:b w:val="0"/>
          <w:bCs w:val="0"/>
          <w:color w:val="auto"/>
          <w:sz w:val="28"/>
          <w:szCs w:val="28"/>
          <w:lang w:val="kk-KZ"/>
        </w:rPr>
        <w:t>]</w:t>
      </w:r>
      <w:r>
        <w:rPr>
          <w:color w:val="auto"/>
          <w:sz w:val="28"/>
          <w:szCs w:val="28"/>
          <w:lang w:val="kk-KZ"/>
        </w:rPr>
        <w:t>, бұл Қаражанбас үшін жылына шамамен 40-60 мың тонна қалдық түзілетінін білдіреді.</w:t>
      </w:r>
    </w:p>
    <w:p w14:paraId="1E2DD981">
      <w:pPr>
        <w:pStyle w:val="35"/>
        <w:spacing w:beforeAutospacing="0" w:afterAutospacing="0"/>
        <w:ind w:firstLine="709"/>
        <w:jc w:val="both"/>
        <w:rPr>
          <w:color w:val="auto"/>
          <w:sz w:val="28"/>
          <w:szCs w:val="28"/>
          <w:lang w:val="kk-KZ"/>
        </w:rPr>
      </w:pPr>
      <w:r>
        <w:rPr>
          <w:color w:val="auto"/>
          <w:sz w:val="28"/>
          <w:szCs w:val="28"/>
          <w:lang w:val="kk-KZ"/>
        </w:rPr>
        <w:t xml:space="preserve">АО «Каражанбасмунайгаз» кәсіпорындарының мониторинг деректері бойынша, 2006 жылдың басында 47 мұнай амбарында жалпы 96590 тонна мұнай қалдықтары жинақталған, ал жалпы ластанған аумақ 551,8 гектарды құрады </w:t>
      </w:r>
      <w:r>
        <w:rPr>
          <w:rStyle w:val="19"/>
          <w:b w:val="0"/>
          <w:bCs w:val="0"/>
          <w:color w:val="auto"/>
          <w:sz w:val="28"/>
          <w:szCs w:val="28"/>
          <w:lang w:val="kk-KZ"/>
        </w:rPr>
        <w:t>[1</w:t>
      </w:r>
      <w:r>
        <w:rPr>
          <w:rStyle w:val="19"/>
          <w:rFonts w:hint="default"/>
          <w:b w:val="0"/>
          <w:bCs w:val="0"/>
          <w:color w:val="auto"/>
          <w:sz w:val="28"/>
          <w:szCs w:val="28"/>
          <w:lang w:val="ru-RU"/>
        </w:rPr>
        <w:t>18</w:t>
      </w:r>
      <w:r>
        <w:rPr>
          <w:rStyle w:val="19"/>
          <w:b w:val="0"/>
          <w:bCs w:val="0"/>
          <w:color w:val="auto"/>
          <w:sz w:val="28"/>
          <w:szCs w:val="28"/>
          <w:lang w:val="kk-KZ"/>
        </w:rPr>
        <w:t>]</w:t>
      </w:r>
      <w:r>
        <w:rPr>
          <w:color w:val="auto"/>
          <w:sz w:val="28"/>
          <w:szCs w:val="28"/>
          <w:lang w:val="kk-KZ"/>
        </w:rPr>
        <w:t xml:space="preserve">. Ескірген технологиялық жабдықтарды пайдалану жүйелі түрде апаттық жағдайлар тудырады: 2004 жылы 358 мұнай құбырының жарылуы тіркелсе (611 тонна төгілу), 2005 жылы 122 жағдай (99,3 тонна), 2006 жылдың алғашқы 2 айында 6 жарылу (14,3 тонна) орын алды </w:t>
      </w:r>
      <w:r>
        <w:rPr>
          <w:rStyle w:val="19"/>
          <w:b w:val="0"/>
          <w:bCs w:val="0"/>
          <w:color w:val="auto"/>
          <w:sz w:val="28"/>
          <w:szCs w:val="28"/>
          <w:lang w:val="kk-KZ"/>
        </w:rPr>
        <w:t>[1</w:t>
      </w:r>
      <w:r>
        <w:rPr>
          <w:rStyle w:val="19"/>
          <w:rFonts w:hint="default"/>
          <w:b w:val="0"/>
          <w:bCs w:val="0"/>
          <w:color w:val="auto"/>
          <w:sz w:val="28"/>
          <w:szCs w:val="28"/>
          <w:lang w:val="ru-RU"/>
        </w:rPr>
        <w:t>18</w:t>
      </w:r>
      <w:r>
        <w:rPr>
          <w:rStyle w:val="19"/>
          <w:b w:val="0"/>
          <w:bCs w:val="0"/>
          <w:color w:val="auto"/>
          <w:sz w:val="28"/>
          <w:szCs w:val="28"/>
          <w:lang w:val="kk-KZ"/>
        </w:rPr>
        <w:t>]</w:t>
      </w:r>
      <w:r>
        <w:rPr>
          <w:color w:val="auto"/>
          <w:sz w:val="28"/>
          <w:szCs w:val="28"/>
          <w:lang w:val="kk-KZ"/>
        </w:rPr>
        <w:t>. Авариялардың негізгі себебі – қызмет мерзімі өткен металл құбырлардың коррозиясы (сурет 6).</w:t>
      </w:r>
    </w:p>
    <w:p w14:paraId="3C9EC1AE">
      <w:pPr>
        <w:pStyle w:val="35"/>
        <w:spacing w:beforeAutospacing="0" w:afterAutospacing="0"/>
        <w:ind w:firstLine="709"/>
        <w:jc w:val="both"/>
        <w:rPr>
          <w:color w:val="auto"/>
          <w:sz w:val="28"/>
          <w:szCs w:val="28"/>
          <w:lang w:val="kk-KZ"/>
        </w:rPr>
      </w:pPr>
      <w:r>
        <w:rPr>
          <w:color w:val="auto"/>
          <w:sz w:val="28"/>
          <w:szCs w:val="28"/>
          <w:lang w:val="kk-KZ"/>
        </w:rPr>
        <w:t>Тарихи жиналған қалдықтарды өңдеу қарқыны жаңа ластанудың түзілу қарқынымен шамамен тең: 2004 жылы 611 тонна утилизацияланса, 2005 жылы 99,3 тонна ғана өңделді. Бұл жағдай тарихи жиналған 96,5 мың тонна қалдықтардың одан әрі жинақталып, проблеманың күрделене түсетінін көрсетті. 50 жылдық кезеңде (1974-2024) жинақталған мұнай қалдықтарының жалпы көлемі шамамен 2-2,5 млн тоннаны құрауы мүмкін.</w:t>
      </w:r>
    </w:p>
    <w:p w14:paraId="5EC11D89">
      <w:pPr>
        <w:pStyle w:val="35"/>
        <w:spacing w:beforeAutospacing="0" w:afterAutospacing="0"/>
        <w:ind w:firstLine="709"/>
        <w:jc w:val="both"/>
        <w:rPr>
          <w:color w:val="auto"/>
          <w:sz w:val="28"/>
          <w:szCs w:val="28"/>
          <w:lang w:val="kk-KZ"/>
        </w:rPr>
      </w:pPr>
      <w:r>
        <w:rPr>
          <w:color w:val="auto"/>
          <w:sz w:val="28"/>
          <w:szCs w:val="28"/>
          <w:lang w:val="kk-KZ"/>
        </w:rPr>
        <w:t xml:space="preserve">2020-2024 жж. аралығында рекультивация бағдарламасы шеңберінде 362781 м³ (~290 мың тонна) тарихи мұнай қалдықтары өңделді </w:t>
      </w:r>
      <w:r>
        <w:rPr>
          <w:rStyle w:val="19"/>
          <w:b w:val="0"/>
          <w:bCs w:val="0"/>
          <w:color w:val="auto"/>
          <w:sz w:val="28"/>
          <w:szCs w:val="28"/>
          <w:lang w:val="kk-KZ"/>
        </w:rPr>
        <w:t>[1</w:t>
      </w:r>
      <w:r>
        <w:rPr>
          <w:rStyle w:val="19"/>
          <w:rFonts w:hint="default"/>
          <w:b w:val="0"/>
          <w:bCs w:val="0"/>
          <w:color w:val="auto"/>
          <w:sz w:val="28"/>
          <w:szCs w:val="28"/>
          <w:lang w:val="ru-RU"/>
        </w:rPr>
        <w:t>18</w:t>
      </w:r>
      <w:r>
        <w:rPr>
          <w:rStyle w:val="19"/>
          <w:b w:val="0"/>
          <w:bCs w:val="0"/>
          <w:color w:val="auto"/>
          <w:sz w:val="28"/>
          <w:szCs w:val="28"/>
          <w:lang w:val="kk-KZ"/>
        </w:rPr>
        <w:t>]</w:t>
      </w:r>
      <w:r>
        <w:rPr>
          <w:color w:val="auto"/>
          <w:sz w:val="28"/>
          <w:szCs w:val="28"/>
          <w:lang w:val="kk-KZ"/>
        </w:rPr>
        <w:t>. Өңдеу қарқыны жоғары болса да (жылына ~58 мың тонна), бұл әлі де тарихи жиналған көлемнің елеулі бөлігінің өңделуін күтуде екенін білдіреді. Жинақталу қарқынының (жылына 40-60 мың тонна) өңдеу қарқынымен теңеседі, бірақ тарихи қалдықтардың толық жойылуы үшін қосымша жылдар қажет. Бұл жағдай мұнаймен ластанған топырақтарды тазартудың жаңа, жоғары тиімді және масштабталатын әдістерін әзірлеу қажеттілігін көрсетеді. Аталған мәліметтер проблеманың ауқымын және аридті климат жағдайларына арналған биоремедиацияның инновациялық әдістерін әзірлеудің өзектілігін растайды.</w:t>
      </w:r>
    </w:p>
    <w:p w14:paraId="3B6130AB">
      <w:pPr>
        <w:pStyle w:val="20"/>
        <w:spacing w:after="0"/>
        <w:ind w:firstLine="709"/>
        <w:rPr>
          <w:rFonts w:ascii="Times New Roman" w:hAnsi="Times New Roman"/>
          <w:color w:val="auto"/>
          <w:sz w:val="28"/>
          <w:szCs w:val="28"/>
          <w:lang w:val="kk-KZ"/>
        </w:rPr>
      </w:pPr>
    </w:p>
    <w:p w14:paraId="6F2C6BF1">
      <w:pPr>
        <w:pStyle w:val="20"/>
        <w:spacing w:after="0"/>
        <w:ind w:firstLine="709"/>
        <w:rPr>
          <w:rFonts w:ascii="Times New Roman" w:hAnsi="Times New Roman"/>
          <w:color w:val="auto"/>
          <w:sz w:val="28"/>
          <w:szCs w:val="28"/>
          <w:lang w:val="kk-KZ"/>
        </w:rPr>
      </w:pPr>
    </w:p>
    <w:p w14:paraId="1F9B714B">
      <w:pPr>
        <w:pStyle w:val="20"/>
        <w:spacing w:after="0"/>
        <w:ind w:left="0" w:leftChars="0" w:firstLine="0" w:firstLineChars="0"/>
        <w:jc w:val="both"/>
        <w:rPr>
          <w:rFonts w:ascii="SimSun" w:hAnsi="SimSun" w:eastAsia="SimSun" w:cs="SimSun"/>
          <w:color w:val="auto"/>
          <w:sz w:val="24"/>
          <w:szCs w:val="24"/>
        </w:rPr>
      </w:pPr>
      <w:r>
        <w:rPr>
          <w:rFonts w:ascii="SimSun" w:hAnsi="SimSun" w:eastAsia="SimSun" w:cs="SimSun"/>
          <w:color w:val="auto"/>
          <w:sz w:val="24"/>
          <w:szCs w:val="24"/>
        </w:rPr>
        <w:drawing>
          <wp:inline distT="0" distB="0" distL="114300" distR="114300">
            <wp:extent cx="3003550" cy="3152775"/>
            <wp:effectExtent l="0" t="0" r="13970" b="1905"/>
            <wp:docPr id="89" name="Изображение 8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Изображение 89" descr="IMG_256"/>
                    <pic:cNvPicPr>
                      <a:picLocks noChangeAspect="1"/>
                    </pic:cNvPicPr>
                  </pic:nvPicPr>
                  <pic:blipFill>
                    <a:blip r:embed="rId12"/>
                    <a:stretch>
                      <a:fillRect/>
                    </a:stretch>
                  </pic:blipFill>
                  <pic:spPr>
                    <a:xfrm>
                      <a:off x="0" y="0"/>
                      <a:ext cx="3003550" cy="3152775"/>
                    </a:xfrm>
                    <a:prstGeom prst="rect">
                      <a:avLst/>
                    </a:prstGeom>
                    <a:noFill/>
                    <a:ln w="9525">
                      <a:noFill/>
                    </a:ln>
                  </pic:spPr>
                </pic:pic>
              </a:graphicData>
            </a:graphic>
          </wp:inline>
        </w:drawing>
      </w:r>
      <w:r>
        <w:rPr>
          <w:rFonts w:ascii="SimSun" w:hAnsi="SimSun" w:eastAsia="SimSun" w:cs="SimSun"/>
          <w:color w:val="auto"/>
          <w:sz w:val="24"/>
          <w:szCs w:val="24"/>
        </w:rPr>
        <w:drawing>
          <wp:inline distT="0" distB="0" distL="114300" distR="114300">
            <wp:extent cx="2774950" cy="3166110"/>
            <wp:effectExtent l="0" t="0" r="13970" b="3810"/>
            <wp:docPr id="88" name="Изображение 8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Изображение 88" descr="IMG_256"/>
                    <pic:cNvPicPr>
                      <a:picLocks noChangeAspect="1"/>
                    </pic:cNvPicPr>
                  </pic:nvPicPr>
                  <pic:blipFill>
                    <a:blip r:embed="rId13"/>
                    <a:stretch>
                      <a:fillRect/>
                    </a:stretch>
                  </pic:blipFill>
                  <pic:spPr>
                    <a:xfrm>
                      <a:off x="0" y="0"/>
                      <a:ext cx="2774950" cy="3166110"/>
                    </a:xfrm>
                    <a:prstGeom prst="rect">
                      <a:avLst/>
                    </a:prstGeom>
                    <a:noFill/>
                    <a:ln w="9525">
                      <a:noFill/>
                    </a:ln>
                  </pic:spPr>
                </pic:pic>
              </a:graphicData>
            </a:graphic>
          </wp:inline>
        </w:drawing>
      </w:r>
    </w:p>
    <w:p w14:paraId="26EBA2DF">
      <w:pPr>
        <w:pStyle w:val="20"/>
        <w:spacing w:after="0"/>
        <w:ind w:left="0" w:leftChars="0" w:firstLine="0" w:firstLineChars="0"/>
        <w:jc w:val="both"/>
        <w:rPr>
          <w:rFonts w:ascii="Times New Roman" w:hAnsi="Times New Roman"/>
          <w:color w:val="auto"/>
          <w:sz w:val="28"/>
          <w:szCs w:val="28"/>
          <w:lang w:val="kk-KZ"/>
        </w:rPr>
      </w:pPr>
      <w:r>
        <w:rPr>
          <w:rFonts w:ascii="Times New Roman" w:hAnsi="Times New Roman"/>
          <w:color w:val="auto"/>
          <w:sz w:val="28"/>
          <w:szCs w:val="28"/>
          <w:lang w:val="kk-KZ"/>
        </w:rPr>
        <w:t>а)</w:t>
      </w:r>
      <w:r>
        <w:rPr>
          <w:rFonts w:ascii="Times New Roman" w:hAnsi="Times New Roman"/>
          <w:color w:val="auto"/>
          <w:sz w:val="28"/>
          <w:szCs w:val="28"/>
          <w:lang w:val="kk-KZ"/>
        </w:rPr>
        <w:tab/>
      </w:r>
      <w:r>
        <w:rPr>
          <w:rFonts w:ascii="Times New Roman" w:hAnsi="Times New Roman"/>
          <w:color w:val="auto"/>
          <w:sz w:val="28"/>
          <w:szCs w:val="28"/>
          <w:lang w:val="kk-KZ"/>
        </w:rPr>
        <w:tab/>
      </w:r>
      <w:r>
        <w:rPr>
          <w:rFonts w:ascii="Times New Roman" w:hAnsi="Times New Roman"/>
          <w:color w:val="auto"/>
          <w:sz w:val="28"/>
          <w:szCs w:val="28"/>
          <w:lang w:val="kk-KZ"/>
        </w:rPr>
        <w:tab/>
      </w:r>
      <w:r>
        <w:rPr>
          <w:rFonts w:ascii="Times New Roman" w:hAnsi="Times New Roman"/>
          <w:color w:val="auto"/>
          <w:sz w:val="28"/>
          <w:szCs w:val="28"/>
          <w:lang w:val="kk-KZ"/>
        </w:rPr>
        <w:tab/>
      </w:r>
      <w:r>
        <w:rPr>
          <w:rFonts w:hint="default" w:ascii="Times New Roman" w:hAnsi="Times New Roman"/>
          <w:color w:val="auto"/>
          <w:sz w:val="28"/>
          <w:szCs w:val="28"/>
          <w:lang w:val="ru-RU"/>
        </w:rPr>
        <w:tab/>
      </w:r>
      <w:r>
        <w:rPr>
          <w:rFonts w:hint="default" w:ascii="Times New Roman" w:hAnsi="Times New Roman"/>
          <w:color w:val="auto"/>
          <w:sz w:val="28"/>
          <w:szCs w:val="28"/>
          <w:lang w:val="ru-RU"/>
        </w:rPr>
        <w:tab/>
      </w:r>
      <w:r>
        <w:rPr>
          <w:rFonts w:hint="default" w:ascii="Times New Roman" w:hAnsi="Times New Roman"/>
          <w:color w:val="auto"/>
          <w:sz w:val="28"/>
          <w:szCs w:val="28"/>
          <w:lang w:val="ru-RU"/>
        </w:rPr>
        <w:t xml:space="preserve">      </w:t>
      </w:r>
      <w:r>
        <w:rPr>
          <w:rFonts w:ascii="Times New Roman" w:hAnsi="Times New Roman"/>
          <w:color w:val="auto"/>
          <w:sz w:val="28"/>
          <w:szCs w:val="28"/>
          <w:lang w:val="kk-KZ"/>
        </w:rPr>
        <w:t xml:space="preserve">   ә)</w:t>
      </w:r>
    </w:p>
    <w:p w14:paraId="0DD7DEC2">
      <w:pPr>
        <w:pStyle w:val="20"/>
        <w:spacing w:after="0"/>
        <w:jc w:val="both"/>
        <w:rPr>
          <w:rFonts w:ascii="Times New Roman" w:hAnsi="Times New Roman"/>
          <w:color w:val="auto"/>
          <w:sz w:val="28"/>
          <w:szCs w:val="28"/>
          <w:lang w:val="kk-KZ"/>
        </w:rPr>
      </w:pPr>
    </w:p>
    <w:p w14:paraId="6BD2C1CE">
      <w:pPr>
        <w:pStyle w:val="20"/>
        <w:spacing w:after="0"/>
        <w:ind w:firstLine="709"/>
        <w:jc w:val="both"/>
        <w:rPr>
          <w:rFonts w:hint="default" w:ascii="Times New Roman" w:hAnsi="Times New Roman"/>
          <w:color w:val="auto"/>
          <w:sz w:val="28"/>
          <w:szCs w:val="28"/>
          <w:lang w:val="en-US"/>
        </w:rPr>
      </w:pPr>
      <w:r>
        <w:rPr>
          <w:rFonts w:ascii="Times New Roman" w:hAnsi="Times New Roman"/>
          <w:color w:val="auto"/>
          <w:sz w:val="28"/>
          <w:szCs w:val="28"/>
          <w:lang w:val="kk-KZ"/>
        </w:rPr>
        <w:t>Сурет 6 - а) Қаражанбас кен орнындағы топырақ</w:t>
      </w:r>
      <w:r>
        <w:rPr>
          <w:rFonts w:hint="default" w:ascii="Times New Roman" w:hAnsi="Times New Roman"/>
          <w:color w:val="auto"/>
          <w:sz w:val="28"/>
          <w:szCs w:val="28"/>
          <w:lang w:val="kk-KZ"/>
        </w:rPr>
        <w:t xml:space="preserve"> қабатының </w:t>
      </w:r>
      <w:r>
        <w:rPr>
          <w:rFonts w:ascii="Times New Roman" w:hAnsi="Times New Roman"/>
          <w:color w:val="auto"/>
          <w:sz w:val="28"/>
          <w:szCs w:val="28"/>
          <w:lang w:val="kk-KZ"/>
        </w:rPr>
        <w:t>мұнай</w:t>
      </w:r>
      <w:r>
        <w:rPr>
          <w:rFonts w:hint="default" w:ascii="Times New Roman" w:hAnsi="Times New Roman"/>
          <w:color w:val="auto"/>
          <w:sz w:val="28"/>
          <w:szCs w:val="28"/>
          <w:lang w:val="ru-RU"/>
        </w:rPr>
        <w:t xml:space="preserve"> ж</w:t>
      </w:r>
      <w:r>
        <w:rPr>
          <w:rFonts w:hint="default" w:ascii="Times New Roman" w:hAnsi="Times New Roman"/>
          <w:color w:val="auto"/>
          <w:sz w:val="28"/>
          <w:szCs w:val="28"/>
          <w:lang w:val="kk-KZ"/>
        </w:rPr>
        <w:t xml:space="preserve">әне мұнай қалдықтарымен </w:t>
      </w:r>
      <w:r>
        <w:rPr>
          <w:rFonts w:ascii="Times New Roman" w:hAnsi="Times New Roman"/>
          <w:color w:val="auto"/>
          <w:sz w:val="28"/>
          <w:szCs w:val="28"/>
          <w:lang w:val="kk-KZ"/>
        </w:rPr>
        <w:t>ластан</w:t>
      </w:r>
      <w:r>
        <w:rPr>
          <w:rFonts w:ascii="Times New Roman" w:hAnsi="Times New Roman"/>
          <w:color w:val="auto"/>
          <w:sz w:val="28"/>
          <w:szCs w:val="28"/>
          <w:lang w:val="ru-RU"/>
        </w:rPr>
        <w:t>уы</w:t>
      </w:r>
      <w:r>
        <w:rPr>
          <w:rFonts w:hint="default" w:ascii="Times New Roman" w:hAnsi="Times New Roman"/>
          <w:color w:val="auto"/>
          <w:sz w:val="28"/>
          <w:szCs w:val="28"/>
          <w:lang w:val="en-US"/>
        </w:rPr>
        <w:t xml:space="preserve"> [</w:t>
      </w:r>
      <w:r>
        <w:rPr>
          <w:rFonts w:hint="default" w:ascii="Times New Roman" w:hAnsi="Times New Roman"/>
          <w:color w:val="auto"/>
          <w:sz w:val="28"/>
          <w:szCs w:val="28"/>
          <w:lang w:val="ru-RU"/>
        </w:rPr>
        <w:t>119</w:t>
      </w:r>
      <w:r>
        <w:rPr>
          <w:rFonts w:hint="default" w:ascii="Times New Roman" w:hAnsi="Times New Roman"/>
          <w:color w:val="auto"/>
          <w:sz w:val="28"/>
          <w:szCs w:val="28"/>
          <w:lang w:val="en-US"/>
        </w:rPr>
        <w:t>]</w:t>
      </w:r>
    </w:p>
    <w:p w14:paraId="1E46ECD0">
      <w:pPr>
        <w:pStyle w:val="20"/>
        <w:spacing w:after="0"/>
        <w:rPr>
          <w:rFonts w:ascii="SimSun" w:hAnsi="SimSun" w:cs="SimSun"/>
          <w:color w:val="auto"/>
          <w:sz w:val="24"/>
          <w:szCs w:val="24"/>
          <w:lang w:val="kk-KZ"/>
        </w:rPr>
      </w:pPr>
    </w:p>
    <w:p w14:paraId="198CFD27">
      <w:pPr>
        <w:pStyle w:val="20"/>
        <w:numPr>
          <w:ilvl w:val="0"/>
          <w:numId w:val="0"/>
        </w:numPr>
        <w:spacing w:after="0"/>
        <w:ind w:firstLine="709" w:firstLineChars="0"/>
        <w:rPr>
          <w:rFonts w:ascii="Times New Roman" w:hAnsi="Times New Roman"/>
          <w:color w:val="auto"/>
          <w:sz w:val="28"/>
          <w:szCs w:val="28"/>
          <w:lang w:val="kk-KZ"/>
        </w:rPr>
      </w:pPr>
      <w:r>
        <w:rPr>
          <w:rFonts w:hint="default" w:ascii="Times New Roman" w:hAnsi="Times New Roman" w:cs="Times New Roman"/>
          <w:b/>
          <w:bCs/>
          <w:color w:val="auto"/>
          <w:sz w:val="28"/>
          <w:szCs w:val="28"/>
          <w:lang w:val="ru-RU"/>
        </w:rPr>
        <w:t xml:space="preserve">2.2 </w:t>
      </w:r>
      <w:r>
        <w:rPr>
          <w:rFonts w:ascii="Times New Roman" w:hAnsi="Times New Roman" w:cs="Times New Roman"/>
          <w:b/>
          <w:bCs/>
          <w:color w:val="auto"/>
          <w:sz w:val="28"/>
          <w:szCs w:val="28"/>
          <w:lang w:val="kk-KZ"/>
        </w:rPr>
        <w:t>Мұнаймен ластанған модельдік топырақты дайындау негіздемесі (физика-химиялық және микробиологиялық параметрлер)</w:t>
      </w:r>
    </w:p>
    <w:p w14:paraId="1D6E2884">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kk-KZ"/>
        </w:rPr>
        <w:t>Биоремедиация процесін модельдеу үшін топырақ үлгілері Маңғыстау облысының Қаражанбас кен орнының маңындағы аймақтардан (координаттары: 44°58' с.е., 53°24' ш.б.) алынды. Топырақ үлгілері "конверт" әдісімен 5 нүктеден беткі қабаттан (0-20 см тереңдіктен) МЕМСТ 1</w:t>
      </w:r>
      <w:r>
        <w:rPr>
          <w:rFonts w:ascii="Times New Roman" w:hAnsi="Times New Roman"/>
          <w:color w:val="auto"/>
          <w:sz w:val="28"/>
          <w:szCs w:val="28"/>
          <w:lang w:val="ru-RU"/>
        </w:rPr>
        <w:t>7,4,4,</w:t>
      </w:r>
      <w:r>
        <w:rPr>
          <w:rFonts w:ascii="Times New Roman" w:hAnsi="Times New Roman"/>
          <w:color w:val="auto"/>
          <w:sz w:val="28"/>
          <w:szCs w:val="28"/>
          <w:lang w:val="kk-KZ"/>
        </w:rPr>
        <w:t>02-2017 "Топырақтар. Үлгілерді алу және дайындау әдістері" талаптарына сәйкес жиналды [1</w:t>
      </w:r>
      <w:r>
        <w:rPr>
          <w:rFonts w:hint="default" w:ascii="Times New Roman" w:hAnsi="Times New Roman"/>
          <w:color w:val="auto"/>
          <w:sz w:val="28"/>
          <w:szCs w:val="28"/>
          <w:lang w:val="ru-RU"/>
        </w:rPr>
        <w:t>20</w:t>
      </w:r>
      <w:r>
        <w:rPr>
          <w:rFonts w:ascii="Times New Roman" w:hAnsi="Times New Roman"/>
          <w:color w:val="auto"/>
          <w:sz w:val="28"/>
          <w:szCs w:val="28"/>
          <w:lang w:val="kk-KZ"/>
        </w:rPr>
        <w:t>]. Жиналған үлгілер зертханаға тығыз жабылған полиэтилен қалталарда 4°C температурада тасымалданды.</w:t>
      </w:r>
    </w:p>
    <w:p w14:paraId="732FE83F">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kk-KZ"/>
        </w:rPr>
        <w:t>Қарастырылып отырған аймақтың топырақ жамылғысы тұзданған көл-теңіз шөгінділерінде қалыптасады және сұр-қоңыр (қоңыр) топырақтармен, сортаңдармен (типтік, соралы, теңіз жағалауындағы) ұсынылған. Барлық топырақтар гумус горизонтының аз қуатымен (1,5-2,0%), қоректік элементтердің төмен құрамымен, сіңіру сыйымдылығының аздығымен сипатталады. Топырақтардың бұл ерекшеліктері топырақ түзілудің қалыптасқан биоклиматтық жағдайларының салдары болып табылады: жауын-шашынның аз мөлшері (150-200 мм/жыл), жазғы жоғары температуралар (орташа 28-32°C) [1</w:t>
      </w:r>
      <w:r>
        <w:rPr>
          <w:rFonts w:hint="default" w:ascii="Times New Roman" w:hAnsi="Times New Roman"/>
          <w:color w:val="auto"/>
          <w:sz w:val="28"/>
          <w:szCs w:val="28"/>
          <w:lang w:val="ru-RU"/>
        </w:rPr>
        <w:t>15</w:t>
      </w:r>
      <w:r>
        <w:rPr>
          <w:rFonts w:ascii="Times New Roman" w:hAnsi="Times New Roman"/>
          <w:color w:val="auto"/>
          <w:sz w:val="28"/>
          <w:szCs w:val="28"/>
          <w:lang w:val="kk-KZ"/>
        </w:rPr>
        <w:t>].</w:t>
      </w:r>
    </w:p>
    <w:p w14:paraId="0B9F3051">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kk-KZ"/>
        </w:rPr>
        <w:t>Топырақтардың сипаттамалық ерекшелігі болып профильдің карбонаттылығы және тұздануы табылады. Мұнай өндіру аймақтары территориясының топырақ жамылғысы көретін қарқынды техногендік қысым морфогенетикалық профильдің бұзылуына, топырақтардың мұнай-химиялық ластануына және ағынды өндірістік сулармен тұздануға әкеледі. Бұл кезде көмірсутектердің жоғарыланған құрамы бар өзіндік геохимиялық өрістер қалыптасады (сурет 7).</w:t>
      </w:r>
    </w:p>
    <w:p w14:paraId="6EF4F3D2">
      <w:pPr>
        <w:pStyle w:val="20"/>
        <w:spacing w:after="0"/>
        <w:ind w:firstLine="709"/>
        <w:rPr>
          <w:rFonts w:ascii="Times New Roman" w:hAnsi="Times New Roman"/>
          <w:color w:val="auto"/>
          <w:sz w:val="28"/>
          <w:szCs w:val="28"/>
          <w:lang w:val="kk-KZ"/>
        </w:rPr>
      </w:pPr>
    </w:p>
    <w:p w14:paraId="2DE9F5E1">
      <w:pPr>
        <w:pStyle w:val="20"/>
        <w:spacing w:after="0"/>
        <w:ind w:left="0" w:leftChars="0" w:firstLine="0" w:firstLineChars="0"/>
        <w:jc w:val="left"/>
        <w:rPr>
          <w:rFonts w:ascii="Times New Roman" w:hAnsi="Times New Roman"/>
          <w:color w:val="auto"/>
          <w:sz w:val="28"/>
          <w:szCs w:val="28"/>
        </w:rPr>
      </w:pPr>
      <w:r>
        <w:rPr>
          <w:color w:val="auto"/>
        </w:rPr>
        <mc:AlternateContent>
          <mc:Choice Requires="wps">
            <w:drawing>
              <wp:anchor distT="0" distB="0" distL="114300" distR="114300" simplePos="0" relativeHeight="251661312" behindDoc="0" locked="0" layoutInCell="1" allowOverlap="1">
                <wp:simplePos x="0" y="0"/>
                <wp:positionH relativeFrom="column">
                  <wp:posOffset>1914525</wp:posOffset>
                </wp:positionH>
                <wp:positionV relativeFrom="paragraph">
                  <wp:posOffset>1720215</wp:posOffset>
                </wp:positionV>
                <wp:extent cx="789305" cy="340995"/>
                <wp:effectExtent l="4445" t="4445" r="13970" b="5080"/>
                <wp:wrapNone/>
                <wp:docPr id="70" name="Текстовое поле 70"/>
                <wp:cNvGraphicFramePr/>
                <a:graphic xmlns:a="http://schemas.openxmlformats.org/drawingml/2006/main">
                  <a:graphicData uri="http://schemas.microsoft.com/office/word/2010/wordprocessingShape">
                    <wps:wsp>
                      <wps:cNvSpPr txBox="1"/>
                      <wps:spPr>
                        <a:xfrm>
                          <a:off x="2548890" y="2654300"/>
                          <a:ext cx="789305" cy="34099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29447D5">
                            <w:pPr>
                              <w:spacing w:after="0"/>
                              <w:rPr>
                                <w:sz w:val="18"/>
                                <w:szCs w:val="18"/>
                              </w:rPr>
                            </w:pPr>
                            <w:r>
                              <w:rPr>
                                <w:sz w:val="18"/>
                                <w:szCs w:val="18"/>
                              </w:rPr>
                              <w:t>4</w:t>
                            </w:r>
                            <w:r>
                              <w:rPr>
                                <w:sz w:val="18"/>
                                <w:szCs w:val="18"/>
                                <w:lang w:val="kk-KZ"/>
                              </w:rPr>
                              <w:t>4</w:t>
                            </w:r>
                            <w:r>
                              <w:rPr>
                                <w:sz w:val="18"/>
                                <w:szCs w:val="18"/>
                              </w:rPr>
                              <w:t>°</w:t>
                            </w:r>
                            <w:r>
                              <w:rPr>
                                <w:sz w:val="18"/>
                                <w:szCs w:val="18"/>
                                <w:lang w:val="kk-KZ"/>
                              </w:rPr>
                              <w:t>58</w:t>
                            </w:r>
                            <w:r>
                              <w:rPr>
                                <w:sz w:val="18"/>
                                <w:szCs w:val="18"/>
                              </w:rPr>
                              <w:t>'с.е.</w:t>
                            </w:r>
                          </w:p>
                          <w:p w14:paraId="23707524">
                            <w:pPr>
                              <w:spacing w:after="0"/>
                              <w:rPr>
                                <w:sz w:val="15"/>
                                <w:szCs w:val="15"/>
                              </w:rPr>
                            </w:pPr>
                            <w:r>
                              <w:rPr>
                                <w:sz w:val="18"/>
                                <w:szCs w:val="18"/>
                                <w:lang w:val="kk-KZ"/>
                              </w:rPr>
                              <w:t>53</w:t>
                            </w:r>
                            <w:r>
                              <w:rPr>
                                <w:sz w:val="18"/>
                                <w:szCs w:val="18"/>
                              </w:rPr>
                              <w:t>°</w:t>
                            </w:r>
                            <w:r>
                              <w:rPr>
                                <w:sz w:val="18"/>
                                <w:szCs w:val="18"/>
                                <w:lang w:val="kk-KZ"/>
                              </w:rPr>
                              <w:t>24</w:t>
                            </w:r>
                            <w:r>
                              <w:rPr>
                                <w:sz w:val="18"/>
                                <w:szCs w:val="18"/>
                              </w:rPr>
                              <w:t>' ш.б.</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0.75pt;margin-top:135.45pt;height:26.85pt;width:62.15pt;z-index:251661312;mso-width-relative:page;mso-height-relative:page;" fillcolor="#FFFFFF [3201]" filled="t" stroked="t" coordsize="21600,21600" o:gfxdata="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Dy7nOX1wAAAAsBAAAPAAAAAAAAAAEAIAAAACIAAABkcnMv&#10;ZG93bnJldi54bWxQSwECFAAUAAAACACHTuJADaGEInYCAADWBAAADgAAAAAAAAABACAAAAAmAQAA&#10;ZHJzL2Uyb0RvYy54bWxQSwUGAAAAAAYABgBZAQAADgYAAAAA&#10;">
                <v:fill on="t" focussize="0,0"/>
                <v:stroke weight="0.5pt" color="#000000 [3204]" joinstyle="round"/>
                <v:imagedata o:title=""/>
                <o:lock v:ext="edit" aspectratio="f"/>
                <v:textbox>
                  <w:txbxContent>
                    <w:p w14:paraId="029447D5">
                      <w:pPr>
                        <w:spacing w:after="0"/>
                        <w:rPr>
                          <w:sz w:val="18"/>
                          <w:szCs w:val="18"/>
                        </w:rPr>
                      </w:pPr>
                      <w:r>
                        <w:rPr>
                          <w:sz w:val="18"/>
                          <w:szCs w:val="18"/>
                        </w:rPr>
                        <w:t>4</w:t>
                      </w:r>
                      <w:r>
                        <w:rPr>
                          <w:sz w:val="18"/>
                          <w:szCs w:val="18"/>
                          <w:lang w:val="kk-KZ"/>
                        </w:rPr>
                        <w:t>4</w:t>
                      </w:r>
                      <w:r>
                        <w:rPr>
                          <w:sz w:val="18"/>
                          <w:szCs w:val="18"/>
                        </w:rPr>
                        <w:t>°</w:t>
                      </w:r>
                      <w:r>
                        <w:rPr>
                          <w:sz w:val="18"/>
                          <w:szCs w:val="18"/>
                          <w:lang w:val="kk-KZ"/>
                        </w:rPr>
                        <w:t>58</w:t>
                      </w:r>
                      <w:r>
                        <w:rPr>
                          <w:sz w:val="18"/>
                          <w:szCs w:val="18"/>
                        </w:rPr>
                        <w:t>'с.е.</w:t>
                      </w:r>
                    </w:p>
                    <w:p w14:paraId="23707524">
                      <w:pPr>
                        <w:spacing w:after="0"/>
                        <w:rPr>
                          <w:sz w:val="15"/>
                          <w:szCs w:val="15"/>
                        </w:rPr>
                      </w:pPr>
                      <w:r>
                        <w:rPr>
                          <w:sz w:val="18"/>
                          <w:szCs w:val="18"/>
                          <w:lang w:val="kk-KZ"/>
                        </w:rPr>
                        <w:t>53</w:t>
                      </w:r>
                      <w:r>
                        <w:rPr>
                          <w:sz w:val="18"/>
                          <w:szCs w:val="18"/>
                        </w:rPr>
                        <w:t>°</w:t>
                      </w:r>
                      <w:r>
                        <w:rPr>
                          <w:sz w:val="18"/>
                          <w:szCs w:val="18"/>
                          <w:lang w:val="kk-KZ"/>
                        </w:rPr>
                        <w:t>24</w:t>
                      </w:r>
                      <w:r>
                        <w:rPr>
                          <w:sz w:val="18"/>
                          <w:szCs w:val="18"/>
                        </w:rPr>
                        <w:t>' ш.б.</w:t>
                      </w:r>
                    </w:p>
                  </w:txbxContent>
                </v:textbox>
              </v:shape>
            </w:pict>
          </mc:Fallback>
        </mc:AlternateContent>
      </w:r>
      <w:r>
        <w:rPr>
          <w:color w:val="auto"/>
        </w:rPr>
        <w:drawing>
          <wp:inline distT="0" distB="0" distL="114300" distR="114300">
            <wp:extent cx="3124200" cy="2990850"/>
            <wp:effectExtent l="0" t="0" r="0" b="11430"/>
            <wp:docPr id="2"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1"/>
                    <pic:cNvPicPr>
                      <a:picLocks noChangeAspect="1"/>
                    </pic:cNvPicPr>
                  </pic:nvPicPr>
                  <pic:blipFill>
                    <a:blip r:embed="rId14"/>
                    <a:stretch>
                      <a:fillRect/>
                    </a:stretch>
                  </pic:blipFill>
                  <pic:spPr>
                    <a:xfrm>
                      <a:off x="0" y="0"/>
                      <a:ext cx="3124200" cy="2990850"/>
                    </a:xfrm>
                    <a:prstGeom prst="rect">
                      <a:avLst/>
                    </a:prstGeom>
                    <a:noFill/>
                    <a:ln>
                      <a:noFill/>
                    </a:ln>
                  </pic:spPr>
                </pic:pic>
              </a:graphicData>
            </a:graphic>
          </wp:inline>
        </w:drawing>
      </w:r>
      <w:r>
        <w:rPr>
          <w:rFonts w:ascii="SimSun" w:hAnsi="SimSun" w:eastAsia="SimSun" w:cs="SimSun"/>
          <w:color w:val="auto"/>
          <w:sz w:val="24"/>
          <w:szCs w:val="24"/>
        </w:rPr>
        <w:drawing>
          <wp:inline distT="0" distB="0" distL="114300" distR="114300">
            <wp:extent cx="2708910" cy="2972435"/>
            <wp:effectExtent l="0" t="0" r="3810" b="14605"/>
            <wp:docPr id="87" name="Изображение 8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Изображение 87" descr="IMG_256"/>
                    <pic:cNvPicPr>
                      <a:picLocks noChangeAspect="1"/>
                    </pic:cNvPicPr>
                  </pic:nvPicPr>
                  <pic:blipFill>
                    <a:blip r:embed="rId15"/>
                    <a:stretch>
                      <a:fillRect/>
                    </a:stretch>
                  </pic:blipFill>
                  <pic:spPr>
                    <a:xfrm>
                      <a:off x="0" y="0"/>
                      <a:ext cx="2708910" cy="2972435"/>
                    </a:xfrm>
                    <a:prstGeom prst="rect">
                      <a:avLst/>
                    </a:prstGeom>
                    <a:noFill/>
                    <a:ln w="9525">
                      <a:noFill/>
                    </a:ln>
                  </pic:spPr>
                </pic:pic>
              </a:graphicData>
            </a:graphic>
          </wp:inline>
        </w:drawing>
      </w:r>
    </w:p>
    <w:p w14:paraId="6AC3D53F">
      <w:pPr>
        <w:pStyle w:val="20"/>
        <w:spacing w:after="0"/>
        <w:rPr>
          <w:rFonts w:hint="default" w:ascii="Times New Roman" w:hAnsi="Times New Roman"/>
          <w:color w:val="auto"/>
          <w:sz w:val="28"/>
          <w:szCs w:val="28"/>
          <w:lang w:val="kk-KZ"/>
        </w:rPr>
      </w:pPr>
      <w:r>
        <w:rPr>
          <w:rFonts w:hint="default" w:ascii="Times New Roman" w:hAnsi="Times New Roman"/>
          <w:color w:val="auto"/>
          <w:sz w:val="28"/>
          <w:szCs w:val="28"/>
          <w:lang w:val="ru-RU"/>
        </w:rPr>
        <w:t>а)</w:t>
      </w:r>
      <w:r>
        <w:rPr>
          <w:rFonts w:ascii="Times New Roman" w:hAnsi="Times New Roman"/>
          <w:color w:val="auto"/>
          <w:sz w:val="28"/>
          <w:szCs w:val="28"/>
        </w:rPr>
        <w:t xml:space="preserve"> </w:t>
      </w:r>
      <w:r>
        <w:rPr>
          <w:rFonts w:hint="default" w:ascii="Times New Roman" w:hAnsi="Times New Roman"/>
          <w:color w:val="auto"/>
          <w:sz w:val="28"/>
          <w:szCs w:val="28"/>
          <w:lang w:val="ru-RU"/>
        </w:rPr>
        <w:tab/>
      </w:r>
      <w:r>
        <w:rPr>
          <w:rFonts w:hint="default" w:ascii="Times New Roman" w:hAnsi="Times New Roman"/>
          <w:color w:val="auto"/>
          <w:sz w:val="28"/>
          <w:szCs w:val="28"/>
          <w:lang w:val="ru-RU"/>
        </w:rPr>
        <w:tab/>
      </w:r>
      <w:r>
        <w:rPr>
          <w:rFonts w:hint="default" w:ascii="Times New Roman" w:hAnsi="Times New Roman"/>
          <w:color w:val="auto"/>
          <w:sz w:val="28"/>
          <w:szCs w:val="28"/>
          <w:lang w:val="ru-RU"/>
        </w:rPr>
        <w:tab/>
      </w:r>
      <w:r>
        <w:rPr>
          <w:rFonts w:hint="default" w:ascii="Times New Roman" w:hAnsi="Times New Roman"/>
          <w:color w:val="auto"/>
          <w:sz w:val="28"/>
          <w:szCs w:val="28"/>
          <w:lang w:val="ru-RU"/>
        </w:rPr>
        <w:tab/>
      </w:r>
      <w:r>
        <w:rPr>
          <w:rFonts w:hint="default" w:ascii="Times New Roman" w:hAnsi="Times New Roman"/>
          <w:color w:val="auto"/>
          <w:sz w:val="28"/>
          <w:szCs w:val="28"/>
          <w:lang w:val="ru-RU"/>
        </w:rPr>
        <w:tab/>
      </w:r>
      <w:r>
        <w:rPr>
          <w:rFonts w:hint="default" w:ascii="Times New Roman" w:hAnsi="Times New Roman"/>
          <w:color w:val="auto"/>
          <w:sz w:val="28"/>
          <w:szCs w:val="28"/>
          <w:lang w:val="ru-RU"/>
        </w:rPr>
        <w:tab/>
      </w:r>
      <w:r>
        <w:rPr>
          <w:rFonts w:hint="default" w:ascii="Times New Roman" w:hAnsi="Times New Roman"/>
          <w:color w:val="auto"/>
          <w:sz w:val="28"/>
          <w:szCs w:val="28"/>
          <w:lang w:val="ru-RU"/>
        </w:rPr>
        <w:tab/>
      </w:r>
      <w:r>
        <w:rPr>
          <w:rFonts w:hint="default" w:ascii="Times New Roman" w:hAnsi="Times New Roman"/>
          <w:color w:val="auto"/>
          <w:sz w:val="28"/>
          <w:szCs w:val="28"/>
          <w:lang w:val="kk-KZ"/>
        </w:rPr>
        <w:t>ә)</w:t>
      </w:r>
    </w:p>
    <w:p w14:paraId="3852281B">
      <w:pPr>
        <w:pStyle w:val="20"/>
        <w:spacing w:after="0"/>
        <w:ind w:firstLine="709"/>
        <w:rPr>
          <w:rFonts w:hint="default" w:ascii="Times New Roman" w:hAnsi="Times New Roman"/>
          <w:color w:val="auto"/>
          <w:sz w:val="28"/>
          <w:szCs w:val="28"/>
          <w:lang w:val="en-US"/>
        </w:rPr>
      </w:pPr>
      <w:r>
        <w:rPr>
          <w:rFonts w:ascii="Times New Roman" w:hAnsi="Times New Roman"/>
          <w:color w:val="auto"/>
          <w:sz w:val="28"/>
          <w:szCs w:val="28"/>
        </w:rPr>
        <w:t xml:space="preserve">Сурет </w:t>
      </w:r>
      <w:r>
        <w:rPr>
          <w:rFonts w:ascii="Times New Roman" w:hAnsi="Times New Roman"/>
          <w:color w:val="auto"/>
          <w:sz w:val="28"/>
          <w:szCs w:val="28"/>
          <w:lang w:val="kk-KZ"/>
        </w:rPr>
        <w:t>7 - а</w:t>
      </w:r>
      <w:r>
        <w:rPr>
          <w:rFonts w:hint="default" w:ascii="Times New Roman" w:hAnsi="Times New Roman"/>
          <w:color w:val="auto"/>
          <w:sz w:val="28"/>
          <w:szCs w:val="28"/>
          <w:lang w:val="kk-KZ"/>
        </w:rPr>
        <w:t>) З</w:t>
      </w:r>
      <w:r>
        <w:rPr>
          <w:rFonts w:ascii="Times New Roman" w:hAnsi="Times New Roman"/>
          <w:color w:val="auto"/>
          <w:sz w:val="28"/>
          <w:szCs w:val="28"/>
          <w:lang w:val="kk-KZ"/>
        </w:rPr>
        <w:t>ерттеу аймағы Қаражанбас кен орны</w:t>
      </w:r>
      <w:r>
        <w:rPr>
          <w:rFonts w:hint="default" w:ascii="Times New Roman" w:hAnsi="Times New Roman"/>
          <w:color w:val="auto"/>
          <w:sz w:val="28"/>
          <w:szCs w:val="28"/>
          <w:lang w:val="kk-KZ"/>
        </w:rPr>
        <w:t xml:space="preserve">  </w:t>
      </w:r>
      <w:r>
        <w:rPr>
          <w:rFonts w:ascii="Times New Roman" w:hAnsi="Times New Roman"/>
          <w:color w:val="auto"/>
          <w:sz w:val="28"/>
          <w:szCs w:val="28"/>
          <w:lang w:val="kk-KZ"/>
        </w:rPr>
        <w:t>картасы (</w:t>
      </w:r>
      <w:r>
        <w:rPr>
          <w:rFonts w:hint="default" w:ascii="Times New Roman" w:hAnsi="Times New Roman"/>
          <w:color w:val="auto"/>
          <w:sz w:val="28"/>
          <w:szCs w:val="28"/>
          <w:lang w:val="en-US"/>
        </w:rPr>
        <w:t>Goooglemaps</w:t>
      </w:r>
      <w:r>
        <w:rPr>
          <w:rFonts w:ascii="Times New Roman" w:hAnsi="Times New Roman"/>
          <w:color w:val="auto"/>
          <w:sz w:val="28"/>
          <w:szCs w:val="28"/>
          <w:lang w:val="kk-KZ"/>
        </w:rPr>
        <w:t>)</w:t>
      </w:r>
      <w:r>
        <w:rPr>
          <w:rFonts w:hint="default" w:ascii="Times New Roman" w:hAnsi="Times New Roman"/>
          <w:color w:val="auto"/>
          <w:sz w:val="28"/>
          <w:szCs w:val="28"/>
          <w:lang w:val="kk-KZ"/>
        </w:rPr>
        <w:t>; ә) Қаражанбас</w:t>
      </w:r>
      <w:r>
        <w:rPr>
          <w:rFonts w:hint="default" w:ascii="Times New Roman" w:hAnsi="Times New Roman"/>
          <w:color w:val="auto"/>
          <w:sz w:val="28"/>
          <w:szCs w:val="28"/>
          <w:lang w:val="en-US"/>
        </w:rPr>
        <w:t xml:space="preserve"> </w:t>
      </w:r>
      <w:r>
        <w:rPr>
          <w:rFonts w:hint="default" w:ascii="Times New Roman" w:hAnsi="Times New Roman"/>
          <w:color w:val="auto"/>
          <w:sz w:val="28"/>
          <w:szCs w:val="28"/>
          <w:lang w:val="kk-KZ"/>
        </w:rPr>
        <w:t xml:space="preserve">кен орны </w:t>
      </w:r>
      <w:r>
        <w:rPr>
          <w:rFonts w:hint="default" w:ascii="Times New Roman" w:hAnsi="Times New Roman"/>
          <w:color w:val="auto"/>
          <w:sz w:val="28"/>
          <w:szCs w:val="28"/>
          <w:lang w:val="en-US"/>
        </w:rPr>
        <w:t>[1</w:t>
      </w:r>
      <w:r>
        <w:rPr>
          <w:rFonts w:hint="default" w:ascii="Times New Roman" w:hAnsi="Times New Roman"/>
          <w:color w:val="auto"/>
          <w:sz w:val="28"/>
          <w:szCs w:val="28"/>
          <w:lang w:val="ru-RU"/>
        </w:rPr>
        <w:t>21</w:t>
      </w:r>
      <w:r>
        <w:rPr>
          <w:rFonts w:hint="default" w:ascii="Times New Roman" w:hAnsi="Times New Roman"/>
          <w:color w:val="auto"/>
          <w:sz w:val="28"/>
          <w:szCs w:val="28"/>
          <w:lang w:val="en-US"/>
        </w:rPr>
        <w:t>]</w:t>
      </w:r>
    </w:p>
    <w:p w14:paraId="6BDD0C7B">
      <w:pPr>
        <w:pStyle w:val="20"/>
        <w:spacing w:after="0"/>
        <w:ind w:firstLine="709"/>
        <w:rPr>
          <w:rFonts w:ascii="Times New Roman" w:hAnsi="Times New Roman"/>
          <w:color w:val="auto"/>
          <w:sz w:val="28"/>
          <w:szCs w:val="28"/>
        </w:rPr>
      </w:pPr>
    </w:p>
    <w:p w14:paraId="1FDAF7D8">
      <w:pPr>
        <w:pStyle w:val="20"/>
        <w:spacing w:after="0"/>
        <w:ind w:firstLine="709"/>
        <w:rPr>
          <w:rFonts w:ascii="Times New Roman" w:hAnsi="Times New Roman"/>
          <w:color w:val="auto"/>
          <w:sz w:val="28"/>
          <w:szCs w:val="28"/>
        </w:rPr>
      </w:pPr>
      <w:r>
        <w:rPr>
          <w:rFonts w:ascii="Times New Roman" w:hAnsi="Times New Roman"/>
          <w:color w:val="auto"/>
          <w:sz w:val="28"/>
          <w:szCs w:val="28"/>
        </w:rPr>
        <w:t>Зертханаға жеткізілген топырақ үлгілері 2 мм диаметрлі електе елеу арқылы дайындалды. Бастапқы топырақтың негізгі физика-химиялық көрсеткіштері анықталды (</w:t>
      </w:r>
      <w:r>
        <w:rPr>
          <w:rFonts w:hint="default" w:ascii="Times New Roman" w:hAnsi="Times New Roman"/>
          <w:color w:val="auto"/>
          <w:sz w:val="28"/>
          <w:szCs w:val="28"/>
          <w:lang w:val="en-US"/>
        </w:rPr>
        <w:t>4</w:t>
      </w:r>
      <w:r>
        <w:rPr>
          <w:rFonts w:ascii="Times New Roman" w:hAnsi="Times New Roman"/>
          <w:color w:val="auto"/>
          <w:sz w:val="28"/>
          <w:szCs w:val="28"/>
        </w:rPr>
        <w:t>-кесте):</w:t>
      </w:r>
    </w:p>
    <w:p w14:paraId="2032F7DF">
      <w:pPr>
        <w:pStyle w:val="20"/>
        <w:spacing w:after="0"/>
        <w:ind w:firstLine="709"/>
        <w:rPr>
          <w:rFonts w:ascii="Times New Roman" w:hAnsi="Times New Roman"/>
          <w:color w:val="auto"/>
          <w:sz w:val="28"/>
          <w:szCs w:val="28"/>
          <w:lang w:val="kk-KZ"/>
        </w:rPr>
      </w:pPr>
    </w:p>
    <w:p w14:paraId="7986076B">
      <w:pPr>
        <w:pStyle w:val="20"/>
        <w:spacing w:after="0"/>
        <w:rPr>
          <w:rFonts w:hint="default" w:ascii="Times New Roman" w:hAnsi="Times New Roman"/>
          <w:color w:val="auto"/>
          <w:sz w:val="28"/>
          <w:szCs w:val="28"/>
          <w:lang w:val="kk-KZ"/>
        </w:rPr>
      </w:pPr>
      <w:r>
        <w:rPr>
          <w:rFonts w:ascii="Times New Roman" w:hAnsi="Times New Roman"/>
          <w:color w:val="auto"/>
          <w:sz w:val="28"/>
          <w:szCs w:val="28"/>
          <w:lang w:val="kk-KZ"/>
        </w:rPr>
        <w:t>К</w:t>
      </w:r>
      <w:r>
        <w:rPr>
          <w:rFonts w:ascii="Times New Roman" w:hAnsi="Times New Roman"/>
          <w:color w:val="auto"/>
          <w:sz w:val="28"/>
          <w:szCs w:val="28"/>
        </w:rPr>
        <w:t>есте</w:t>
      </w:r>
      <w:r>
        <w:rPr>
          <w:rFonts w:ascii="Times New Roman" w:hAnsi="Times New Roman"/>
          <w:color w:val="auto"/>
          <w:sz w:val="28"/>
          <w:szCs w:val="28"/>
          <w:lang w:val="kk-KZ"/>
        </w:rPr>
        <w:t xml:space="preserve"> 4 - </w:t>
      </w:r>
      <w:r>
        <w:rPr>
          <w:rFonts w:ascii="Times New Roman" w:hAnsi="Times New Roman"/>
          <w:color w:val="auto"/>
          <w:sz w:val="28"/>
          <w:szCs w:val="28"/>
        </w:rPr>
        <w:t xml:space="preserve">Модельдік топырақтың </w:t>
      </w:r>
      <w:r>
        <w:rPr>
          <w:rFonts w:ascii="Times New Roman" w:hAnsi="Times New Roman"/>
          <w:color w:val="auto"/>
          <w:sz w:val="28"/>
          <w:szCs w:val="28"/>
          <w:lang w:val="kk-KZ"/>
        </w:rPr>
        <w:t>физико</w:t>
      </w:r>
      <w:r>
        <w:rPr>
          <w:rFonts w:hint="default" w:ascii="Times New Roman" w:hAnsi="Times New Roman"/>
          <w:color w:val="auto"/>
          <w:sz w:val="28"/>
          <w:szCs w:val="28"/>
          <w:lang w:val="kk-KZ"/>
        </w:rPr>
        <w:t>-химиялық</w:t>
      </w:r>
      <w:r>
        <w:rPr>
          <w:rFonts w:ascii="Times New Roman" w:hAnsi="Times New Roman"/>
          <w:color w:val="auto"/>
          <w:sz w:val="28"/>
          <w:szCs w:val="28"/>
        </w:rPr>
        <w:t xml:space="preserve"> сипаттама</w:t>
      </w:r>
      <w:r>
        <w:rPr>
          <w:rFonts w:ascii="Times New Roman" w:hAnsi="Times New Roman"/>
          <w:color w:val="auto"/>
          <w:sz w:val="28"/>
          <w:szCs w:val="28"/>
          <w:lang w:val="kk-KZ"/>
        </w:rPr>
        <w:t>сы</w:t>
      </w:r>
    </w:p>
    <w:p w14:paraId="4A810F29">
      <w:pPr>
        <w:pStyle w:val="20"/>
        <w:spacing w:after="0"/>
        <w:ind w:firstLine="709"/>
        <w:rPr>
          <w:rFonts w:ascii="Times New Roman" w:hAnsi="Times New Roman"/>
          <w:color w:val="auto"/>
          <w:sz w:val="28"/>
          <w:szCs w:val="28"/>
        </w:rPr>
      </w:pP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18"/>
        <w:gridCol w:w="3119"/>
        <w:gridCol w:w="3119"/>
      </w:tblGrid>
      <w:tr w14:paraId="1AB67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8" w:type="dxa"/>
          </w:tcPr>
          <w:p w14:paraId="3706E17D">
            <w:pPr>
              <w:pStyle w:val="20"/>
              <w:widowControl w:val="0"/>
              <w:spacing w:after="0"/>
              <w:ind w:firstLine="709"/>
              <w:jc w:val="center"/>
              <w:rPr>
                <w:rFonts w:ascii="Times New Roman" w:hAnsi="Times New Roman" w:cs="Times New Roman"/>
                <w:b w:val="0"/>
                <w:bCs w:val="0"/>
                <w:color w:val="auto"/>
                <w:sz w:val="28"/>
                <w:szCs w:val="28"/>
                <w:highlight w:val="yellow"/>
              </w:rPr>
            </w:pPr>
            <w:r>
              <w:rPr>
                <w:rFonts w:ascii="Times New Roman" w:hAnsi="Times New Roman" w:cs="Times New Roman"/>
                <w:b w:val="0"/>
                <w:bCs w:val="0"/>
                <w:color w:val="auto"/>
                <w:sz w:val="28"/>
                <w:szCs w:val="28"/>
                <w:lang w:val="en-US" w:eastAsia="zh-CN" w:bidi="ar"/>
              </w:rPr>
              <w:t>Көрсеткіш</w:t>
            </w:r>
          </w:p>
        </w:tc>
        <w:tc>
          <w:tcPr>
            <w:tcW w:w="3119" w:type="dxa"/>
          </w:tcPr>
          <w:p w14:paraId="51B06476">
            <w:pPr>
              <w:pStyle w:val="20"/>
              <w:widowControl w:val="0"/>
              <w:spacing w:after="0"/>
              <w:ind w:firstLine="709"/>
              <w:rPr>
                <w:rFonts w:ascii="Times New Roman" w:hAnsi="Times New Roman" w:cs="Times New Roman"/>
                <w:b w:val="0"/>
                <w:bCs w:val="0"/>
                <w:color w:val="auto"/>
                <w:sz w:val="28"/>
                <w:szCs w:val="28"/>
                <w:highlight w:val="yellow"/>
              </w:rPr>
            </w:pPr>
            <w:r>
              <w:rPr>
                <w:rFonts w:ascii="Times New Roman" w:hAnsi="Times New Roman" w:cs="Times New Roman"/>
                <w:b w:val="0"/>
                <w:bCs w:val="0"/>
                <w:color w:val="auto"/>
                <w:sz w:val="28"/>
                <w:szCs w:val="28"/>
                <w:lang w:val="en-US" w:eastAsia="zh-CN" w:bidi="ar"/>
              </w:rPr>
              <w:t>Мәні</w:t>
            </w:r>
          </w:p>
        </w:tc>
        <w:tc>
          <w:tcPr>
            <w:tcW w:w="3119" w:type="dxa"/>
          </w:tcPr>
          <w:p w14:paraId="2AA1E398">
            <w:pPr>
              <w:pStyle w:val="20"/>
              <w:widowControl w:val="0"/>
              <w:spacing w:after="0"/>
              <w:ind w:firstLine="709"/>
              <w:rPr>
                <w:rFonts w:ascii="Times New Roman" w:hAnsi="Times New Roman" w:cs="Times New Roman"/>
                <w:b w:val="0"/>
                <w:bCs w:val="0"/>
                <w:color w:val="auto"/>
                <w:sz w:val="28"/>
                <w:szCs w:val="28"/>
                <w:highlight w:val="yellow"/>
              </w:rPr>
            </w:pPr>
            <w:r>
              <w:rPr>
                <w:rFonts w:ascii="Times New Roman" w:hAnsi="Times New Roman" w:cs="Times New Roman"/>
                <w:b w:val="0"/>
                <w:bCs w:val="0"/>
                <w:color w:val="auto"/>
                <w:sz w:val="28"/>
                <w:szCs w:val="28"/>
                <w:lang w:val="en-US" w:eastAsia="zh-CN" w:bidi="ar"/>
              </w:rPr>
              <w:t>Әдіс/ГОСТ</w:t>
            </w:r>
          </w:p>
        </w:tc>
      </w:tr>
      <w:tr w14:paraId="1471D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8" w:type="dxa"/>
          </w:tcPr>
          <w:p w14:paraId="4FF3853E">
            <w:pPr>
              <w:pStyle w:val="20"/>
              <w:widowControl w:val="0"/>
              <w:spacing w:after="0"/>
              <w:rPr>
                <w:rFonts w:ascii="Times New Roman" w:hAnsi="Times New Roman" w:cs="Times New Roman"/>
                <w:color w:val="auto"/>
                <w:sz w:val="28"/>
                <w:szCs w:val="28"/>
                <w:highlight w:val="yellow"/>
              </w:rPr>
            </w:pPr>
            <w:r>
              <w:rPr>
                <w:rFonts w:ascii="Times New Roman" w:hAnsi="Times New Roman" w:cs="Times New Roman"/>
                <w:color w:val="auto"/>
                <w:sz w:val="28"/>
                <w:szCs w:val="28"/>
                <w:lang w:val="en-US" w:eastAsia="zh-CN" w:bidi="ar"/>
              </w:rPr>
              <w:t>рН (су)</w:t>
            </w:r>
          </w:p>
        </w:tc>
        <w:tc>
          <w:tcPr>
            <w:tcW w:w="3119" w:type="dxa"/>
          </w:tcPr>
          <w:p w14:paraId="0BBF1EB0">
            <w:pPr>
              <w:pStyle w:val="20"/>
              <w:widowControl w:val="0"/>
              <w:spacing w:after="0"/>
              <w:ind w:firstLine="709"/>
              <w:rPr>
                <w:rFonts w:ascii="Times New Roman" w:hAnsi="Times New Roman" w:cs="Times New Roman"/>
                <w:color w:val="auto"/>
                <w:sz w:val="28"/>
                <w:szCs w:val="28"/>
                <w:highlight w:val="yellow"/>
              </w:rPr>
            </w:pPr>
            <w:r>
              <w:rPr>
                <w:rFonts w:ascii="Times New Roman" w:hAnsi="Times New Roman" w:cs="Times New Roman"/>
                <w:color w:val="auto"/>
                <w:sz w:val="28"/>
                <w:szCs w:val="28"/>
                <w:lang w:val="en-US" w:eastAsia="zh-CN" w:bidi="ar"/>
              </w:rPr>
              <w:t>7,8±0,2</w:t>
            </w:r>
          </w:p>
        </w:tc>
        <w:tc>
          <w:tcPr>
            <w:tcW w:w="3119" w:type="dxa"/>
          </w:tcPr>
          <w:p w14:paraId="1E068C6A">
            <w:pPr>
              <w:pStyle w:val="20"/>
              <w:widowControl w:val="0"/>
              <w:spacing w:after="0"/>
              <w:jc w:val="center"/>
              <w:rPr>
                <w:rFonts w:hint="default" w:ascii="Times New Roman" w:hAnsi="Times New Roman" w:cs="Times New Roman"/>
                <w:color w:val="auto"/>
                <w:sz w:val="28"/>
                <w:szCs w:val="28"/>
                <w:highlight w:val="yellow"/>
                <w:lang w:val="en-US"/>
              </w:rPr>
            </w:pPr>
            <w:r>
              <w:rPr>
                <w:rFonts w:ascii="Times New Roman" w:hAnsi="Times New Roman" w:cs="Times New Roman"/>
                <w:color w:val="auto"/>
                <w:sz w:val="24"/>
                <w:szCs w:val="24"/>
              </w:rPr>
              <w:t>МЕМСТ 26423-85</w:t>
            </w:r>
            <w:r>
              <w:rPr>
                <w:rFonts w:hint="default" w:ascii="Times New Roman" w:hAnsi="Times New Roman" w:cs="Times New Roman"/>
                <w:color w:val="auto"/>
                <w:sz w:val="24"/>
                <w:szCs w:val="24"/>
                <w:lang w:val="ru-RU"/>
              </w:rPr>
              <w:t xml:space="preserve"> </w:t>
            </w:r>
            <w:r>
              <w:rPr>
                <w:rFonts w:hint="default" w:ascii="Times New Roman" w:hAnsi="Times New Roman" w:cs="Times New Roman"/>
                <w:color w:val="auto"/>
                <w:sz w:val="24"/>
                <w:szCs w:val="24"/>
                <w:lang w:val="en-US"/>
              </w:rPr>
              <w:t>[122]</w:t>
            </w:r>
          </w:p>
        </w:tc>
      </w:tr>
      <w:tr w14:paraId="4F7AC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8" w:type="dxa"/>
          </w:tcPr>
          <w:p w14:paraId="1ACD06D7">
            <w:pPr>
              <w:pStyle w:val="20"/>
              <w:widowControl w:val="0"/>
              <w:spacing w:after="0"/>
              <w:rPr>
                <w:rFonts w:ascii="Times New Roman" w:hAnsi="Times New Roman" w:cs="Times New Roman"/>
                <w:color w:val="auto"/>
                <w:sz w:val="28"/>
                <w:szCs w:val="28"/>
                <w:highlight w:val="yellow"/>
              </w:rPr>
            </w:pPr>
            <w:r>
              <w:rPr>
                <w:rFonts w:ascii="Times New Roman" w:hAnsi="Times New Roman" w:cs="Times New Roman"/>
                <w:color w:val="auto"/>
                <w:sz w:val="28"/>
                <w:szCs w:val="28"/>
                <w:lang w:val="en-US" w:eastAsia="zh-CN" w:bidi="ar"/>
              </w:rPr>
              <w:t>Ылғалдылық, %</w:t>
            </w:r>
          </w:p>
        </w:tc>
        <w:tc>
          <w:tcPr>
            <w:tcW w:w="3119" w:type="dxa"/>
          </w:tcPr>
          <w:p w14:paraId="769EBCB4">
            <w:pPr>
              <w:pStyle w:val="20"/>
              <w:widowControl w:val="0"/>
              <w:spacing w:after="0"/>
              <w:ind w:firstLine="709"/>
              <w:rPr>
                <w:rFonts w:ascii="Times New Roman" w:hAnsi="Times New Roman" w:cs="Times New Roman"/>
                <w:color w:val="auto"/>
                <w:sz w:val="28"/>
                <w:szCs w:val="28"/>
                <w:highlight w:val="yellow"/>
              </w:rPr>
            </w:pPr>
            <w:r>
              <w:rPr>
                <w:rFonts w:ascii="Times New Roman" w:hAnsi="Times New Roman" w:cs="Times New Roman"/>
                <w:color w:val="auto"/>
                <w:sz w:val="28"/>
                <w:szCs w:val="28"/>
                <w:lang w:val="en-US" w:eastAsia="zh-CN" w:bidi="ar"/>
              </w:rPr>
              <w:t>8,5±1,2</w:t>
            </w:r>
          </w:p>
        </w:tc>
        <w:tc>
          <w:tcPr>
            <w:tcW w:w="3119" w:type="dxa"/>
          </w:tcPr>
          <w:p w14:paraId="150102F2">
            <w:pPr>
              <w:pStyle w:val="20"/>
              <w:widowControl w:val="0"/>
              <w:spacing w:after="0"/>
              <w:jc w:val="center"/>
              <w:rPr>
                <w:rFonts w:hint="default" w:ascii="Times New Roman" w:hAnsi="Times New Roman" w:cs="Times New Roman"/>
                <w:color w:val="auto"/>
                <w:sz w:val="28"/>
                <w:szCs w:val="28"/>
                <w:highlight w:val="yellow"/>
                <w:lang w:val="en-US"/>
              </w:rPr>
            </w:pPr>
            <w:r>
              <w:rPr>
                <w:rFonts w:ascii="Times New Roman" w:hAnsi="Times New Roman" w:cs="Times New Roman"/>
                <w:color w:val="auto"/>
                <w:sz w:val="24"/>
                <w:szCs w:val="24"/>
              </w:rPr>
              <w:t>МЕМСТ 28268-89</w:t>
            </w:r>
            <w:r>
              <w:rPr>
                <w:rFonts w:hint="default" w:ascii="Times New Roman" w:hAnsi="Times New Roman" w:cs="Times New Roman"/>
                <w:color w:val="auto"/>
                <w:sz w:val="24"/>
                <w:szCs w:val="24"/>
                <w:lang w:val="en-US"/>
              </w:rPr>
              <w:t xml:space="preserve"> [123]</w:t>
            </w:r>
          </w:p>
        </w:tc>
      </w:tr>
      <w:tr w14:paraId="14016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8" w:type="dxa"/>
          </w:tcPr>
          <w:p w14:paraId="4F5BCED0">
            <w:pPr>
              <w:pStyle w:val="20"/>
              <w:widowControl w:val="0"/>
              <w:spacing w:after="0"/>
              <w:rPr>
                <w:rFonts w:ascii="Times New Roman" w:hAnsi="Times New Roman" w:cs="Times New Roman"/>
                <w:color w:val="auto"/>
                <w:sz w:val="28"/>
                <w:szCs w:val="28"/>
                <w:highlight w:val="yellow"/>
              </w:rPr>
            </w:pPr>
            <w:r>
              <w:rPr>
                <w:rFonts w:ascii="Times New Roman" w:hAnsi="Times New Roman" w:cs="Times New Roman"/>
                <w:color w:val="auto"/>
                <w:sz w:val="28"/>
                <w:szCs w:val="28"/>
                <w:lang w:val="en-US" w:eastAsia="zh-CN" w:bidi="ar"/>
              </w:rPr>
              <w:t>Органикалық заттар, %</w:t>
            </w:r>
          </w:p>
        </w:tc>
        <w:tc>
          <w:tcPr>
            <w:tcW w:w="3119" w:type="dxa"/>
          </w:tcPr>
          <w:p w14:paraId="5A89124E">
            <w:pPr>
              <w:pStyle w:val="20"/>
              <w:widowControl w:val="0"/>
              <w:spacing w:after="0"/>
              <w:ind w:firstLine="709"/>
              <w:rPr>
                <w:rFonts w:ascii="Times New Roman" w:hAnsi="Times New Roman" w:cs="Times New Roman"/>
                <w:color w:val="auto"/>
                <w:sz w:val="28"/>
                <w:szCs w:val="28"/>
                <w:highlight w:val="yellow"/>
              </w:rPr>
            </w:pPr>
            <w:r>
              <w:rPr>
                <w:rFonts w:ascii="Times New Roman" w:hAnsi="Times New Roman" w:cs="Times New Roman"/>
                <w:color w:val="auto"/>
                <w:sz w:val="28"/>
                <w:szCs w:val="28"/>
                <w:lang w:val="en-US" w:eastAsia="zh-CN" w:bidi="ar"/>
              </w:rPr>
              <w:t>1,2±0,3</w:t>
            </w:r>
          </w:p>
        </w:tc>
        <w:tc>
          <w:tcPr>
            <w:tcW w:w="3119" w:type="dxa"/>
          </w:tcPr>
          <w:p w14:paraId="09DC3FD3">
            <w:pPr>
              <w:pStyle w:val="20"/>
              <w:widowControl w:val="0"/>
              <w:spacing w:after="0"/>
              <w:jc w:val="center"/>
              <w:rPr>
                <w:rFonts w:hint="default" w:ascii="Times New Roman" w:hAnsi="Times New Roman" w:cs="Times New Roman"/>
                <w:color w:val="auto"/>
                <w:sz w:val="28"/>
                <w:szCs w:val="28"/>
                <w:highlight w:val="yellow"/>
                <w:lang w:val="en-US"/>
              </w:rPr>
            </w:pPr>
            <w:r>
              <w:rPr>
                <w:rStyle w:val="19"/>
                <w:rFonts w:ascii="SimSun" w:hAnsi="SimSun" w:eastAsia="SimSun" w:cs="SimSun"/>
                <w:color w:val="auto"/>
                <w:sz w:val="24"/>
                <w:szCs w:val="24"/>
              </w:rPr>
              <w:t>МЕМСТ 26213-202</w:t>
            </w:r>
            <w:r>
              <w:rPr>
                <w:rStyle w:val="19"/>
                <w:rFonts w:hint="default" w:ascii="SimSun" w:hAnsi="SimSun" w:cs="SimSun"/>
                <w:color w:val="auto"/>
                <w:sz w:val="24"/>
                <w:szCs w:val="24"/>
                <w:lang w:val="en-US"/>
              </w:rPr>
              <w:t>1</w:t>
            </w:r>
            <w:r>
              <w:rPr>
                <w:rFonts w:hint="default" w:ascii="Times New Roman" w:hAnsi="Times New Roman" w:cs="Times New Roman"/>
                <w:color w:val="auto"/>
                <w:sz w:val="24"/>
                <w:szCs w:val="24"/>
                <w:lang w:val="en-US"/>
              </w:rPr>
              <w:t xml:space="preserve"> [124]</w:t>
            </w:r>
          </w:p>
        </w:tc>
      </w:tr>
      <w:tr w14:paraId="1280B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8" w:type="dxa"/>
          </w:tcPr>
          <w:p w14:paraId="15733B51">
            <w:pPr>
              <w:pStyle w:val="20"/>
              <w:widowControl w:val="0"/>
              <w:spacing w:after="0"/>
              <w:rPr>
                <w:rFonts w:ascii="Times New Roman" w:hAnsi="Times New Roman" w:cs="Times New Roman"/>
                <w:color w:val="auto"/>
                <w:sz w:val="28"/>
                <w:szCs w:val="28"/>
                <w:highlight w:val="yellow"/>
              </w:rPr>
            </w:pPr>
            <w:r>
              <w:rPr>
                <w:rFonts w:ascii="Times New Roman" w:hAnsi="Times New Roman" w:cs="Times New Roman"/>
                <w:color w:val="auto"/>
                <w:sz w:val="28"/>
                <w:szCs w:val="28"/>
                <w:lang w:val="en-US" w:eastAsia="zh-CN" w:bidi="ar"/>
              </w:rPr>
              <w:t>Тұздану, %</w:t>
            </w:r>
          </w:p>
        </w:tc>
        <w:tc>
          <w:tcPr>
            <w:tcW w:w="3119" w:type="dxa"/>
          </w:tcPr>
          <w:p w14:paraId="2E761D91">
            <w:pPr>
              <w:pStyle w:val="20"/>
              <w:widowControl w:val="0"/>
              <w:spacing w:after="0"/>
              <w:ind w:firstLine="709"/>
              <w:rPr>
                <w:rFonts w:ascii="Times New Roman" w:hAnsi="Times New Roman" w:cs="Times New Roman"/>
                <w:color w:val="auto"/>
                <w:sz w:val="28"/>
                <w:szCs w:val="28"/>
                <w:highlight w:val="yellow"/>
              </w:rPr>
            </w:pPr>
            <w:r>
              <w:rPr>
                <w:rFonts w:ascii="Times New Roman" w:hAnsi="Times New Roman" w:cs="Times New Roman"/>
                <w:color w:val="auto"/>
                <w:sz w:val="28"/>
                <w:szCs w:val="28"/>
                <w:lang w:val="en-US" w:eastAsia="zh-CN" w:bidi="ar"/>
              </w:rPr>
              <w:t>0,45±0,08</w:t>
            </w:r>
          </w:p>
        </w:tc>
        <w:tc>
          <w:tcPr>
            <w:tcW w:w="3119" w:type="dxa"/>
          </w:tcPr>
          <w:p w14:paraId="16A15B4F">
            <w:pPr>
              <w:pStyle w:val="20"/>
              <w:widowControl w:val="0"/>
              <w:spacing w:after="0"/>
              <w:jc w:val="center"/>
              <w:rPr>
                <w:rFonts w:hint="default" w:ascii="Times New Roman" w:hAnsi="Times New Roman" w:cs="Times New Roman"/>
                <w:color w:val="auto"/>
                <w:sz w:val="28"/>
                <w:szCs w:val="28"/>
                <w:highlight w:val="yellow"/>
                <w:lang w:val="en-US"/>
              </w:rPr>
            </w:pPr>
            <w:r>
              <w:rPr>
                <w:rFonts w:ascii="Times New Roman" w:hAnsi="Times New Roman" w:cs="Times New Roman"/>
                <w:color w:val="auto"/>
                <w:sz w:val="24"/>
                <w:szCs w:val="24"/>
              </w:rPr>
              <w:t>МЕМСТ 26424-85</w:t>
            </w:r>
            <w:r>
              <w:rPr>
                <w:rFonts w:hint="default" w:ascii="Times New Roman" w:hAnsi="Times New Roman" w:cs="Times New Roman"/>
                <w:color w:val="auto"/>
                <w:sz w:val="24"/>
                <w:szCs w:val="24"/>
                <w:lang w:val="en-US"/>
              </w:rPr>
              <w:t xml:space="preserve"> [125]</w:t>
            </w:r>
          </w:p>
        </w:tc>
      </w:tr>
      <w:tr w14:paraId="1869C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8" w:type="dxa"/>
          </w:tcPr>
          <w:p w14:paraId="11EB82B1">
            <w:pPr>
              <w:pStyle w:val="20"/>
              <w:widowControl w:val="0"/>
              <w:spacing w:after="0"/>
              <w:rPr>
                <w:rFonts w:ascii="Times New Roman" w:hAnsi="Times New Roman" w:cs="Times New Roman"/>
                <w:color w:val="auto"/>
                <w:sz w:val="28"/>
                <w:szCs w:val="28"/>
                <w:highlight w:val="yellow"/>
              </w:rPr>
            </w:pPr>
            <w:r>
              <w:rPr>
                <w:rFonts w:ascii="Times New Roman" w:hAnsi="Times New Roman" w:cs="Times New Roman"/>
                <w:color w:val="auto"/>
                <w:sz w:val="28"/>
                <w:szCs w:val="28"/>
                <w:lang w:eastAsia="zh-CN" w:bidi="ar"/>
              </w:rPr>
              <w:t>Түйіршік құрамы: құм/сұйылтпа/саз, %</w:t>
            </w:r>
          </w:p>
        </w:tc>
        <w:tc>
          <w:tcPr>
            <w:tcW w:w="3119" w:type="dxa"/>
          </w:tcPr>
          <w:p w14:paraId="07AA21C6">
            <w:pPr>
              <w:pStyle w:val="20"/>
              <w:widowControl w:val="0"/>
              <w:spacing w:after="0"/>
              <w:ind w:firstLine="709"/>
              <w:rPr>
                <w:rFonts w:ascii="Times New Roman" w:hAnsi="Times New Roman" w:cs="Times New Roman"/>
                <w:color w:val="auto"/>
                <w:sz w:val="28"/>
                <w:szCs w:val="28"/>
                <w:highlight w:val="yellow"/>
              </w:rPr>
            </w:pPr>
            <w:r>
              <w:rPr>
                <w:rFonts w:ascii="Times New Roman" w:hAnsi="Times New Roman" w:cs="Times New Roman"/>
                <w:color w:val="auto"/>
                <w:sz w:val="28"/>
                <w:szCs w:val="28"/>
                <w:lang w:val="en-US" w:eastAsia="zh-CN" w:bidi="ar"/>
              </w:rPr>
              <w:t>65/28/7</w:t>
            </w:r>
          </w:p>
        </w:tc>
        <w:tc>
          <w:tcPr>
            <w:tcW w:w="3119" w:type="dxa"/>
          </w:tcPr>
          <w:p w14:paraId="4C3747AF">
            <w:pPr>
              <w:pStyle w:val="20"/>
              <w:widowControl w:val="0"/>
              <w:spacing w:after="0"/>
              <w:jc w:val="center"/>
              <w:rPr>
                <w:rFonts w:hint="default" w:ascii="Times New Roman" w:hAnsi="Times New Roman" w:cs="Times New Roman"/>
                <w:color w:val="auto"/>
                <w:sz w:val="28"/>
                <w:szCs w:val="28"/>
                <w:highlight w:val="yellow"/>
                <w:lang w:val="en-US"/>
              </w:rPr>
            </w:pPr>
            <w:r>
              <w:rPr>
                <w:rFonts w:ascii="Times New Roman" w:hAnsi="Times New Roman" w:cs="Times New Roman"/>
                <w:color w:val="auto"/>
                <w:sz w:val="24"/>
                <w:szCs w:val="24"/>
              </w:rPr>
              <w:t>МЕМСТ 12536-201</w:t>
            </w:r>
            <w:r>
              <w:rPr>
                <w:rFonts w:ascii="Times New Roman" w:hAnsi="Times New Roman" w:cs="Times New Roman"/>
                <w:color w:val="auto"/>
                <w:sz w:val="24"/>
                <w:szCs w:val="24"/>
                <w:lang w:val="ru-RU"/>
              </w:rPr>
              <w:t>4</w:t>
            </w:r>
            <w:r>
              <w:rPr>
                <w:rFonts w:hint="default" w:ascii="Times New Roman" w:hAnsi="Times New Roman" w:cs="Times New Roman"/>
                <w:color w:val="auto"/>
                <w:sz w:val="24"/>
                <w:szCs w:val="24"/>
                <w:lang w:val="en-US"/>
              </w:rPr>
              <w:t xml:space="preserve"> [126]</w:t>
            </w:r>
          </w:p>
        </w:tc>
      </w:tr>
      <w:tr w14:paraId="128A5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8" w:type="dxa"/>
          </w:tcPr>
          <w:p w14:paraId="120C8CFA">
            <w:pPr>
              <w:pStyle w:val="20"/>
              <w:widowControl w:val="0"/>
              <w:spacing w:after="0"/>
              <w:rPr>
                <w:rFonts w:ascii="Times New Roman" w:hAnsi="Times New Roman" w:cs="Times New Roman"/>
                <w:color w:val="auto"/>
                <w:sz w:val="28"/>
                <w:szCs w:val="28"/>
                <w:highlight w:val="yellow"/>
                <w:lang w:val="kk-KZ"/>
              </w:rPr>
            </w:pPr>
            <w:r>
              <w:rPr>
                <w:rFonts w:ascii="Times New Roman" w:hAnsi="Times New Roman" w:cs="Times New Roman"/>
                <w:color w:val="auto"/>
                <w:sz w:val="28"/>
                <w:szCs w:val="28"/>
                <w:lang w:eastAsia="zh-CN" w:bidi="ar"/>
              </w:rPr>
              <w:t xml:space="preserve">Бастапқы </w:t>
            </w:r>
            <w:r>
              <w:rPr>
                <w:rFonts w:ascii="Times New Roman" w:hAnsi="Times New Roman" w:cs="Times New Roman"/>
                <w:color w:val="auto"/>
                <w:sz w:val="28"/>
                <w:szCs w:val="28"/>
                <w:lang w:val="kk-KZ" w:eastAsia="zh-CN" w:bidi="ar"/>
              </w:rPr>
              <w:t>ЖМӨ</w:t>
            </w:r>
            <w:r>
              <w:rPr>
                <w:rFonts w:ascii="Times New Roman" w:hAnsi="Times New Roman" w:cs="Times New Roman"/>
                <w:color w:val="auto"/>
                <w:sz w:val="28"/>
                <w:szCs w:val="28"/>
                <w:lang w:eastAsia="zh-CN" w:bidi="ar"/>
              </w:rPr>
              <w:t xml:space="preserve"> құрамы, мг/кг</w:t>
            </w:r>
            <w:r>
              <w:rPr>
                <w:rFonts w:ascii="Times New Roman" w:hAnsi="Times New Roman" w:cs="Times New Roman"/>
                <w:color w:val="auto"/>
                <w:sz w:val="28"/>
                <w:szCs w:val="28"/>
                <w:lang w:val="kk-KZ" w:eastAsia="zh-CN" w:bidi="ar"/>
              </w:rPr>
              <w:t xml:space="preserve"> </w:t>
            </w:r>
          </w:p>
        </w:tc>
        <w:tc>
          <w:tcPr>
            <w:tcW w:w="3119" w:type="dxa"/>
          </w:tcPr>
          <w:p w14:paraId="2990C600">
            <w:pPr>
              <w:pStyle w:val="20"/>
              <w:widowControl w:val="0"/>
              <w:spacing w:after="0"/>
              <w:ind w:firstLine="709"/>
              <w:rPr>
                <w:rFonts w:ascii="Times New Roman" w:hAnsi="Times New Roman" w:cs="Times New Roman"/>
                <w:color w:val="auto"/>
                <w:sz w:val="28"/>
                <w:szCs w:val="28"/>
                <w:highlight w:val="yellow"/>
              </w:rPr>
            </w:pPr>
            <w:r>
              <w:rPr>
                <w:rFonts w:ascii="Times New Roman" w:hAnsi="Times New Roman" w:cs="Times New Roman"/>
                <w:color w:val="auto"/>
                <w:sz w:val="28"/>
                <w:szCs w:val="28"/>
                <w:lang w:val="en-US" w:eastAsia="zh-CN" w:bidi="ar"/>
              </w:rPr>
              <w:t>&lt;100</w:t>
            </w:r>
          </w:p>
        </w:tc>
        <w:tc>
          <w:tcPr>
            <w:tcW w:w="3119" w:type="dxa"/>
          </w:tcPr>
          <w:p w14:paraId="6B70392B">
            <w:pPr>
              <w:pStyle w:val="20"/>
              <w:widowControl w:val="0"/>
              <w:spacing w:after="0"/>
              <w:jc w:val="center"/>
              <w:rPr>
                <w:rFonts w:hint="default" w:ascii="Times New Roman" w:hAnsi="Times New Roman" w:cs="Times New Roman"/>
                <w:color w:val="auto"/>
                <w:sz w:val="28"/>
                <w:szCs w:val="28"/>
                <w:highlight w:val="yellow"/>
                <w:lang w:val="en-US"/>
              </w:rPr>
            </w:pPr>
            <w:r>
              <w:rPr>
                <w:rFonts w:ascii="Times New Roman" w:hAnsi="Times New Roman" w:cs="Times New Roman"/>
                <w:color w:val="auto"/>
                <w:sz w:val="24"/>
                <w:szCs w:val="24"/>
              </w:rPr>
              <w:t>ПНД Ф 16.1.41-0</w:t>
            </w:r>
            <w:r>
              <w:rPr>
                <w:rFonts w:hint="default" w:ascii="Times New Roman" w:hAnsi="Times New Roman" w:cs="Times New Roman"/>
                <w:color w:val="auto"/>
                <w:sz w:val="24"/>
                <w:szCs w:val="24"/>
                <w:lang w:val="en-US"/>
              </w:rPr>
              <w:t>4 [127]</w:t>
            </w:r>
          </w:p>
        </w:tc>
      </w:tr>
    </w:tbl>
    <w:p w14:paraId="545835EC">
      <w:pPr>
        <w:pStyle w:val="20"/>
        <w:spacing w:after="0"/>
        <w:ind w:firstLine="709"/>
        <w:rPr>
          <w:rFonts w:ascii="Times New Roman" w:hAnsi="Times New Roman"/>
          <w:color w:val="auto"/>
          <w:sz w:val="28"/>
          <w:szCs w:val="28"/>
        </w:rPr>
      </w:pPr>
    </w:p>
    <w:p w14:paraId="2F42649C">
      <w:pPr>
        <w:pStyle w:val="20"/>
        <w:spacing w:after="0"/>
        <w:ind w:firstLine="709"/>
        <w:rPr>
          <w:rFonts w:ascii="Times New Roman" w:hAnsi="Times New Roman"/>
          <w:color w:val="auto"/>
          <w:sz w:val="28"/>
          <w:szCs w:val="28"/>
        </w:rPr>
      </w:pPr>
      <w:r>
        <w:rPr>
          <w:rFonts w:ascii="Times New Roman" w:hAnsi="Times New Roman"/>
          <w:color w:val="auto"/>
          <w:sz w:val="28"/>
          <w:szCs w:val="28"/>
        </w:rPr>
        <w:t>Модельдік топырақтарды жасанды ластау көзі ретінде Қаражанбас кен орнының шикі мұнайы пайдаланылды. Мұнайдың таңдалуы оның өңір үшін типтілігімен, құрамының күрделілігімен және практикалық маңыздылығымен негізделді.</w:t>
      </w:r>
    </w:p>
    <w:p w14:paraId="5F3BDDE0">
      <w:pPr>
        <w:pStyle w:val="20"/>
        <w:spacing w:after="0"/>
        <w:ind w:firstLine="709"/>
        <w:rPr>
          <w:rFonts w:ascii="Times New Roman" w:hAnsi="Times New Roman"/>
          <w:color w:val="auto"/>
          <w:sz w:val="28"/>
          <w:szCs w:val="28"/>
        </w:rPr>
      </w:pPr>
    </w:p>
    <w:p w14:paraId="2BE52115">
      <w:pPr>
        <w:pStyle w:val="20"/>
        <w:spacing w:after="0"/>
        <w:ind w:firstLine="709"/>
        <w:rPr>
          <w:rFonts w:ascii="Times New Roman" w:hAnsi="Times New Roman"/>
          <w:color w:val="auto"/>
          <w:sz w:val="28"/>
          <w:szCs w:val="28"/>
        </w:rPr>
      </w:pPr>
    </w:p>
    <w:p w14:paraId="54284E55">
      <w:pPr>
        <w:pStyle w:val="20"/>
        <w:spacing w:after="0"/>
        <w:ind w:firstLine="709"/>
        <w:rPr>
          <w:rFonts w:ascii="Times New Roman" w:hAnsi="Times New Roman"/>
          <w:color w:val="auto"/>
          <w:sz w:val="28"/>
          <w:szCs w:val="28"/>
        </w:rPr>
      </w:pPr>
    </w:p>
    <w:p w14:paraId="0574771B">
      <w:pPr>
        <w:pStyle w:val="20"/>
        <w:spacing w:after="0"/>
        <w:rPr>
          <w:rFonts w:ascii="Times New Roman" w:hAnsi="Times New Roman"/>
          <w:color w:val="auto"/>
          <w:sz w:val="28"/>
          <w:szCs w:val="28"/>
          <w:highlight w:val="none"/>
        </w:rPr>
      </w:pPr>
      <w:r>
        <w:rPr>
          <w:rFonts w:ascii="Times New Roman" w:hAnsi="Times New Roman"/>
          <w:color w:val="auto"/>
          <w:sz w:val="28"/>
          <w:szCs w:val="28"/>
          <w:highlight w:val="none"/>
          <w:lang w:val="kk-KZ"/>
        </w:rPr>
        <w:t>К</w:t>
      </w:r>
      <w:r>
        <w:rPr>
          <w:rFonts w:ascii="Times New Roman" w:hAnsi="Times New Roman"/>
          <w:color w:val="auto"/>
          <w:sz w:val="28"/>
          <w:szCs w:val="28"/>
          <w:highlight w:val="none"/>
        </w:rPr>
        <w:t>есте</w:t>
      </w:r>
      <w:r>
        <w:rPr>
          <w:rFonts w:ascii="Times New Roman" w:hAnsi="Times New Roman"/>
          <w:color w:val="auto"/>
          <w:sz w:val="28"/>
          <w:szCs w:val="28"/>
          <w:highlight w:val="none"/>
          <w:lang w:val="kk-KZ"/>
        </w:rPr>
        <w:t xml:space="preserve"> 5 - </w:t>
      </w:r>
      <w:r>
        <w:rPr>
          <w:rFonts w:ascii="Times New Roman" w:hAnsi="Times New Roman"/>
          <w:color w:val="auto"/>
          <w:sz w:val="28"/>
          <w:szCs w:val="28"/>
          <w:highlight w:val="none"/>
        </w:rPr>
        <w:t xml:space="preserve">Қаражанбас кен орны </w:t>
      </w:r>
      <w:r>
        <w:rPr>
          <w:rFonts w:ascii="Times New Roman" w:hAnsi="Times New Roman"/>
          <w:color w:val="auto"/>
          <w:sz w:val="28"/>
          <w:szCs w:val="28"/>
          <w:highlight w:val="none"/>
          <w:lang w:val="kk-KZ"/>
        </w:rPr>
        <w:t>шикі</w:t>
      </w:r>
      <w:r>
        <w:rPr>
          <w:rFonts w:hint="default" w:ascii="Times New Roman" w:hAnsi="Times New Roman"/>
          <w:color w:val="auto"/>
          <w:sz w:val="28"/>
          <w:szCs w:val="28"/>
          <w:highlight w:val="none"/>
          <w:lang w:val="kk-KZ"/>
        </w:rPr>
        <w:t xml:space="preserve"> физико-химиялық көрсеткіштері</w:t>
      </w:r>
      <w:r>
        <w:rPr>
          <w:rFonts w:ascii="Times New Roman" w:hAnsi="Times New Roman"/>
          <w:color w:val="auto"/>
          <w:sz w:val="28"/>
          <w:szCs w:val="28"/>
          <w:highlight w:val="none"/>
        </w:rPr>
        <w:t xml:space="preserve"> [1</w:t>
      </w:r>
      <w:r>
        <w:rPr>
          <w:rFonts w:hint="default" w:ascii="Times New Roman" w:hAnsi="Times New Roman"/>
          <w:color w:val="auto"/>
          <w:sz w:val="28"/>
          <w:szCs w:val="28"/>
          <w:highlight w:val="none"/>
          <w:lang w:val="en-US"/>
        </w:rPr>
        <w:t>28</w:t>
      </w:r>
      <w:r>
        <w:rPr>
          <w:rFonts w:ascii="Times New Roman" w:hAnsi="Times New Roman"/>
          <w:color w:val="auto"/>
          <w:sz w:val="28"/>
          <w:szCs w:val="28"/>
          <w:highlight w:val="none"/>
        </w:rPr>
        <w:t xml:space="preserve">] </w:t>
      </w:r>
    </w:p>
    <w:p w14:paraId="14E072E2">
      <w:pPr>
        <w:pStyle w:val="20"/>
        <w:spacing w:after="0"/>
        <w:ind w:firstLine="709"/>
        <w:rPr>
          <w:rFonts w:ascii="SimSun" w:hAnsi="SimSun" w:cs="SimSun"/>
          <w:color w:val="auto"/>
          <w:sz w:val="24"/>
          <w:szCs w:val="24"/>
        </w:rPr>
      </w:pP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3"/>
        <w:gridCol w:w="3813"/>
      </w:tblGrid>
      <w:tr w14:paraId="5DC75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3" w:type="dxa"/>
          </w:tcPr>
          <w:p w14:paraId="20C1D007">
            <w:pPr>
              <w:pStyle w:val="20"/>
              <w:widowControl w:val="0"/>
              <w:spacing w:after="0"/>
              <w:ind w:left="0" w:leftChars="0" w:firstLine="0" w:firstLineChars="0"/>
              <w:jc w:val="left"/>
              <w:rPr>
                <w:rFonts w:ascii="Times New Roman" w:hAnsi="Times New Roman"/>
                <w:b w:val="0"/>
                <w:bCs w:val="0"/>
                <w:color w:val="auto"/>
                <w:sz w:val="24"/>
                <w:szCs w:val="24"/>
              </w:rPr>
            </w:pPr>
            <w:r>
              <w:rPr>
                <w:rFonts w:ascii="Times New Roman" w:hAnsi="Times New Roman"/>
                <w:b w:val="0"/>
                <w:bCs w:val="0"/>
                <w:color w:val="auto"/>
                <w:sz w:val="24"/>
                <w:szCs w:val="24"/>
              </w:rPr>
              <w:t>Көрсеткіштер</w:t>
            </w:r>
          </w:p>
        </w:tc>
        <w:tc>
          <w:tcPr>
            <w:tcW w:w="3813" w:type="dxa"/>
          </w:tcPr>
          <w:p w14:paraId="1B695B83">
            <w:pPr>
              <w:pStyle w:val="20"/>
              <w:widowControl w:val="0"/>
              <w:spacing w:after="0"/>
              <w:ind w:left="0" w:leftChars="0" w:firstLine="0" w:firstLineChars="0"/>
              <w:jc w:val="left"/>
              <w:rPr>
                <w:rFonts w:ascii="Times New Roman" w:hAnsi="Times New Roman"/>
                <w:b w:val="0"/>
                <w:bCs w:val="0"/>
                <w:color w:val="auto"/>
                <w:sz w:val="24"/>
                <w:szCs w:val="24"/>
              </w:rPr>
            </w:pPr>
            <w:r>
              <w:rPr>
                <w:rFonts w:ascii="Times New Roman" w:hAnsi="Times New Roman"/>
                <w:b w:val="0"/>
                <w:bCs w:val="0"/>
                <w:color w:val="auto"/>
                <w:sz w:val="24"/>
                <w:szCs w:val="24"/>
              </w:rPr>
              <w:t>Қаражанбас кен орнының  шикі мұнайы</w:t>
            </w:r>
          </w:p>
        </w:tc>
      </w:tr>
      <w:tr w14:paraId="27F8A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3" w:type="dxa"/>
          </w:tcPr>
          <w:p w14:paraId="1925631B">
            <w:pPr>
              <w:pStyle w:val="20"/>
              <w:widowControl w:val="0"/>
              <w:spacing w:after="0"/>
              <w:ind w:left="0" w:leftChars="0" w:firstLine="0" w:firstLineChars="0"/>
              <w:jc w:val="left"/>
              <w:rPr>
                <w:rFonts w:ascii="Times New Roman" w:hAnsi="Times New Roman"/>
                <w:color w:val="auto"/>
                <w:sz w:val="24"/>
                <w:szCs w:val="24"/>
              </w:rPr>
            </w:pPr>
            <w:r>
              <w:rPr>
                <w:rFonts w:ascii="Times New Roman" w:hAnsi="Times New Roman"/>
                <w:color w:val="auto"/>
                <w:sz w:val="24"/>
                <w:szCs w:val="24"/>
              </w:rPr>
              <w:t>20°C кездегі тығыздығы</w:t>
            </w:r>
          </w:p>
        </w:tc>
        <w:tc>
          <w:tcPr>
            <w:tcW w:w="3813" w:type="dxa"/>
          </w:tcPr>
          <w:p w14:paraId="60CC9681">
            <w:pPr>
              <w:pStyle w:val="20"/>
              <w:widowControl w:val="0"/>
              <w:spacing w:after="0"/>
              <w:ind w:left="0" w:leftChars="0" w:firstLine="0" w:firstLineChars="0"/>
              <w:jc w:val="left"/>
              <w:rPr>
                <w:rFonts w:ascii="Times New Roman" w:hAnsi="Times New Roman"/>
                <w:color w:val="auto"/>
                <w:sz w:val="24"/>
                <w:szCs w:val="24"/>
              </w:rPr>
            </w:pPr>
            <w:r>
              <w:rPr>
                <w:rFonts w:ascii="Times New Roman" w:hAnsi="Times New Roman"/>
                <w:color w:val="auto"/>
                <w:sz w:val="24"/>
                <w:szCs w:val="24"/>
              </w:rPr>
              <w:t>931</w:t>
            </w:r>
            <w:r>
              <w:rPr>
                <w:rFonts w:hint="default" w:ascii="Times New Roman" w:hAnsi="Times New Roman"/>
                <w:color w:val="auto"/>
                <w:sz w:val="24"/>
                <w:szCs w:val="24"/>
                <w:lang w:val="ru-RU"/>
              </w:rPr>
              <w:t>,</w:t>
            </w:r>
            <w:r>
              <w:rPr>
                <w:rFonts w:ascii="Times New Roman" w:hAnsi="Times New Roman"/>
                <w:color w:val="auto"/>
                <w:sz w:val="24"/>
                <w:szCs w:val="24"/>
              </w:rPr>
              <w:t>6 кг/м³</w:t>
            </w:r>
          </w:p>
        </w:tc>
      </w:tr>
      <w:tr w14:paraId="38BFF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3" w:type="dxa"/>
          </w:tcPr>
          <w:p w14:paraId="649C6732">
            <w:pPr>
              <w:pStyle w:val="20"/>
              <w:widowControl w:val="0"/>
              <w:spacing w:after="0"/>
              <w:ind w:left="0" w:leftChars="0" w:firstLine="0" w:firstLineChars="0"/>
              <w:jc w:val="left"/>
              <w:rPr>
                <w:rFonts w:ascii="Times New Roman" w:hAnsi="Times New Roman"/>
                <w:color w:val="auto"/>
                <w:sz w:val="24"/>
                <w:szCs w:val="24"/>
              </w:rPr>
            </w:pPr>
            <w:r>
              <w:rPr>
                <w:rFonts w:ascii="Times New Roman" w:hAnsi="Times New Roman"/>
                <w:color w:val="auto"/>
                <w:sz w:val="24"/>
                <w:szCs w:val="24"/>
              </w:rPr>
              <w:t>50°C кездегі тұтқырлығы</w:t>
            </w:r>
          </w:p>
        </w:tc>
        <w:tc>
          <w:tcPr>
            <w:tcW w:w="3813" w:type="dxa"/>
          </w:tcPr>
          <w:p w14:paraId="20D11B92">
            <w:pPr>
              <w:pStyle w:val="20"/>
              <w:widowControl w:val="0"/>
              <w:spacing w:after="0"/>
              <w:ind w:left="0" w:leftChars="0" w:firstLine="0" w:firstLineChars="0"/>
              <w:jc w:val="left"/>
              <w:rPr>
                <w:rFonts w:ascii="Times New Roman" w:hAnsi="Times New Roman"/>
                <w:color w:val="auto"/>
                <w:sz w:val="24"/>
                <w:szCs w:val="24"/>
              </w:rPr>
            </w:pPr>
            <w:r>
              <w:rPr>
                <w:rFonts w:ascii="Times New Roman" w:hAnsi="Times New Roman"/>
                <w:color w:val="auto"/>
                <w:sz w:val="24"/>
                <w:szCs w:val="24"/>
              </w:rPr>
              <w:t>97</w:t>
            </w:r>
            <w:r>
              <w:rPr>
                <w:rFonts w:hint="default" w:ascii="Times New Roman" w:hAnsi="Times New Roman"/>
                <w:color w:val="auto"/>
                <w:sz w:val="24"/>
                <w:szCs w:val="24"/>
                <w:lang w:val="ru-RU"/>
              </w:rPr>
              <w:t>,</w:t>
            </w:r>
            <w:r>
              <w:rPr>
                <w:rFonts w:ascii="Times New Roman" w:hAnsi="Times New Roman"/>
                <w:color w:val="auto"/>
                <w:sz w:val="24"/>
                <w:szCs w:val="24"/>
              </w:rPr>
              <w:t>5 мм²/с</w:t>
            </w:r>
          </w:p>
        </w:tc>
      </w:tr>
      <w:tr w14:paraId="2DD6F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3" w:type="dxa"/>
          </w:tcPr>
          <w:p w14:paraId="2DBB72A3">
            <w:pPr>
              <w:pStyle w:val="20"/>
              <w:widowControl w:val="0"/>
              <w:spacing w:after="0"/>
              <w:ind w:left="0" w:leftChars="0" w:firstLine="0" w:firstLineChars="0"/>
              <w:jc w:val="left"/>
              <w:rPr>
                <w:rFonts w:ascii="Times New Roman" w:hAnsi="Times New Roman"/>
                <w:color w:val="auto"/>
                <w:sz w:val="24"/>
                <w:szCs w:val="24"/>
              </w:rPr>
            </w:pPr>
            <w:r>
              <w:rPr>
                <w:rFonts w:ascii="Times New Roman" w:hAnsi="Times New Roman"/>
                <w:color w:val="auto"/>
                <w:sz w:val="24"/>
                <w:szCs w:val="24"/>
              </w:rPr>
              <w:t>Қату температурасы</w:t>
            </w:r>
          </w:p>
        </w:tc>
        <w:tc>
          <w:tcPr>
            <w:tcW w:w="3813" w:type="dxa"/>
          </w:tcPr>
          <w:p w14:paraId="76F30AAB">
            <w:pPr>
              <w:pStyle w:val="20"/>
              <w:widowControl w:val="0"/>
              <w:spacing w:after="0"/>
              <w:ind w:left="0" w:leftChars="0" w:firstLine="0" w:firstLineChars="0"/>
              <w:jc w:val="left"/>
              <w:rPr>
                <w:rFonts w:ascii="Times New Roman" w:hAnsi="Times New Roman"/>
                <w:color w:val="auto"/>
                <w:sz w:val="24"/>
                <w:szCs w:val="24"/>
              </w:rPr>
            </w:pPr>
            <w:r>
              <w:rPr>
                <w:rFonts w:ascii="Times New Roman" w:hAnsi="Times New Roman"/>
                <w:color w:val="auto"/>
                <w:sz w:val="24"/>
                <w:szCs w:val="24"/>
              </w:rPr>
              <w:t>-18°C</w:t>
            </w:r>
          </w:p>
        </w:tc>
      </w:tr>
      <w:tr w14:paraId="20DBE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3" w:type="dxa"/>
          </w:tcPr>
          <w:p w14:paraId="5412458B">
            <w:pPr>
              <w:pStyle w:val="20"/>
              <w:widowControl w:val="0"/>
              <w:spacing w:after="0"/>
              <w:ind w:left="0" w:leftChars="0" w:firstLine="0" w:firstLineChars="0"/>
              <w:jc w:val="left"/>
              <w:rPr>
                <w:rFonts w:ascii="Times New Roman" w:hAnsi="Times New Roman"/>
                <w:color w:val="auto"/>
                <w:sz w:val="24"/>
                <w:szCs w:val="24"/>
              </w:rPr>
            </w:pPr>
            <w:r>
              <w:rPr>
                <w:rFonts w:ascii="Times New Roman" w:hAnsi="Times New Roman"/>
                <w:color w:val="auto"/>
                <w:sz w:val="24"/>
                <w:szCs w:val="24"/>
              </w:rPr>
              <w:t>Күкірт құрамы</w:t>
            </w:r>
          </w:p>
        </w:tc>
        <w:tc>
          <w:tcPr>
            <w:tcW w:w="3813" w:type="dxa"/>
          </w:tcPr>
          <w:p w14:paraId="2A56BE69">
            <w:pPr>
              <w:pStyle w:val="20"/>
              <w:widowControl w:val="0"/>
              <w:spacing w:after="0"/>
              <w:ind w:left="0" w:leftChars="0" w:firstLine="0" w:firstLineChars="0"/>
              <w:jc w:val="left"/>
              <w:rPr>
                <w:rFonts w:ascii="Times New Roman" w:hAnsi="Times New Roman"/>
                <w:color w:val="auto"/>
                <w:sz w:val="24"/>
                <w:szCs w:val="24"/>
              </w:rPr>
            </w:pPr>
            <w:r>
              <w:rPr>
                <w:rFonts w:ascii="Times New Roman" w:hAnsi="Times New Roman"/>
                <w:color w:val="auto"/>
                <w:sz w:val="24"/>
                <w:szCs w:val="24"/>
              </w:rPr>
              <w:t>2</w:t>
            </w:r>
            <w:r>
              <w:rPr>
                <w:rFonts w:hint="default" w:ascii="Times New Roman" w:hAnsi="Times New Roman"/>
                <w:color w:val="auto"/>
                <w:sz w:val="24"/>
                <w:szCs w:val="24"/>
                <w:lang w:val="ru-RU"/>
              </w:rPr>
              <w:t>,</w:t>
            </w:r>
            <w:r>
              <w:rPr>
                <w:rFonts w:ascii="Times New Roman" w:hAnsi="Times New Roman"/>
                <w:color w:val="auto"/>
                <w:sz w:val="24"/>
                <w:szCs w:val="24"/>
              </w:rPr>
              <w:t>1%</w:t>
            </w:r>
          </w:p>
        </w:tc>
      </w:tr>
      <w:tr w14:paraId="103D6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3" w:type="dxa"/>
          </w:tcPr>
          <w:p w14:paraId="1B2E2AE1">
            <w:pPr>
              <w:pStyle w:val="20"/>
              <w:widowControl w:val="0"/>
              <w:spacing w:after="0"/>
              <w:ind w:left="0" w:leftChars="0" w:firstLine="0" w:firstLineChars="0"/>
              <w:jc w:val="left"/>
              <w:rPr>
                <w:rFonts w:ascii="Times New Roman" w:hAnsi="Times New Roman"/>
                <w:color w:val="auto"/>
                <w:sz w:val="24"/>
                <w:szCs w:val="24"/>
              </w:rPr>
            </w:pPr>
            <w:r>
              <w:rPr>
                <w:rFonts w:ascii="Times New Roman" w:hAnsi="Times New Roman"/>
                <w:color w:val="auto"/>
                <w:sz w:val="24"/>
                <w:szCs w:val="24"/>
              </w:rPr>
              <w:t>Кокстену қабілеті</w:t>
            </w:r>
          </w:p>
        </w:tc>
        <w:tc>
          <w:tcPr>
            <w:tcW w:w="3813" w:type="dxa"/>
          </w:tcPr>
          <w:p w14:paraId="4732626C">
            <w:pPr>
              <w:pStyle w:val="20"/>
              <w:widowControl w:val="0"/>
              <w:spacing w:after="0"/>
              <w:ind w:left="0" w:leftChars="0" w:firstLine="0" w:firstLineChars="0"/>
              <w:jc w:val="left"/>
              <w:rPr>
                <w:rFonts w:ascii="Times New Roman" w:hAnsi="Times New Roman"/>
                <w:color w:val="auto"/>
                <w:sz w:val="24"/>
                <w:szCs w:val="24"/>
              </w:rPr>
            </w:pPr>
            <w:r>
              <w:rPr>
                <w:rFonts w:ascii="Times New Roman" w:hAnsi="Times New Roman"/>
                <w:color w:val="auto"/>
                <w:sz w:val="24"/>
                <w:szCs w:val="24"/>
              </w:rPr>
              <w:t>7</w:t>
            </w:r>
            <w:r>
              <w:rPr>
                <w:rFonts w:hint="default" w:ascii="Times New Roman" w:hAnsi="Times New Roman"/>
                <w:color w:val="auto"/>
                <w:sz w:val="24"/>
                <w:szCs w:val="24"/>
                <w:lang w:val="ru-RU"/>
              </w:rPr>
              <w:t>,</w:t>
            </w:r>
            <w:r>
              <w:rPr>
                <w:rFonts w:ascii="Times New Roman" w:hAnsi="Times New Roman"/>
                <w:color w:val="auto"/>
                <w:sz w:val="24"/>
                <w:szCs w:val="24"/>
              </w:rPr>
              <w:t>0%</w:t>
            </w:r>
          </w:p>
        </w:tc>
      </w:tr>
      <w:tr w14:paraId="2DA50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3" w:type="dxa"/>
          </w:tcPr>
          <w:p w14:paraId="4CE75C67">
            <w:pPr>
              <w:pStyle w:val="20"/>
              <w:widowControl w:val="0"/>
              <w:spacing w:after="0"/>
              <w:ind w:left="0" w:leftChars="0" w:firstLine="0" w:firstLineChars="0"/>
              <w:jc w:val="left"/>
              <w:rPr>
                <w:rFonts w:ascii="Times New Roman" w:hAnsi="Times New Roman"/>
                <w:color w:val="auto"/>
                <w:sz w:val="24"/>
                <w:szCs w:val="24"/>
                <w:lang w:val="kk-KZ"/>
              </w:rPr>
            </w:pPr>
            <w:r>
              <w:rPr>
                <w:rFonts w:ascii="Times New Roman" w:hAnsi="Times New Roman"/>
                <w:color w:val="auto"/>
                <w:sz w:val="24"/>
                <w:szCs w:val="24"/>
              </w:rPr>
              <w:t xml:space="preserve">Парафиндер </w:t>
            </w:r>
            <w:r>
              <w:rPr>
                <w:rFonts w:ascii="Times New Roman" w:hAnsi="Times New Roman"/>
                <w:color w:val="auto"/>
                <w:sz w:val="24"/>
                <w:szCs w:val="24"/>
                <w:lang w:val="kk-KZ"/>
              </w:rPr>
              <w:t>құрамы</w:t>
            </w:r>
          </w:p>
        </w:tc>
        <w:tc>
          <w:tcPr>
            <w:tcW w:w="3813" w:type="dxa"/>
          </w:tcPr>
          <w:p w14:paraId="0575B427">
            <w:pPr>
              <w:pStyle w:val="20"/>
              <w:widowControl w:val="0"/>
              <w:spacing w:after="0"/>
              <w:ind w:left="0" w:leftChars="0" w:firstLine="0" w:firstLineChars="0"/>
              <w:jc w:val="left"/>
              <w:rPr>
                <w:rFonts w:ascii="Times New Roman" w:hAnsi="Times New Roman"/>
                <w:color w:val="auto"/>
                <w:sz w:val="24"/>
                <w:szCs w:val="24"/>
              </w:rPr>
            </w:pPr>
            <w:r>
              <w:rPr>
                <w:rFonts w:ascii="Times New Roman" w:hAnsi="Times New Roman"/>
                <w:color w:val="auto"/>
                <w:sz w:val="24"/>
                <w:szCs w:val="24"/>
              </w:rPr>
              <w:t>0</w:t>
            </w:r>
            <w:r>
              <w:rPr>
                <w:rFonts w:hint="default" w:ascii="Times New Roman" w:hAnsi="Times New Roman"/>
                <w:color w:val="auto"/>
                <w:sz w:val="24"/>
                <w:szCs w:val="24"/>
                <w:lang w:val="ru-RU"/>
              </w:rPr>
              <w:t>,</w:t>
            </w:r>
            <w:r>
              <w:rPr>
                <w:rFonts w:ascii="Times New Roman" w:hAnsi="Times New Roman"/>
                <w:color w:val="auto"/>
                <w:sz w:val="24"/>
                <w:szCs w:val="24"/>
              </w:rPr>
              <w:t>8%</w:t>
            </w:r>
          </w:p>
        </w:tc>
      </w:tr>
      <w:tr w14:paraId="1CA82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3" w:type="dxa"/>
          </w:tcPr>
          <w:p w14:paraId="4D62F37C">
            <w:pPr>
              <w:pStyle w:val="20"/>
              <w:widowControl w:val="0"/>
              <w:spacing w:after="0"/>
              <w:ind w:left="0" w:leftChars="0" w:firstLine="0" w:firstLineChars="0"/>
              <w:jc w:val="left"/>
              <w:rPr>
                <w:rFonts w:ascii="Times New Roman" w:hAnsi="Times New Roman"/>
                <w:color w:val="auto"/>
                <w:sz w:val="24"/>
                <w:szCs w:val="24"/>
                <w:lang w:val="kk-KZ"/>
              </w:rPr>
            </w:pPr>
            <w:r>
              <w:rPr>
                <w:rFonts w:ascii="Times New Roman" w:hAnsi="Times New Roman"/>
                <w:color w:val="auto"/>
                <w:sz w:val="24"/>
                <w:szCs w:val="24"/>
              </w:rPr>
              <w:t>Шайырлар</w:t>
            </w:r>
            <w:r>
              <w:rPr>
                <w:rFonts w:ascii="Times New Roman" w:hAnsi="Times New Roman"/>
                <w:color w:val="auto"/>
                <w:sz w:val="24"/>
                <w:szCs w:val="24"/>
                <w:lang w:val="kk-KZ"/>
              </w:rPr>
              <w:t xml:space="preserve"> құрамы</w:t>
            </w:r>
          </w:p>
        </w:tc>
        <w:tc>
          <w:tcPr>
            <w:tcW w:w="3813" w:type="dxa"/>
          </w:tcPr>
          <w:p w14:paraId="59AA502B">
            <w:pPr>
              <w:pStyle w:val="20"/>
              <w:widowControl w:val="0"/>
              <w:spacing w:after="0"/>
              <w:ind w:left="0" w:leftChars="0" w:firstLine="0" w:firstLineChars="0"/>
              <w:jc w:val="left"/>
              <w:rPr>
                <w:rFonts w:ascii="Times New Roman" w:hAnsi="Times New Roman"/>
                <w:color w:val="auto"/>
                <w:sz w:val="24"/>
                <w:szCs w:val="24"/>
              </w:rPr>
            </w:pPr>
            <w:r>
              <w:rPr>
                <w:rFonts w:ascii="Times New Roman" w:hAnsi="Times New Roman"/>
                <w:color w:val="auto"/>
                <w:sz w:val="24"/>
                <w:szCs w:val="24"/>
              </w:rPr>
              <w:t>24</w:t>
            </w:r>
            <w:r>
              <w:rPr>
                <w:rFonts w:hint="default" w:ascii="Times New Roman" w:hAnsi="Times New Roman"/>
                <w:color w:val="auto"/>
                <w:sz w:val="24"/>
                <w:szCs w:val="24"/>
                <w:lang w:val="ru-RU"/>
              </w:rPr>
              <w:t>,</w:t>
            </w:r>
            <w:r>
              <w:rPr>
                <w:rFonts w:ascii="Times New Roman" w:hAnsi="Times New Roman"/>
                <w:color w:val="auto"/>
                <w:sz w:val="24"/>
                <w:szCs w:val="24"/>
              </w:rPr>
              <w:t>5%</w:t>
            </w:r>
          </w:p>
        </w:tc>
      </w:tr>
      <w:tr w14:paraId="0E326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7" w:hRule="atLeast"/>
          <w:jc w:val="center"/>
        </w:trPr>
        <w:tc>
          <w:tcPr>
            <w:tcW w:w="5253" w:type="dxa"/>
          </w:tcPr>
          <w:p w14:paraId="4E0D7B99">
            <w:pPr>
              <w:pStyle w:val="20"/>
              <w:widowControl w:val="0"/>
              <w:spacing w:after="0"/>
              <w:ind w:left="0" w:leftChars="0" w:firstLine="0" w:firstLineChars="0"/>
              <w:jc w:val="left"/>
              <w:rPr>
                <w:rFonts w:ascii="Times New Roman" w:hAnsi="Times New Roman"/>
                <w:color w:val="auto"/>
                <w:sz w:val="24"/>
                <w:szCs w:val="24"/>
              </w:rPr>
            </w:pPr>
            <w:r>
              <w:rPr>
                <w:rFonts w:ascii="Times New Roman" w:hAnsi="Times New Roman"/>
                <w:color w:val="auto"/>
                <w:sz w:val="24"/>
                <w:szCs w:val="24"/>
              </w:rPr>
              <w:t>Фракциялық құрамы:</w:t>
            </w:r>
          </w:p>
          <w:p w14:paraId="5827E347">
            <w:pPr>
              <w:pStyle w:val="20"/>
              <w:widowControl w:val="0"/>
              <w:spacing w:after="0"/>
              <w:ind w:left="0" w:leftChars="0" w:firstLine="0" w:firstLineChars="0"/>
              <w:jc w:val="left"/>
              <w:rPr>
                <w:rFonts w:ascii="Times New Roman" w:hAnsi="Times New Roman"/>
                <w:color w:val="auto"/>
                <w:sz w:val="24"/>
                <w:szCs w:val="24"/>
              </w:rPr>
            </w:pPr>
            <w:r>
              <w:rPr>
                <w:rFonts w:ascii="Times New Roman" w:hAnsi="Times New Roman"/>
                <w:color w:val="auto"/>
                <w:sz w:val="24"/>
                <w:szCs w:val="24"/>
              </w:rPr>
              <w:t>- Жеңіл фракциялар (200°C дейін)</w:t>
            </w:r>
          </w:p>
          <w:p w14:paraId="2864D0EC">
            <w:pPr>
              <w:pStyle w:val="20"/>
              <w:widowControl w:val="0"/>
              <w:spacing w:after="0"/>
              <w:ind w:left="0" w:leftChars="0" w:firstLine="0" w:firstLineChars="0"/>
              <w:jc w:val="left"/>
              <w:rPr>
                <w:rFonts w:ascii="Times New Roman" w:hAnsi="Times New Roman"/>
                <w:color w:val="auto"/>
                <w:sz w:val="24"/>
                <w:szCs w:val="24"/>
              </w:rPr>
            </w:pPr>
            <w:r>
              <w:rPr>
                <w:rFonts w:ascii="Times New Roman" w:hAnsi="Times New Roman"/>
                <w:color w:val="auto"/>
                <w:sz w:val="24"/>
                <w:szCs w:val="24"/>
              </w:rPr>
              <w:t>- Орташа фракциялар (200-350°C)</w:t>
            </w:r>
          </w:p>
          <w:p w14:paraId="1F82C1DC">
            <w:pPr>
              <w:pStyle w:val="20"/>
              <w:widowControl w:val="0"/>
              <w:spacing w:after="0"/>
              <w:ind w:left="0" w:leftChars="0" w:firstLine="0" w:firstLineChars="0"/>
              <w:jc w:val="left"/>
              <w:rPr>
                <w:rFonts w:ascii="Times New Roman" w:hAnsi="Times New Roman"/>
                <w:color w:val="auto"/>
                <w:sz w:val="24"/>
                <w:szCs w:val="24"/>
              </w:rPr>
            </w:pPr>
            <w:r>
              <w:rPr>
                <w:rFonts w:ascii="Times New Roman" w:hAnsi="Times New Roman"/>
                <w:color w:val="auto"/>
                <w:sz w:val="24"/>
                <w:szCs w:val="24"/>
              </w:rPr>
              <w:t>- Ауыр фракциялар (350-500°C)</w:t>
            </w:r>
          </w:p>
          <w:p w14:paraId="5231E39E">
            <w:pPr>
              <w:pStyle w:val="20"/>
              <w:widowControl w:val="0"/>
              <w:spacing w:after="0"/>
              <w:ind w:left="0" w:leftChars="0" w:firstLine="0" w:firstLineChars="0"/>
              <w:jc w:val="left"/>
              <w:rPr>
                <w:rFonts w:ascii="Times New Roman" w:hAnsi="Times New Roman"/>
                <w:color w:val="auto"/>
                <w:sz w:val="24"/>
                <w:szCs w:val="24"/>
              </w:rPr>
            </w:pPr>
            <w:r>
              <w:rPr>
                <w:rFonts w:ascii="Times New Roman" w:hAnsi="Times New Roman"/>
                <w:color w:val="auto"/>
                <w:sz w:val="24"/>
                <w:szCs w:val="24"/>
              </w:rPr>
              <w:t>- Қалдық (&gt;500°C)</w:t>
            </w:r>
          </w:p>
        </w:tc>
        <w:tc>
          <w:tcPr>
            <w:tcW w:w="3813" w:type="dxa"/>
          </w:tcPr>
          <w:p w14:paraId="1185002B">
            <w:pPr>
              <w:pStyle w:val="20"/>
              <w:widowControl w:val="0"/>
              <w:spacing w:after="0"/>
              <w:ind w:left="0" w:leftChars="0" w:firstLine="0" w:firstLineChars="0"/>
              <w:jc w:val="left"/>
              <w:rPr>
                <w:rFonts w:ascii="Times New Roman" w:hAnsi="Times New Roman"/>
                <w:color w:val="auto"/>
                <w:sz w:val="24"/>
                <w:szCs w:val="24"/>
              </w:rPr>
            </w:pPr>
          </w:p>
          <w:p w14:paraId="069D3C05">
            <w:pPr>
              <w:pStyle w:val="20"/>
              <w:widowControl w:val="0"/>
              <w:spacing w:after="0"/>
              <w:ind w:left="0" w:leftChars="0" w:firstLine="0" w:firstLineChars="0"/>
              <w:jc w:val="left"/>
              <w:rPr>
                <w:rFonts w:ascii="Times New Roman" w:hAnsi="Times New Roman"/>
                <w:color w:val="auto"/>
                <w:sz w:val="24"/>
                <w:szCs w:val="24"/>
              </w:rPr>
            </w:pPr>
            <w:r>
              <w:rPr>
                <w:rFonts w:ascii="Times New Roman" w:hAnsi="Times New Roman"/>
                <w:color w:val="auto"/>
                <w:sz w:val="24"/>
                <w:szCs w:val="24"/>
              </w:rPr>
              <w:t>3</w:t>
            </w:r>
            <w:r>
              <w:rPr>
                <w:rFonts w:hint="default" w:ascii="Times New Roman" w:hAnsi="Times New Roman"/>
                <w:color w:val="auto"/>
                <w:sz w:val="24"/>
                <w:szCs w:val="24"/>
                <w:lang w:val="ru-RU"/>
              </w:rPr>
              <w:t>,</w:t>
            </w:r>
            <w:r>
              <w:rPr>
                <w:rFonts w:ascii="Times New Roman" w:hAnsi="Times New Roman"/>
                <w:color w:val="auto"/>
                <w:sz w:val="24"/>
                <w:szCs w:val="24"/>
              </w:rPr>
              <w:t>8%</w:t>
            </w:r>
          </w:p>
          <w:p w14:paraId="48FC08A5">
            <w:pPr>
              <w:pStyle w:val="20"/>
              <w:widowControl w:val="0"/>
              <w:spacing w:after="0"/>
              <w:ind w:left="0" w:leftChars="0" w:firstLine="0" w:firstLineChars="0"/>
              <w:jc w:val="left"/>
              <w:rPr>
                <w:rFonts w:ascii="Times New Roman" w:hAnsi="Times New Roman"/>
                <w:color w:val="auto"/>
                <w:sz w:val="24"/>
                <w:szCs w:val="24"/>
              </w:rPr>
            </w:pPr>
            <w:r>
              <w:rPr>
                <w:rFonts w:ascii="Times New Roman" w:hAnsi="Times New Roman"/>
                <w:color w:val="auto"/>
                <w:sz w:val="24"/>
                <w:szCs w:val="24"/>
              </w:rPr>
              <w:t>24</w:t>
            </w:r>
            <w:r>
              <w:rPr>
                <w:rFonts w:hint="default" w:ascii="Times New Roman" w:hAnsi="Times New Roman"/>
                <w:color w:val="auto"/>
                <w:sz w:val="24"/>
                <w:szCs w:val="24"/>
                <w:lang w:val="ru-RU"/>
              </w:rPr>
              <w:t>,</w:t>
            </w:r>
            <w:r>
              <w:rPr>
                <w:rFonts w:ascii="Times New Roman" w:hAnsi="Times New Roman"/>
                <w:color w:val="auto"/>
                <w:sz w:val="24"/>
                <w:szCs w:val="24"/>
              </w:rPr>
              <w:t>4%</w:t>
            </w:r>
          </w:p>
          <w:p w14:paraId="6D095713">
            <w:pPr>
              <w:pStyle w:val="20"/>
              <w:widowControl w:val="0"/>
              <w:spacing w:after="0"/>
              <w:ind w:left="0" w:leftChars="0" w:firstLine="0" w:firstLineChars="0"/>
              <w:jc w:val="left"/>
              <w:rPr>
                <w:rFonts w:ascii="Times New Roman" w:hAnsi="Times New Roman"/>
                <w:color w:val="auto"/>
                <w:sz w:val="24"/>
                <w:szCs w:val="24"/>
              </w:rPr>
            </w:pPr>
            <w:r>
              <w:rPr>
                <w:rFonts w:ascii="Times New Roman" w:hAnsi="Times New Roman"/>
                <w:color w:val="auto"/>
                <w:sz w:val="24"/>
                <w:szCs w:val="24"/>
              </w:rPr>
              <w:t>52</w:t>
            </w:r>
            <w:r>
              <w:rPr>
                <w:rFonts w:hint="default" w:ascii="Times New Roman" w:hAnsi="Times New Roman"/>
                <w:color w:val="auto"/>
                <w:sz w:val="24"/>
                <w:szCs w:val="24"/>
                <w:lang w:val="ru-RU"/>
              </w:rPr>
              <w:t>,</w:t>
            </w:r>
            <w:r>
              <w:rPr>
                <w:rFonts w:ascii="Times New Roman" w:hAnsi="Times New Roman"/>
                <w:color w:val="auto"/>
                <w:sz w:val="24"/>
                <w:szCs w:val="24"/>
              </w:rPr>
              <w:t>1%</w:t>
            </w:r>
          </w:p>
          <w:p w14:paraId="0083E659">
            <w:pPr>
              <w:pStyle w:val="20"/>
              <w:widowControl w:val="0"/>
              <w:spacing w:after="0"/>
              <w:ind w:left="0" w:leftChars="0" w:firstLine="0" w:firstLineChars="0"/>
              <w:jc w:val="left"/>
              <w:rPr>
                <w:rFonts w:ascii="Times New Roman" w:hAnsi="Times New Roman"/>
                <w:color w:val="auto"/>
                <w:sz w:val="24"/>
                <w:szCs w:val="24"/>
              </w:rPr>
            </w:pPr>
            <w:r>
              <w:rPr>
                <w:rFonts w:ascii="Times New Roman" w:hAnsi="Times New Roman"/>
                <w:color w:val="auto"/>
                <w:sz w:val="24"/>
                <w:szCs w:val="24"/>
              </w:rPr>
              <w:t>19</w:t>
            </w:r>
            <w:r>
              <w:rPr>
                <w:rFonts w:hint="default" w:ascii="Times New Roman" w:hAnsi="Times New Roman"/>
                <w:color w:val="auto"/>
                <w:sz w:val="24"/>
                <w:szCs w:val="24"/>
                <w:lang w:val="ru-RU"/>
              </w:rPr>
              <w:t>,</w:t>
            </w:r>
            <w:r>
              <w:rPr>
                <w:rFonts w:ascii="Times New Roman" w:hAnsi="Times New Roman"/>
                <w:color w:val="auto"/>
                <w:sz w:val="24"/>
                <w:szCs w:val="24"/>
              </w:rPr>
              <w:t>7%</w:t>
            </w:r>
          </w:p>
          <w:p w14:paraId="2531DB2A">
            <w:pPr>
              <w:pStyle w:val="20"/>
              <w:widowControl w:val="0"/>
              <w:spacing w:after="0"/>
              <w:ind w:left="0" w:leftChars="0" w:firstLine="0" w:firstLineChars="0"/>
              <w:jc w:val="left"/>
              <w:rPr>
                <w:rFonts w:ascii="Times New Roman" w:hAnsi="Times New Roman"/>
                <w:color w:val="auto"/>
                <w:sz w:val="24"/>
                <w:szCs w:val="24"/>
              </w:rPr>
            </w:pPr>
          </w:p>
        </w:tc>
      </w:tr>
    </w:tbl>
    <w:p w14:paraId="128DF94A">
      <w:pPr>
        <w:pStyle w:val="20"/>
        <w:spacing w:after="0"/>
        <w:ind w:firstLine="709"/>
        <w:rPr>
          <w:rFonts w:ascii="Times New Roman" w:hAnsi="Times New Roman"/>
          <w:color w:val="auto"/>
          <w:sz w:val="28"/>
          <w:szCs w:val="28"/>
          <w:lang w:val="kk-KZ"/>
        </w:rPr>
      </w:pPr>
    </w:p>
    <w:p w14:paraId="6469295C">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kk-KZ"/>
        </w:rPr>
        <w:t>Кестедегі мәліметтерге сәйкес, Қаражанбас кен орнының мұнайы жоғары тығыздығымен, тұтқырлығымен және кокстеу қасиеттерімен сипатталады. Тұтқырлық-тығыздық көрсеткіштерінің жоғары мәндері мұнайдың жоғары шайыр (24,5%) және асфальтен (5,7%) құрамымен, сондай-ақ жеңіл көмірсутектердің төмен құрамымен (3,8%) түсіндіріледі. Мұнайдың ерекше белгісі - күкірт қосылыстарының жоғары құрамы (2,1%), бұл оның биологиялық деструкциясын қиындатады және микроорганизмдер-деструкторларға қосымша стресстік фактор болып табылады.</w:t>
      </w:r>
    </w:p>
    <w:p w14:paraId="027D9729">
      <w:pPr>
        <w:spacing w:after="0"/>
        <w:ind w:firstLine="709"/>
        <w:rPr>
          <w:color w:val="auto"/>
          <w:szCs w:val="28"/>
          <w:lang w:val="kk-KZ"/>
        </w:rPr>
      </w:pPr>
      <w:r>
        <w:rPr>
          <w:color w:val="auto"/>
          <w:szCs w:val="28"/>
          <w:lang w:val="kk-KZ"/>
        </w:rPr>
        <w:t>Өнеркәсіптік жағдайларды имитациялау және әзірленетін биоремедиациялық технологияның тиімділігін объективті бағалау мақсатында, тағы бір ластағыш қоспасы пайдаланылды. Қоспа үш компоненттен тұрды: мазут + бұрғылау шламы + мұнай шламы (2:1:1 массалық қатынасында). Бұл қоспа микроорганизмдер-деструкторлар үшін күрделі субстрат болып табылады, өйткені:</w:t>
      </w:r>
    </w:p>
    <w:p w14:paraId="1F52F5F4">
      <w:pPr>
        <w:pStyle w:val="306"/>
        <w:numPr>
          <w:ilvl w:val="0"/>
          <w:numId w:val="7"/>
        </w:numPr>
        <w:tabs>
          <w:tab w:val="left" w:pos="420"/>
        </w:tabs>
        <w:spacing w:after="0"/>
        <w:rPr>
          <w:color w:val="auto"/>
          <w:szCs w:val="28"/>
          <w:lang w:val="kk-KZ"/>
        </w:rPr>
      </w:pPr>
      <w:r>
        <w:rPr>
          <w:color w:val="auto"/>
          <w:szCs w:val="28"/>
          <w:lang w:val="kk-KZ"/>
        </w:rPr>
        <w:t>Мазут - жоғары молекулалы ауыр фракциялармен байытылған (&gt;350°C);</w:t>
      </w:r>
    </w:p>
    <w:p w14:paraId="451CAC5D">
      <w:pPr>
        <w:tabs>
          <w:tab w:val="left" w:pos="420"/>
        </w:tabs>
        <w:spacing w:after="0"/>
        <w:ind w:left="709"/>
        <w:rPr>
          <w:color w:val="auto"/>
          <w:szCs w:val="28"/>
          <w:lang w:val="kk-KZ"/>
        </w:rPr>
      </w:pPr>
      <w:r>
        <w:rPr>
          <w:color w:val="auto"/>
          <w:szCs w:val="28"/>
          <w:lang w:val="kk-KZ"/>
        </w:rPr>
        <w:t>- Бұрғылау шламы - барит, бентонит және беткі-активті заттарды қамтиды;</w:t>
      </w:r>
    </w:p>
    <w:p w14:paraId="020AB900">
      <w:pPr>
        <w:tabs>
          <w:tab w:val="left" w:pos="420"/>
        </w:tabs>
        <w:spacing w:after="0"/>
        <w:ind w:left="709"/>
        <w:rPr>
          <w:color w:val="auto"/>
          <w:szCs w:val="28"/>
          <w:lang w:val="kk-KZ"/>
        </w:rPr>
      </w:pPr>
      <w:r>
        <w:rPr>
          <w:color w:val="auto"/>
          <w:szCs w:val="28"/>
          <w:lang w:val="kk-KZ"/>
        </w:rPr>
        <w:t>- Мұнай шламы - ассоциацияланған мұнай-су эмульсиясы.</w:t>
      </w:r>
    </w:p>
    <w:p w14:paraId="13771441">
      <w:pPr>
        <w:spacing w:after="0"/>
        <w:ind w:firstLine="709"/>
        <w:rPr>
          <w:color w:val="auto"/>
          <w:szCs w:val="28"/>
          <w:lang w:val="kk-KZ"/>
        </w:rPr>
      </w:pPr>
      <w:r>
        <w:rPr>
          <w:color w:val="auto"/>
          <w:szCs w:val="28"/>
          <w:lang w:val="kk-KZ"/>
        </w:rPr>
        <w:t>Күрделі қоспамен ластау 40 г/кг (4% масс.) концентрациясында жоғарыда сипатталған әдістемеге сәйкес жүргізілді.</w:t>
      </w:r>
    </w:p>
    <w:p w14:paraId="2945031B">
      <w:pPr>
        <w:spacing w:after="0"/>
        <w:ind w:firstLine="709"/>
        <w:rPr>
          <w:i/>
          <w:iCs/>
          <w:color w:val="auto"/>
          <w:szCs w:val="28"/>
          <w:lang w:val="kk-KZ"/>
        </w:rPr>
      </w:pPr>
      <w:r>
        <w:rPr>
          <w:i/>
          <w:iCs/>
          <w:color w:val="auto"/>
          <w:szCs w:val="28"/>
          <w:lang w:val="kk-KZ"/>
        </w:rPr>
        <w:t>Ластану әдістемесі</w:t>
      </w:r>
    </w:p>
    <w:p w14:paraId="5D138B22">
      <w:pPr>
        <w:spacing w:after="0"/>
        <w:ind w:firstLine="709"/>
        <w:rPr>
          <w:color w:val="auto"/>
          <w:szCs w:val="28"/>
          <w:lang w:val="kk-KZ"/>
        </w:rPr>
      </w:pPr>
      <w:r>
        <w:rPr>
          <w:color w:val="auto"/>
          <w:szCs w:val="28"/>
          <w:lang w:val="kk-KZ"/>
        </w:rPr>
        <w:t>Топырақты ластау араластыру арқылы жүргізілді: Қаражанбас кен орнының шикі мұнайы топырақпен 0,5 г мұнай / 50 г топырақ қатынасында (1% масс./масс.) араластырылды. Таңдалған 1% (масс./масс.) ластану деңгейі Батыс Қазақстанда құжатталған нақты далалық жағдайларды білдіреді, онда жұмыс істеп тұрған мұнай кен орындарында ЖМӨ ластануы әдетте (0,5-2,8)% аралығында өзгереді [1</w:t>
      </w:r>
      <w:r>
        <w:rPr>
          <w:rFonts w:hint="default"/>
          <w:color w:val="auto"/>
          <w:szCs w:val="28"/>
          <w:lang w:val="en-US"/>
        </w:rPr>
        <w:t>29</w:t>
      </w:r>
      <w:r>
        <w:rPr>
          <w:color w:val="auto"/>
          <w:szCs w:val="28"/>
          <w:lang w:val="kk-KZ"/>
        </w:rPr>
        <w:t>]. Бұл деңгей ауыл шаруашылығы тасымалдағыштарын пайдаланатын алдыңғы биоремедиация зерттеулеріне [</w:t>
      </w:r>
      <w:r>
        <w:rPr>
          <w:rFonts w:hint="default"/>
          <w:color w:val="auto"/>
          <w:szCs w:val="28"/>
          <w:lang w:val="en-US"/>
        </w:rPr>
        <w:t>128,129</w:t>
      </w:r>
      <w:r>
        <w:rPr>
          <w:color w:val="auto"/>
          <w:szCs w:val="28"/>
          <w:lang w:val="kk-KZ"/>
        </w:rPr>
        <w:t>] сәйкес келеді және аэробты биодеградация процестері үшін оңтайлы диапазонда қалып, микробиологиялық деградация үшін жеткілікті субстраттың қолжетімділігін қамтамасыз етеді.</w:t>
      </w:r>
    </w:p>
    <w:p w14:paraId="41829E74">
      <w:pPr>
        <w:spacing w:after="0"/>
        <w:ind w:firstLine="709"/>
        <w:rPr>
          <w:color w:val="auto"/>
          <w:szCs w:val="28"/>
          <w:lang w:val="kk-KZ"/>
        </w:rPr>
      </w:pPr>
      <w:r>
        <w:rPr>
          <w:color w:val="auto"/>
          <w:szCs w:val="28"/>
          <w:lang w:val="kk-KZ"/>
        </w:rPr>
        <w:t>Ластау процесі келесідей жүргізілді: құрғатылған және 2 мм електен өткізілген топырақ үлгілеріне (50 г) мұқият өлшенген мұнай (0,5 г) қосылып, біртекті қоспа алынғанға дейін мұқият араластырылды. Біркелкі таралуды қамтамасыз ету үшін топырақ пен мұнай қоспасы стерильді шпательмен 10 минут бойы араластырылды, содан кейін ластанған топырақ үлгілері тығыз жабылатын шыны ыдыстарға (250 мл) орналастырылды. Үлгілер қараңғы жерде 20-22°C температурада 14 тәулік бойы инкубацияланды. Бұл кезеңде мұнай мен топырақ арасында адсорбциялық-десорбциялық тепе-теңдік орнатылды.</w:t>
      </w:r>
    </w:p>
    <w:p w14:paraId="580E8E98">
      <w:pPr>
        <w:spacing w:after="0"/>
        <w:ind w:firstLine="709"/>
        <w:rPr>
          <w:color w:val="auto"/>
          <w:szCs w:val="28"/>
          <w:lang w:val="kk-KZ"/>
        </w:rPr>
      </w:pPr>
      <w:r>
        <w:rPr>
          <w:color w:val="auto"/>
          <w:szCs w:val="28"/>
          <w:lang w:val="kk-KZ"/>
        </w:rPr>
        <w:t>Барлық эксперименттер үш қайталанумен жүргізілді.</w:t>
      </w:r>
    </w:p>
    <w:p w14:paraId="301070B8">
      <w:pPr>
        <w:spacing w:after="0"/>
        <w:ind w:firstLine="709"/>
        <w:rPr>
          <w:color w:val="auto"/>
          <w:szCs w:val="28"/>
        </w:rPr>
      </w:pPr>
    </w:p>
    <w:p w14:paraId="036027EF">
      <w:pPr>
        <w:spacing w:after="0"/>
        <w:ind w:firstLine="709"/>
        <w:rPr>
          <w:b/>
          <w:bCs/>
          <w:color w:val="auto"/>
          <w:szCs w:val="28"/>
        </w:rPr>
      </w:pPr>
      <w:r>
        <w:rPr>
          <w:b/>
          <w:bCs/>
          <w:color w:val="auto"/>
          <w:szCs w:val="28"/>
          <w:lang w:val="ru-RU"/>
        </w:rPr>
        <w:t>2</w:t>
      </w:r>
      <w:r>
        <w:rPr>
          <w:rFonts w:hint="default"/>
          <w:b/>
          <w:bCs/>
          <w:color w:val="auto"/>
          <w:szCs w:val="28"/>
          <w:lang w:val="kk-KZ"/>
        </w:rPr>
        <w:t>.</w:t>
      </w:r>
      <w:r>
        <w:rPr>
          <w:b/>
          <w:bCs/>
          <w:color w:val="auto"/>
          <w:szCs w:val="28"/>
          <w:lang w:val="kk-KZ"/>
        </w:rPr>
        <w:t>3 М</w:t>
      </w:r>
      <w:r>
        <w:rPr>
          <w:b/>
          <w:bCs/>
          <w:color w:val="auto"/>
          <w:szCs w:val="28"/>
        </w:rPr>
        <w:t>ұнай-деструкторлар микроорганизмдерінің зертханалық коллекциясынан микроорганизмдерді іріктеу</w:t>
      </w:r>
    </w:p>
    <w:p w14:paraId="5FA34D9A">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kk-KZ"/>
        </w:rPr>
        <w:t xml:space="preserve">Зерттеу объектілері ретінде патент иегері «Экостандарт» ЖШС ұсынған микроағзалар консорциумы  пайдаланылды </w:t>
      </w:r>
      <w:r>
        <w:rPr>
          <w:rFonts w:ascii="Times New Roman" w:hAnsi="Times New Roman"/>
          <w:color w:val="auto"/>
          <w:sz w:val="28"/>
          <w:szCs w:val="28"/>
        </w:rPr>
        <w:t>[1</w:t>
      </w:r>
      <w:r>
        <w:rPr>
          <w:rFonts w:hint="default" w:ascii="Times New Roman" w:hAnsi="Times New Roman"/>
          <w:color w:val="auto"/>
          <w:sz w:val="28"/>
          <w:szCs w:val="28"/>
          <w:lang w:val="en-US"/>
        </w:rPr>
        <w:t>30</w:t>
      </w:r>
      <w:r>
        <w:rPr>
          <w:rFonts w:ascii="Times New Roman" w:hAnsi="Times New Roman"/>
          <w:color w:val="auto"/>
          <w:sz w:val="28"/>
          <w:szCs w:val="28"/>
        </w:rPr>
        <w:t>]</w:t>
      </w:r>
      <w:r>
        <w:rPr>
          <w:rFonts w:ascii="Times New Roman" w:hAnsi="Times New Roman"/>
          <w:color w:val="auto"/>
          <w:sz w:val="28"/>
          <w:szCs w:val="28"/>
          <w:lang w:val="kk-KZ"/>
        </w:rPr>
        <w:t>:</w:t>
      </w:r>
    </w:p>
    <w:p w14:paraId="0031A969">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kk-KZ"/>
        </w:rPr>
        <w:t xml:space="preserve">Консорциум №1 екі штамнан тұрады  </w:t>
      </w:r>
      <w:r>
        <w:rPr>
          <w:rFonts w:ascii="Times New Roman" w:hAnsi="Times New Roman" w:cs="Times New Roman"/>
          <w:i/>
          <w:iCs/>
          <w:color w:val="auto"/>
          <w:sz w:val="28"/>
          <w:szCs w:val="28"/>
          <w:lang w:val="kk-KZ"/>
        </w:rPr>
        <w:t xml:space="preserve">Rhodococcus erythropolis AT7 </w:t>
      </w:r>
      <w:r>
        <w:rPr>
          <w:rFonts w:ascii="Times New Roman" w:hAnsi="Times New Roman"/>
          <w:color w:val="auto"/>
          <w:sz w:val="28"/>
          <w:szCs w:val="28"/>
          <w:lang w:val="kk-KZ"/>
        </w:rPr>
        <w:t xml:space="preserve">және </w:t>
      </w:r>
      <w:r>
        <w:rPr>
          <w:rFonts w:ascii="Times New Roman" w:hAnsi="Times New Roman"/>
          <w:i/>
          <w:iCs/>
          <w:color w:val="auto"/>
          <w:sz w:val="28"/>
          <w:szCs w:val="28"/>
          <w:lang w:val="kk-KZ"/>
        </w:rPr>
        <w:t xml:space="preserve">Dietzia Maris 22k - </w:t>
      </w:r>
      <w:r>
        <w:rPr>
          <w:rFonts w:ascii="Times New Roman" w:hAnsi="Times New Roman"/>
          <w:color w:val="auto"/>
          <w:sz w:val="28"/>
          <w:szCs w:val="28"/>
          <w:lang w:val="kk-KZ"/>
        </w:rPr>
        <w:t>негізгі зерттеу объектісі. Ауыл шаруашылығы қалдықтарына иммобилизацияланды (сурет 8).</w:t>
      </w:r>
    </w:p>
    <w:p w14:paraId="3362FCD2">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kk-KZ"/>
        </w:rPr>
        <w:t xml:space="preserve">Консорциум №2 4 түрлі штамнан тұрады </w:t>
      </w:r>
      <w:r>
        <w:rPr>
          <w:rFonts w:ascii="Times New Roman" w:hAnsi="Times New Roman" w:cs="Times New Roman"/>
          <w:i/>
          <w:iCs/>
          <w:color w:val="auto"/>
          <w:sz w:val="28"/>
          <w:szCs w:val="28"/>
          <w:lang w:val="kk-KZ"/>
        </w:rPr>
        <w:t>Dietzia maris U</w:t>
      </w:r>
      <w:r>
        <w:rPr>
          <w:rFonts w:ascii="Times New Roman" w:hAnsi="Times New Roman" w:cs="Times New Roman"/>
          <w:i/>
          <w:iCs/>
          <w:color w:val="auto"/>
          <w:sz w:val="28"/>
          <w:szCs w:val="28"/>
          <w:lang w:val="ru-RU"/>
        </w:rPr>
        <w:t>2,</w:t>
      </w:r>
      <w:r>
        <w:rPr>
          <w:rFonts w:ascii="Times New Roman" w:hAnsi="Times New Roman" w:cs="Times New Roman"/>
          <w:i/>
          <w:iCs/>
          <w:color w:val="auto"/>
          <w:sz w:val="28"/>
          <w:szCs w:val="28"/>
          <w:lang w:val="kk-KZ"/>
        </w:rPr>
        <w:t>1, Dietzia sp. U</w:t>
      </w:r>
      <w:r>
        <w:rPr>
          <w:rFonts w:ascii="Times New Roman" w:hAnsi="Times New Roman" w:cs="Times New Roman"/>
          <w:i/>
          <w:iCs/>
          <w:color w:val="auto"/>
          <w:sz w:val="28"/>
          <w:szCs w:val="28"/>
          <w:lang w:val="ru-RU"/>
        </w:rPr>
        <w:t>2,</w:t>
      </w:r>
      <w:r>
        <w:rPr>
          <w:rFonts w:ascii="Times New Roman" w:hAnsi="Times New Roman" w:cs="Times New Roman"/>
          <w:i/>
          <w:iCs/>
          <w:color w:val="auto"/>
          <w:sz w:val="28"/>
          <w:szCs w:val="28"/>
          <w:lang w:val="kk-KZ"/>
        </w:rPr>
        <w:t xml:space="preserve">6, Dietzia sp. MB3 және Dietzia maris KU - </w:t>
      </w:r>
      <w:r>
        <w:rPr>
          <w:rFonts w:ascii="Times New Roman" w:hAnsi="Times New Roman" w:cs="Times New Roman"/>
          <w:color w:val="auto"/>
          <w:sz w:val="28"/>
          <w:szCs w:val="28"/>
          <w:lang w:val="kk-KZ"/>
        </w:rPr>
        <w:t xml:space="preserve">салыстырмалы зерттеу объектісі ретінде минералды тасымалдағыштарға иммобилизацияланды. </w:t>
      </w:r>
      <w:r>
        <w:rPr>
          <w:rFonts w:ascii="Times New Roman" w:hAnsi="Times New Roman"/>
          <w:color w:val="auto"/>
          <w:sz w:val="28"/>
          <w:szCs w:val="28"/>
          <w:lang w:val="kk-KZ"/>
        </w:rPr>
        <w:t>Консорциум №2 минералды тасымалдағыштармен алдын ала зерттеулерде қолданылды, негізгі диссертациялық жұмыс Консорциум №1-ге бағытталды.</w:t>
      </w:r>
    </w:p>
    <w:p w14:paraId="768CF67C">
      <w:pPr>
        <w:pStyle w:val="20"/>
        <w:numPr>
          <w:ilvl w:val="0"/>
          <w:numId w:val="8"/>
        </w:numPr>
        <w:spacing w:after="0"/>
        <w:ind w:firstLine="709"/>
        <w:rPr>
          <w:rFonts w:ascii="Times New Roman" w:hAnsi="Times New Roman"/>
          <w:color w:val="auto"/>
          <w:sz w:val="28"/>
          <w:szCs w:val="28"/>
          <w:lang w:val="kk-KZ"/>
        </w:rPr>
      </w:pPr>
      <w:r>
        <w:rPr>
          <w:rFonts w:ascii="Times New Roman" w:hAnsi="Times New Roman"/>
          <w:i/>
          <w:iCs/>
          <w:color w:val="auto"/>
          <w:sz w:val="28"/>
          <w:szCs w:val="28"/>
          <w:lang w:val="kk-KZ"/>
        </w:rPr>
        <w:t>erythropolis AT7</w:t>
      </w:r>
      <w:r>
        <w:rPr>
          <w:rFonts w:ascii="Times New Roman" w:hAnsi="Times New Roman"/>
          <w:color w:val="auto"/>
          <w:sz w:val="28"/>
          <w:szCs w:val="28"/>
          <w:lang w:val="kk-KZ"/>
        </w:rPr>
        <w:t xml:space="preserve"> штамы актинобактериялар (</w:t>
      </w:r>
      <w:r>
        <w:rPr>
          <w:rFonts w:ascii="Times New Roman" w:hAnsi="Times New Roman"/>
          <w:i/>
          <w:iCs/>
          <w:color w:val="auto"/>
          <w:sz w:val="28"/>
          <w:szCs w:val="28"/>
          <w:lang w:val="kk-KZ"/>
        </w:rPr>
        <w:t>Actinobacteria</w:t>
      </w:r>
      <w:r>
        <w:rPr>
          <w:rFonts w:ascii="Times New Roman" w:hAnsi="Times New Roman"/>
          <w:color w:val="auto"/>
          <w:sz w:val="28"/>
          <w:szCs w:val="28"/>
          <w:lang w:val="kk-KZ"/>
        </w:rPr>
        <w:t xml:space="preserve">) тұқымдасына жатады және алифатты көмірсутектерді (C₁₀-C₃₀), сондай-ақ БТЭК қосылыстарын тиімді ыдыратуымен сипатталады. </w:t>
      </w:r>
      <w:r>
        <w:rPr>
          <w:rFonts w:ascii="Times New Roman" w:hAnsi="Times New Roman"/>
          <w:i/>
          <w:iCs/>
          <w:color w:val="auto"/>
          <w:sz w:val="28"/>
          <w:szCs w:val="28"/>
          <w:lang w:val="kk-KZ"/>
        </w:rPr>
        <w:t>D. maris 22K</w:t>
      </w:r>
      <w:r>
        <w:rPr>
          <w:rFonts w:ascii="Times New Roman" w:hAnsi="Times New Roman"/>
          <w:color w:val="auto"/>
          <w:sz w:val="28"/>
          <w:szCs w:val="28"/>
          <w:lang w:val="kk-KZ"/>
        </w:rPr>
        <w:t xml:space="preserve"> штамы полиароматты көмірсутектерді (ПАК) және ауыр мұнай фракцияларын биодеградациялау қабілетімен ерекшеленеді. Екі штаммның комбинациясы синергетикалық әсер көрсетіп, күрделі мұнай қоспаларының кең спектрін деструкциялауға мүмкіндік береді.</w:t>
      </w:r>
    </w:p>
    <w:p w14:paraId="1200BFB5">
      <w:pPr>
        <w:pStyle w:val="20"/>
        <w:numPr>
          <w:ilvl w:val="0"/>
          <w:numId w:val="0"/>
        </w:numPr>
        <w:suppressAutoHyphens/>
        <w:spacing w:after="0"/>
        <w:jc w:val="both"/>
        <w:rPr>
          <w:rFonts w:ascii="Times New Roman" w:hAnsi="Times New Roman"/>
          <w:color w:val="auto"/>
          <w:sz w:val="28"/>
          <w:szCs w:val="28"/>
          <w:lang w:val="kk-KZ"/>
        </w:rPr>
      </w:pPr>
    </w:p>
    <w:p w14:paraId="67B316C5">
      <w:pPr>
        <w:pStyle w:val="20"/>
        <w:numPr>
          <w:ilvl w:val="0"/>
          <w:numId w:val="0"/>
        </w:numPr>
        <w:suppressAutoHyphens/>
        <w:spacing w:after="0"/>
        <w:jc w:val="both"/>
        <w:rPr>
          <w:rFonts w:ascii="Times New Roman" w:hAnsi="Times New Roman"/>
          <w:color w:val="auto"/>
          <w:sz w:val="28"/>
          <w:szCs w:val="28"/>
          <w:lang w:val="kk-KZ"/>
        </w:rPr>
      </w:pPr>
    </w:p>
    <w:p w14:paraId="531FB382">
      <w:pPr>
        <w:pStyle w:val="20"/>
        <w:spacing w:after="0"/>
        <w:ind w:firstLine="709"/>
        <w:rPr>
          <w:rFonts w:ascii="Times New Roman" w:hAnsi="Times New Roman"/>
          <w:color w:val="auto"/>
          <w:sz w:val="28"/>
          <w:szCs w:val="28"/>
          <w:lang w:val="kk-KZ"/>
        </w:rPr>
      </w:pPr>
    </w:p>
    <w:p w14:paraId="70F07AC9">
      <w:pPr>
        <w:pStyle w:val="20"/>
        <w:spacing w:after="0"/>
        <w:ind w:firstLine="709"/>
        <w:jc w:val="center"/>
        <w:rPr>
          <w:rFonts w:ascii="Times New Roman" w:hAnsi="Times New Roman"/>
          <w:color w:val="auto"/>
          <w:sz w:val="28"/>
          <w:szCs w:val="28"/>
          <w:lang w:val="kk-KZ"/>
        </w:rPr>
      </w:pPr>
      <w:r>
        <w:rPr>
          <w:rFonts w:ascii="Times New Roman" w:hAnsi="Times New Roman" w:cs="Times New Roman"/>
          <w:color w:val="auto"/>
          <w:sz w:val="24"/>
          <w:szCs w:val="24"/>
        </w:rPr>
        <w:drawing>
          <wp:inline distT="0" distB="0" distL="0" distR="0">
            <wp:extent cx="2580640" cy="1786890"/>
            <wp:effectExtent l="0" t="0" r="10160" b="11430"/>
            <wp:docPr id="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4"/>
                    <pic:cNvPicPr>
                      <a:picLocks noChangeAspect="1" noChangeArrowheads="1"/>
                    </pic:cNvPicPr>
                  </pic:nvPicPr>
                  <pic:blipFill>
                    <a:blip r:embed="rId16"/>
                    <a:srcRect l="9063" t="25479" r="7195" b="13668"/>
                    <a:stretch>
                      <a:fillRect/>
                    </a:stretch>
                  </pic:blipFill>
                  <pic:spPr>
                    <a:xfrm>
                      <a:off x="0" y="0"/>
                      <a:ext cx="2580640" cy="1786890"/>
                    </a:xfrm>
                    <a:prstGeom prst="rect">
                      <a:avLst/>
                    </a:prstGeom>
                    <a:noFill/>
                    <a:ln w="9525">
                      <a:noFill/>
                      <a:miter lim="800000"/>
                      <a:headEnd/>
                      <a:tailEnd/>
                    </a:ln>
                  </pic:spPr>
                </pic:pic>
              </a:graphicData>
            </a:graphic>
          </wp:inline>
        </w:drawing>
      </w:r>
      <w:r>
        <w:rPr>
          <w:rFonts w:ascii="Times New Roman" w:hAnsi="Times New Roman" w:cs="Times New Roman"/>
          <w:color w:val="auto"/>
          <w:sz w:val="24"/>
          <w:szCs w:val="24"/>
        </w:rPr>
        <w:drawing>
          <wp:inline distT="0" distB="0" distL="0" distR="0">
            <wp:extent cx="2697480" cy="1773555"/>
            <wp:effectExtent l="0" t="0" r="0" b="9525"/>
            <wp:docPr id="126" name="Рисунок 62" descr="F:\фото 25ш\25ш-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Рисунок 62" descr="F:\фото 25ш\25ш-4.jpg"/>
                    <pic:cNvPicPr>
                      <a:picLocks noChangeAspect="1" noChangeArrowheads="1"/>
                    </pic:cNvPicPr>
                  </pic:nvPicPr>
                  <pic:blipFill>
                    <a:blip r:embed="rId17" cstate="print">
                      <a:extLst>
                        <a:ext uri="{28A0092B-C50C-407E-A947-70E740481C1C}">
                          <a14:useLocalDpi xmlns:a14="http://schemas.microsoft.com/office/drawing/2010/main" val="0"/>
                        </a:ext>
                      </a:extLst>
                    </a:blip>
                    <a:srcRect l="23768" t="23116" r="28719" b="26121"/>
                    <a:stretch>
                      <a:fillRect/>
                    </a:stretch>
                  </pic:blipFill>
                  <pic:spPr>
                    <a:xfrm>
                      <a:off x="0" y="0"/>
                      <a:ext cx="2697480" cy="1773555"/>
                    </a:xfrm>
                    <a:prstGeom prst="rect">
                      <a:avLst/>
                    </a:prstGeom>
                    <a:noFill/>
                    <a:ln>
                      <a:noFill/>
                    </a:ln>
                  </pic:spPr>
                </pic:pic>
              </a:graphicData>
            </a:graphic>
          </wp:inline>
        </w:drawing>
      </w:r>
    </w:p>
    <w:p w14:paraId="7078A02A">
      <w:pPr>
        <w:pStyle w:val="20"/>
        <w:spacing w:after="0"/>
        <w:ind w:firstLine="709"/>
        <w:rPr>
          <w:rFonts w:ascii="Times New Roman" w:hAnsi="Times New Roman"/>
          <w:color w:val="auto"/>
          <w:sz w:val="28"/>
          <w:szCs w:val="28"/>
          <w:lang w:val="kk-KZ"/>
        </w:rPr>
      </w:pPr>
    </w:p>
    <w:p w14:paraId="1F347787">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kk-KZ"/>
        </w:rPr>
        <w:t>Сурет 8 - Консорциум құрамындағы бактериялық штаммдардың микроскопиялық көрінісі (×1000 үлкейту)</w:t>
      </w:r>
    </w:p>
    <w:p w14:paraId="7867E647">
      <w:pPr>
        <w:pStyle w:val="20"/>
        <w:spacing w:after="0"/>
        <w:ind w:firstLine="709"/>
        <w:rPr>
          <w:rFonts w:ascii="Times New Roman" w:hAnsi="Times New Roman"/>
          <w:color w:val="auto"/>
          <w:sz w:val="28"/>
          <w:szCs w:val="28"/>
          <w:lang w:val="kk-KZ"/>
        </w:rPr>
      </w:pPr>
    </w:p>
    <w:p w14:paraId="07C46182">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kk-KZ"/>
        </w:rPr>
        <w:t>Бұл консорциум ауыл шаруашылығы қалдықтарына иммобилизациялау үшін таңдалды, өйткені консорциум құрамындағы микроорганизм түрлері алдын ала скрининг зерттеулері бойынша [</w:t>
      </w:r>
      <w:r>
        <w:rPr>
          <w:rFonts w:hint="default" w:ascii="Times New Roman" w:hAnsi="Times New Roman"/>
          <w:color w:val="auto"/>
          <w:sz w:val="28"/>
          <w:szCs w:val="28"/>
          <w:lang w:val="en-US"/>
        </w:rPr>
        <w:t>82,83</w:t>
      </w:r>
      <w:r>
        <w:rPr>
          <w:rFonts w:ascii="Times New Roman" w:hAnsi="Times New Roman"/>
          <w:color w:val="auto"/>
          <w:sz w:val="28"/>
          <w:szCs w:val="28"/>
          <w:lang w:val="kk-KZ"/>
        </w:rPr>
        <w:t>] органикалық тасымалдағыштарда жоғары адсорбциялық сыйымдылық (17-20 мг/г) және биодеградациялық белсенділік (деструкция 78-86%) көрсетті.</w:t>
      </w:r>
    </w:p>
    <w:p w14:paraId="69CB7CDF">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kk-KZ"/>
        </w:rPr>
        <w:t xml:space="preserve">Бұл штамдар Батыс Қазақстанның мұнаймен ластанған топырақтарынан оқшауланған және -30 °C температурада криогендік жағдайда сақталған. </w:t>
      </w:r>
    </w:p>
    <w:p w14:paraId="12E942FF">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highlight w:val="none"/>
          <w:lang w:val="kk-KZ"/>
        </w:rPr>
        <w:t>Консорциумды өсіру үшін оларды келесі құрамдағы өзгертілген Ворошилов-Дианова ортасында өсірілді: NaCl - 10 г</w:t>
      </w:r>
      <w:r>
        <w:rPr>
          <w:rFonts w:hint="default" w:ascii="Times New Roman" w:hAnsi="Times New Roman"/>
          <w:color w:val="auto"/>
          <w:sz w:val="28"/>
          <w:szCs w:val="28"/>
          <w:highlight w:val="none"/>
          <w:lang w:val="ru-RU"/>
        </w:rPr>
        <w:t>/</w:t>
      </w:r>
      <w:r>
        <w:rPr>
          <w:rFonts w:ascii="Times New Roman" w:hAnsi="Times New Roman"/>
          <w:color w:val="auto"/>
          <w:sz w:val="28"/>
          <w:szCs w:val="28"/>
          <w:highlight w:val="none"/>
          <w:lang w:val="kk-KZ"/>
        </w:rPr>
        <w:t xml:space="preserve">л, K₂HPO₄ - 1 </w:t>
      </w:r>
      <w:r>
        <w:rPr>
          <w:rFonts w:ascii="Times New Roman" w:hAnsi="Times New Roman"/>
          <w:color w:val="auto"/>
          <w:sz w:val="28"/>
          <w:szCs w:val="28"/>
          <w:highlight w:val="none"/>
          <w:lang w:val="ru-RU"/>
        </w:rPr>
        <w:t>г/л</w:t>
      </w:r>
      <w:r>
        <w:rPr>
          <w:rFonts w:ascii="Times New Roman" w:hAnsi="Times New Roman"/>
          <w:color w:val="auto"/>
          <w:sz w:val="28"/>
          <w:szCs w:val="28"/>
          <w:highlight w:val="none"/>
          <w:lang w:val="kk-KZ"/>
        </w:rPr>
        <w:t xml:space="preserve">, MgSO₄·7H₂O - 0,2 </w:t>
      </w:r>
      <w:r>
        <w:rPr>
          <w:rFonts w:ascii="Times New Roman" w:hAnsi="Times New Roman"/>
          <w:color w:val="auto"/>
          <w:sz w:val="28"/>
          <w:szCs w:val="28"/>
          <w:highlight w:val="none"/>
          <w:lang w:val="ru-RU"/>
        </w:rPr>
        <w:t>г/л</w:t>
      </w:r>
      <w:r>
        <w:rPr>
          <w:rFonts w:ascii="Times New Roman" w:hAnsi="Times New Roman"/>
          <w:color w:val="auto"/>
          <w:sz w:val="28"/>
          <w:szCs w:val="28"/>
          <w:highlight w:val="none"/>
          <w:lang w:val="kk-KZ"/>
        </w:rPr>
        <w:t xml:space="preserve">, CaCl₂ - 0,01 </w:t>
      </w:r>
      <w:r>
        <w:rPr>
          <w:rFonts w:ascii="Times New Roman" w:hAnsi="Times New Roman"/>
          <w:color w:val="auto"/>
          <w:sz w:val="28"/>
          <w:szCs w:val="28"/>
          <w:highlight w:val="none"/>
          <w:lang w:val="ru-RU"/>
        </w:rPr>
        <w:t>г/л</w:t>
      </w:r>
      <w:r>
        <w:rPr>
          <w:rFonts w:ascii="Times New Roman" w:hAnsi="Times New Roman"/>
          <w:color w:val="auto"/>
          <w:sz w:val="28"/>
          <w:szCs w:val="28"/>
          <w:highlight w:val="none"/>
          <w:lang w:val="kk-KZ"/>
        </w:rPr>
        <w:t xml:space="preserve">, NH₄NO₃ - 1 </w:t>
      </w:r>
      <w:r>
        <w:rPr>
          <w:rFonts w:ascii="Times New Roman" w:hAnsi="Times New Roman"/>
          <w:color w:val="auto"/>
          <w:sz w:val="28"/>
          <w:szCs w:val="28"/>
          <w:highlight w:val="none"/>
          <w:lang w:val="ru-RU"/>
        </w:rPr>
        <w:t>г/л</w:t>
      </w:r>
      <w:r>
        <w:rPr>
          <w:rFonts w:ascii="Times New Roman" w:hAnsi="Times New Roman"/>
          <w:color w:val="auto"/>
          <w:sz w:val="28"/>
          <w:szCs w:val="28"/>
          <w:highlight w:val="none"/>
          <w:lang w:val="kk-KZ"/>
        </w:rPr>
        <w:t xml:space="preserve">, дистилденген су - 1 л-ге дейін. Ортаны автоклавта 121 °C температурада 15 минут бойы </w:t>
      </w:r>
      <w:r>
        <w:rPr>
          <w:rFonts w:ascii="Times New Roman" w:hAnsi="Times New Roman"/>
          <w:color w:val="auto"/>
          <w:sz w:val="28"/>
          <w:szCs w:val="28"/>
          <w:lang w:val="kk-KZ"/>
        </w:rPr>
        <w:t xml:space="preserve">стерилденді. Автоклавталған шикі мұнай көміртегі мен энергияның жалғыз көзі ретінде 5 </w:t>
      </w:r>
      <w:r>
        <w:rPr>
          <w:rFonts w:ascii="Times New Roman" w:hAnsi="Times New Roman"/>
          <w:color w:val="auto"/>
          <w:sz w:val="28"/>
          <w:szCs w:val="28"/>
          <w:lang w:val="ru-RU"/>
        </w:rPr>
        <w:t>мл/л</w:t>
      </w:r>
      <w:r>
        <w:rPr>
          <w:rFonts w:ascii="Times New Roman" w:hAnsi="Times New Roman"/>
          <w:color w:val="auto"/>
          <w:sz w:val="28"/>
          <w:szCs w:val="28"/>
          <w:lang w:val="kk-KZ"/>
        </w:rPr>
        <w:t xml:space="preserve"> концентрациясында қосылды. Штаммдарды тең пропорцияда (1:1 қатынасында) инокуляциялап, 28 °C температурада 48 сағат бойы орбиталды шейкерде 150 айн/мин жылдамдықта инкубациялау жүргізілді [1</w:t>
      </w:r>
      <w:r>
        <w:rPr>
          <w:rFonts w:hint="default" w:ascii="Times New Roman" w:hAnsi="Times New Roman"/>
          <w:color w:val="auto"/>
          <w:sz w:val="28"/>
          <w:szCs w:val="28"/>
          <w:lang w:val="en-US"/>
        </w:rPr>
        <w:t>31</w:t>
      </w:r>
      <w:r>
        <w:rPr>
          <w:rFonts w:ascii="Times New Roman" w:hAnsi="Times New Roman"/>
          <w:color w:val="auto"/>
          <w:sz w:val="28"/>
          <w:szCs w:val="28"/>
          <w:lang w:val="kk-KZ"/>
        </w:rPr>
        <w:t xml:space="preserve">]. </w:t>
      </w:r>
    </w:p>
    <w:p w14:paraId="21B7EC69">
      <w:pPr>
        <w:pStyle w:val="20"/>
        <w:spacing w:after="0"/>
        <w:ind w:firstLine="709"/>
        <w:rPr>
          <w:rFonts w:ascii="Times New Roman" w:hAnsi="Times New Roman" w:cs="Times New Roman"/>
          <w:i/>
          <w:iCs/>
          <w:color w:val="auto"/>
          <w:sz w:val="28"/>
          <w:szCs w:val="28"/>
          <w:lang w:val="kk-KZ"/>
        </w:rPr>
      </w:pPr>
    </w:p>
    <w:p w14:paraId="34E4DE94">
      <w:pPr>
        <w:pStyle w:val="20"/>
        <w:spacing w:after="0"/>
        <w:ind w:firstLine="709"/>
        <w:rPr>
          <w:rFonts w:ascii="Times New Roman" w:hAnsi="Times New Roman" w:cs="Times New Roman"/>
          <w:b/>
          <w:bCs/>
          <w:color w:val="auto"/>
          <w:sz w:val="28"/>
          <w:szCs w:val="28"/>
          <w:lang w:val="kk-KZ"/>
        </w:rPr>
      </w:pPr>
      <w:r>
        <w:rPr>
          <w:rFonts w:ascii="Times New Roman" w:hAnsi="Times New Roman" w:cs="Times New Roman"/>
          <w:b/>
          <w:bCs/>
          <w:color w:val="auto"/>
          <w:sz w:val="28"/>
          <w:szCs w:val="28"/>
          <w:lang w:val="ru-RU"/>
        </w:rPr>
        <w:t>2</w:t>
      </w:r>
      <w:r>
        <w:rPr>
          <w:rFonts w:hint="default" w:ascii="Times New Roman" w:hAnsi="Times New Roman" w:cs="Times New Roman"/>
          <w:b/>
          <w:bCs/>
          <w:color w:val="auto"/>
          <w:sz w:val="28"/>
          <w:szCs w:val="28"/>
          <w:lang w:val="kk-KZ"/>
        </w:rPr>
        <w:t>.</w:t>
      </w:r>
      <w:r>
        <w:rPr>
          <w:rFonts w:ascii="Times New Roman" w:hAnsi="Times New Roman" w:cs="Times New Roman"/>
          <w:b/>
          <w:bCs/>
          <w:color w:val="auto"/>
          <w:sz w:val="28"/>
          <w:szCs w:val="28"/>
          <w:lang w:val="kk-KZ"/>
        </w:rPr>
        <w:t>4 Микроорганизмдерді иммобилизациялау процессі</w:t>
      </w:r>
    </w:p>
    <w:p w14:paraId="68A72D41">
      <w:pPr>
        <w:pStyle w:val="20"/>
        <w:spacing w:after="0"/>
        <w:ind w:firstLine="709"/>
        <w:rPr>
          <w:rFonts w:ascii="Times New Roman" w:hAnsi="Times New Roman" w:cs="Times New Roman"/>
          <w:color w:val="auto"/>
          <w:sz w:val="28"/>
          <w:szCs w:val="28"/>
          <w:lang w:val="kk-KZ"/>
        </w:rPr>
      </w:pPr>
      <w:r>
        <w:rPr>
          <w:rStyle w:val="365"/>
          <w:color w:val="auto"/>
          <w:sz w:val="28"/>
          <w:szCs w:val="28"/>
          <w:lang w:val="kk-KZ"/>
        </w:rPr>
        <w:t xml:space="preserve">Микроорганизм-деструкторларды тасымалдағыштарға иммобилизациялау биоремедиация процесінің тиімділігін арттырудың перспективалы </w:t>
      </w:r>
      <w:r>
        <w:rPr>
          <w:rFonts w:ascii="Times New Roman" w:hAnsi="Times New Roman" w:cs="Times New Roman"/>
          <w:color w:val="auto"/>
          <w:sz w:val="28"/>
          <w:szCs w:val="28"/>
          <w:lang w:val="kk-KZ"/>
        </w:rPr>
        <w:t xml:space="preserve">тәсілі болып табылады. Иммобилизация келесі артықшылықтарды қамтамасыз етеді: қоршаған ортаның қолайсыз факторларына (температуралық стресс, тұздылық, pH өзгерістері) төзімділікті арттыру, метаболикалық белсенділікті ұзақ уақыт сақтау, субстраттың улы концентрацияларының әсерінен жасушаларды қорғау, генетикалық тұрақтылықты қамтамасыз ету және мутациялар қаупін азайту, сақтау және тасымалдау кезінде жоғары тіршілік етуді сақтау, бос клеткаларды жуылып кетуден қорғау және биомассаның жергілікті концентрациясын арттыру. </w:t>
      </w:r>
      <w:r>
        <w:rPr>
          <w:rFonts w:ascii="Times New Roman" w:hAnsi="Times New Roman" w:cs="Times New Roman"/>
          <w:color w:val="auto"/>
          <w:sz w:val="28"/>
          <w:szCs w:val="28"/>
          <w:lang w:val="kk-KZ"/>
        </w:rPr>
        <w:tab/>
      </w:r>
    </w:p>
    <w:p w14:paraId="2C6E924F">
      <w:pPr>
        <w:pStyle w:val="20"/>
        <w:spacing w:after="0"/>
        <w:ind w:firstLine="709"/>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 xml:space="preserve">Зерттеуде органикалық тасымалдауыштар ретінде ауыл шаруашылығы өндірісінің қалдықтары пайдаланылды: бактериялық жасушалар үшін қоректік элементтердің бай көзі, сонымен қатар қолжетімді және экономикалық тиімді шикізат болып табылатын қарақұмық </w:t>
      </w:r>
      <w:r>
        <w:rPr>
          <w:rFonts w:ascii="Times New Roman" w:hAnsi="Times New Roman" w:cs="Times New Roman"/>
          <w:i/>
          <w:iCs/>
          <w:color w:val="auto"/>
          <w:sz w:val="28"/>
          <w:szCs w:val="28"/>
          <w:lang w:val="kk-KZ"/>
        </w:rPr>
        <w:t>Fagopyrum esculentum (Павлодар облысы)</w:t>
      </w:r>
      <w:r>
        <w:rPr>
          <w:rFonts w:ascii="Times New Roman" w:hAnsi="Times New Roman" w:cs="Times New Roman"/>
          <w:color w:val="auto"/>
          <w:sz w:val="28"/>
          <w:szCs w:val="28"/>
          <w:lang w:val="kk-KZ"/>
        </w:rPr>
        <w:t xml:space="preserve"> және күріш </w:t>
      </w:r>
      <w:r>
        <w:rPr>
          <w:rFonts w:ascii="Times New Roman" w:hAnsi="Times New Roman" w:cs="Times New Roman"/>
          <w:i/>
          <w:iCs/>
          <w:color w:val="auto"/>
          <w:sz w:val="28"/>
          <w:szCs w:val="28"/>
          <w:lang w:val="kk-KZ"/>
        </w:rPr>
        <w:t xml:space="preserve">Oryza sativa </w:t>
      </w:r>
      <w:r>
        <w:rPr>
          <w:rFonts w:ascii="Times New Roman" w:hAnsi="Times New Roman" w:cs="Times New Roman"/>
          <w:color w:val="auto"/>
          <w:sz w:val="28"/>
          <w:szCs w:val="28"/>
          <w:lang w:val="kk-KZ"/>
        </w:rPr>
        <w:t xml:space="preserve"> қауызы (Қызылорда облысы) таңдалды.</w:t>
      </w:r>
    </w:p>
    <w:p w14:paraId="457697CA">
      <w:pPr>
        <w:pStyle w:val="20"/>
        <w:spacing w:after="0"/>
        <w:ind w:firstLine="709"/>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Бұл тасымалдағыштар келесі себептер бойынша таңдалды, өйткені олар: бактериялық жасушалар үшін қоректік элементтердің (азот, фосфор, микроэлементтер) табиғи көзі болып табылады</w:t>
      </w:r>
      <w:r>
        <w:rPr>
          <w:rFonts w:hint="default" w:ascii="Times New Roman" w:hAnsi="Times New Roman" w:cs="Times New Roman"/>
          <w:color w:val="auto"/>
          <w:sz w:val="28"/>
          <w:szCs w:val="28"/>
          <w:lang w:val="en-US"/>
        </w:rPr>
        <w:t xml:space="preserve"> [131]</w:t>
      </w:r>
      <w:r>
        <w:rPr>
          <w:rFonts w:ascii="Times New Roman" w:hAnsi="Times New Roman" w:cs="Times New Roman"/>
          <w:color w:val="auto"/>
          <w:sz w:val="28"/>
          <w:szCs w:val="28"/>
          <w:lang w:val="kk-KZ"/>
        </w:rPr>
        <w:t>, целлюлоза-лигнин матрицасы биофильм қалыптастыруға қолайлы, Қазақстанда жыл сайын үлкен көлемде өндіріледі және қолжетімді, экономикалық тиімді шикізат (1-5 теңге/кг), биодеградацияланады және экологиялық қауіпсіз.</w:t>
      </w:r>
    </w:p>
    <w:p w14:paraId="71B5571A">
      <w:pPr>
        <w:pStyle w:val="35"/>
        <w:spacing w:beforeAutospacing="0" w:afterAutospacing="0"/>
        <w:ind w:firstLine="709"/>
        <w:jc w:val="both"/>
        <w:rPr>
          <w:color w:val="auto"/>
          <w:sz w:val="28"/>
          <w:szCs w:val="28"/>
          <w:lang w:val="kk-KZ"/>
        </w:rPr>
      </w:pPr>
      <w:r>
        <w:rPr>
          <w:color w:val="auto"/>
          <w:sz w:val="28"/>
          <w:szCs w:val="28"/>
          <w:lang w:val="kk-KZ"/>
        </w:rPr>
        <w:t xml:space="preserve">Салыстырмалы зерттеулер үшін минералды тасымалдағыштар ретінде жоғары адсорбциялық сыйымдылығы, дамыған кеуекті құрылымы және химиялық инертті табиғаты бар </w:t>
      </w:r>
      <w:r>
        <w:rPr>
          <w:rStyle w:val="19"/>
          <w:b w:val="0"/>
          <w:bCs w:val="0"/>
          <w:color w:val="auto"/>
          <w:sz w:val="28"/>
          <w:szCs w:val="28"/>
          <w:lang w:val="kk-KZ"/>
        </w:rPr>
        <w:t>цеолит</w:t>
      </w:r>
      <w:r>
        <w:rPr>
          <w:color w:val="auto"/>
          <w:sz w:val="28"/>
          <w:szCs w:val="28"/>
          <w:lang w:val="kk-KZ"/>
        </w:rPr>
        <w:t xml:space="preserve"> (Шанғанай кен орны, Алматы облысы) пен </w:t>
      </w:r>
      <w:r>
        <w:rPr>
          <w:rStyle w:val="19"/>
          <w:b w:val="0"/>
          <w:bCs w:val="0"/>
          <w:color w:val="auto"/>
          <w:sz w:val="28"/>
          <w:szCs w:val="28"/>
          <w:lang w:val="kk-KZ"/>
        </w:rPr>
        <w:t>керамзит</w:t>
      </w:r>
      <w:r>
        <w:rPr>
          <w:color w:val="auto"/>
          <w:sz w:val="28"/>
          <w:szCs w:val="28"/>
          <w:lang w:val="kk-KZ"/>
        </w:rPr>
        <w:t xml:space="preserve"> (Маңғыстау облысында өндіріледі) пайдаланылды. Минералды тасымалдағыштар механикалық беріктігімен және ұзақ мерзімді пайдалануға жарамдылығымен ерекшеленеді [1</w:t>
      </w:r>
      <w:r>
        <w:rPr>
          <w:rFonts w:hint="default"/>
          <w:color w:val="auto"/>
          <w:sz w:val="28"/>
          <w:szCs w:val="28"/>
          <w:lang w:val="en-US"/>
        </w:rPr>
        <w:t>32</w:t>
      </w:r>
      <w:r>
        <w:rPr>
          <w:color w:val="auto"/>
          <w:sz w:val="28"/>
          <w:szCs w:val="28"/>
          <w:lang w:val="kk-KZ"/>
        </w:rPr>
        <w:t>].</w:t>
      </w:r>
    </w:p>
    <w:p w14:paraId="55FE7AD4">
      <w:pPr>
        <w:pStyle w:val="35"/>
        <w:spacing w:beforeAutospacing="0" w:afterAutospacing="0"/>
        <w:ind w:firstLine="709"/>
        <w:jc w:val="both"/>
        <w:rPr>
          <w:i/>
          <w:iCs/>
          <w:color w:val="auto"/>
          <w:sz w:val="28"/>
          <w:szCs w:val="28"/>
          <w:lang w:val="kk-KZ"/>
        </w:rPr>
      </w:pPr>
      <w:r>
        <w:rPr>
          <w:i/>
          <w:iCs/>
          <w:color w:val="auto"/>
          <w:sz w:val="28"/>
          <w:szCs w:val="28"/>
          <w:lang w:val="kk-KZ"/>
        </w:rPr>
        <w:t>Тасымалдауыштарды дайындау:</w:t>
      </w:r>
    </w:p>
    <w:p w14:paraId="4C7D0FAB">
      <w:pPr>
        <w:pStyle w:val="20"/>
        <w:spacing w:after="0"/>
        <w:ind w:firstLine="709"/>
        <w:rPr>
          <w:rFonts w:ascii="Times New Roman" w:hAnsi="Times New Roman" w:cs="Times New Roman"/>
          <w:color w:val="auto"/>
          <w:sz w:val="28"/>
          <w:szCs w:val="28"/>
          <w:highlight w:val="none"/>
          <w:lang w:val="kk-KZ"/>
        </w:rPr>
      </w:pPr>
      <w:r>
        <w:rPr>
          <w:rFonts w:ascii="Times New Roman" w:hAnsi="Times New Roman" w:cs="Times New Roman"/>
          <w:color w:val="auto"/>
          <w:sz w:val="28"/>
          <w:szCs w:val="28"/>
          <w:lang w:val="kk-KZ"/>
        </w:rPr>
        <w:t>Тасымалдаушылар артық қоспалардан тазаланып, әрі қарай дистильденген сумен тазартылғаннан кейін 1% NaOH және HCl ерітінділерімен 30 мин өңделу арқылы дайындалды. Бейтарап pH-қа жеткенше (әмбебап индикаторлық қағазбен бақылау, pH 6.5-</w:t>
      </w:r>
      <w:r>
        <w:rPr>
          <w:rFonts w:ascii="Times New Roman" w:hAnsi="Times New Roman" w:cs="Times New Roman"/>
          <w:color w:val="auto"/>
          <w:sz w:val="28"/>
          <w:szCs w:val="28"/>
          <w:lang w:val="ru-RU"/>
        </w:rPr>
        <w:t>7,</w:t>
      </w:r>
      <w:r>
        <w:rPr>
          <w:rFonts w:ascii="Times New Roman" w:hAnsi="Times New Roman" w:cs="Times New Roman"/>
          <w:color w:val="auto"/>
          <w:sz w:val="28"/>
          <w:szCs w:val="28"/>
          <w:lang w:val="kk-KZ"/>
        </w:rPr>
        <w:t xml:space="preserve">5) дистильденген сумен үш рет жуылды. </w:t>
      </w:r>
      <w:r>
        <w:rPr>
          <w:rFonts w:ascii="Times New Roman" w:hAnsi="Times New Roman" w:cs="Times New Roman"/>
          <w:color w:val="auto"/>
          <w:sz w:val="28"/>
          <w:szCs w:val="28"/>
        </w:rPr>
        <w:t>1 атмосфера артық қысымда (≈220 кПа) 30 минут бойы 134°C температурада автоклавтау</w:t>
      </w:r>
      <w:r>
        <w:rPr>
          <w:rFonts w:ascii="Times New Roman" w:hAnsi="Times New Roman" w:cs="Times New Roman"/>
          <w:color w:val="auto"/>
          <w:sz w:val="28"/>
          <w:szCs w:val="28"/>
          <w:lang w:val="kk-KZ"/>
        </w:rPr>
        <w:t xml:space="preserve"> арқылы стерильденді. Тұрақты массаға дейін (±</w:t>
      </w:r>
      <w:r>
        <w:rPr>
          <w:rFonts w:ascii="Times New Roman" w:hAnsi="Times New Roman" w:cs="Times New Roman"/>
          <w:color w:val="auto"/>
          <w:sz w:val="28"/>
          <w:szCs w:val="28"/>
          <w:lang w:val="ru-RU"/>
        </w:rPr>
        <w:t>0,</w:t>
      </w:r>
      <w:r>
        <w:rPr>
          <w:rFonts w:ascii="Times New Roman" w:hAnsi="Times New Roman" w:cs="Times New Roman"/>
          <w:color w:val="auto"/>
          <w:sz w:val="28"/>
          <w:szCs w:val="28"/>
          <w:lang w:val="kk-KZ"/>
        </w:rPr>
        <w:t>0001 г дәлдікпен аналитикалық таразыда) 105±2°C температурада кептіргіш шкафта кеп</w:t>
      </w:r>
      <w:r>
        <w:rPr>
          <w:rFonts w:ascii="Times New Roman" w:hAnsi="Times New Roman" w:cs="Times New Roman"/>
          <w:color w:val="auto"/>
          <w:sz w:val="28"/>
          <w:szCs w:val="28"/>
          <w:highlight w:val="none"/>
          <w:lang w:val="kk-KZ"/>
        </w:rPr>
        <w:t>тірілді [1</w:t>
      </w:r>
      <w:r>
        <w:rPr>
          <w:rFonts w:hint="default" w:ascii="Times New Roman" w:hAnsi="Times New Roman" w:cs="Times New Roman"/>
          <w:color w:val="auto"/>
          <w:sz w:val="28"/>
          <w:szCs w:val="28"/>
          <w:highlight w:val="none"/>
          <w:lang w:val="en-US"/>
        </w:rPr>
        <w:t>31</w:t>
      </w:r>
      <w:r>
        <w:rPr>
          <w:rFonts w:ascii="Times New Roman" w:hAnsi="Times New Roman" w:cs="Times New Roman"/>
          <w:color w:val="auto"/>
          <w:sz w:val="28"/>
          <w:szCs w:val="28"/>
          <w:highlight w:val="none"/>
          <w:lang w:val="kk-KZ"/>
        </w:rPr>
        <w:t>].</w:t>
      </w:r>
    </w:p>
    <w:p w14:paraId="3D9FE316">
      <w:pPr>
        <w:pStyle w:val="20"/>
        <w:spacing w:after="0"/>
        <w:ind w:firstLine="709"/>
        <w:rPr>
          <w:rFonts w:ascii="Times New Roman" w:hAnsi="Times New Roman"/>
          <w:color w:val="auto"/>
          <w:sz w:val="28"/>
          <w:szCs w:val="28"/>
          <w:lang w:val="kk-KZ"/>
        </w:rPr>
      </w:pPr>
      <w:r>
        <w:rPr>
          <w:rFonts w:ascii="Times New Roman" w:hAnsi="Times New Roman" w:cs="Times New Roman"/>
          <w:color w:val="auto"/>
          <w:sz w:val="28"/>
          <w:szCs w:val="28"/>
          <w:lang w:val="kk-KZ"/>
        </w:rPr>
        <w:t xml:space="preserve">Зерттеу жұмысында мұнай және мұнай қалдықтарын иммобилизациялық тасымалдаушы ретінде қолданатындықтан, әрі қарай оның химиялық құрамы анықталды. </w:t>
      </w:r>
      <w:r>
        <w:rPr>
          <w:rFonts w:ascii="Times New Roman" w:hAnsi="Times New Roman"/>
          <w:color w:val="auto"/>
          <w:sz w:val="28"/>
          <w:szCs w:val="28"/>
          <w:lang w:val="kk-KZ"/>
        </w:rPr>
        <w:t>Тасымалдағыштардың химиялық құрамы стандартты аналитикалық әдістермен анықталды (6-кесте). Барлық талдаулар үш рет қайталанып (n = 3), нәтижелер орташа мән ± стандартты ауытқу түрінде көрсетілді.</w:t>
      </w:r>
    </w:p>
    <w:p w14:paraId="67D25C0E">
      <w:pPr>
        <w:pStyle w:val="20"/>
        <w:spacing w:after="0"/>
        <w:ind w:firstLine="709"/>
        <w:rPr>
          <w:rFonts w:ascii="Times New Roman" w:hAnsi="Times New Roman"/>
          <w:color w:val="auto"/>
          <w:sz w:val="28"/>
          <w:szCs w:val="28"/>
          <w:lang w:val="kk-KZ"/>
        </w:rPr>
      </w:pPr>
    </w:p>
    <w:p w14:paraId="437691AC">
      <w:pPr>
        <w:pStyle w:val="20"/>
        <w:spacing w:after="0"/>
        <w:rPr>
          <w:rFonts w:ascii="Times New Roman" w:hAnsi="Times New Roman"/>
          <w:color w:val="auto"/>
          <w:sz w:val="28"/>
          <w:szCs w:val="28"/>
          <w:lang w:val="kk-KZ"/>
        </w:rPr>
      </w:pPr>
      <w:r>
        <w:rPr>
          <w:rFonts w:ascii="Times New Roman" w:hAnsi="Times New Roman"/>
          <w:color w:val="auto"/>
          <w:sz w:val="28"/>
          <w:szCs w:val="28"/>
          <w:lang w:val="kk-KZ"/>
        </w:rPr>
        <w:t xml:space="preserve">Кесте 6 - </w:t>
      </w:r>
      <w:r>
        <w:rPr>
          <w:rFonts w:ascii="Times New Roman" w:hAnsi="Times New Roman" w:cs="Times New Roman"/>
          <w:color w:val="auto"/>
          <w:sz w:val="28"/>
          <w:szCs w:val="28"/>
          <w:lang w:val="kk-KZ"/>
        </w:rPr>
        <w:t>Тасымалдағыштардың химиялық құрамын анықтау әдістері</w:t>
      </w:r>
    </w:p>
    <w:p w14:paraId="5A0DF2D3">
      <w:pPr>
        <w:pStyle w:val="20"/>
        <w:spacing w:after="0"/>
        <w:ind w:firstLine="709"/>
        <w:rPr>
          <w:rFonts w:ascii="Times New Roman" w:hAnsi="Times New Roman"/>
          <w:color w:val="auto"/>
          <w:sz w:val="28"/>
          <w:szCs w:val="28"/>
          <w:lang w:val="kk-KZ"/>
        </w:rPr>
      </w:pPr>
    </w:p>
    <w:tbl>
      <w:tblPr>
        <w:tblStyle w:val="38"/>
        <w:tblW w:w="93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2410"/>
        <w:gridCol w:w="2410"/>
        <w:gridCol w:w="3402"/>
      </w:tblGrid>
      <w:tr w14:paraId="3AFE4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Align w:val="top"/>
          </w:tcPr>
          <w:p w14:paraId="7435452D">
            <w:pPr>
              <w:pStyle w:val="20"/>
              <w:widowControl w:val="0"/>
              <w:spacing w:after="0"/>
              <w:ind w:firstLine="29"/>
              <w:jc w:val="both"/>
              <w:rPr>
                <w:rFonts w:ascii="Times New Roman" w:hAnsi="Times New Roman" w:cs="Times New Roman"/>
                <w:color w:val="auto"/>
                <w:sz w:val="24"/>
                <w:szCs w:val="24"/>
                <w:lang w:val="kk-KZ" w:eastAsia="zh-CN" w:bidi="ar"/>
              </w:rPr>
            </w:pPr>
            <w:r>
              <w:rPr>
                <w:rFonts w:ascii="Times New Roman" w:hAnsi="Times New Roman" w:cs="Times New Roman"/>
                <w:color w:val="auto"/>
                <w:sz w:val="24"/>
                <w:szCs w:val="24"/>
                <w:lang w:val="kk-KZ" w:eastAsia="zh-CN" w:bidi="ar"/>
              </w:rPr>
              <w:t>№</w:t>
            </w:r>
          </w:p>
        </w:tc>
        <w:tc>
          <w:tcPr>
            <w:tcW w:w="2410" w:type="dxa"/>
            <w:vAlign w:val="top"/>
          </w:tcPr>
          <w:p w14:paraId="5583B9FF">
            <w:pPr>
              <w:pStyle w:val="20"/>
              <w:widowControl w:val="0"/>
              <w:spacing w:after="0"/>
              <w:ind w:firstLine="34"/>
              <w:jc w:val="both"/>
              <w:rPr>
                <w:rFonts w:ascii="Times New Roman" w:hAnsi="Times New Roman" w:cs="Times New Roman"/>
                <w:color w:val="auto"/>
                <w:sz w:val="28"/>
                <w:szCs w:val="28"/>
                <w:lang w:val="kk-KZ"/>
              </w:rPr>
            </w:pPr>
            <w:r>
              <w:rPr>
                <w:rFonts w:ascii="Times New Roman" w:hAnsi="Times New Roman" w:cs="Times New Roman"/>
                <w:color w:val="auto"/>
                <w:sz w:val="24"/>
                <w:szCs w:val="24"/>
                <w:lang w:val="en-US" w:eastAsia="zh-CN" w:bidi="ar"/>
              </w:rPr>
              <w:t>Көрсеткіш</w:t>
            </w:r>
          </w:p>
        </w:tc>
        <w:tc>
          <w:tcPr>
            <w:tcW w:w="2410" w:type="dxa"/>
            <w:vAlign w:val="top"/>
          </w:tcPr>
          <w:p w14:paraId="4CB00D1F">
            <w:pPr>
              <w:pStyle w:val="20"/>
              <w:widowControl w:val="0"/>
              <w:spacing w:after="0"/>
              <w:ind w:firstLine="34"/>
              <w:jc w:val="both"/>
              <w:rPr>
                <w:rFonts w:ascii="Times New Roman" w:hAnsi="Times New Roman" w:cs="Times New Roman"/>
                <w:color w:val="auto"/>
                <w:sz w:val="28"/>
                <w:szCs w:val="28"/>
                <w:lang w:val="kk-KZ"/>
              </w:rPr>
            </w:pPr>
            <w:r>
              <w:rPr>
                <w:rFonts w:ascii="Times New Roman" w:hAnsi="Times New Roman" w:cs="Times New Roman"/>
                <w:color w:val="auto"/>
                <w:sz w:val="24"/>
                <w:szCs w:val="24"/>
                <w:lang w:val="en-US" w:eastAsia="zh-CN" w:bidi="ar"/>
              </w:rPr>
              <w:t>Әдіс</w:t>
            </w:r>
          </w:p>
        </w:tc>
        <w:tc>
          <w:tcPr>
            <w:tcW w:w="3402" w:type="dxa"/>
            <w:vAlign w:val="top"/>
          </w:tcPr>
          <w:p w14:paraId="5270F94F">
            <w:pPr>
              <w:pStyle w:val="20"/>
              <w:widowControl w:val="0"/>
              <w:spacing w:after="0"/>
              <w:ind w:firstLine="709"/>
              <w:jc w:val="both"/>
              <w:rPr>
                <w:rFonts w:ascii="Times New Roman" w:hAnsi="Times New Roman" w:cs="Times New Roman"/>
                <w:color w:val="auto"/>
                <w:sz w:val="28"/>
                <w:szCs w:val="28"/>
                <w:lang w:val="kk-KZ"/>
              </w:rPr>
            </w:pPr>
            <w:r>
              <w:rPr>
                <w:rFonts w:ascii="Times New Roman" w:hAnsi="Times New Roman" w:cs="Times New Roman"/>
                <w:color w:val="auto"/>
                <w:sz w:val="24"/>
                <w:szCs w:val="24"/>
                <w:lang w:val="en-US" w:eastAsia="zh-CN" w:bidi="ar"/>
              </w:rPr>
              <w:t>Әдебиет</w:t>
            </w:r>
          </w:p>
        </w:tc>
      </w:tr>
      <w:tr w14:paraId="4D3F0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Align w:val="top"/>
          </w:tcPr>
          <w:p w14:paraId="1802147C">
            <w:pPr>
              <w:pStyle w:val="20"/>
              <w:widowControl w:val="0"/>
              <w:spacing w:after="0"/>
              <w:ind w:firstLine="29"/>
              <w:jc w:val="both"/>
              <w:rPr>
                <w:rFonts w:ascii="Times New Roman" w:hAnsi="Times New Roman" w:cs="Times New Roman"/>
                <w:color w:val="auto"/>
                <w:sz w:val="24"/>
                <w:szCs w:val="24"/>
                <w:lang w:val="kk-KZ" w:eastAsia="zh-CN" w:bidi="ar"/>
              </w:rPr>
            </w:pPr>
            <w:r>
              <w:rPr>
                <w:rFonts w:ascii="Times New Roman" w:hAnsi="Times New Roman" w:cs="Times New Roman"/>
                <w:color w:val="auto"/>
                <w:sz w:val="24"/>
                <w:szCs w:val="24"/>
                <w:lang w:val="kk-KZ" w:eastAsia="zh-CN" w:bidi="ar"/>
              </w:rPr>
              <w:t>1</w:t>
            </w:r>
          </w:p>
        </w:tc>
        <w:tc>
          <w:tcPr>
            <w:tcW w:w="2410" w:type="dxa"/>
            <w:vAlign w:val="top"/>
          </w:tcPr>
          <w:p w14:paraId="23459FC2">
            <w:pPr>
              <w:pStyle w:val="20"/>
              <w:widowControl w:val="0"/>
              <w:spacing w:after="0"/>
              <w:ind w:firstLine="34"/>
              <w:jc w:val="both"/>
              <w:rPr>
                <w:rFonts w:ascii="Times New Roman" w:hAnsi="Times New Roman" w:cs="Times New Roman"/>
                <w:color w:val="auto"/>
                <w:sz w:val="28"/>
                <w:szCs w:val="28"/>
                <w:lang w:val="kk-KZ"/>
              </w:rPr>
            </w:pPr>
            <w:r>
              <w:rPr>
                <w:rFonts w:ascii="Times New Roman" w:hAnsi="Times New Roman" w:cs="Times New Roman"/>
                <w:color w:val="auto"/>
                <w:sz w:val="24"/>
                <w:szCs w:val="24"/>
                <w:lang w:val="en-US" w:eastAsia="zh-CN" w:bidi="ar"/>
              </w:rPr>
              <w:t>Ылғалдылық, %</w:t>
            </w:r>
          </w:p>
        </w:tc>
        <w:tc>
          <w:tcPr>
            <w:tcW w:w="2410" w:type="dxa"/>
            <w:vAlign w:val="top"/>
          </w:tcPr>
          <w:p w14:paraId="59E27265">
            <w:pPr>
              <w:pStyle w:val="20"/>
              <w:widowControl w:val="0"/>
              <w:spacing w:after="0"/>
              <w:ind w:firstLine="34"/>
              <w:jc w:val="both"/>
              <w:rPr>
                <w:rFonts w:ascii="Times New Roman" w:hAnsi="Times New Roman" w:cs="Times New Roman"/>
                <w:color w:val="auto"/>
                <w:sz w:val="28"/>
                <w:szCs w:val="28"/>
                <w:lang w:val="kk-KZ"/>
              </w:rPr>
            </w:pPr>
            <w:r>
              <w:rPr>
                <w:rFonts w:ascii="Times New Roman" w:hAnsi="Times New Roman" w:cs="Times New Roman"/>
                <w:color w:val="auto"/>
                <w:sz w:val="24"/>
                <w:szCs w:val="24"/>
                <w:lang w:val="en-US" w:eastAsia="zh-CN" w:bidi="ar"/>
              </w:rPr>
              <w:t>Гравиметриялық әдіс (105°C)</w:t>
            </w:r>
          </w:p>
        </w:tc>
        <w:tc>
          <w:tcPr>
            <w:tcW w:w="3402" w:type="dxa"/>
            <w:vAlign w:val="top"/>
          </w:tcPr>
          <w:p w14:paraId="3A3D66FF">
            <w:pPr>
              <w:pStyle w:val="20"/>
              <w:widowControl w:val="0"/>
              <w:spacing w:after="0"/>
              <w:ind w:firstLine="104"/>
              <w:jc w:val="both"/>
              <w:rPr>
                <w:rFonts w:ascii="Times New Roman" w:hAnsi="Times New Roman" w:cs="Times New Roman"/>
                <w:color w:val="auto"/>
                <w:sz w:val="28"/>
                <w:szCs w:val="28"/>
                <w:lang w:val="kk-KZ"/>
              </w:rPr>
            </w:pPr>
            <w:r>
              <w:rPr>
                <w:rFonts w:ascii="Times New Roman" w:hAnsi="Times New Roman" w:cs="Times New Roman"/>
                <w:color w:val="auto"/>
                <w:sz w:val="24"/>
                <w:szCs w:val="24"/>
                <w:lang w:val="en-US" w:eastAsia="zh-CN" w:bidi="ar"/>
              </w:rPr>
              <w:t>ҚР СТ 1900-2009 [</w:t>
            </w:r>
            <w:r>
              <w:rPr>
                <w:rFonts w:hint="default" w:ascii="Times New Roman" w:hAnsi="Times New Roman" w:cs="Times New Roman"/>
                <w:color w:val="auto"/>
                <w:sz w:val="24"/>
                <w:szCs w:val="24"/>
                <w:lang w:val="ru-RU" w:eastAsia="zh-CN" w:bidi="ar"/>
              </w:rPr>
              <w:t>133</w:t>
            </w:r>
            <w:r>
              <w:rPr>
                <w:rFonts w:ascii="Times New Roman" w:hAnsi="Times New Roman" w:cs="Times New Roman"/>
                <w:color w:val="auto"/>
                <w:sz w:val="24"/>
                <w:szCs w:val="24"/>
                <w:lang w:val="en-US" w:eastAsia="zh-CN" w:bidi="ar"/>
              </w:rPr>
              <w:t>]</w:t>
            </w:r>
          </w:p>
        </w:tc>
      </w:tr>
      <w:tr w14:paraId="11656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Align w:val="top"/>
          </w:tcPr>
          <w:p w14:paraId="0B129788">
            <w:pPr>
              <w:pStyle w:val="20"/>
              <w:widowControl w:val="0"/>
              <w:spacing w:after="0"/>
              <w:ind w:firstLine="29"/>
              <w:jc w:val="both"/>
              <w:rPr>
                <w:rFonts w:ascii="Times New Roman" w:hAnsi="Times New Roman" w:cs="Times New Roman"/>
                <w:color w:val="auto"/>
                <w:sz w:val="24"/>
                <w:szCs w:val="24"/>
                <w:lang w:val="kk-KZ" w:eastAsia="zh-CN" w:bidi="ar"/>
              </w:rPr>
            </w:pPr>
            <w:r>
              <w:rPr>
                <w:rFonts w:ascii="Times New Roman" w:hAnsi="Times New Roman" w:cs="Times New Roman"/>
                <w:color w:val="auto"/>
                <w:sz w:val="24"/>
                <w:szCs w:val="24"/>
                <w:lang w:val="kk-KZ" w:eastAsia="zh-CN" w:bidi="ar"/>
              </w:rPr>
              <w:t>2</w:t>
            </w:r>
          </w:p>
        </w:tc>
        <w:tc>
          <w:tcPr>
            <w:tcW w:w="2410" w:type="dxa"/>
            <w:vAlign w:val="top"/>
          </w:tcPr>
          <w:p w14:paraId="42F65F45">
            <w:pPr>
              <w:pStyle w:val="20"/>
              <w:widowControl w:val="0"/>
              <w:spacing w:after="0"/>
              <w:ind w:firstLine="34"/>
              <w:jc w:val="both"/>
              <w:rPr>
                <w:rFonts w:ascii="Times New Roman" w:hAnsi="Times New Roman" w:cs="Times New Roman"/>
                <w:color w:val="auto"/>
                <w:sz w:val="28"/>
                <w:szCs w:val="28"/>
                <w:lang w:val="kk-KZ"/>
              </w:rPr>
            </w:pPr>
            <w:r>
              <w:rPr>
                <w:rFonts w:ascii="Times New Roman" w:hAnsi="Times New Roman" w:cs="Times New Roman"/>
                <w:color w:val="auto"/>
                <w:sz w:val="24"/>
                <w:szCs w:val="24"/>
                <w:lang w:val="en-US" w:eastAsia="zh-CN" w:bidi="ar"/>
              </w:rPr>
              <w:t>Күл, %</w:t>
            </w:r>
          </w:p>
        </w:tc>
        <w:tc>
          <w:tcPr>
            <w:tcW w:w="2410" w:type="dxa"/>
            <w:vAlign w:val="top"/>
          </w:tcPr>
          <w:p w14:paraId="0A34E66D">
            <w:pPr>
              <w:pStyle w:val="20"/>
              <w:widowControl w:val="0"/>
              <w:spacing w:after="0"/>
              <w:ind w:firstLine="34"/>
              <w:jc w:val="both"/>
              <w:rPr>
                <w:rFonts w:ascii="Times New Roman" w:hAnsi="Times New Roman" w:cs="Times New Roman"/>
                <w:color w:val="auto"/>
                <w:sz w:val="28"/>
                <w:szCs w:val="28"/>
                <w:lang w:val="kk-KZ"/>
              </w:rPr>
            </w:pPr>
            <w:r>
              <w:rPr>
                <w:rFonts w:ascii="Times New Roman" w:hAnsi="Times New Roman" w:cs="Times New Roman"/>
                <w:color w:val="auto"/>
                <w:sz w:val="24"/>
                <w:szCs w:val="24"/>
                <w:lang w:val="en-US" w:eastAsia="zh-CN" w:bidi="ar"/>
              </w:rPr>
              <w:t>Күйдіру (550°C)</w:t>
            </w:r>
          </w:p>
        </w:tc>
        <w:tc>
          <w:tcPr>
            <w:tcW w:w="3402" w:type="dxa"/>
            <w:vAlign w:val="top"/>
          </w:tcPr>
          <w:p w14:paraId="1976B12B">
            <w:pPr>
              <w:pStyle w:val="20"/>
              <w:widowControl w:val="0"/>
              <w:spacing w:after="0"/>
              <w:ind w:firstLine="104"/>
              <w:jc w:val="both"/>
              <w:rPr>
                <w:rFonts w:ascii="Times New Roman" w:hAnsi="Times New Roman" w:cs="Times New Roman"/>
                <w:color w:val="auto"/>
                <w:sz w:val="28"/>
                <w:szCs w:val="28"/>
                <w:lang w:val="kk-KZ"/>
              </w:rPr>
            </w:pPr>
            <w:r>
              <w:rPr>
                <w:rFonts w:ascii="Times New Roman" w:hAnsi="Times New Roman" w:cs="Times New Roman"/>
                <w:color w:val="auto"/>
                <w:sz w:val="24"/>
                <w:szCs w:val="24"/>
                <w:lang w:val="en-US" w:eastAsia="zh-CN" w:bidi="ar"/>
              </w:rPr>
              <w:t>ҚР СТ 1055-2002 [1</w:t>
            </w:r>
            <w:r>
              <w:rPr>
                <w:rFonts w:hint="default" w:ascii="Times New Roman" w:hAnsi="Times New Roman" w:cs="Times New Roman"/>
                <w:color w:val="auto"/>
                <w:sz w:val="24"/>
                <w:szCs w:val="24"/>
                <w:lang w:val="ru-RU" w:eastAsia="zh-CN" w:bidi="ar"/>
              </w:rPr>
              <w:t>34</w:t>
            </w:r>
            <w:r>
              <w:rPr>
                <w:rFonts w:ascii="Times New Roman" w:hAnsi="Times New Roman" w:cs="Times New Roman"/>
                <w:color w:val="auto"/>
                <w:sz w:val="24"/>
                <w:szCs w:val="24"/>
                <w:lang w:val="en-US" w:eastAsia="zh-CN" w:bidi="ar"/>
              </w:rPr>
              <w:t>]</w:t>
            </w:r>
          </w:p>
        </w:tc>
      </w:tr>
      <w:tr w14:paraId="2DB09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Align w:val="top"/>
          </w:tcPr>
          <w:p w14:paraId="3DEF09D2">
            <w:pPr>
              <w:pStyle w:val="20"/>
              <w:widowControl w:val="0"/>
              <w:spacing w:after="0"/>
              <w:ind w:firstLine="29"/>
              <w:jc w:val="both"/>
              <w:rPr>
                <w:rFonts w:ascii="Times New Roman" w:hAnsi="Times New Roman" w:cs="Times New Roman"/>
                <w:color w:val="auto"/>
                <w:sz w:val="24"/>
                <w:szCs w:val="24"/>
                <w:lang w:val="kk-KZ" w:eastAsia="zh-CN" w:bidi="ar"/>
              </w:rPr>
            </w:pPr>
            <w:r>
              <w:rPr>
                <w:rFonts w:ascii="Times New Roman" w:hAnsi="Times New Roman" w:cs="Times New Roman"/>
                <w:color w:val="auto"/>
                <w:sz w:val="24"/>
                <w:szCs w:val="24"/>
                <w:lang w:val="kk-KZ" w:eastAsia="zh-CN" w:bidi="ar"/>
              </w:rPr>
              <w:t>3</w:t>
            </w:r>
          </w:p>
        </w:tc>
        <w:tc>
          <w:tcPr>
            <w:tcW w:w="2410" w:type="dxa"/>
            <w:vAlign w:val="top"/>
          </w:tcPr>
          <w:p w14:paraId="02193C04">
            <w:pPr>
              <w:pStyle w:val="20"/>
              <w:widowControl w:val="0"/>
              <w:spacing w:after="0"/>
              <w:ind w:firstLine="34"/>
              <w:jc w:val="both"/>
              <w:rPr>
                <w:rFonts w:ascii="Times New Roman" w:hAnsi="Times New Roman" w:cs="Times New Roman"/>
                <w:color w:val="auto"/>
                <w:sz w:val="28"/>
                <w:szCs w:val="28"/>
                <w:lang w:val="kk-KZ"/>
              </w:rPr>
            </w:pPr>
            <w:r>
              <w:rPr>
                <w:rFonts w:ascii="Times New Roman" w:hAnsi="Times New Roman" w:cs="Times New Roman"/>
                <w:color w:val="auto"/>
                <w:sz w:val="24"/>
                <w:szCs w:val="24"/>
                <w:lang w:val="en-US" w:eastAsia="zh-CN" w:bidi="ar"/>
              </w:rPr>
              <w:t>Белок, %</w:t>
            </w:r>
          </w:p>
        </w:tc>
        <w:tc>
          <w:tcPr>
            <w:tcW w:w="2410" w:type="dxa"/>
            <w:vAlign w:val="top"/>
          </w:tcPr>
          <w:p w14:paraId="7CEC5FD4">
            <w:pPr>
              <w:pStyle w:val="20"/>
              <w:widowControl w:val="0"/>
              <w:spacing w:after="0"/>
              <w:ind w:firstLine="34"/>
              <w:jc w:val="both"/>
              <w:rPr>
                <w:rFonts w:ascii="Times New Roman" w:hAnsi="Times New Roman" w:cs="Times New Roman"/>
                <w:color w:val="auto"/>
                <w:sz w:val="28"/>
                <w:szCs w:val="28"/>
                <w:lang w:val="kk-KZ"/>
              </w:rPr>
            </w:pPr>
            <w:r>
              <w:rPr>
                <w:rFonts w:ascii="Times New Roman" w:hAnsi="Times New Roman" w:cs="Times New Roman"/>
                <w:color w:val="auto"/>
                <w:sz w:val="24"/>
                <w:szCs w:val="24"/>
                <w:lang w:val="en-US" w:eastAsia="zh-CN" w:bidi="ar"/>
              </w:rPr>
              <w:t>Кьельдаль әдісі</w:t>
            </w:r>
          </w:p>
        </w:tc>
        <w:tc>
          <w:tcPr>
            <w:tcW w:w="3402" w:type="dxa"/>
            <w:vAlign w:val="top"/>
          </w:tcPr>
          <w:p w14:paraId="44BA97C4">
            <w:pPr>
              <w:pStyle w:val="20"/>
              <w:widowControl w:val="0"/>
              <w:spacing w:after="0"/>
              <w:ind w:firstLine="104"/>
              <w:jc w:val="both"/>
              <w:rPr>
                <w:rFonts w:ascii="Times New Roman" w:hAnsi="Times New Roman" w:cs="Times New Roman"/>
                <w:color w:val="auto"/>
                <w:sz w:val="28"/>
                <w:szCs w:val="28"/>
                <w:lang w:val="kk-KZ"/>
              </w:rPr>
            </w:pPr>
            <w:r>
              <w:rPr>
                <w:rFonts w:ascii="Times New Roman" w:hAnsi="Times New Roman" w:cs="Times New Roman"/>
                <w:color w:val="auto"/>
                <w:sz w:val="24"/>
                <w:szCs w:val="24"/>
                <w:lang w:val="en-US" w:eastAsia="zh-CN" w:bidi="ar"/>
              </w:rPr>
              <w:t>Kjeldahl, 1883 [1</w:t>
            </w:r>
            <w:r>
              <w:rPr>
                <w:rFonts w:hint="default" w:ascii="Times New Roman" w:hAnsi="Times New Roman" w:cs="Times New Roman"/>
                <w:color w:val="auto"/>
                <w:sz w:val="24"/>
                <w:szCs w:val="24"/>
                <w:lang w:val="ru-RU" w:eastAsia="zh-CN" w:bidi="ar"/>
              </w:rPr>
              <w:t>35</w:t>
            </w:r>
            <w:r>
              <w:rPr>
                <w:rFonts w:ascii="Times New Roman" w:hAnsi="Times New Roman" w:cs="Times New Roman"/>
                <w:color w:val="auto"/>
                <w:sz w:val="24"/>
                <w:szCs w:val="24"/>
                <w:lang w:val="en-US" w:eastAsia="zh-CN" w:bidi="ar"/>
              </w:rPr>
              <w:t>]; AOAC, 2016 [1</w:t>
            </w:r>
            <w:r>
              <w:rPr>
                <w:rFonts w:hint="default" w:ascii="Times New Roman" w:hAnsi="Times New Roman" w:cs="Times New Roman"/>
                <w:color w:val="auto"/>
                <w:sz w:val="24"/>
                <w:szCs w:val="24"/>
                <w:lang w:val="ru-RU" w:eastAsia="zh-CN" w:bidi="ar"/>
              </w:rPr>
              <w:t>36</w:t>
            </w:r>
            <w:r>
              <w:rPr>
                <w:rFonts w:ascii="Times New Roman" w:hAnsi="Times New Roman" w:cs="Times New Roman"/>
                <w:color w:val="auto"/>
                <w:sz w:val="24"/>
                <w:szCs w:val="24"/>
                <w:lang w:val="en-US" w:eastAsia="zh-CN" w:bidi="ar"/>
              </w:rPr>
              <w:t>]</w:t>
            </w:r>
          </w:p>
        </w:tc>
      </w:tr>
      <w:tr w14:paraId="0AB3B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Align w:val="top"/>
          </w:tcPr>
          <w:p w14:paraId="081005FB">
            <w:pPr>
              <w:pStyle w:val="20"/>
              <w:widowControl w:val="0"/>
              <w:spacing w:after="0"/>
              <w:ind w:firstLine="29"/>
              <w:jc w:val="both"/>
              <w:rPr>
                <w:rFonts w:ascii="Times New Roman" w:hAnsi="Times New Roman" w:cs="Times New Roman"/>
                <w:color w:val="auto"/>
                <w:sz w:val="24"/>
                <w:szCs w:val="24"/>
                <w:lang w:val="kk-KZ" w:eastAsia="zh-CN" w:bidi="ar"/>
              </w:rPr>
            </w:pPr>
            <w:r>
              <w:rPr>
                <w:rFonts w:ascii="Times New Roman" w:hAnsi="Times New Roman" w:cs="Times New Roman"/>
                <w:color w:val="auto"/>
                <w:sz w:val="24"/>
                <w:szCs w:val="24"/>
                <w:lang w:val="kk-KZ" w:eastAsia="zh-CN" w:bidi="ar"/>
              </w:rPr>
              <w:t>4</w:t>
            </w:r>
          </w:p>
        </w:tc>
        <w:tc>
          <w:tcPr>
            <w:tcW w:w="2410" w:type="dxa"/>
            <w:vAlign w:val="top"/>
          </w:tcPr>
          <w:p w14:paraId="2DF2F942">
            <w:pPr>
              <w:pStyle w:val="20"/>
              <w:widowControl w:val="0"/>
              <w:spacing w:after="0"/>
              <w:ind w:firstLine="34"/>
              <w:jc w:val="both"/>
              <w:rPr>
                <w:rFonts w:ascii="Times New Roman" w:hAnsi="Times New Roman" w:cs="Times New Roman"/>
                <w:color w:val="auto"/>
                <w:sz w:val="28"/>
                <w:szCs w:val="28"/>
                <w:lang w:val="kk-KZ"/>
              </w:rPr>
            </w:pPr>
            <w:r>
              <w:rPr>
                <w:rFonts w:ascii="Times New Roman" w:hAnsi="Times New Roman" w:cs="Times New Roman"/>
                <w:color w:val="auto"/>
                <w:sz w:val="24"/>
                <w:szCs w:val="24"/>
                <w:lang w:val="en-US" w:eastAsia="zh-CN" w:bidi="ar"/>
              </w:rPr>
              <w:t>Майлар, %</w:t>
            </w:r>
          </w:p>
        </w:tc>
        <w:tc>
          <w:tcPr>
            <w:tcW w:w="2410" w:type="dxa"/>
            <w:vAlign w:val="top"/>
          </w:tcPr>
          <w:p w14:paraId="41D2A7C5">
            <w:pPr>
              <w:pStyle w:val="20"/>
              <w:widowControl w:val="0"/>
              <w:spacing w:after="0"/>
              <w:ind w:firstLine="34"/>
              <w:jc w:val="both"/>
              <w:rPr>
                <w:rFonts w:ascii="Times New Roman" w:hAnsi="Times New Roman" w:cs="Times New Roman"/>
                <w:color w:val="auto"/>
                <w:sz w:val="28"/>
                <w:szCs w:val="28"/>
                <w:lang w:val="kk-KZ"/>
              </w:rPr>
            </w:pPr>
            <w:r>
              <w:rPr>
                <w:rFonts w:ascii="Times New Roman" w:hAnsi="Times New Roman" w:cs="Times New Roman"/>
                <w:color w:val="auto"/>
                <w:sz w:val="24"/>
                <w:szCs w:val="24"/>
                <w:lang w:val="en-US" w:eastAsia="zh-CN" w:bidi="ar"/>
              </w:rPr>
              <w:t>Сокслет экстракциясы</w:t>
            </w:r>
          </w:p>
        </w:tc>
        <w:tc>
          <w:tcPr>
            <w:tcW w:w="3402" w:type="dxa"/>
            <w:vAlign w:val="top"/>
          </w:tcPr>
          <w:p w14:paraId="3F315370">
            <w:pPr>
              <w:pStyle w:val="20"/>
              <w:widowControl w:val="0"/>
              <w:spacing w:after="0"/>
              <w:ind w:firstLine="104"/>
              <w:jc w:val="both"/>
              <w:rPr>
                <w:rFonts w:ascii="Times New Roman" w:hAnsi="Times New Roman" w:cs="Times New Roman"/>
                <w:color w:val="auto"/>
                <w:sz w:val="28"/>
                <w:szCs w:val="28"/>
                <w:lang w:val="kk-KZ"/>
              </w:rPr>
            </w:pPr>
            <w:r>
              <w:rPr>
                <w:rFonts w:ascii="Times New Roman" w:hAnsi="Times New Roman" w:cs="Times New Roman"/>
                <w:color w:val="auto"/>
                <w:sz w:val="24"/>
                <w:szCs w:val="24"/>
                <w:lang w:val="en-US" w:eastAsia="zh-CN" w:bidi="ar"/>
              </w:rPr>
              <w:t>U.S. EPA 3540C [</w:t>
            </w:r>
            <w:r>
              <w:rPr>
                <w:rFonts w:hint="default" w:ascii="Times New Roman" w:hAnsi="Times New Roman" w:cs="Times New Roman"/>
                <w:color w:val="auto"/>
                <w:sz w:val="24"/>
                <w:szCs w:val="24"/>
                <w:lang w:val="ru-RU" w:eastAsia="zh-CN" w:bidi="ar"/>
              </w:rPr>
              <w:t>137</w:t>
            </w:r>
            <w:r>
              <w:rPr>
                <w:rFonts w:ascii="Times New Roman" w:hAnsi="Times New Roman" w:cs="Times New Roman"/>
                <w:color w:val="auto"/>
                <w:sz w:val="24"/>
                <w:szCs w:val="24"/>
                <w:lang w:val="en-US" w:eastAsia="zh-CN" w:bidi="ar"/>
              </w:rPr>
              <w:t>]</w:t>
            </w:r>
          </w:p>
        </w:tc>
      </w:tr>
      <w:tr w14:paraId="7F6B1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Align w:val="top"/>
          </w:tcPr>
          <w:p w14:paraId="63D2BE6B">
            <w:pPr>
              <w:pStyle w:val="20"/>
              <w:widowControl w:val="0"/>
              <w:spacing w:after="0"/>
              <w:ind w:firstLine="29"/>
              <w:jc w:val="both"/>
              <w:rPr>
                <w:rFonts w:ascii="Times New Roman" w:hAnsi="Times New Roman" w:cs="Times New Roman"/>
                <w:color w:val="auto"/>
                <w:sz w:val="24"/>
                <w:szCs w:val="24"/>
                <w:lang w:val="kk-KZ" w:eastAsia="zh-CN" w:bidi="ar"/>
              </w:rPr>
            </w:pPr>
            <w:r>
              <w:rPr>
                <w:rFonts w:ascii="Times New Roman" w:hAnsi="Times New Roman" w:cs="Times New Roman"/>
                <w:color w:val="auto"/>
                <w:sz w:val="24"/>
                <w:szCs w:val="24"/>
                <w:lang w:val="kk-KZ" w:eastAsia="zh-CN" w:bidi="ar"/>
              </w:rPr>
              <w:t>5</w:t>
            </w:r>
          </w:p>
        </w:tc>
        <w:tc>
          <w:tcPr>
            <w:tcW w:w="2410" w:type="dxa"/>
            <w:vAlign w:val="top"/>
          </w:tcPr>
          <w:p w14:paraId="7F48B3F7">
            <w:pPr>
              <w:pStyle w:val="20"/>
              <w:widowControl w:val="0"/>
              <w:spacing w:after="0"/>
              <w:ind w:firstLine="34"/>
              <w:jc w:val="both"/>
              <w:rPr>
                <w:rFonts w:ascii="Times New Roman" w:hAnsi="Times New Roman" w:cs="Times New Roman"/>
                <w:color w:val="auto"/>
                <w:sz w:val="28"/>
                <w:szCs w:val="28"/>
                <w:lang w:val="kk-KZ"/>
              </w:rPr>
            </w:pPr>
            <w:r>
              <w:rPr>
                <w:rFonts w:ascii="Times New Roman" w:hAnsi="Times New Roman" w:cs="Times New Roman"/>
                <w:color w:val="auto"/>
                <w:sz w:val="24"/>
                <w:szCs w:val="24"/>
                <w:lang w:val="en-US" w:eastAsia="zh-CN" w:bidi="ar"/>
              </w:rPr>
              <w:t>Талшық/лигнин, %</w:t>
            </w:r>
          </w:p>
        </w:tc>
        <w:tc>
          <w:tcPr>
            <w:tcW w:w="2410" w:type="dxa"/>
            <w:vAlign w:val="top"/>
          </w:tcPr>
          <w:p w14:paraId="78C3348A">
            <w:pPr>
              <w:pStyle w:val="20"/>
              <w:widowControl w:val="0"/>
              <w:spacing w:after="0"/>
              <w:ind w:firstLine="34"/>
              <w:jc w:val="both"/>
              <w:rPr>
                <w:rFonts w:ascii="Times New Roman" w:hAnsi="Times New Roman" w:cs="Times New Roman"/>
                <w:color w:val="auto"/>
                <w:sz w:val="28"/>
                <w:szCs w:val="28"/>
                <w:lang w:val="kk-KZ"/>
              </w:rPr>
            </w:pPr>
            <w:r>
              <w:rPr>
                <w:rFonts w:ascii="Times New Roman" w:hAnsi="Times New Roman" w:cs="Times New Roman"/>
                <w:color w:val="auto"/>
                <w:sz w:val="24"/>
                <w:szCs w:val="24"/>
                <w:lang w:val="en-US" w:eastAsia="zh-CN" w:bidi="ar"/>
              </w:rPr>
              <w:t>Ван Соест әдісі</w:t>
            </w:r>
          </w:p>
        </w:tc>
        <w:tc>
          <w:tcPr>
            <w:tcW w:w="3402" w:type="dxa"/>
            <w:vAlign w:val="top"/>
          </w:tcPr>
          <w:p w14:paraId="5327BD16">
            <w:pPr>
              <w:pStyle w:val="20"/>
              <w:widowControl w:val="0"/>
              <w:spacing w:after="0"/>
              <w:ind w:firstLine="104"/>
              <w:jc w:val="both"/>
              <w:rPr>
                <w:rFonts w:ascii="Times New Roman" w:hAnsi="Times New Roman" w:cs="Times New Roman"/>
                <w:color w:val="auto"/>
                <w:sz w:val="28"/>
                <w:szCs w:val="28"/>
                <w:lang w:val="kk-KZ"/>
              </w:rPr>
            </w:pPr>
            <w:r>
              <w:rPr>
                <w:rFonts w:ascii="Times New Roman" w:hAnsi="Times New Roman" w:cs="Times New Roman"/>
                <w:color w:val="auto"/>
                <w:sz w:val="24"/>
                <w:szCs w:val="24"/>
                <w:lang w:val="en-US" w:eastAsia="zh-CN" w:bidi="ar"/>
              </w:rPr>
              <w:t>Van Soest et al., 1991 [</w:t>
            </w:r>
            <w:r>
              <w:rPr>
                <w:rFonts w:hint="default" w:ascii="Times New Roman" w:hAnsi="Times New Roman" w:cs="Times New Roman"/>
                <w:color w:val="auto"/>
                <w:sz w:val="24"/>
                <w:szCs w:val="24"/>
                <w:lang w:val="ru-RU" w:eastAsia="zh-CN" w:bidi="ar"/>
              </w:rPr>
              <w:t>138</w:t>
            </w:r>
            <w:r>
              <w:rPr>
                <w:rFonts w:ascii="Times New Roman" w:hAnsi="Times New Roman" w:cs="Times New Roman"/>
                <w:color w:val="auto"/>
                <w:sz w:val="24"/>
                <w:szCs w:val="24"/>
                <w:lang w:val="en-US" w:eastAsia="zh-CN" w:bidi="ar"/>
              </w:rPr>
              <w:t>]</w:t>
            </w:r>
          </w:p>
        </w:tc>
      </w:tr>
      <w:tr w14:paraId="20BF8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Align w:val="top"/>
          </w:tcPr>
          <w:p w14:paraId="4A501CDA">
            <w:pPr>
              <w:pStyle w:val="20"/>
              <w:widowControl w:val="0"/>
              <w:spacing w:after="0"/>
              <w:ind w:firstLine="29"/>
              <w:jc w:val="both"/>
              <w:rPr>
                <w:rFonts w:ascii="Times New Roman" w:hAnsi="Times New Roman" w:cs="Times New Roman"/>
                <w:color w:val="auto"/>
                <w:sz w:val="24"/>
                <w:szCs w:val="24"/>
                <w:lang w:val="kk-KZ" w:eastAsia="zh-CN" w:bidi="ar"/>
              </w:rPr>
            </w:pPr>
            <w:r>
              <w:rPr>
                <w:rFonts w:ascii="Times New Roman" w:hAnsi="Times New Roman" w:cs="Times New Roman"/>
                <w:color w:val="auto"/>
                <w:sz w:val="24"/>
                <w:szCs w:val="24"/>
                <w:lang w:val="kk-KZ" w:eastAsia="zh-CN" w:bidi="ar"/>
              </w:rPr>
              <w:t>6</w:t>
            </w:r>
          </w:p>
        </w:tc>
        <w:tc>
          <w:tcPr>
            <w:tcW w:w="2410" w:type="dxa"/>
            <w:vAlign w:val="top"/>
          </w:tcPr>
          <w:p w14:paraId="4FF9890F">
            <w:pPr>
              <w:pStyle w:val="20"/>
              <w:widowControl w:val="0"/>
              <w:spacing w:after="0"/>
              <w:ind w:firstLine="34"/>
              <w:jc w:val="both"/>
              <w:rPr>
                <w:rFonts w:ascii="Times New Roman" w:hAnsi="Times New Roman" w:cs="Times New Roman"/>
                <w:color w:val="auto"/>
                <w:sz w:val="24"/>
                <w:szCs w:val="24"/>
                <w:lang w:val="en-US" w:eastAsia="zh-CN" w:bidi="ar"/>
              </w:rPr>
            </w:pPr>
            <w:r>
              <w:rPr>
                <w:rFonts w:ascii="Times New Roman" w:hAnsi="Times New Roman" w:cs="Times New Roman"/>
                <w:color w:val="auto"/>
                <w:sz w:val="24"/>
                <w:szCs w:val="24"/>
                <w:lang w:val="en-US" w:eastAsia="zh-CN" w:bidi="ar"/>
              </w:rPr>
              <w:t>Крахмал, %</w:t>
            </w:r>
          </w:p>
        </w:tc>
        <w:tc>
          <w:tcPr>
            <w:tcW w:w="2410" w:type="dxa"/>
            <w:vAlign w:val="top"/>
          </w:tcPr>
          <w:p w14:paraId="69AC1363">
            <w:pPr>
              <w:pStyle w:val="20"/>
              <w:widowControl w:val="0"/>
              <w:spacing w:after="0"/>
              <w:ind w:firstLine="34"/>
              <w:jc w:val="both"/>
              <w:rPr>
                <w:rFonts w:ascii="Times New Roman" w:hAnsi="Times New Roman" w:cs="Times New Roman"/>
                <w:color w:val="auto"/>
                <w:sz w:val="24"/>
                <w:szCs w:val="24"/>
                <w:lang w:val="en-US" w:eastAsia="zh-CN" w:bidi="ar"/>
              </w:rPr>
            </w:pPr>
            <w:r>
              <w:rPr>
                <w:rFonts w:ascii="Times New Roman" w:hAnsi="Times New Roman" w:cs="Times New Roman"/>
                <w:color w:val="auto"/>
                <w:sz w:val="24"/>
                <w:szCs w:val="24"/>
                <w:lang w:val="en-US" w:eastAsia="zh-CN" w:bidi="ar"/>
              </w:rPr>
              <w:t>Ферменттік</w:t>
            </w:r>
            <w:r>
              <w:rPr>
                <w:rFonts w:hint="default" w:ascii="Times New Roman" w:hAnsi="Times New Roman" w:cs="Times New Roman"/>
                <w:color w:val="auto"/>
                <w:sz w:val="24"/>
                <w:szCs w:val="24"/>
                <w:lang w:val="kk-KZ" w:eastAsia="zh-CN" w:bidi="ar"/>
              </w:rPr>
              <w:t xml:space="preserve"> </w:t>
            </w:r>
            <w:r>
              <w:rPr>
                <w:rFonts w:ascii="Times New Roman" w:hAnsi="Times New Roman" w:cs="Times New Roman"/>
                <w:color w:val="auto"/>
                <w:sz w:val="24"/>
                <w:szCs w:val="24"/>
                <w:lang w:val="en-US" w:eastAsia="zh-CN" w:bidi="ar"/>
              </w:rPr>
              <w:t>әдіс</w:t>
            </w:r>
          </w:p>
        </w:tc>
        <w:tc>
          <w:tcPr>
            <w:tcW w:w="3402" w:type="dxa"/>
            <w:vAlign w:val="top"/>
          </w:tcPr>
          <w:p w14:paraId="42C568C9">
            <w:pPr>
              <w:pStyle w:val="20"/>
              <w:widowControl w:val="0"/>
              <w:spacing w:after="0"/>
              <w:ind w:firstLine="104"/>
              <w:jc w:val="both"/>
              <w:rPr>
                <w:rFonts w:ascii="Times New Roman" w:hAnsi="Times New Roman" w:cs="Times New Roman"/>
                <w:color w:val="auto"/>
                <w:sz w:val="24"/>
                <w:szCs w:val="24"/>
                <w:lang w:val="en-US" w:eastAsia="zh-CN" w:bidi="ar"/>
              </w:rPr>
            </w:pPr>
            <w:r>
              <w:rPr>
                <w:rFonts w:ascii="Times New Roman" w:hAnsi="Times New Roman" w:cs="Times New Roman"/>
                <w:color w:val="auto"/>
                <w:sz w:val="24"/>
                <w:szCs w:val="24"/>
                <w:lang w:val="en-US" w:eastAsia="zh-CN" w:bidi="ar"/>
              </w:rPr>
              <w:t>ҚР СТ 1888-2009</w:t>
            </w:r>
            <w:r>
              <w:rPr>
                <w:rFonts w:ascii="Times New Roman" w:hAnsi="Times New Roman" w:cs="Times New Roman"/>
                <w:color w:val="auto"/>
                <w:sz w:val="24"/>
                <w:szCs w:val="24"/>
                <w:lang w:val="kk-KZ" w:eastAsia="zh-CN" w:bidi="ar"/>
              </w:rPr>
              <w:t xml:space="preserve"> </w:t>
            </w:r>
            <w:r>
              <w:rPr>
                <w:rFonts w:ascii="Times New Roman" w:hAnsi="Times New Roman" w:cs="Times New Roman"/>
                <w:color w:val="auto"/>
                <w:sz w:val="24"/>
                <w:szCs w:val="24"/>
                <w:lang w:val="en-US" w:eastAsia="zh-CN" w:bidi="ar"/>
              </w:rPr>
              <w:t>[</w:t>
            </w:r>
            <w:r>
              <w:rPr>
                <w:rFonts w:hint="default" w:ascii="Times New Roman" w:hAnsi="Times New Roman" w:cs="Times New Roman"/>
                <w:color w:val="auto"/>
                <w:sz w:val="24"/>
                <w:szCs w:val="24"/>
                <w:lang w:val="ru-RU" w:eastAsia="zh-CN" w:bidi="ar"/>
              </w:rPr>
              <w:t>139</w:t>
            </w:r>
            <w:r>
              <w:rPr>
                <w:rFonts w:ascii="Times New Roman" w:hAnsi="Times New Roman" w:cs="Times New Roman"/>
                <w:color w:val="auto"/>
                <w:sz w:val="24"/>
                <w:szCs w:val="24"/>
                <w:lang w:val="en-US" w:eastAsia="zh-CN" w:bidi="ar"/>
              </w:rPr>
              <w:t>]</w:t>
            </w:r>
          </w:p>
        </w:tc>
      </w:tr>
    </w:tbl>
    <w:p w14:paraId="0985E382">
      <w:pPr>
        <w:rPr>
          <w:color w:val="auto"/>
        </w:rPr>
      </w:pPr>
      <w:r>
        <w:rPr>
          <w:color w:val="auto"/>
        </w:rPr>
        <w:br w:type="page"/>
      </w:r>
    </w:p>
    <w:tbl>
      <w:tblPr>
        <w:tblStyle w:val="38"/>
        <w:tblpPr w:leftFromText="180" w:rightFromText="180" w:vertAnchor="text" w:horzAnchor="page" w:tblpX="1674" w:tblpY="522"/>
        <w:tblOverlap w:val="never"/>
        <w:tblW w:w="93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3"/>
        <w:gridCol w:w="2666"/>
        <w:gridCol w:w="2410"/>
        <w:gridCol w:w="3402"/>
      </w:tblGrid>
      <w:tr w14:paraId="003B5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3" w:type="dxa"/>
            <w:vAlign w:val="top"/>
          </w:tcPr>
          <w:p w14:paraId="5DBBC18C">
            <w:pPr>
              <w:pStyle w:val="20"/>
              <w:widowControl w:val="0"/>
              <w:spacing w:after="0"/>
              <w:ind w:firstLine="29"/>
              <w:jc w:val="both"/>
              <w:rPr>
                <w:rFonts w:ascii="Times New Roman" w:hAnsi="Times New Roman" w:cs="Times New Roman"/>
                <w:color w:val="auto"/>
                <w:sz w:val="24"/>
                <w:szCs w:val="24"/>
                <w:lang w:val="kk-KZ" w:eastAsia="zh-CN" w:bidi="ar"/>
              </w:rPr>
            </w:pPr>
            <w:r>
              <w:rPr>
                <w:rFonts w:ascii="Times New Roman" w:hAnsi="Times New Roman" w:cs="Times New Roman"/>
                <w:color w:val="auto"/>
                <w:sz w:val="24"/>
                <w:szCs w:val="24"/>
                <w:lang w:val="kk-KZ" w:eastAsia="zh-CN" w:bidi="ar"/>
              </w:rPr>
              <w:t>7</w:t>
            </w:r>
          </w:p>
        </w:tc>
        <w:tc>
          <w:tcPr>
            <w:tcW w:w="2666" w:type="dxa"/>
            <w:vAlign w:val="top"/>
          </w:tcPr>
          <w:p w14:paraId="166519C9">
            <w:pPr>
              <w:pStyle w:val="20"/>
              <w:widowControl w:val="0"/>
              <w:spacing w:after="0"/>
              <w:ind w:firstLine="34"/>
              <w:jc w:val="both"/>
              <w:rPr>
                <w:rFonts w:ascii="Times New Roman" w:hAnsi="Times New Roman" w:cs="Times New Roman"/>
                <w:color w:val="auto"/>
                <w:sz w:val="24"/>
                <w:szCs w:val="24"/>
                <w:lang w:val="en-US" w:eastAsia="zh-CN" w:bidi="ar"/>
              </w:rPr>
            </w:pPr>
            <w:r>
              <w:rPr>
                <w:rFonts w:ascii="Times New Roman" w:hAnsi="Times New Roman" w:cs="Times New Roman"/>
                <w:color w:val="auto"/>
                <w:sz w:val="24"/>
                <w:szCs w:val="24"/>
                <w:lang w:val="en-US" w:eastAsia="zh-CN" w:bidi="ar"/>
              </w:rPr>
              <w:t>Витаминдер, мг/(100 г)</w:t>
            </w:r>
          </w:p>
        </w:tc>
        <w:tc>
          <w:tcPr>
            <w:tcW w:w="2410" w:type="dxa"/>
            <w:vAlign w:val="top"/>
          </w:tcPr>
          <w:p w14:paraId="7B9DE2A4">
            <w:pPr>
              <w:pStyle w:val="20"/>
              <w:widowControl w:val="0"/>
              <w:spacing w:after="0"/>
              <w:ind w:firstLine="34"/>
              <w:jc w:val="both"/>
              <w:rPr>
                <w:rFonts w:ascii="Times New Roman" w:hAnsi="Times New Roman" w:cs="Times New Roman"/>
                <w:color w:val="auto"/>
                <w:sz w:val="24"/>
                <w:szCs w:val="24"/>
                <w:lang w:val="en-US" w:eastAsia="zh-CN" w:bidi="ar"/>
              </w:rPr>
            </w:pPr>
            <w:r>
              <w:rPr>
                <w:rFonts w:ascii="Times New Roman" w:hAnsi="Times New Roman" w:cs="Times New Roman"/>
                <w:color w:val="auto"/>
                <w:sz w:val="24"/>
                <w:szCs w:val="24"/>
                <w:lang w:val="en-US" w:eastAsia="zh-CN" w:bidi="ar"/>
              </w:rPr>
              <w:t>ЖТСХ-УК/ФЛ</w:t>
            </w:r>
          </w:p>
        </w:tc>
        <w:tc>
          <w:tcPr>
            <w:tcW w:w="3402" w:type="dxa"/>
            <w:vAlign w:val="top"/>
          </w:tcPr>
          <w:p w14:paraId="70FB9B1D">
            <w:pPr>
              <w:pStyle w:val="20"/>
              <w:widowControl w:val="0"/>
              <w:spacing w:after="0"/>
              <w:ind w:firstLine="104"/>
              <w:jc w:val="both"/>
              <w:rPr>
                <w:rFonts w:ascii="Times New Roman" w:hAnsi="Times New Roman" w:cs="Times New Roman"/>
                <w:color w:val="auto"/>
                <w:sz w:val="24"/>
                <w:szCs w:val="24"/>
                <w:lang w:val="en-US" w:eastAsia="zh-CN" w:bidi="ar"/>
              </w:rPr>
            </w:pPr>
            <w:r>
              <w:rPr>
                <w:rFonts w:ascii="Times New Roman" w:hAnsi="Times New Roman" w:cs="Times New Roman"/>
                <w:color w:val="auto"/>
                <w:sz w:val="24"/>
                <w:szCs w:val="24"/>
                <w:lang w:val="en-US" w:eastAsia="zh-CN" w:bidi="ar"/>
              </w:rPr>
              <w:t>Ryynänen et al., 2004 [1</w:t>
            </w:r>
            <w:r>
              <w:rPr>
                <w:rFonts w:hint="default" w:ascii="Times New Roman" w:hAnsi="Times New Roman" w:cs="Times New Roman"/>
                <w:color w:val="auto"/>
                <w:sz w:val="24"/>
                <w:szCs w:val="24"/>
                <w:lang w:val="ru-RU" w:eastAsia="zh-CN" w:bidi="ar"/>
              </w:rPr>
              <w:t>40</w:t>
            </w:r>
            <w:r>
              <w:rPr>
                <w:rFonts w:ascii="Times New Roman" w:hAnsi="Times New Roman" w:cs="Times New Roman"/>
                <w:color w:val="auto"/>
                <w:sz w:val="24"/>
                <w:szCs w:val="24"/>
                <w:lang w:val="en-US" w:eastAsia="zh-CN" w:bidi="ar"/>
              </w:rPr>
              <w:t>]</w:t>
            </w:r>
          </w:p>
        </w:tc>
      </w:tr>
      <w:tr w14:paraId="43BD3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3" w:type="dxa"/>
            <w:vAlign w:val="top"/>
          </w:tcPr>
          <w:p w14:paraId="68ACB485">
            <w:pPr>
              <w:pStyle w:val="20"/>
              <w:widowControl w:val="0"/>
              <w:spacing w:after="0"/>
              <w:ind w:firstLine="29"/>
              <w:jc w:val="both"/>
              <w:rPr>
                <w:rFonts w:ascii="Times New Roman" w:hAnsi="Times New Roman" w:cs="Times New Roman"/>
                <w:color w:val="auto"/>
                <w:sz w:val="24"/>
                <w:szCs w:val="24"/>
                <w:lang w:val="kk-KZ" w:eastAsia="zh-CN" w:bidi="ar"/>
              </w:rPr>
            </w:pPr>
            <w:r>
              <w:rPr>
                <w:rFonts w:ascii="Times New Roman" w:hAnsi="Times New Roman" w:cs="Times New Roman"/>
                <w:color w:val="auto"/>
                <w:sz w:val="24"/>
                <w:szCs w:val="24"/>
                <w:lang w:val="kk-KZ" w:eastAsia="zh-CN" w:bidi="ar"/>
              </w:rPr>
              <w:t>8</w:t>
            </w:r>
          </w:p>
        </w:tc>
        <w:tc>
          <w:tcPr>
            <w:tcW w:w="2666" w:type="dxa"/>
            <w:vAlign w:val="top"/>
          </w:tcPr>
          <w:p w14:paraId="6CAFFB60">
            <w:pPr>
              <w:pStyle w:val="20"/>
              <w:widowControl w:val="0"/>
              <w:spacing w:after="0"/>
              <w:ind w:firstLine="34"/>
              <w:jc w:val="both"/>
              <w:rPr>
                <w:rFonts w:ascii="Times New Roman" w:hAnsi="Times New Roman" w:cs="Times New Roman"/>
                <w:color w:val="auto"/>
                <w:sz w:val="24"/>
                <w:szCs w:val="24"/>
                <w:lang w:val="en-US" w:eastAsia="zh-CN" w:bidi="ar"/>
              </w:rPr>
            </w:pPr>
            <w:r>
              <w:rPr>
                <w:rFonts w:ascii="Times New Roman" w:hAnsi="Times New Roman" w:cs="Times New Roman"/>
                <w:color w:val="auto"/>
                <w:sz w:val="24"/>
                <w:szCs w:val="24"/>
                <w:lang w:val="en-US" w:eastAsia="zh-CN" w:bidi="ar"/>
              </w:rPr>
              <w:t>Функ. топтар</w:t>
            </w:r>
          </w:p>
        </w:tc>
        <w:tc>
          <w:tcPr>
            <w:tcW w:w="2410" w:type="dxa"/>
            <w:vAlign w:val="top"/>
          </w:tcPr>
          <w:p w14:paraId="62CED2C4">
            <w:pPr>
              <w:pStyle w:val="20"/>
              <w:widowControl w:val="0"/>
              <w:spacing w:after="0"/>
              <w:ind w:firstLine="34"/>
              <w:jc w:val="both"/>
              <w:rPr>
                <w:rFonts w:ascii="Times New Roman" w:hAnsi="Times New Roman" w:cs="Times New Roman"/>
                <w:color w:val="auto"/>
                <w:sz w:val="24"/>
                <w:szCs w:val="24"/>
                <w:lang w:val="en-US" w:eastAsia="zh-CN" w:bidi="ar"/>
              </w:rPr>
            </w:pPr>
            <w:r>
              <w:rPr>
                <w:rFonts w:ascii="Times New Roman" w:hAnsi="Times New Roman" w:cs="Times New Roman"/>
                <w:color w:val="auto"/>
                <w:sz w:val="24"/>
                <w:szCs w:val="24"/>
                <w:lang w:val="en-US" w:eastAsia="zh-CN" w:bidi="ar"/>
              </w:rPr>
              <w:t>FTIR (4000-400 см⁻¹)</w:t>
            </w:r>
          </w:p>
        </w:tc>
        <w:tc>
          <w:tcPr>
            <w:tcW w:w="3402" w:type="dxa"/>
            <w:vAlign w:val="top"/>
          </w:tcPr>
          <w:p w14:paraId="08ACCA4E">
            <w:pPr>
              <w:pStyle w:val="20"/>
              <w:widowControl w:val="0"/>
              <w:spacing w:after="0"/>
              <w:ind w:firstLine="104"/>
              <w:jc w:val="both"/>
              <w:rPr>
                <w:rFonts w:ascii="Times New Roman" w:hAnsi="Times New Roman" w:cs="Times New Roman"/>
                <w:color w:val="auto"/>
                <w:sz w:val="24"/>
                <w:szCs w:val="24"/>
                <w:lang w:val="en-US" w:eastAsia="zh-CN" w:bidi="ar"/>
              </w:rPr>
            </w:pPr>
            <w:r>
              <w:rPr>
                <w:rFonts w:ascii="Times New Roman" w:hAnsi="Times New Roman" w:cs="Times New Roman"/>
                <w:color w:val="auto"/>
                <w:sz w:val="24"/>
                <w:szCs w:val="24"/>
                <w:lang w:val="en-US" w:eastAsia="zh-CN" w:bidi="ar"/>
              </w:rPr>
              <w:t>Smith, 2011 [1</w:t>
            </w:r>
            <w:r>
              <w:rPr>
                <w:rFonts w:hint="default" w:ascii="Times New Roman" w:hAnsi="Times New Roman" w:cs="Times New Roman"/>
                <w:color w:val="auto"/>
                <w:sz w:val="24"/>
                <w:szCs w:val="24"/>
                <w:lang w:val="ru-RU" w:eastAsia="zh-CN" w:bidi="ar"/>
              </w:rPr>
              <w:t>41</w:t>
            </w:r>
            <w:r>
              <w:rPr>
                <w:rFonts w:ascii="Times New Roman" w:hAnsi="Times New Roman" w:cs="Times New Roman"/>
                <w:color w:val="auto"/>
                <w:sz w:val="24"/>
                <w:szCs w:val="24"/>
                <w:lang w:val="en-US" w:eastAsia="zh-CN" w:bidi="ar"/>
              </w:rPr>
              <w:t>]</w:t>
            </w:r>
          </w:p>
        </w:tc>
      </w:tr>
    </w:tbl>
    <w:p w14:paraId="1173E937">
      <w:pPr>
        <w:keepNext w:val="0"/>
        <w:keepLines w:val="0"/>
        <w:pageBreakBefore w:val="0"/>
        <w:widowControl/>
        <w:kinsoku/>
        <w:wordWrap/>
        <w:overflowPunct/>
        <w:topLinePunct w:val="0"/>
        <w:autoSpaceDE/>
        <w:autoSpaceDN/>
        <w:bidi w:val="0"/>
        <w:adjustRightInd/>
        <w:snapToGrid/>
        <w:spacing w:after="0"/>
        <w:textAlignment w:val="auto"/>
        <w:rPr>
          <w:rFonts w:hint="default"/>
          <w:color w:val="auto"/>
          <w:lang w:val="kk-KZ"/>
        </w:rPr>
      </w:pPr>
      <w:r>
        <w:rPr>
          <w:rFonts w:hint="default"/>
          <w:color w:val="auto"/>
          <w:lang w:val="kk-KZ"/>
        </w:rPr>
        <w:t>Кесте 6 жалғасы</w:t>
      </w:r>
    </w:p>
    <w:p w14:paraId="4B69B469">
      <w:pPr>
        <w:pStyle w:val="20"/>
        <w:spacing w:after="0"/>
        <w:ind w:firstLine="709"/>
        <w:rPr>
          <w:rFonts w:ascii="Times New Roman" w:hAnsi="Times New Roman"/>
          <w:color w:val="auto"/>
          <w:sz w:val="28"/>
          <w:szCs w:val="28"/>
          <w:lang w:val="kk-KZ"/>
        </w:rPr>
      </w:pPr>
    </w:p>
    <w:p w14:paraId="23C00B09">
      <w:pPr>
        <w:pStyle w:val="20"/>
        <w:spacing w:after="0"/>
        <w:ind w:firstLine="709"/>
        <w:rPr>
          <w:rFonts w:ascii="Times New Roman" w:hAnsi="Times New Roman"/>
          <w:i/>
          <w:iCs/>
          <w:color w:val="auto"/>
          <w:sz w:val="28"/>
          <w:szCs w:val="28"/>
          <w:lang w:val="kk-KZ"/>
        </w:rPr>
      </w:pPr>
      <w:r>
        <w:rPr>
          <w:rFonts w:ascii="Times New Roman" w:hAnsi="Times New Roman"/>
          <w:i/>
          <w:iCs/>
          <w:color w:val="auto"/>
          <w:sz w:val="28"/>
          <w:szCs w:val="28"/>
          <w:lang w:val="kk-KZ"/>
        </w:rPr>
        <w:t>Сорбциялық сыйымдылықты анықтау:</w:t>
      </w:r>
    </w:p>
    <w:p w14:paraId="4722E12F">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kk-KZ"/>
        </w:rPr>
        <w:t>Дайындалған тасымалдаушылардың сорбциялық сыйымдылығы бейімделген әдіспен бағаланды [1</w:t>
      </w:r>
      <w:r>
        <w:rPr>
          <w:rFonts w:hint="default" w:ascii="Times New Roman" w:hAnsi="Times New Roman"/>
          <w:color w:val="auto"/>
          <w:sz w:val="28"/>
          <w:szCs w:val="28"/>
          <w:lang w:val="ru-RU"/>
        </w:rPr>
        <w:t>31</w:t>
      </w:r>
      <w:r>
        <w:rPr>
          <w:rFonts w:ascii="Times New Roman" w:hAnsi="Times New Roman"/>
          <w:color w:val="auto"/>
          <w:sz w:val="28"/>
          <w:szCs w:val="28"/>
          <w:lang w:val="kk-KZ"/>
        </w:rPr>
        <w:t>]. Құрғақ тасымалдағыштың 1,0 г үлгісі 20 мл шикі мұнайы (Қаражанбас кен орны) бар ыдысқа орналастырылып, (25±2)°C температурада 30 минут бойы мерзімді араластырумен инкубацияланды. Содан кейін бос мұнай алдын ала өлшенген сүзгі қағазымен воронка арқылы сүзу арқылы алынып тасталды.</w:t>
      </w:r>
    </w:p>
    <w:p w14:paraId="4CEEDBEB">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kk-KZ"/>
        </w:rPr>
        <w:t xml:space="preserve">Сорбциялық сыйымдылық, </w:t>
      </w:r>
      <w:r>
        <w:rPr>
          <w:rFonts w:ascii="Times New Roman" w:hAnsi="Times New Roman"/>
          <w:i/>
          <w:iCs/>
          <w:color w:val="auto"/>
          <w:sz w:val="28"/>
          <w:szCs w:val="28"/>
          <w:lang w:val="kk-KZ"/>
        </w:rPr>
        <w:t>Qs</w:t>
      </w:r>
      <w:r>
        <w:rPr>
          <w:rFonts w:ascii="Times New Roman" w:hAnsi="Times New Roman"/>
          <w:color w:val="auto"/>
          <w:sz w:val="28"/>
          <w:szCs w:val="28"/>
          <w:lang w:val="kk-KZ"/>
        </w:rPr>
        <w:t xml:space="preserve"> [</w:t>
      </w:r>
      <w:r>
        <w:rPr>
          <w:rFonts w:ascii="Times New Roman" w:hAnsi="Times New Roman"/>
          <w:color w:val="auto"/>
          <w:sz w:val="28"/>
          <w:szCs w:val="28"/>
          <w:lang w:val="ru-RU"/>
        </w:rPr>
        <w:t>г/г</w:t>
      </w:r>
      <w:r>
        <w:rPr>
          <w:rFonts w:ascii="Times New Roman" w:hAnsi="Times New Roman"/>
          <w:color w:val="auto"/>
          <w:sz w:val="28"/>
          <w:szCs w:val="28"/>
          <w:lang w:val="kk-KZ"/>
        </w:rPr>
        <w:t>], келесі формула бойынша есептелді:</w:t>
      </w:r>
    </w:p>
    <w:p w14:paraId="2E0CF5B6">
      <w:pPr>
        <w:pStyle w:val="20"/>
        <w:spacing w:after="0"/>
        <w:ind w:firstLine="709"/>
        <w:rPr>
          <w:rFonts w:ascii="Times New Roman" w:hAnsi="Times New Roman"/>
          <w:color w:val="auto"/>
          <w:sz w:val="28"/>
          <w:szCs w:val="28"/>
          <w:lang w:val="kk-KZ"/>
        </w:rPr>
      </w:pPr>
    </w:p>
    <w:p w14:paraId="6DA59445">
      <w:pPr>
        <w:pStyle w:val="20"/>
        <w:spacing w:after="0"/>
        <w:ind w:left="3545" w:leftChars="0" w:firstLine="709" w:firstLineChars="0"/>
        <w:rPr>
          <w:rFonts w:ascii="Times New Roman" w:hAnsi="Times New Roman"/>
          <w:color w:val="auto"/>
          <w:sz w:val="28"/>
          <w:szCs w:val="28"/>
          <w:lang w:val="kk-KZ"/>
        </w:rPr>
      </w:pPr>
      <m:oMath>
        <m:sSub>
          <m:sSubPr>
            <m:ctrlPr>
              <w:rPr>
                <w:rFonts w:ascii="Cambria Math" w:hAnsi="Cambria Math"/>
                <w:i/>
                <w:color w:val="auto"/>
                <w:sz w:val="28"/>
                <w:szCs w:val="28"/>
                <w:lang w:val="en-GB"/>
              </w:rPr>
            </m:ctrlPr>
          </m:sSubPr>
          <m:e>
            <m:r>
              <m:rPr/>
              <w:rPr>
                <w:rFonts w:ascii="Cambria Math" w:hAnsi="Cambria Math"/>
                <w:color w:val="auto"/>
                <w:sz w:val="28"/>
                <w:szCs w:val="28"/>
                <w:lang w:val="kk-KZ"/>
              </w:rPr>
              <m:t>Q</m:t>
            </m:r>
            <m:ctrlPr>
              <w:rPr>
                <w:rFonts w:ascii="Cambria Math" w:hAnsi="Cambria Math"/>
                <w:i/>
                <w:color w:val="auto"/>
                <w:sz w:val="28"/>
                <w:szCs w:val="28"/>
                <w:lang w:val="en-GB"/>
              </w:rPr>
            </m:ctrlPr>
          </m:e>
          <m:sub>
            <m:r>
              <m:rPr/>
              <w:rPr>
                <w:rFonts w:ascii="Cambria Math" w:hAnsi="Cambria Math"/>
                <w:color w:val="auto"/>
                <w:sz w:val="28"/>
                <w:szCs w:val="28"/>
                <w:lang w:val="kk-KZ"/>
              </w:rPr>
              <m:t>s</m:t>
            </m:r>
            <m:ctrlPr>
              <w:rPr>
                <w:rFonts w:ascii="Cambria Math" w:hAnsi="Cambria Math"/>
                <w:i/>
                <w:color w:val="auto"/>
                <w:sz w:val="28"/>
                <w:szCs w:val="28"/>
                <w:lang w:val="en-GB"/>
              </w:rPr>
            </m:ctrlPr>
          </m:sub>
        </m:sSub>
        <m:r>
          <m:rPr>
            <m:sty m:val="p"/>
          </m:rPr>
          <w:rPr>
            <w:rFonts w:ascii="Cambria Math" w:hAnsi="Cambria Math"/>
            <w:color w:val="auto"/>
            <w:sz w:val="28"/>
            <w:szCs w:val="28"/>
            <w:lang w:val="kk-KZ"/>
          </w:rPr>
          <m:t>=</m:t>
        </m:r>
        <m:f>
          <m:fPr>
            <m:ctrlPr>
              <w:rPr>
                <w:rFonts w:ascii="Cambria Math" w:hAnsi="Cambria Math"/>
                <w:color w:val="auto"/>
                <w:sz w:val="28"/>
                <w:szCs w:val="28"/>
                <w:lang w:val="en-GB"/>
              </w:rPr>
            </m:ctrlPr>
          </m:fPr>
          <m:num>
            <m:sSub>
              <m:sSubPr>
                <m:ctrlPr>
                  <w:rPr>
                    <w:rFonts w:ascii="Cambria Math" w:hAnsi="Cambria Math"/>
                    <w:color w:val="auto"/>
                    <w:sz w:val="28"/>
                    <w:szCs w:val="28"/>
                    <w:lang w:val="en-GB"/>
                  </w:rPr>
                </m:ctrlPr>
              </m:sSubPr>
              <m:e>
                <m:r>
                  <m:rPr/>
                  <w:rPr>
                    <w:rFonts w:ascii="Cambria Math" w:hAnsi="Cambria Math"/>
                    <w:color w:val="auto"/>
                    <w:sz w:val="28"/>
                    <w:szCs w:val="28"/>
                    <w:lang w:val="kk-KZ"/>
                  </w:rPr>
                  <m:t>m</m:t>
                </m:r>
                <m:ctrlPr>
                  <w:rPr>
                    <w:rFonts w:ascii="Cambria Math" w:hAnsi="Cambria Math"/>
                    <w:color w:val="auto"/>
                    <w:sz w:val="28"/>
                    <w:szCs w:val="28"/>
                    <w:lang w:val="en-GB"/>
                  </w:rPr>
                </m:ctrlPr>
              </m:e>
              <m:sub>
                <m:r>
                  <m:rPr/>
                  <w:rPr>
                    <w:rFonts w:ascii="Cambria Math" w:hAnsi="Cambria Math"/>
                    <w:color w:val="auto"/>
                    <w:sz w:val="28"/>
                    <w:szCs w:val="28"/>
                    <w:lang w:val="kk-KZ"/>
                  </w:rPr>
                  <m:t>2</m:t>
                </m:r>
                <m:ctrlPr>
                  <w:rPr>
                    <w:rFonts w:ascii="Cambria Math" w:hAnsi="Cambria Math"/>
                    <w:color w:val="auto"/>
                    <w:sz w:val="28"/>
                    <w:szCs w:val="28"/>
                    <w:lang w:val="en-GB"/>
                  </w:rPr>
                </m:ctrlPr>
              </m:sub>
            </m:sSub>
            <m:r>
              <m:rPr>
                <m:sty m:val="p"/>
              </m:rPr>
              <w:rPr>
                <w:rFonts w:ascii="Cambria Math" w:hAnsi="Cambria Math"/>
                <w:color w:val="auto"/>
                <w:sz w:val="28"/>
                <w:szCs w:val="28"/>
                <w:lang w:val="kk-KZ"/>
              </w:rPr>
              <m:t xml:space="preserve">− </m:t>
            </m:r>
            <m:sSub>
              <m:sSubPr>
                <m:ctrlPr>
                  <w:rPr>
                    <w:rFonts w:ascii="Cambria Math" w:hAnsi="Cambria Math"/>
                    <w:color w:val="auto"/>
                    <w:sz w:val="28"/>
                    <w:szCs w:val="28"/>
                    <w:lang w:val="en-GB"/>
                  </w:rPr>
                </m:ctrlPr>
              </m:sSubPr>
              <m:e>
                <m:r>
                  <m:rPr/>
                  <w:rPr>
                    <w:rFonts w:ascii="Cambria Math" w:hAnsi="Cambria Math"/>
                    <w:color w:val="auto"/>
                    <w:sz w:val="28"/>
                    <w:szCs w:val="28"/>
                    <w:lang w:val="kk-KZ"/>
                  </w:rPr>
                  <m:t>m</m:t>
                </m:r>
                <m:ctrlPr>
                  <w:rPr>
                    <w:rFonts w:ascii="Cambria Math" w:hAnsi="Cambria Math"/>
                    <w:color w:val="auto"/>
                    <w:sz w:val="28"/>
                    <w:szCs w:val="28"/>
                    <w:lang w:val="en-GB"/>
                  </w:rPr>
                </m:ctrlPr>
              </m:e>
              <m:sub>
                <m:r>
                  <m:rPr/>
                  <w:rPr>
                    <w:rFonts w:ascii="Cambria Math" w:hAnsi="Cambria Math"/>
                    <w:color w:val="auto"/>
                    <w:sz w:val="28"/>
                    <w:szCs w:val="28"/>
                    <w:lang w:val="kk-KZ"/>
                  </w:rPr>
                  <m:t>1</m:t>
                </m:r>
                <m:ctrlPr>
                  <w:rPr>
                    <w:rFonts w:ascii="Cambria Math" w:hAnsi="Cambria Math"/>
                    <w:color w:val="auto"/>
                    <w:sz w:val="28"/>
                    <w:szCs w:val="28"/>
                    <w:lang w:val="en-GB"/>
                  </w:rPr>
                </m:ctrlPr>
              </m:sub>
            </m:sSub>
            <m:ctrlPr>
              <w:rPr>
                <w:rFonts w:ascii="Cambria Math" w:hAnsi="Cambria Math"/>
                <w:color w:val="auto"/>
                <w:sz w:val="28"/>
                <w:szCs w:val="28"/>
                <w:lang w:val="en-GB"/>
              </w:rPr>
            </m:ctrlPr>
          </m:num>
          <m:den>
            <m:sSub>
              <m:sSubPr>
                <m:ctrlPr>
                  <w:rPr>
                    <w:rFonts w:ascii="Cambria Math" w:hAnsi="Cambria Math"/>
                    <w:color w:val="auto"/>
                    <w:sz w:val="28"/>
                    <w:szCs w:val="28"/>
                    <w:lang w:val="en-GB"/>
                  </w:rPr>
                </m:ctrlPr>
              </m:sSubPr>
              <m:e>
                <m:r>
                  <m:rPr/>
                  <w:rPr>
                    <w:rFonts w:ascii="Cambria Math" w:hAnsi="Cambria Math"/>
                    <w:color w:val="auto"/>
                    <w:sz w:val="28"/>
                    <w:szCs w:val="28"/>
                    <w:lang w:val="kk-KZ"/>
                  </w:rPr>
                  <m:t>m</m:t>
                </m:r>
                <m:ctrlPr>
                  <w:rPr>
                    <w:rFonts w:ascii="Cambria Math" w:hAnsi="Cambria Math"/>
                    <w:color w:val="auto"/>
                    <w:sz w:val="28"/>
                    <w:szCs w:val="28"/>
                    <w:lang w:val="en-GB"/>
                  </w:rPr>
                </m:ctrlPr>
              </m:e>
              <m:sub>
                <m:r>
                  <m:rPr/>
                  <w:rPr>
                    <w:rFonts w:ascii="Cambria Math" w:hAnsi="Cambria Math"/>
                    <w:color w:val="auto"/>
                    <w:sz w:val="28"/>
                    <w:szCs w:val="28"/>
                    <w:lang w:val="kk-KZ"/>
                  </w:rPr>
                  <m:t>1</m:t>
                </m:r>
                <m:ctrlPr>
                  <w:rPr>
                    <w:rFonts w:ascii="Cambria Math" w:hAnsi="Cambria Math"/>
                    <w:color w:val="auto"/>
                    <w:sz w:val="28"/>
                    <w:szCs w:val="28"/>
                    <w:lang w:val="en-GB"/>
                  </w:rPr>
                </m:ctrlPr>
              </m:sub>
            </m:sSub>
            <m:ctrlPr>
              <w:rPr>
                <w:rFonts w:ascii="Cambria Math" w:hAnsi="Cambria Math"/>
                <w:color w:val="auto"/>
                <w:sz w:val="28"/>
                <w:szCs w:val="28"/>
                <w:lang w:val="en-GB"/>
              </w:rPr>
            </m:ctrlPr>
          </m:den>
        </m:f>
      </m:oMath>
      <w:r>
        <w:rPr>
          <w:rFonts w:ascii="Times New Roman" w:hAnsi="Cambria Math"/>
          <w:color w:val="auto"/>
          <w:sz w:val="28"/>
          <w:szCs w:val="28"/>
          <w:lang w:val="kk-KZ"/>
        </w:rPr>
        <w:t xml:space="preserve">         </w:t>
      </w:r>
      <w:r>
        <w:rPr>
          <w:rFonts w:hint="default" w:ascii="Times New Roman" w:hAnsi="Cambria Math"/>
          <w:color w:val="auto"/>
          <w:sz w:val="28"/>
          <w:szCs w:val="28"/>
          <w:lang w:val="ru-RU"/>
        </w:rPr>
        <w:t xml:space="preserve"> </w:t>
      </w:r>
      <w:r>
        <w:rPr>
          <w:rFonts w:ascii="Times New Roman" w:hAnsi="Cambria Math"/>
          <w:color w:val="auto"/>
          <w:sz w:val="28"/>
          <w:szCs w:val="28"/>
          <w:lang w:val="kk-KZ"/>
        </w:rPr>
        <w:t xml:space="preserve">                    </w:t>
      </w:r>
      <w:r>
        <w:rPr>
          <w:rFonts w:ascii="Times New Roman" w:hAnsi="Cambria Math"/>
          <w:color w:val="auto"/>
          <w:sz w:val="28"/>
          <w:szCs w:val="28"/>
          <w:lang w:val="kk-KZ"/>
        </w:rPr>
        <w:tab/>
      </w:r>
      <w:r>
        <w:rPr>
          <w:rFonts w:ascii="Times New Roman" w:hAnsi="Cambria Math"/>
          <w:color w:val="auto"/>
          <w:sz w:val="28"/>
          <w:szCs w:val="28"/>
          <w:lang w:val="kk-KZ"/>
        </w:rPr>
        <w:tab/>
      </w:r>
      <w:r>
        <w:rPr>
          <w:rFonts w:hint="default" w:ascii="Times New Roman" w:hAnsi="Cambria Math"/>
          <w:color w:val="auto"/>
          <w:sz w:val="28"/>
          <w:szCs w:val="28"/>
          <w:lang w:val="ru-RU"/>
        </w:rPr>
        <w:t xml:space="preserve">    </w:t>
      </w:r>
      <w:r>
        <w:rPr>
          <w:rFonts w:ascii="Times New Roman" w:hAnsi="Cambria Math"/>
          <w:color w:val="auto"/>
          <w:sz w:val="28"/>
          <w:szCs w:val="28"/>
          <w:lang w:val="kk-KZ"/>
        </w:rPr>
        <w:t xml:space="preserve"> (1)</w:t>
      </w:r>
    </w:p>
    <w:p w14:paraId="66F5E7B5">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kk-KZ"/>
        </w:rPr>
        <w:t>​</w:t>
      </w:r>
    </w:p>
    <w:p w14:paraId="5F9DF096">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kk-KZ"/>
        </w:rPr>
        <w:t xml:space="preserve">мұндағы: </w:t>
      </w:r>
      <w:r>
        <w:rPr>
          <w:rFonts w:ascii="Times New Roman" w:hAnsi="Times New Roman"/>
          <w:i/>
          <w:iCs/>
          <w:color w:val="auto"/>
          <w:sz w:val="28"/>
          <w:szCs w:val="28"/>
          <w:lang w:val="kk-KZ"/>
        </w:rPr>
        <w:t>m</w:t>
      </w:r>
      <w:r>
        <w:rPr>
          <w:rFonts w:ascii="Times New Roman" w:hAnsi="Times New Roman"/>
          <w:i/>
          <w:iCs/>
          <w:color w:val="auto"/>
          <w:sz w:val="28"/>
          <w:szCs w:val="28"/>
          <w:vertAlign w:val="subscript"/>
          <w:lang w:val="kk-KZ"/>
        </w:rPr>
        <w:t>1</w:t>
      </w:r>
      <w:r>
        <w:rPr>
          <w:rFonts w:ascii="Times New Roman" w:hAnsi="Times New Roman"/>
          <w:color w:val="auto"/>
          <w:sz w:val="28"/>
          <w:szCs w:val="28"/>
          <w:lang w:val="kk-KZ"/>
        </w:rPr>
        <w:t xml:space="preserve"> – құрғақ тасымалдағыштың массасы, г; </w:t>
      </w:r>
      <w:r>
        <w:rPr>
          <w:rFonts w:ascii="Times New Roman" w:hAnsi="Times New Roman"/>
          <w:i/>
          <w:iCs/>
          <w:color w:val="auto"/>
          <w:sz w:val="28"/>
          <w:szCs w:val="28"/>
          <w:lang w:val="kk-KZ"/>
        </w:rPr>
        <w:t>m</w:t>
      </w:r>
      <w:r>
        <w:rPr>
          <w:rFonts w:ascii="Times New Roman" w:hAnsi="Times New Roman"/>
          <w:i/>
          <w:iCs/>
          <w:color w:val="auto"/>
          <w:sz w:val="28"/>
          <w:szCs w:val="28"/>
          <w:vertAlign w:val="subscript"/>
          <w:lang w:val="kk-KZ"/>
        </w:rPr>
        <w:t>2</w:t>
      </w:r>
      <w:r>
        <w:rPr>
          <w:rFonts w:ascii="Times New Roman" w:hAnsi="Times New Roman"/>
          <w:color w:val="auto"/>
          <w:sz w:val="28"/>
          <w:szCs w:val="28"/>
          <w:vertAlign w:val="subscript"/>
          <w:lang w:val="kk-KZ"/>
        </w:rPr>
        <w:t xml:space="preserve"> </w:t>
      </w:r>
      <w:r>
        <w:rPr>
          <w:rFonts w:ascii="Times New Roman" w:hAnsi="Times New Roman"/>
          <w:color w:val="auto"/>
          <w:sz w:val="28"/>
          <w:szCs w:val="28"/>
          <w:lang w:val="kk-KZ"/>
        </w:rPr>
        <w:t>– мұнаймен қанығаннан және артық сұйықтық алынғаннан кейінгі тасымалдаушытың массасы, г.</w:t>
      </w:r>
    </w:p>
    <w:p w14:paraId="56EA249B">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kk-KZ"/>
        </w:rPr>
        <w:t>Статистикалық сенімділікті қамтамасыз ету үшін барлық өлшемдер бес рет қайталанды, нәтижелер орташаланды (n = 5).</w:t>
      </w:r>
    </w:p>
    <w:p w14:paraId="7B291F07">
      <w:pPr>
        <w:pStyle w:val="20"/>
        <w:spacing w:after="0"/>
        <w:ind w:firstLine="709"/>
        <w:rPr>
          <w:rFonts w:ascii="Times New Roman" w:hAnsi="Times New Roman" w:cs="Times New Roman"/>
          <w:color w:val="auto"/>
          <w:sz w:val="28"/>
          <w:szCs w:val="28"/>
          <w:lang w:val="kk-KZ"/>
        </w:rPr>
      </w:pPr>
      <w:r>
        <w:rPr>
          <w:rFonts w:ascii="Times New Roman" w:hAnsi="Times New Roman"/>
          <w:color w:val="auto"/>
          <w:sz w:val="28"/>
          <w:szCs w:val="28"/>
          <w:lang w:val="kk-KZ"/>
        </w:rPr>
        <w:t>Дайындалған тасымалдаушытар стерильді тығыз жабылатын шыны ыдыстарда бөлме температурасында (20-22°C), құрғақ жерде микроорганизмдерді иммобилизациялауға дейін сақталды.</w:t>
      </w:r>
    </w:p>
    <w:p w14:paraId="147A8F30">
      <w:pPr>
        <w:pStyle w:val="20"/>
        <w:spacing w:after="0"/>
        <w:ind w:firstLine="709"/>
        <w:rPr>
          <w:rFonts w:ascii="Times New Roman" w:hAnsi="Times New Roman"/>
          <w:color w:val="auto"/>
          <w:sz w:val="28"/>
          <w:szCs w:val="28"/>
          <w:lang w:val="kk-KZ"/>
        </w:rPr>
      </w:pPr>
      <w:r>
        <w:rPr>
          <w:rFonts w:ascii="Times New Roman" w:hAnsi="Times New Roman" w:cs="Times New Roman"/>
          <w:color w:val="auto"/>
          <w:sz w:val="28"/>
          <w:szCs w:val="28"/>
          <w:lang w:val="kk-KZ"/>
        </w:rPr>
        <w:t>Адсорбциялық иммобилизация — микроорганизмдердің жасуша қабырғасының функционалдық топтары мен тасымалдауыштың беттік топтары арасындағы меншікті емес ван-дер-ваальс өзара әрекеттесулері, сутектік байланыстар, электростатикалық және гидрофобты өзара әрекеттесулер арқылы микробтық жасушаларды тасымалдаушы бетіне физикалық байланыстыру болып табылады. Адсорбциялық иммобилизацияны жүзеге асыру үшін д</w:t>
      </w:r>
      <w:r>
        <w:rPr>
          <w:rFonts w:ascii="Times New Roman" w:hAnsi="Times New Roman"/>
          <w:color w:val="auto"/>
          <w:sz w:val="28"/>
          <w:szCs w:val="28"/>
          <w:lang w:val="kk-KZ"/>
        </w:rPr>
        <w:t>айындалған тасымалдаушыларды (5 г құрғақ массасы) белсенді микробты суспензиямен (25 мл, ~10⁸ КТБ·мл⁻¹) стерильді 250 мл Эрленмейер колбаларында 1:5 (w/v) қатынасын сақтай отырып араластырылды. Қоспа жасушалардың субстрат бетіне бекінуін максималды деңгейде қамтамасыз ету үшін 28°C температурада орбиталды шейкерде 150 айн/мин жылдамдықпен 24 сағат бойы инкубацияланды. Иммобилизация тиімділігі жасушалық суспензияның оптикалық тығыздығының тасымалдаушы материалымен байланысқанға дейін және кейін төмендеуін өлшеу арқылы жанама түрде анықталды</w:t>
      </w:r>
      <w:r>
        <w:rPr>
          <w:rFonts w:hint="default" w:ascii="Times New Roman" w:hAnsi="Times New Roman"/>
          <w:color w:val="auto"/>
          <w:sz w:val="28"/>
          <w:szCs w:val="28"/>
          <w:lang w:val="ru-RU"/>
        </w:rPr>
        <w:t xml:space="preserve"> </w:t>
      </w:r>
      <w:r>
        <w:rPr>
          <w:rFonts w:hint="default" w:ascii="Times New Roman" w:hAnsi="Times New Roman"/>
          <w:color w:val="auto"/>
          <w:sz w:val="28"/>
          <w:szCs w:val="28"/>
          <w:lang w:val="en-US"/>
        </w:rPr>
        <w:t>[1</w:t>
      </w:r>
      <w:r>
        <w:rPr>
          <w:rFonts w:hint="default" w:ascii="Times New Roman" w:hAnsi="Times New Roman"/>
          <w:color w:val="auto"/>
          <w:sz w:val="28"/>
          <w:szCs w:val="28"/>
          <w:lang w:val="ru-RU"/>
        </w:rPr>
        <w:t>31</w:t>
      </w:r>
      <w:r>
        <w:rPr>
          <w:rFonts w:hint="default" w:ascii="Times New Roman" w:hAnsi="Times New Roman"/>
          <w:color w:val="auto"/>
          <w:sz w:val="28"/>
          <w:szCs w:val="28"/>
          <w:lang w:val="en-US"/>
        </w:rPr>
        <w:t>]</w:t>
      </w:r>
      <w:r>
        <w:rPr>
          <w:rFonts w:ascii="Times New Roman" w:hAnsi="Times New Roman"/>
          <w:color w:val="auto"/>
          <w:sz w:val="28"/>
          <w:szCs w:val="28"/>
          <w:lang w:val="kk-KZ"/>
        </w:rPr>
        <w:t>.</w:t>
      </w:r>
    </w:p>
    <w:p w14:paraId="463D6C7B">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kk-KZ"/>
        </w:rPr>
        <w:t>Жасушалық суспензия сынамалары (1 мл) 0, 6, 12 және 24 сағат уақыт аралықтарында алынып, оптикалық тығыздық λ = 600 нм толқын ұзындығында спектрофотометрде (Shimadzu UV-1800, Жапония) өлшенді. Иммобилизация тиімділігі IE [%] келесі формула бойынша есептелді:</w:t>
      </w:r>
    </w:p>
    <w:p w14:paraId="720CE91D">
      <w:pPr>
        <w:pStyle w:val="20"/>
        <w:spacing w:after="0"/>
        <w:ind w:firstLine="709"/>
        <w:rPr>
          <w:rFonts w:ascii="Times New Roman" w:hAnsi="Times New Roman"/>
          <w:color w:val="auto"/>
          <w:sz w:val="28"/>
          <w:szCs w:val="28"/>
          <w:lang w:val="kk-KZ"/>
        </w:rPr>
      </w:pPr>
    </w:p>
    <w:p w14:paraId="40E55362">
      <w:pPr>
        <w:pStyle w:val="20"/>
        <w:spacing w:after="0"/>
        <w:ind w:firstLine="709"/>
        <w:rPr>
          <w:rFonts w:ascii="Times New Roman" w:hAnsi="Times New Roman"/>
          <w:color w:val="auto"/>
          <w:sz w:val="28"/>
          <w:szCs w:val="28"/>
          <w:lang w:val="kk-KZ"/>
        </w:rPr>
      </w:pPr>
    </w:p>
    <w:p w14:paraId="3B490773">
      <w:pPr>
        <w:pStyle w:val="20"/>
        <w:spacing w:after="0"/>
        <w:ind w:left="2127" w:firstLine="709"/>
        <w:jc w:val="center"/>
        <w:rPr>
          <w:rFonts w:ascii="Times New Roman" w:hAnsi="Times New Roman"/>
          <w:color w:val="auto"/>
          <w:sz w:val="28"/>
          <w:szCs w:val="28"/>
          <w:lang w:val="kk-KZ"/>
        </w:rPr>
      </w:pPr>
      <m:oMath>
        <m:r>
          <m:rPr/>
          <w:rPr>
            <w:rFonts w:ascii="Cambria Math" w:hAnsi="Cambria Math"/>
            <w:color w:val="auto"/>
            <w:sz w:val="28"/>
            <w:szCs w:val="28"/>
            <w:lang w:val="kk-KZ"/>
          </w:rPr>
          <m:t>IE</m:t>
        </m:r>
        <m:r>
          <m:rPr>
            <m:sty m:val="p"/>
          </m:rPr>
          <w:rPr>
            <w:rFonts w:ascii="Cambria Math" w:hAnsi="Cambria Math"/>
            <w:color w:val="auto"/>
            <w:sz w:val="28"/>
            <w:szCs w:val="28"/>
            <w:lang w:val="kk-KZ"/>
          </w:rPr>
          <m:t xml:space="preserve">  = </m:t>
        </m:r>
        <m:f>
          <m:fPr>
            <m:ctrlPr>
              <w:rPr>
                <w:rFonts w:ascii="Cambria Math" w:hAnsi="Cambria Math"/>
                <w:color w:val="auto"/>
                <w:sz w:val="28"/>
                <w:szCs w:val="28"/>
                <w:lang w:val="en-GB"/>
              </w:rPr>
            </m:ctrlPr>
          </m:fPr>
          <m:num>
            <m:sSub>
              <m:sSubPr>
                <m:ctrlPr>
                  <w:rPr>
                    <w:rFonts w:ascii="Cambria Math" w:hAnsi="Cambria Math"/>
                    <w:color w:val="auto"/>
                    <w:sz w:val="28"/>
                    <w:szCs w:val="28"/>
                    <w:lang w:val="en-GB"/>
                  </w:rPr>
                </m:ctrlPr>
              </m:sSubPr>
              <m:e>
                <m:r>
                  <m:rPr/>
                  <w:rPr>
                    <w:rFonts w:ascii="Cambria Math" w:hAnsi="Cambria Math"/>
                    <w:color w:val="auto"/>
                    <w:sz w:val="28"/>
                    <w:szCs w:val="28"/>
                    <w:lang w:val="kk-KZ"/>
                  </w:rPr>
                  <m:t>OD</m:t>
                </m:r>
                <m:ctrlPr>
                  <w:rPr>
                    <w:rFonts w:ascii="Cambria Math" w:hAnsi="Cambria Math"/>
                    <w:color w:val="auto"/>
                    <w:sz w:val="28"/>
                    <w:szCs w:val="28"/>
                    <w:lang w:val="en-GB"/>
                  </w:rPr>
                </m:ctrlPr>
              </m:e>
              <m:sub>
                <m:r>
                  <m:rPr>
                    <m:sty m:val="p"/>
                  </m:rPr>
                  <w:rPr>
                    <w:rFonts w:ascii="Cambria Math" w:hAnsi="Cambria Math"/>
                    <w:color w:val="auto"/>
                    <w:sz w:val="28"/>
                    <w:szCs w:val="28"/>
                    <w:lang w:val="kk-KZ"/>
                  </w:rPr>
                  <m:t>0</m:t>
                </m:r>
                <m:ctrlPr>
                  <w:rPr>
                    <w:rFonts w:ascii="Cambria Math" w:hAnsi="Cambria Math"/>
                    <w:color w:val="auto"/>
                    <w:sz w:val="28"/>
                    <w:szCs w:val="28"/>
                    <w:lang w:val="en-GB"/>
                  </w:rPr>
                </m:ctrlPr>
              </m:sub>
            </m:sSub>
            <m:r>
              <m:rPr>
                <m:sty m:val="p"/>
              </m:rPr>
              <w:rPr>
                <w:rFonts w:ascii="Cambria Math" w:hAnsi="Cambria Math"/>
                <w:color w:val="auto"/>
                <w:sz w:val="28"/>
                <w:szCs w:val="28"/>
                <w:lang w:val="kk-KZ"/>
              </w:rPr>
              <m:t xml:space="preserve"> − </m:t>
            </m:r>
            <m:sSub>
              <m:sSubPr>
                <m:ctrlPr>
                  <w:rPr>
                    <w:rFonts w:ascii="Cambria Math" w:hAnsi="Cambria Math"/>
                    <w:i/>
                    <w:color w:val="auto"/>
                    <w:sz w:val="28"/>
                    <w:szCs w:val="28"/>
                    <w:lang w:val="en-GB"/>
                  </w:rPr>
                </m:ctrlPr>
              </m:sSubPr>
              <m:e>
                <m:r>
                  <m:rPr/>
                  <w:rPr>
                    <w:rFonts w:ascii="Cambria Math" w:hAnsi="Cambria Math"/>
                    <w:color w:val="auto"/>
                    <w:sz w:val="28"/>
                    <w:szCs w:val="28"/>
                    <w:lang w:val="kk-KZ"/>
                  </w:rPr>
                  <m:t>OD</m:t>
                </m:r>
                <m:ctrlPr>
                  <w:rPr>
                    <w:rFonts w:ascii="Cambria Math" w:hAnsi="Cambria Math"/>
                    <w:i/>
                    <w:color w:val="auto"/>
                    <w:sz w:val="28"/>
                    <w:szCs w:val="28"/>
                    <w:lang w:val="en-GB"/>
                  </w:rPr>
                </m:ctrlPr>
              </m:e>
              <m:sub>
                <m:r>
                  <m:rPr/>
                  <w:rPr>
                    <w:rFonts w:ascii="Cambria Math" w:hAnsi="Cambria Math"/>
                    <w:color w:val="auto"/>
                    <w:sz w:val="28"/>
                    <w:szCs w:val="28"/>
                    <w:lang w:val="kk-KZ"/>
                  </w:rPr>
                  <m:t xml:space="preserve">f </m:t>
                </m:r>
                <m:ctrlPr>
                  <w:rPr>
                    <w:rFonts w:ascii="Cambria Math" w:hAnsi="Cambria Math"/>
                    <w:i/>
                    <w:color w:val="auto"/>
                    <w:sz w:val="28"/>
                    <w:szCs w:val="28"/>
                    <w:lang w:val="en-GB"/>
                  </w:rPr>
                </m:ctrlPr>
              </m:sub>
            </m:sSub>
            <m:ctrlPr>
              <w:rPr>
                <w:rFonts w:ascii="Cambria Math" w:hAnsi="Cambria Math"/>
                <w:color w:val="auto"/>
                <w:sz w:val="28"/>
                <w:szCs w:val="28"/>
                <w:lang w:val="en-GB"/>
              </w:rPr>
            </m:ctrlPr>
          </m:num>
          <m:den>
            <m:r>
              <m:rPr>
                <m:sty m:val="p"/>
              </m:rPr>
              <w:rPr>
                <w:rFonts w:ascii="Cambria Math" w:hAnsi="Cambria Math"/>
                <w:color w:val="auto"/>
                <w:sz w:val="28"/>
                <w:szCs w:val="28"/>
                <w:lang w:val="kk-KZ"/>
              </w:rPr>
              <m:t>100</m:t>
            </m:r>
            <m:ctrlPr>
              <w:rPr>
                <w:rFonts w:ascii="Cambria Math" w:hAnsi="Cambria Math"/>
                <w:color w:val="auto"/>
                <w:sz w:val="28"/>
                <w:szCs w:val="28"/>
                <w:lang w:val="en-GB"/>
              </w:rPr>
            </m:ctrlPr>
          </m:den>
        </m:f>
      </m:oMath>
      <w:r>
        <w:rPr>
          <w:rFonts w:ascii="Times New Roman" w:hAnsi="Cambria Math"/>
          <w:color w:val="auto"/>
          <w:lang w:val="kk-KZ"/>
        </w:rPr>
        <w:tab/>
      </w:r>
      <w:r>
        <w:rPr>
          <w:rFonts w:ascii="Times New Roman" w:hAnsi="Cambria Math"/>
          <w:color w:val="auto"/>
          <w:lang w:val="kk-KZ"/>
        </w:rPr>
        <w:tab/>
      </w:r>
      <w:r>
        <w:rPr>
          <w:rFonts w:ascii="Times New Roman" w:hAnsi="Cambria Math"/>
          <w:color w:val="auto"/>
          <w:lang w:val="kk-KZ"/>
        </w:rPr>
        <w:tab/>
      </w:r>
      <w:r>
        <w:rPr>
          <w:rFonts w:ascii="Times New Roman" w:hAnsi="Cambria Math"/>
          <w:color w:val="auto"/>
          <w:lang w:val="kk-KZ"/>
        </w:rPr>
        <w:tab/>
      </w:r>
      <w:r>
        <w:rPr>
          <w:rFonts w:ascii="Times New Roman" w:hAnsi="Cambria Math"/>
          <w:color w:val="auto"/>
          <w:lang w:val="kk-KZ"/>
        </w:rPr>
        <w:tab/>
      </w:r>
      <w:r>
        <w:rPr>
          <w:rFonts w:ascii="Times New Roman" w:hAnsi="Cambria Math"/>
          <w:color w:val="auto"/>
          <w:lang w:val="kk-KZ"/>
        </w:rPr>
        <w:tab/>
      </w:r>
      <w:r>
        <w:rPr>
          <w:rFonts w:ascii="Times New Roman" w:hAnsi="Cambria Math"/>
          <w:color w:val="auto"/>
          <w:sz w:val="28"/>
          <w:szCs w:val="28"/>
          <w:lang w:val="kk-KZ"/>
        </w:rPr>
        <w:t>(2)</w:t>
      </w:r>
    </w:p>
    <w:p w14:paraId="33391C61">
      <w:pPr>
        <w:pStyle w:val="20"/>
        <w:spacing w:after="0"/>
        <w:ind w:firstLine="709"/>
        <w:rPr>
          <w:rFonts w:ascii="Times New Roman" w:hAnsi="Times New Roman" w:cs="Times New Roman"/>
          <w:color w:val="auto"/>
          <w:sz w:val="28"/>
          <w:szCs w:val="28"/>
          <w:lang w:val="kk-KZ"/>
        </w:rPr>
      </w:pPr>
    </w:p>
    <w:p w14:paraId="3FB59F70">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kk-KZ"/>
        </w:rPr>
        <w:t>мұндағы: OD₀ - бастапқы оптикалық тығыздық, OD</w:t>
      </w:r>
      <w:r>
        <w:rPr>
          <w:rFonts w:ascii="Times New Roman" w:hAnsi="Times New Roman"/>
          <w:color w:val="auto"/>
          <w:sz w:val="28"/>
          <w:szCs w:val="28"/>
          <w:vertAlign w:val="subscript"/>
          <w:lang w:val="kk-KZ"/>
        </w:rPr>
        <w:t xml:space="preserve">f </w:t>
      </w:r>
      <w:r>
        <w:rPr>
          <w:rFonts w:ascii="Times New Roman" w:hAnsi="Times New Roman"/>
          <w:color w:val="auto"/>
          <w:sz w:val="28"/>
          <w:szCs w:val="28"/>
          <w:lang w:val="kk-KZ"/>
        </w:rPr>
        <w:t>- иммобилизация 24 сағат өткеннен кейінгі соңғы оптикалық тығыздық.</w:t>
      </w:r>
    </w:p>
    <w:p w14:paraId="0335D8D0">
      <w:pPr>
        <w:pStyle w:val="20"/>
        <w:spacing w:after="0"/>
        <w:ind w:firstLine="709"/>
        <w:rPr>
          <w:rFonts w:ascii="Times New Roman" w:hAnsi="Times New Roman" w:cs="Times New Roman"/>
          <w:color w:val="auto"/>
          <w:sz w:val="28"/>
          <w:szCs w:val="28"/>
          <w:lang w:val="kk-KZ"/>
        </w:rPr>
      </w:pPr>
      <w:r>
        <w:rPr>
          <w:rFonts w:ascii="Times New Roman" w:hAnsi="Times New Roman"/>
          <w:color w:val="auto"/>
          <w:sz w:val="28"/>
          <w:szCs w:val="28"/>
          <w:lang w:val="kk-KZ"/>
        </w:rPr>
        <w:t>Барлық өлшемдер үш рет қайталанып (n = 3), нәтижелер орташа мән ± стандартты ауытқу түрінде көрсетілді.</w:t>
      </w:r>
    </w:p>
    <w:p w14:paraId="6B1D59CE">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rPr>
        <w:t>Иммобилизация тиімділігі сканерлеуші электронды микроскопия (СЭМ) арқылы расталды. Тасымалдаушы үлгілері фосфатты буферде (pH = 7,2) 2,5% глутаральдегидпен 4°C температурада 2 сағат бойы фиксацияланды, дәрежелі этанол қатарымен (30, 50, 70, 90, 100)% v/v арқылы дегидратацияланды, CO₂ қолданып критикалық нүктеде кептірілді және алтын-палладиймен (10 нм қалыңдығында) бүркілді. СЭМ зерттеуі (5-20) кВ үдеткіш кернеуінде сканерлеуші электронды микроскоп қолданылып жүргізілді.</w:t>
      </w:r>
    </w:p>
    <w:p w14:paraId="02BCCCA5">
      <w:pPr>
        <w:pStyle w:val="20"/>
        <w:spacing w:after="0"/>
        <w:ind w:firstLine="709"/>
        <w:rPr>
          <w:rFonts w:ascii="Times New Roman" w:hAnsi="Times New Roman"/>
          <w:color w:val="auto"/>
          <w:sz w:val="28"/>
          <w:szCs w:val="28"/>
          <w:lang w:val="kk-KZ"/>
        </w:rPr>
      </w:pPr>
    </w:p>
    <w:p w14:paraId="2400F8C5">
      <w:pPr>
        <w:pStyle w:val="20"/>
        <w:spacing w:after="0"/>
        <w:ind w:firstLine="709"/>
        <w:rPr>
          <w:rFonts w:ascii="Times New Roman" w:hAnsi="Times New Roman"/>
          <w:b/>
          <w:bCs/>
          <w:color w:val="auto"/>
          <w:sz w:val="28"/>
          <w:szCs w:val="28"/>
          <w:lang w:val="kk-KZ"/>
        </w:rPr>
      </w:pPr>
      <w:r>
        <w:rPr>
          <w:rFonts w:ascii="Times New Roman" w:hAnsi="Times New Roman"/>
          <w:b/>
          <w:bCs/>
          <w:color w:val="auto"/>
          <w:sz w:val="28"/>
          <w:szCs w:val="28"/>
          <w:lang w:val="ru-RU"/>
        </w:rPr>
        <w:t>2</w:t>
      </w:r>
      <w:r>
        <w:rPr>
          <w:rFonts w:hint="default" w:ascii="Times New Roman" w:hAnsi="Times New Roman"/>
          <w:b/>
          <w:bCs/>
          <w:color w:val="auto"/>
          <w:sz w:val="28"/>
          <w:szCs w:val="28"/>
          <w:lang w:val="ru-RU"/>
        </w:rPr>
        <w:t>.</w:t>
      </w:r>
      <w:r>
        <w:rPr>
          <w:rFonts w:ascii="Times New Roman" w:hAnsi="Times New Roman"/>
          <w:b/>
          <w:bCs/>
          <w:color w:val="auto"/>
          <w:sz w:val="28"/>
          <w:szCs w:val="28"/>
        </w:rPr>
        <w:t xml:space="preserve">5 </w:t>
      </w:r>
      <w:r>
        <w:rPr>
          <w:rFonts w:ascii="Times New Roman" w:hAnsi="Times New Roman"/>
          <w:b/>
          <w:bCs/>
          <w:color w:val="auto"/>
          <w:sz w:val="28"/>
          <w:szCs w:val="28"/>
          <w:lang w:val="kk-KZ"/>
        </w:rPr>
        <w:t>Мұнай көмірсутектерін биоремедиациялау бойынша модельдік эксперименттер</w:t>
      </w:r>
      <w:r>
        <w:rPr>
          <w:rFonts w:ascii="Times New Roman" w:hAnsi="Times New Roman"/>
          <w:b/>
          <w:bCs/>
          <w:color w:val="auto"/>
          <w:sz w:val="28"/>
          <w:szCs w:val="28"/>
        </w:rPr>
        <w:t xml:space="preserve"> схемасы</w:t>
      </w:r>
    </w:p>
    <w:p w14:paraId="67589B1A">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kk-KZ"/>
        </w:rPr>
        <w:t>Биоремедиация процесін модельдеу үшін Маңғыстау облысының Қаражанбас кен орнының маңындағы аймақтардан алынған құмды-балшықты топырақ қолданылды. Топырақ келесі негізгі қасиеттерімен сипатталды: pH = 7,8 ±0,2 (су сүзіндісі 1:5), органикалық зат құрамы (2,1 ±0,3)%, су ұстау қабілеті (28 ±2)%, гранулометриялық құрамы: құм 65%, шлам 25%, балшық 10%.</w:t>
      </w:r>
    </w:p>
    <w:p w14:paraId="336756FC">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kk-KZ"/>
        </w:rPr>
        <w:t>Топырақты жасанды ластау Қаражанбас кен орнының шикі мұнайын топырақпен мұқият араластыру арқылы жүзеге асырылды. Екі ластану деңгейі қолданылды:</w:t>
      </w:r>
    </w:p>
    <w:p w14:paraId="51503915">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kk-KZ"/>
        </w:rPr>
        <w:t>Эксперимент 1 (стандартты жағдайлар) және Эксперимент 2 (стресс жағдайлары) мұнай мен топырақтың қатынасы 0,5 г мұнай 50 г топыраққа (1% w/w) болды.</w:t>
      </w:r>
    </w:p>
    <w:p w14:paraId="10D4A110">
      <w:pPr>
        <w:pStyle w:val="20"/>
        <w:spacing w:after="0"/>
        <w:ind w:firstLine="709"/>
        <w:rPr>
          <w:rFonts w:hint="default" w:ascii="Times New Roman" w:hAnsi="Times New Roman"/>
          <w:color w:val="auto"/>
          <w:sz w:val="28"/>
          <w:szCs w:val="28"/>
          <w:lang w:val="kk-KZ"/>
        </w:rPr>
      </w:pPr>
      <w:r>
        <w:rPr>
          <w:rFonts w:ascii="Times New Roman" w:hAnsi="Times New Roman"/>
          <w:color w:val="auto"/>
          <w:sz w:val="28"/>
          <w:szCs w:val="28"/>
          <w:lang w:val="kk-KZ"/>
        </w:rPr>
        <w:t>Таңдалған 1% (w/w) ластану деңгейі Батыс Қазақстанда құжатталған нақты далалық жағдайларды білдіреді, мұнда жұмыс істеп тұрған мұнай кен орындарында ЖМӨ ластануы әдетте (0,5-2,8)% диапазонында болады [1</w:t>
      </w:r>
      <w:r>
        <w:rPr>
          <w:rFonts w:hint="default" w:ascii="Times New Roman" w:hAnsi="Times New Roman"/>
          <w:color w:val="auto"/>
          <w:sz w:val="28"/>
          <w:szCs w:val="28"/>
          <w:lang w:val="ru-RU"/>
        </w:rPr>
        <w:t>29</w:t>
      </w:r>
      <w:r>
        <w:rPr>
          <w:rFonts w:ascii="Times New Roman" w:hAnsi="Times New Roman"/>
          <w:color w:val="auto"/>
          <w:sz w:val="28"/>
          <w:szCs w:val="28"/>
          <w:lang w:val="kk-KZ"/>
        </w:rPr>
        <w:t>]. Бұл деңгей ауыл шаруашылығы тасымалдаушытарын қолданатын алдыңғы биоремедиация зерттеулерімен сәйкес келеді және аэробты биодеструкция процестері үшін оңтайлы диапазонда қала отырып, микробты деструкция үшін жеткілікті субстрат қолжетімділігін қамтамасыз етеді.</w:t>
      </w:r>
      <w:r>
        <w:rPr>
          <w:rFonts w:hint="default" w:ascii="Times New Roman" w:hAnsi="Times New Roman"/>
          <w:color w:val="auto"/>
          <w:sz w:val="28"/>
          <w:szCs w:val="28"/>
          <w:lang w:val="kk-KZ"/>
        </w:rPr>
        <w:t xml:space="preserve"> Эксперимент схемасы (8 сурет) және өткізген қоршаған орта жағдайлары төменде көрсетілген.</w:t>
      </w:r>
    </w:p>
    <w:p w14:paraId="4F34A169">
      <w:pPr>
        <w:pStyle w:val="20"/>
        <w:spacing w:after="0"/>
        <w:ind w:firstLine="709"/>
        <w:rPr>
          <w:rFonts w:ascii="Times New Roman" w:hAnsi="Times New Roman"/>
          <w:color w:val="auto"/>
          <w:sz w:val="28"/>
          <w:szCs w:val="28"/>
          <w:highlight w:val="yellow"/>
          <w:lang w:val="kk-KZ"/>
        </w:rPr>
      </w:pPr>
    </w:p>
    <w:p w14:paraId="318E90AF">
      <w:pPr>
        <w:pStyle w:val="20"/>
        <w:spacing w:after="0"/>
        <w:ind w:firstLine="709"/>
        <w:rPr>
          <w:rFonts w:ascii="Times New Roman" w:hAnsi="Times New Roman"/>
          <w:color w:val="auto"/>
          <w:sz w:val="28"/>
          <w:szCs w:val="28"/>
          <w:highlight w:val="yellow"/>
          <w:lang w:val="kk-KZ"/>
        </w:rPr>
      </w:pPr>
    </w:p>
    <w:p w14:paraId="371054AF">
      <w:pPr>
        <w:pStyle w:val="20"/>
        <w:spacing w:after="0"/>
        <w:ind w:left="0" w:leftChars="0" w:firstLine="0" w:firstLineChars="0"/>
        <w:jc w:val="center"/>
        <w:rPr>
          <w:rFonts w:ascii="Times New Roman" w:hAnsi="Times New Roman"/>
          <w:color w:val="auto"/>
          <w:sz w:val="28"/>
          <w:szCs w:val="28"/>
        </w:rPr>
      </w:pPr>
      <w:r>
        <w:rPr>
          <w:rFonts w:ascii="Times New Roman" w:hAnsi="Times New Roman"/>
          <w:color w:val="auto"/>
          <w:sz w:val="28"/>
          <w:szCs w:val="28"/>
        </w:rPr>
        <w:drawing>
          <wp:inline distT="0" distB="0" distL="114300" distR="114300">
            <wp:extent cx="5509895" cy="5290820"/>
            <wp:effectExtent l="0" t="0" r="6985" b="12700"/>
            <wp:docPr id="60" name="Изображение 60" descr="Диаграмма без названия.drawi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Изображение 60" descr="Диаграмма без названия.drawio (2)"/>
                    <pic:cNvPicPr>
                      <a:picLocks noChangeAspect="1"/>
                    </pic:cNvPicPr>
                  </pic:nvPicPr>
                  <pic:blipFill>
                    <a:blip r:embed="rId18"/>
                    <a:srcRect l="4436" r="7230"/>
                    <a:stretch>
                      <a:fillRect/>
                    </a:stretch>
                  </pic:blipFill>
                  <pic:spPr>
                    <a:xfrm>
                      <a:off x="0" y="0"/>
                      <a:ext cx="5509895" cy="5290820"/>
                    </a:xfrm>
                    <a:prstGeom prst="rect">
                      <a:avLst/>
                    </a:prstGeom>
                  </pic:spPr>
                </pic:pic>
              </a:graphicData>
            </a:graphic>
          </wp:inline>
        </w:drawing>
      </w:r>
    </w:p>
    <w:p w14:paraId="7D033661">
      <w:pPr>
        <w:pStyle w:val="20"/>
        <w:spacing w:after="0"/>
        <w:ind w:left="0" w:leftChars="0" w:firstLine="0" w:firstLineChars="0"/>
        <w:jc w:val="center"/>
        <w:rPr>
          <w:rFonts w:ascii="Times New Roman" w:hAnsi="Times New Roman"/>
          <w:color w:val="auto"/>
          <w:sz w:val="28"/>
          <w:szCs w:val="28"/>
        </w:rPr>
      </w:pPr>
    </w:p>
    <w:p w14:paraId="3681DD42">
      <w:pPr>
        <w:pStyle w:val="20"/>
        <w:spacing w:after="0"/>
        <w:ind w:left="0" w:leftChars="0" w:firstLine="0" w:firstLineChars="0"/>
        <w:jc w:val="center"/>
        <w:rPr>
          <w:rFonts w:ascii="Times New Roman" w:hAnsi="Times New Roman"/>
          <w:color w:val="auto"/>
          <w:sz w:val="28"/>
          <w:szCs w:val="28"/>
        </w:rPr>
      </w:pPr>
      <w:r>
        <w:rPr>
          <w:rFonts w:ascii="Times New Roman" w:hAnsi="Times New Roman"/>
          <w:color w:val="auto"/>
          <w:sz w:val="28"/>
          <w:szCs w:val="28"/>
          <w:lang w:val="kk-KZ"/>
        </w:rPr>
        <w:t>Сурет 8 - Биоремедиация процессінің блок-схемасы.</w:t>
      </w:r>
    </w:p>
    <w:p w14:paraId="5121A514">
      <w:pPr>
        <w:pStyle w:val="20"/>
        <w:spacing w:after="0"/>
        <w:ind w:firstLine="709"/>
        <w:rPr>
          <w:rFonts w:ascii="Times New Roman" w:hAnsi="Times New Roman"/>
          <w:color w:val="auto"/>
          <w:sz w:val="28"/>
          <w:szCs w:val="28"/>
        </w:rPr>
      </w:pPr>
    </w:p>
    <w:p w14:paraId="5CC58948">
      <w:pPr>
        <w:pStyle w:val="20"/>
        <w:spacing w:after="0"/>
        <w:ind w:firstLine="709" w:firstLineChars="0"/>
        <w:rPr>
          <w:rFonts w:ascii="Times New Roman" w:hAnsi="Times New Roman"/>
          <w:color w:val="auto"/>
          <w:sz w:val="28"/>
          <w:szCs w:val="28"/>
        </w:rPr>
      </w:pPr>
      <w:r>
        <w:rPr>
          <w:rFonts w:ascii="Times New Roman" w:hAnsi="Times New Roman"/>
          <w:i/>
          <w:iCs/>
          <w:color w:val="auto"/>
          <w:sz w:val="28"/>
          <w:szCs w:val="28"/>
          <w:lang w:val="kk-KZ"/>
        </w:rPr>
        <w:t xml:space="preserve">Эксперимент 1: </w:t>
      </w:r>
      <w:r>
        <w:rPr>
          <w:rFonts w:ascii="Times New Roman" w:hAnsi="Times New Roman"/>
          <w:color w:val="auto"/>
          <w:sz w:val="28"/>
          <w:szCs w:val="28"/>
          <w:lang w:val="kk-KZ"/>
        </w:rPr>
        <w:t xml:space="preserve">Стандартты жағдайлардағы биоремедиация </w:t>
      </w:r>
    </w:p>
    <w:p w14:paraId="099BC59B">
      <w:pPr>
        <w:pStyle w:val="20"/>
        <w:spacing w:after="0"/>
        <w:ind w:firstLine="709"/>
        <w:rPr>
          <w:rFonts w:ascii="Times New Roman" w:hAnsi="Times New Roman"/>
          <w:color w:val="auto"/>
          <w:sz w:val="28"/>
          <w:szCs w:val="28"/>
        </w:rPr>
      </w:pPr>
      <w:r>
        <w:rPr>
          <w:rFonts w:ascii="Times New Roman" w:hAnsi="Times New Roman"/>
          <w:color w:val="auto"/>
          <w:sz w:val="28"/>
          <w:szCs w:val="28"/>
        </w:rPr>
        <w:t xml:space="preserve">Эксперименттік </w:t>
      </w:r>
      <w:r>
        <w:rPr>
          <w:rFonts w:ascii="Times New Roman" w:hAnsi="Times New Roman"/>
          <w:color w:val="auto"/>
          <w:sz w:val="28"/>
          <w:szCs w:val="28"/>
          <w:lang w:val="kk-KZ"/>
        </w:rPr>
        <w:t xml:space="preserve">модельдің </w:t>
      </w:r>
      <w:r>
        <w:rPr>
          <w:rFonts w:ascii="Times New Roman" w:hAnsi="Times New Roman"/>
          <w:color w:val="auto"/>
          <w:sz w:val="28"/>
          <w:szCs w:val="28"/>
        </w:rPr>
        <w:t>әрқайсысында бес тәуелсіз қайталанулары бар (n = 5) алты нұсқаны қамтыды [1</w:t>
      </w:r>
      <w:r>
        <w:rPr>
          <w:rFonts w:hint="default" w:ascii="Times New Roman" w:hAnsi="Times New Roman"/>
          <w:color w:val="auto"/>
          <w:sz w:val="28"/>
          <w:szCs w:val="28"/>
          <w:lang w:val="ru-RU"/>
        </w:rPr>
        <w:t>31</w:t>
      </w:r>
      <w:r>
        <w:rPr>
          <w:rFonts w:ascii="Times New Roman" w:hAnsi="Times New Roman"/>
          <w:color w:val="auto"/>
          <w:sz w:val="28"/>
          <w:szCs w:val="28"/>
        </w:rPr>
        <w:t>]:</w:t>
      </w:r>
    </w:p>
    <w:p w14:paraId="18157725">
      <w:pPr>
        <w:pStyle w:val="20"/>
        <w:numPr>
          <w:ilvl w:val="0"/>
          <w:numId w:val="9"/>
        </w:numPr>
        <w:spacing w:after="0"/>
        <w:ind w:left="280" w:firstLine="709"/>
        <w:rPr>
          <w:rFonts w:ascii="Times New Roman" w:hAnsi="Times New Roman"/>
          <w:color w:val="auto"/>
          <w:sz w:val="28"/>
          <w:szCs w:val="28"/>
        </w:rPr>
      </w:pPr>
      <w:r>
        <w:rPr>
          <w:rFonts w:ascii="Times New Roman" w:hAnsi="Times New Roman"/>
          <w:color w:val="auto"/>
          <w:sz w:val="28"/>
          <w:szCs w:val="28"/>
        </w:rPr>
        <w:t>Бақылау (Б): микробиологиялық өңдеусіз ластанған топырақ</w:t>
      </w:r>
      <w:r>
        <w:rPr>
          <w:rFonts w:ascii="Times New Roman" w:hAnsi="Times New Roman"/>
          <w:color w:val="auto"/>
          <w:sz w:val="28"/>
          <w:szCs w:val="28"/>
          <w:lang w:val="kk-KZ"/>
        </w:rPr>
        <w:t>;</w:t>
      </w:r>
    </w:p>
    <w:p w14:paraId="414714E2">
      <w:pPr>
        <w:pStyle w:val="20"/>
        <w:numPr>
          <w:ilvl w:val="0"/>
          <w:numId w:val="9"/>
        </w:numPr>
        <w:spacing w:after="0"/>
        <w:ind w:left="280" w:firstLine="709"/>
        <w:rPr>
          <w:rFonts w:ascii="Times New Roman" w:hAnsi="Times New Roman"/>
          <w:color w:val="auto"/>
          <w:sz w:val="28"/>
          <w:szCs w:val="28"/>
        </w:rPr>
      </w:pPr>
      <w:r>
        <w:rPr>
          <w:rFonts w:ascii="Times New Roman" w:hAnsi="Times New Roman"/>
          <w:color w:val="auto"/>
          <w:sz w:val="28"/>
          <w:szCs w:val="28"/>
        </w:rPr>
        <w:t>Абиоттық бақылау (АБ): автоклавталған ластанған топырақ (121°C)</w:t>
      </w:r>
      <w:r>
        <w:rPr>
          <w:rFonts w:ascii="Times New Roman" w:hAnsi="Times New Roman"/>
          <w:color w:val="auto"/>
          <w:sz w:val="28"/>
          <w:szCs w:val="28"/>
          <w:lang w:val="kk-KZ"/>
        </w:rPr>
        <w:t>;</w:t>
      </w:r>
    </w:p>
    <w:p w14:paraId="6F9C609D">
      <w:pPr>
        <w:pStyle w:val="20"/>
        <w:numPr>
          <w:ilvl w:val="0"/>
          <w:numId w:val="9"/>
        </w:numPr>
        <w:spacing w:after="0"/>
        <w:ind w:left="280" w:firstLine="709"/>
        <w:rPr>
          <w:rFonts w:ascii="Times New Roman" w:hAnsi="Times New Roman"/>
          <w:color w:val="auto"/>
          <w:sz w:val="28"/>
          <w:szCs w:val="28"/>
        </w:rPr>
      </w:pPr>
      <w:r>
        <w:rPr>
          <w:rFonts w:ascii="Times New Roman" w:hAnsi="Times New Roman"/>
          <w:color w:val="auto"/>
          <w:sz w:val="28"/>
          <w:szCs w:val="28"/>
          <w:lang w:val="kk-KZ"/>
        </w:rPr>
        <w:t>Тасымалдаушы</w:t>
      </w:r>
      <w:r>
        <w:rPr>
          <w:rFonts w:ascii="Times New Roman" w:hAnsi="Times New Roman"/>
          <w:color w:val="auto"/>
          <w:sz w:val="28"/>
          <w:szCs w:val="28"/>
        </w:rPr>
        <w:t xml:space="preserve"> бақылауы (ТБ): ластанған топырақ + 5 г стерильденген ауыл шаруашылығы </w:t>
      </w:r>
      <w:r>
        <w:rPr>
          <w:rFonts w:ascii="Times New Roman" w:hAnsi="Times New Roman"/>
          <w:color w:val="auto"/>
          <w:sz w:val="28"/>
          <w:szCs w:val="28"/>
          <w:lang w:val="kk-KZ"/>
        </w:rPr>
        <w:t>тасымалдаушы</w:t>
      </w:r>
      <w:r>
        <w:rPr>
          <w:rFonts w:ascii="Times New Roman" w:hAnsi="Times New Roman"/>
          <w:color w:val="auto"/>
          <w:sz w:val="28"/>
          <w:szCs w:val="28"/>
        </w:rPr>
        <w:t>тары</w:t>
      </w:r>
      <w:r>
        <w:rPr>
          <w:rFonts w:ascii="Times New Roman" w:hAnsi="Times New Roman"/>
          <w:color w:val="auto"/>
          <w:sz w:val="28"/>
          <w:szCs w:val="28"/>
          <w:lang w:val="kk-KZ"/>
        </w:rPr>
        <w:t>;</w:t>
      </w:r>
    </w:p>
    <w:p w14:paraId="202EBB3D">
      <w:pPr>
        <w:pStyle w:val="20"/>
        <w:numPr>
          <w:ilvl w:val="0"/>
          <w:numId w:val="9"/>
        </w:numPr>
        <w:spacing w:after="0"/>
        <w:ind w:left="280" w:firstLine="709"/>
        <w:rPr>
          <w:rFonts w:ascii="Times New Roman" w:hAnsi="Times New Roman"/>
          <w:color w:val="auto"/>
          <w:sz w:val="28"/>
          <w:szCs w:val="28"/>
        </w:rPr>
      </w:pPr>
      <w:r>
        <w:rPr>
          <w:rFonts w:ascii="Times New Roman" w:hAnsi="Times New Roman"/>
          <w:color w:val="auto"/>
          <w:sz w:val="28"/>
          <w:szCs w:val="28"/>
        </w:rPr>
        <w:t xml:space="preserve">Бос клеткалар (БК): ластанған топырақ + 5 мл </w:t>
      </w:r>
      <w:r>
        <w:rPr>
          <w:rFonts w:ascii="Times New Roman" w:hAnsi="Times New Roman"/>
          <w:color w:val="auto"/>
          <w:sz w:val="28"/>
          <w:szCs w:val="28"/>
          <w:lang w:val="kk-KZ"/>
        </w:rPr>
        <w:t>бос</w:t>
      </w:r>
      <w:r>
        <w:rPr>
          <w:rFonts w:ascii="Times New Roman" w:hAnsi="Times New Roman"/>
          <w:color w:val="auto"/>
          <w:sz w:val="28"/>
          <w:szCs w:val="28"/>
        </w:rPr>
        <w:t xml:space="preserve"> бактериялық суспензия (~10⁸ КТБ·мл⁻¹)</w:t>
      </w:r>
      <w:r>
        <w:rPr>
          <w:rFonts w:ascii="Times New Roman" w:hAnsi="Times New Roman"/>
          <w:color w:val="auto"/>
          <w:sz w:val="28"/>
          <w:szCs w:val="28"/>
          <w:lang w:val="kk-KZ"/>
        </w:rPr>
        <w:t>;</w:t>
      </w:r>
    </w:p>
    <w:p w14:paraId="13806744">
      <w:pPr>
        <w:pStyle w:val="20"/>
        <w:numPr>
          <w:ilvl w:val="0"/>
          <w:numId w:val="9"/>
        </w:numPr>
        <w:spacing w:after="0"/>
        <w:ind w:left="280" w:firstLine="709"/>
        <w:rPr>
          <w:rFonts w:ascii="Times New Roman" w:hAnsi="Times New Roman"/>
          <w:color w:val="auto"/>
          <w:sz w:val="28"/>
          <w:szCs w:val="28"/>
        </w:rPr>
      </w:pPr>
      <w:r>
        <w:rPr>
          <w:rFonts w:ascii="Times New Roman" w:hAnsi="Times New Roman"/>
          <w:color w:val="auto"/>
          <w:sz w:val="28"/>
          <w:szCs w:val="28"/>
        </w:rPr>
        <w:t>Қарақұмық қауызы (ҚҚ): ластанған топырақ + 5 г қарақұмық қауызына иммобилизацияланған консорциум</w:t>
      </w:r>
      <w:r>
        <w:rPr>
          <w:rFonts w:ascii="Times New Roman" w:hAnsi="Times New Roman"/>
          <w:color w:val="auto"/>
          <w:sz w:val="28"/>
          <w:szCs w:val="28"/>
          <w:lang w:val="kk-KZ"/>
        </w:rPr>
        <w:t>;</w:t>
      </w:r>
    </w:p>
    <w:p w14:paraId="28DB0C14">
      <w:pPr>
        <w:pStyle w:val="20"/>
        <w:numPr>
          <w:ilvl w:val="0"/>
          <w:numId w:val="9"/>
        </w:numPr>
        <w:spacing w:after="0"/>
        <w:ind w:left="280" w:firstLine="709"/>
        <w:rPr>
          <w:rFonts w:ascii="Times New Roman" w:hAnsi="Times New Roman"/>
          <w:color w:val="auto"/>
          <w:sz w:val="28"/>
          <w:szCs w:val="28"/>
        </w:rPr>
      </w:pPr>
      <w:r>
        <w:rPr>
          <w:rFonts w:ascii="Times New Roman" w:hAnsi="Times New Roman"/>
          <w:color w:val="auto"/>
          <w:sz w:val="28"/>
          <w:szCs w:val="28"/>
        </w:rPr>
        <w:t>Күріш қауызы (КҚ): ластанған топырақ + 5 г күріш қауызына иммобилизацияланған консорциум</w:t>
      </w:r>
      <w:r>
        <w:rPr>
          <w:rFonts w:ascii="Times New Roman" w:hAnsi="Times New Roman"/>
          <w:color w:val="auto"/>
          <w:sz w:val="28"/>
          <w:szCs w:val="28"/>
          <w:lang w:val="kk-KZ"/>
        </w:rPr>
        <w:t>.</w:t>
      </w:r>
    </w:p>
    <w:p w14:paraId="4967B478">
      <w:pPr>
        <w:pStyle w:val="20"/>
        <w:spacing w:after="0"/>
        <w:ind w:firstLine="709"/>
        <w:rPr>
          <w:rFonts w:ascii="Times New Roman" w:hAnsi="Times New Roman"/>
          <w:color w:val="auto"/>
          <w:sz w:val="28"/>
          <w:szCs w:val="28"/>
        </w:rPr>
      </w:pPr>
      <w:r>
        <w:rPr>
          <w:rFonts w:ascii="Times New Roman" w:hAnsi="Times New Roman"/>
          <w:color w:val="auto"/>
          <w:sz w:val="28"/>
          <w:szCs w:val="28"/>
          <w:lang w:val="kk-KZ"/>
        </w:rPr>
        <w:t>Тасымалдаушы</w:t>
      </w:r>
      <w:r>
        <w:rPr>
          <w:rFonts w:ascii="Times New Roman" w:hAnsi="Times New Roman"/>
          <w:color w:val="auto"/>
          <w:sz w:val="28"/>
          <w:szCs w:val="28"/>
        </w:rPr>
        <w:t xml:space="preserve"> бақылауы физикалық адсорбция әсерлерін биологиялық деструкция процестерінен оқшаулау үшін жасалды.</w:t>
      </w:r>
    </w:p>
    <w:p w14:paraId="438C7892">
      <w:pPr>
        <w:pStyle w:val="20"/>
        <w:spacing w:after="0"/>
        <w:ind w:firstLine="709"/>
        <w:rPr>
          <w:rFonts w:ascii="Times New Roman" w:hAnsi="Times New Roman"/>
          <w:color w:val="auto"/>
          <w:sz w:val="28"/>
          <w:szCs w:val="28"/>
        </w:rPr>
      </w:pPr>
      <w:r>
        <w:rPr>
          <w:rFonts w:ascii="Times New Roman" w:hAnsi="Times New Roman"/>
          <w:color w:val="auto"/>
          <w:sz w:val="28"/>
          <w:szCs w:val="28"/>
        </w:rPr>
        <w:t>Жеке контейнерлер келесі уақыт нүктелерінде іріктеу үшін белгіленді:</w:t>
      </w:r>
    </w:p>
    <w:p w14:paraId="0444E1D8">
      <w:pPr>
        <w:pStyle w:val="20"/>
        <w:spacing w:after="0"/>
        <w:ind w:firstLine="709"/>
        <w:rPr>
          <w:rFonts w:ascii="Times New Roman" w:hAnsi="Times New Roman"/>
          <w:color w:val="auto"/>
          <w:sz w:val="28"/>
          <w:szCs w:val="28"/>
        </w:rPr>
      </w:pPr>
      <w:r>
        <w:rPr>
          <w:rFonts w:ascii="Times New Roman" w:hAnsi="Times New Roman"/>
          <w:color w:val="auto"/>
          <w:sz w:val="28"/>
          <w:szCs w:val="28"/>
        </w:rPr>
        <w:t>T₀ (0 күн, бастапқы)</w:t>
      </w:r>
    </w:p>
    <w:p w14:paraId="63D468E1">
      <w:pPr>
        <w:pStyle w:val="20"/>
        <w:spacing w:after="0"/>
        <w:ind w:firstLine="709"/>
        <w:rPr>
          <w:rFonts w:ascii="Times New Roman" w:hAnsi="Times New Roman"/>
          <w:color w:val="auto"/>
          <w:sz w:val="28"/>
          <w:szCs w:val="28"/>
        </w:rPr>
      </w:pPr>
      <w:r>
        <w:rPr>
          <w:rFonts w:ascii="Times New Roman" w:hAnsi="Times New Roman"/>
          <w:color w:val="auto"/>
          <w:sz w:val="28"/>
          <w:szCs w:val="28"/>
        </w:rPr>
        <w:t>T₁ (15 күн)</w:t>
      </w:r>
    </w:p>
    <w:p w14:paraId="6FD84EB1">
      <w:pPr>
        <w:pStyle w:val="20"/>
        <w:spacing w:after="0"/>
        <w:ind w:firstLine="709"/>
        <w:rPr>
          <w:rFonts w:ascii="Times New Roman" w:hAnsi="Times New Roman"/>
          <w:color w:val="auto"/>
          <w:sz w:val="28"/>
          <w:szCs w:val="28"/>
        </w:rPr>
      </w:pPr>
      <w:r>
        <w:rPr>
          <w:rFonts w:ascii="Times New Roman" w:hAnsi="Times New Roman"/>
          <w:color w:val="auto"/>
          <w:sz w:val="28"/>
          <w:szCs w:val="28"/>
        </w:rPr>
        <w:t>T₂ (30 күн)</w:t>
      </w:r>
    </w:p>
    <w:p w14:paraId="74825E4A">
      <w:pPr>
        <w:pStyle w:val="20"/>
        <w:spacing w:after="0"/>
        <w:ind w:firstLine="709"/>
        <w:rPr>
          <w:rFonts w:ascii="Times New Roman" w:hAnsi="Times New Roman"/>
          <w:color w:val="auto"/>
          <w:sz w:val="28"/>
          <w:szCs w:val="28"/>
        </w:rPr>
      </w:pPr>
      <w:r>
        <w:rPr>
          <w:rFonts w:ascii="Times New Roman" w:hAnsi="Times New Roman"/>
          <w:color w:val="auto"/>
          <w:sz w:val="28"/>
          <w:szCs w:val="28"/>
        </w:rPr>
        <w:t>T₃ (45 күн)</w:t>
      </w:r>
    </w:p>
    <w:p w14:paraId="28A64C69">
      <w:pPr>
        <w:pStyle w:val="20"/>
        <w:spacing w:after="0"/>
        <w:ind w:firstLine="709"/>
        <w:rPr>
          <w:rFonts w:ascii="Times New Roman" w:hAnsi="Times New Roman"/>
          <w:color w:val="auto"/>
          <w:sz w:val="28"/>
          <w:szCs w:val="28"/>
          <w:lang w:val="kk-KZ"/>
        </w:rPr>
      </w:pPr>
      <w:r>
        <w:rPr>
          <w:rFonts w:hint="default" w:ascii="Times New Roman" w:hAnsi="Times New Roman" w:eastAsia="SimSun" w:cs="Times New Roman"/>
          <w:color w:val="auto"/>
          <w:sz w:val="28"/>
          <w:szCs w:val="28"/>
        </w:rPr>
        <w:t>Әр уақыт нүктесінде 30 контейнер (нұсқа үшін 5 қайталану) талдау үшін толығымен пайдаланылды, әр контейнерден ЖМҚ анықтау үшін 5 г топырақ алынды және микробиологиялық және ферменттік талдауларға қосымша үлгілер жиналды</w:t>
      </w:r>
      <w:r>
        <w:rPr>
          <w:rFonts w:hint="default" w:ascii="Times New Roman" w:hAnsi="Times New Roman" w:cs="Times New Roman"/>
          <w:color w:val="auto"/>
          <w:sz w:val="28"/>
          <w:szCs w:val="28"/>
          <w:lang w:val="kk-KZ"/>
        </w:rPr>
        <w:t xml:space="preserve">. </w:t>
      </w:r>
      <w:r>
        <w:rPr>
          <w:rFonts w:ascii="Times New Roman" w:hAnsi="Times New Roman"/>
          <w:color w:val="auto"/>
          <w:sz w:val="28"/>
          <w:szCs w:val="28"/>
        </w:rPr>
        <w:t>Инкубация жағдайлар</w:t>
      </w:r>
      <w:r>
        <w:rPr>
          <w:rFonts w:ascii="Times New Roman" w:hAnsi="Times New Roman"/>
          <w:color w:val="auto"/>
          <w:sz w:val="28"/>
          <w:szCs w:val="28"/>
          <w:lang w:val="kk-KZ"/>
        </w:rPr>
        <w:t>ы (кесте -</w:t>
      </w:r>
      <w:r>
        <w:rPr>
          <w:rFonts w:ascii="Times New Roman" w:hAnsi="Times New Roman"/>
          <w:color w:val="auto"/>
          <w:sz w:val="28"/>
          <w:szCs w:val="28"/>
        </w:rPr>
        <w:t>7</w:t>
      </w:r>
      <w:r>
        <w:rPr>
          <w:rFonts w:ascii="Times New Roman" w:hAnsi="Times New Roman"/>
          <w:color w:val="auto"/>
          <w:sz w:val="28"/>
          <w:szCs w:val="28"/>
          <w:lang w:val="kk-KZ"/>
        </w:rPr>
        <w:t xml:space="preserve"> )</w:t>
      </w:r>
      <w:r>
        <w:rPr>
          <w:rFonts w:ascii="Times New Roman" w:hAnsi="Times New Roman"/>
          <w:color w:val="auto"/>
          <w:sz w:val="28"/>
          <w:szCs w:val="28"/>
        </w:rPr>
        <w:t xml:space="preserve"> </w:t>
      </w:r>
      <w:r>
        <w:rPr>
          <w:rFonts w:ascii="Times New Roman" w:hAnsi="Times New Roman"/>
          <w:color w:val="auto"/>
          <w:sz w:val="28"/>
          <w:szCs w:val="28"/>
          <w:lang w:val="kk-KZ"/>
        </w:rPr>
        <w:t>көрсетілген:</w:t>
      </w:r>
    </w:p>
    <w:p w14:paraId="784CDC32">
      <w:pPr>
        <w:pStyle w:val="20"/>
        <w:spacing w:after="0"/>
        <w:ind w:firstLine="709"/>
        <w:rPr>
          <w:rFonts w:ascii="Times New Roman" w:hAnsi="Times New Roman"/>
          <w:color w:val="auto"/>
          <w:sz w:val="28"/>
          <w:szCs w:val="28"/>
          <w:lang w:val="kk-KZ"/>
        </w:rPr>
      </w:pPr>
    </w:p>
    <w:p w14:paraId="13AFED7A">
      <w:pPr>
        <w:pStyle w:val="20"/>
        <w:spacing w:after="0"/>
        <w:rPr>
          <w:rFonts w:ascii="Times New Roman" w:hAnsi="Times New Roman"/>
          <w:color w:val="auto"/>
          <w:sz w:val="28"/>
          <w:szCs w:val="28"/>
          <w:lang w:val="kk-KZ"/>
        </w:rPr>
      </w:pPr>
      <w:r>
        <w:rPr>
          <w:rFonts w:ascii="Times New Roman" w:hAnsi="Times New Roman"/>
          <w:color w:val="auto"/>
          <w:sz w:val="28"/>
          <w:szCs w:val="28"/>
        </w:rPr>
        <w:t xml:space="preserve">Кесте 7 - </w:t>
      </w:r>
      <w:r>
        <w:rPr>
          <w:rFonts w:ascii="Times New Roman" w:hAnsi="Times New Roman"/>
          <w:color w:val="auto"/>
          <w:sz w:val="28"/>
          <w:szCs w:val="28"/>
          <w:lang w:val="kk-KZ"/>
        </w:rPr>
        <w:t>Эксперимент кезіндегі инкубация жағдайлары.</w:t>
      </w:r>
    </w:p>
    <w:p w14:paraId="63A8777F">
      <w:pPr>
        <w:pStyle w:val="20"/>
        <w:spacing w:after="0"/>
        <w:ind w:firstLine="709"/>
        <w:rPr>
          <w:rFonts w:ascii="Times New Roman" w:hAnsi="Times New Roman"/>
          <w:color w:val="auto"/>
          <w:sz w:val="28"/>
          <w:szCs w:val="28"/>
          <w:lang w:val="kk-KZ"/>
        </w:rPr>
      </w:pP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78"/>
        <w:gridCol w:w="4678"/>
      </w:tblGrid>
      <w:tr w14:paraId="1B1D0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8" w:type="dxa"/>
          </w:tcPr>
          <w:p w14:paraId="7A9305C0">
            <w:pPr>
              <w:pStyle w:val="20"/>
              <w:widowControl w:val="0"/>
              <w:spacing w:after="0"/>
              <w:ind w:firstLine="171"/>
              <w:rPr>
                <w:rFonts w:ascii="Times New Roman" w:hAnsi="Times New Roman"/>
                <w:color w:val="auto"/>
                <w:sz w:val="28"/>
                <w:szCs w:val="28"/>
                <w:lang w:val="kk-KZ"/>
              </w:rPr>
            </w:pPr>
            <w:r>
              <w:rPr>
                <w:rFonts w:ascii="Times New Roman" w:hAnsi="Times New Roman"/>
                <w:color w:val="auto"/>
                <w:sz w:val="28"/>
                <w:szCs w:val="28"/>
              </w:rPr>
              <w:t>Температура</w:t>
            </w:r>
          </w:p>
        </w:tc>
        <w:tc>
          <w:tcPr>
            <w:tcW w:w="4678" w:type="dxa"/>
          </w:tcPr>
          <w:p w14:paraId="58B4F86E">
            <w:pPr>
              <w:pStyle w:val="20"/>
              <w:widowControl w:val="0"/>
              <w:spacing w:after="0"/>
              <w:ind w:firstLine="709"/>
              <w:rPr>
                <w:rFonts w:ascii="Times New Roman" w:hAnsi="Times New Roman"/>
                <w:color w:val="auto"/>
                <w:sz w:val="28"/>
                <w:szCs w:val="28"/>
                <w:lang w:val="kk-KZ"/>
              </w:rPr>
            </w:pPr>
            <w:r>
              <w:rPr>
                <w:rFonts w:ascii="Times New Roman" w:hAnsi="Times New Roman"/>
                <w:color w:val="auto"/>
                <w:sz w:val="28"/>
                <w:szCs w:val="28"/>
              </w:rPr>
              <w:t>25-28°C</w:t>
            </w:r>
          </w:p>
        </w:tc>
      </w:tr>
      <w:tr w14:paraId="5CC1E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8" w:type="dxa"/>
          </w:tcPr>
          <w:p w14:paraId="569B045F">
            <w:pPr>
              <w:pStyle w:val="20"/>
              <w:widowControl w:val="0"/>
              <w:spacing w:after="0"/>
              <w:ind w:firstLine="171"/>
              <w:rPr>
                <w:rFonts w:ascii="Times New Roman" w:hAnsi="Times New Roman"/>
                <w:color w:val="auto"/>
                <w:sz w:val="28"/>
                <w:szCs w:val="28"/>
                <w:lang w:val="kk-KZ"/>
              </w:rPr>
            </w:pPr>
            <w:r>
              <w:rPr>
                <w:rFonts w:ascii="Times New Roman" w:hAnsi="Times New Roman"/>
                <w:color w:val="auto"/>
                <w:sz w:val="28"/>
                <w:szCs w:val="28"/>
              </w:rPr>
              <w:t>Салыстырмалы ауа ылғалдылығы</w:t>
            </w:r>
          </w:p>
        </w:tc>
        <w:tc>
          <w:tcPr>
            <w:tcW w:w="4678" w:type="dxa"/>
          </w:tcPr>
          <w:p w14:paraId="181FF4E8">
            <w:pPr>
              <w:pStyle w:val="20"/>
              <w:widowControl w:val="0"/>
              <w:spacing w:after="0"/>
              <w:ind w:firstLine="709"/>
              <w:rPr>
                <w:rFonts w:ascii="Times New Roman" w:hAnsi="Times New Roman"/>
                <w:color w:val="auto"/>
                <w:sz w:val="28"/>
                <w:szCs w:val="28"/>
                <w:lang w:val="kk-KZ"/>
              </w:rPr>
            </w:pPr>
            <w:r>
              <w:rPr>
                <w:rFonts w:ascii="Times New Roman" w:hAnsi="Times New Roman"/>
                <w:color w:val="auto"/>
                <w:sz w:val="28"/>
                <w:szCs w:val="28"/>
              </w:rPr>
              <w:t>60-70%</w:t>
            </w:r>
          </w:p>
        </w:tc>
      </w:tr>
      <w:tr w14:paraId="39249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8" w:type="dxa"/>
          </w:tcPr>
          <w:p w14:paraId="19DF4405">
            <w:pPr>
              <w:pStyle w:val="20"/>
              <w:widowControl w:val="0"/>
              <w:spacing w:after="0"/>
              <w:ind w:firstLine="171"/>
              <w:rPr>
                <w:rFonts w:ascii="Times New Roman" w:hAnsi="Times New Roman"/>
                <w:color w:val="auto"/>
                <w:sz w:val="28"/>
                <w:szCs w:val="28"/>
                <w:lang w:val="kk-KZ"/>
              </w:rPr>
            </w:pPr>
            <w:r>
              <w:rPr>
                <w:rFonts w:ascii="Times New Roman" w:hAnsi="Times New Roman"/>
                <w:color w:val="auto"/>
                <w:sz w:val="28"/>
                <w:szCs w:val="28"/>
              </w:rPr>
              <w:t>Топырақ ылғалдылығы</w:t>
            </w:r>
          </w:p>
        </w:tc>
        <w:tc>
          <w:tcPr>
            <w:tcW w:w="4678" w:type="dxa"/>
          </w:tcPr>
          <w:p w14:paraId="1DD1AE2E">
            <w:pPr>
              <w:pStyle w:val="20"/>
              <w:widowControl w:val="0"/>
              <w:spacing w:after="0"/>
              <w:ind w:firstLine="709"/>
              <w:rPr>
                <w:rFonts w:ascii="Times New Roman" w:hAnsi="Times New Roman"/>
                <w:color w:val="auto"/>
                <w:sz w:val="28"/>
                <w:szCs w:val="28"/>
                <w:lang w:val="kk-KZ"/>
              </w:rPr>
            </w:pPr>
            <w:r>
              <w:rPr>
                <w:rFonts w:ascii="Times New Roman" w:hAnsi="Times New Roman"/>
                <w:color w:val="auto"/>
                <w:sz w:val="28"/>
                <w:szCs w:val="28"/>
              </w:rPr>
              <w:t>60-70%</w:t>
            </w:r>
          </w:p>
        </w:tc>
      </w:tr>
      <w:tr w14:paraId="54A44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8" w:type="dxa"/>
          </w:tcPr>
          <w:p w14:paraId="6E0DB660">
            <w:pPr>
              <w:pStyle w:val="20"/>
              <w:widowControl w:val="0"/>
              <w:spacing w:after="0"/>
              <w:ind w:firstLine="171"/>
              <w:rPr>
                <w:rFonts w:ascii="Times New Roman" w:hAnsi="Times New Roman"/>
                <w:color w:val="auto"/>
                <w:sz w:val="28"/>
                <w:szCs w:val="28"/>
              </w:rPr>
            </w:pPr>
            <w:r>
              <w:rPr>
                <w:rFonts w:ascii="Times New Roman" w:hAnsi="Times New Roman"/>
                <w:color w:val="auto"/>
                <w:sz w:val="28"/>
                <w:szCs w:val="28"/>
              </w:rPr>
              <w:t>Ұзақтығы</w:t>
            </w:r>
          </w:p>
        </w:tc>
        <w:tc>
          <w:tcPr>
            <w:tcW w:w="4678" w:type="dxa"/>
          </w:tcPr>
          <w:p w14:paraId="6772F148">
            <w:pPr>
              <w:pStyle w:val="20"/>
              <w:widowControl w:val="0"/>
              <w:spacing w:after="0"/>
              <w:ind w:firstLine="709"/>
              <w:rPr>
                <w:rFonts w:ascii="Times New Roman" w:hAnsi="Times New Roman"/>
                <w:color w:val="auto"/>
                <w:sz w:val="28"/>
                <w:szCs w:val="28"/>
              </w:rPr>
            </w:pPr>
            <w:r>
              <w:rPr>
                <w:rFonts w:ascii="Times New Roman" w:hAnsi="Times New Roman"/>
                <w:color w:val="auto"/>
                <w:sz w:val="28"/>
                <w:szCs w:val="28"/>
              </w:rPr>
              <w:t>45 күн</w:t>
            </w:r>
          </w:p>
        </w:tc>
      </w:tr>
    </w:tbl>
    <w:p w14:paraId="672EC8BC">
      <w:pPr>
        <w:pStyle w:val="20"/>
        <w:spacing w:after="0"/>
        <w:ind w:firstLine="709"/>
        <w:rPr>
          <w:rFonts w:ascii="Times New Roman" w:hAnsi="Times New Roman"/>
          <w:i/>
          <w:iCs/>
          <w:color w:val="auto"/>
          <w:sz w:val="28"/>
          <w:szCs w:val="28"/>
          <w:lang w:val="kk-KZ"/>
        </w:rPr>
      </w:pPr>
    </w:p>
    <w:p w14:paraId="49166F15">
      <w:pPr>
        <w:pStyle w:val="20"/>
        <w:spacing w:after="0"/>
        <w:ind w:firstLine="709"/>
        <w:rPr>
          <w:rFonts w:ascii="Times New Roman" w:hAnsi="Times New Roman"/>
          <w:i/>
          <w:iCs/>
          <w:color w:val="auto"/>
          <w:sz w:val="28"/>
          <w:szCs w:val="28"/>
          <w:lang w:val="kk-KZ"/>
        </w:rPr>
      </w:pPr>
      <w:r>
        <w:rPr>
          <w:rFonts w:ascii="Times New Roman" w:hAnsi="Times New Roman"/>
          <w:i/>
          <w:iCs/>
          <w:color w:val="auto"/>
          <w:sz w:val="28"/>
          <w:szCs w:val="28"/>
          <w:lang w:val="kk-KZ"/>
        </w:rPr>
        <w:t>Тірі жасушалар санын анықтау</w:t>
      </w:r>
    </w:p>
    <w:p w14:paraId="0FAE764C">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kk-KZ"/>
        </w:rPr>
        <w:t>Тірі жасушалар саны сериялық сұйылту арқылы себу әдісімен анықталды. Келесі орталар қолданылды:</w:t>
      </w:r>
    </w:p>
    <w:p w14:paraId="4B663A35">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kk-KZ"/>
        </w:rPr>
        <w:t>- Қоректік агар (Nutrient agar) – жалпы микробтар саны үшін</w:t>
      </w:r>
    </w:p>
    <w:p w14:paraId="75B71C0E">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kk-KZ"/>
        </w:rPr>
        <w:t>- Минералды орта + 0,5% мұнай – көмірсутектерді тотықтырушы бактериялар үшін</w:t>
      </w:r>
    </w:p>
    <w:p w14:paraId="28936B7A">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kk-KZ"/>
        </w:rPr>
        <w:t>Қосымша тексеру үшін 3M Petrifilm жылдам есептеу әдісі пайдаланылды [100].</w:t>
      </w:r>
    </w:p>
    <w:p w14:paraId="23E34223">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kk-KZ"/>
        </w:rPr>
        <w:t>Тасымалдаушы сынамалары (1 г) 9 мл стерильді физиологиялық ерітіндіде (0,85% NaCl) суспендирленіп, орбиталды шейкерде 150 айн/мин жылдамдықта 15 минут бойы шайқалды. 10⁻¹-ден 10⁻⁸ дейінгі ондық сұйылтулар дайындалды. Әр сұйылтудан 0,1 мл аликвоттар  орталарға себілді. Микроорганизм штаммалары петри табақшаларында 28°C температурада 48-72 сағат инкубацияланды. Іріктеу уақыт нүктелері: 0, 15, 30, 45 күндер</w:t>
      </w:r>
      <w:r>
        <w:rPr>
          <w:rFonts w:hint="default" w:ascii="Times New Roman" w:hAnsi="Times New Roman"/>
          <w:color w:val="auto"/>
          <w:sz w:val="28"/>
          <w:szCs w:val="28"/>
          <w:lang w:val="kk-KZ"/>
        </w:rPr>
        <w:t xml:space="preserve"> </w:t>
      </w:r>
      <w:r>
        <w:rPr>
          <w:rFonts w:hint="default" w:ascii="Times New Roman" w:hAnsi="Times New Roman"/>
          <w:color w:val="auto"/>
          <w:sz w:val="28"/>
          <w:szCs w:val="28"/>
          <w:lang w:val="en-US"/>
        </w:rPr>
        <w:t>[1</w:t>
      </w:r>
      <w:r>
        <w:rPr>
          <w:rFonts w:hint="default" w:ascii="Times New Roman" w:hAnsi="Times New Roman"/>
          <w:color w:val="auto"/>
          <w:sz w:val="28"/>
          <w:szCs w:val="28"/>
          <w:lang w:val="ru-RU"/>
        </w:rPr>
        <w:t>31</w:t>
      </w:r>
      <w:r>
        <w:rPr>
          <w:rFonts w:hint="default" w:ascii="Times New Roman" w:hAnsi="Times New Roman"/>
          <w:color w:val="auto"/>
          <w:sz w:val="28"/>
          <w:szCs w:val="28"/>
          <w:lang w:val="en-US"/>
        </w:rPr>
        <w:t>]</w:t>
      </w:r>
      <w:r>
        <w:rPr>
          <w:rFonts w:ascii="Times New Roman" w:hAnsi="Times New Roman"/>
          <w:color w:val="auto"/>
          <w:sz w:val="28"/>
          <w:szCs w:val="28"/>
          <w:lang w:val="kk-KZ"/>
        </w:rPr>
        <w:t>.</w:t>
      </w:r>
    </w:p>
    <w:p w14:paraId="178592EF">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kk-KZ"/>
        </w:rPr>
        <w:t xml:space="preserve">Колониялар 30-300 диапазонындағы табақшаларда есептелініп, нәтижелер КТБ/г құрғақ тасымалдаушы түрінде көрсетілді. Қосымша тексеру үшін 3M </w:t>
      </w:r>
      <w:r>
        <w:rPr>
          <w:rFonts w:ascii="Times New Roman" w:hAnsi="Times New Roman"/>
          <w:i/>
          <w:iCs/>
          <w:color w:val="auto"/>
          <w:sz w:val="28"/>
          <w:szCs w:val="28"/>
          <w:lang w:val="kk-KZ"/>
        </w:rPr>
        <w:t>Petrifilm Aerobic Count Plates</w:t>
      </w:r>
      <w:r>
        <w:rPr>
          <w:rFonts w:ascii="Times New Roman" w:hAnsi="Times New Roman"/>
          <w:color w:val="auto"/>
          <w:sz w:val="28"/>
          <w:szCs w:val="28"/>
          <w:lang w:val="kk-KZ"/>
        </w:rPr>
        <w:t xml:space="preserve"> жүйесі өндіруші нұсқауына сәйкес пайдаланылды. Екі әдіс арасындағы корреляция жоғары болды (R² &gt; 0,95), бұл нәтижелердің сенімділігін растайды.</w:t>
      </w:r>
    </w:p>
    <w:p w14:paraId="208F44EF">
      <w:pPr>
        <w:pStyle w:val="20"/>
        <w:spacing w:after="0"/>
        <w:ind w:firstLine="709"/>
        <w:rPr>
          <w:rFonts w:ascii="Times New Roman" w:hAnsi="Times New Roman"/>
          <w:color w:val="auto"/>
          <w:sz w:val="28"/>
          <w:szCs w:val="28"/>
          <w:lang w:val="kk-KZ"/>
        </w:rPr>
      </w:pPr>
    </w:p>
    <w:p w14:paraId="0F71988F">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kk-KZ"/>
        </w:rPr>
        <w:t>Эксперимент 2: Температура және тұздылық стресс жағдайларында биоремедиация</w:t>
      </w:r>
      <w:r>
        <w:rPr>
          <w:rFonts w:ascii="Times New Roman" w:hAnsi="Times New Roman"/>
          <w:color w:val="auto"/>
          <w:sz w:val="28"/>
          <w:szCs w:val="28"/>
        </w:rPr>
        <w:t xml:space="preserve"> [1</w:t>
      </w:r>
      <w:r>
        <w:rPr>
          <w:rFonts w:hint="default" w:ascii="Times New Roman" w:hAnsi="Times New Roman"/>
          <w:color w:val="auto"/>
          <w:sz w:val="28"/>
          <w:szCs w:val="28"/>
          <w:lang w:val="ru-RU"/>
        </w:rPr>
        <w:t>42</w:t>
      </w:r>
      <w:r>
        <w:rPr>
          <w:rFonts w:ascii="Times New Roman" w:hAnsi="Times New Roman"/>
          <w:color w:val="auto"/>
          <w:sz w:val="28"/>
          <w:szCs w:val="28"/>
        </w:rPr>
        <w:t>]:</w:t>
      </w:r>
    </w:p>
    <w:p w14:paraId="4FDB06AE">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kk-KZ"/>
        </w:rPr>
        <w:t>Батыс Қазақстан топырақтары жоғары тұздылық деңгейімен және құрғақ климаттық жағдайлармен сипатталады, мұнда хлоридті-натрийлі және сульфатты-магнийлі тұздану типтері басым. Эксперименттік дизайн келесі өңдеу топтарын қамтыды (әр топта n=3):</w:t>
      </w:r>
    </w:p>
    <w:p w14:paraId="7EA8CEE9">
      <w:pPr>
        <w:pStyle w:val="20"/>
        <w:numPr>
          <w:ilvl w:val="0"/>
          <w:numId w:val="10"/>
        </w:numPr>
        <w:spacing w:after="0"/>
        <w:ind w:left="280" w:firstLine="709"/>
        <w:rPr>
          <w:rFonts w:ascii="Times New Roman" w:hAnsi="Times New Roman"/>
          <w:color w:val="auto"/>
          <w:sz w:val="28"/>
          <w:szCs w:val="28"/>
          <w:lang w:val="kk-KZ"/>
        </w:rPr>
      </w:pPr>
      <w:r>
        <w:rPr>
          <w:rFonts w:ascii="Times New Roman" w:hAnsi="Times New Roman"/>
          <w:color w:val="auto"/>
          <w:sz w:val="28"/>
          <w:szCs w:val="28"/>
          <w:lang w:val="kk-KZ"/>
        </w:rPr>
        <w:t>Бақылау 1: Микробиологиялық қоспасыз ластанған топырақ</w:t>
      </w:r>
    </w:p>
    <w:p w14:paraId="6B9A2585">
      <w:pPr>
        <w:pStyle w:val="20"/>
        <w:numPr>
          <w:ilvl w:val="0"/>
          <w:numId w:val="10"/>
        </w:numPr>
        <w:spacing w:after="0"/>
        <w:ind w:left="280" w:firstLine="709"/>
        <w:rPr>
          <w:rFonts w:ascii="Times New Roman" w:hAnsi="Times New Roman"/>
          <w:color w:val="auto"/>
          <w:sz w:val="28"/>
          <w:szCs w:val="28"/>
          <w:lang w:val="kk-KZ"/>
        </w:rPr>
      </w:pPr>
      <w:r>
        <w:rPr>
          <w:rFonts w:ascii="Times New Roman" w:hAnsi="Times New Roman"/>
          <w:color w:val="auto"/>
          <w:sz w:val="28"/>
          <w:szCs w:val="28"/>
          <w:lang w:val="kk-KZ"/>
        </w:rPr>
        <w:t>Бақылау 2: бос бактериялық жасушалармен ластанған топырақ</w:t>
      </w:r>
    </w:p>
    <w:p w14:paraId="05BDA7E5">
      <w:pPr>
        <w:pStyle w:val="20"/>
        <w:numPr>
          <w:ilvl w:val="0"/>
          <w:numId w:val="10"/>
        </w:numPr>
        <w:spacing w:after="0"/>
        <w:ind w:left="280" w:firstLine="709"/>
        <w:rPr>
          <w:rFonts w:ascii="Times New Roman" w:hAnsi="Times New Roman"/>
          <w:color w:val="auto"/>
          <w:sz w:val="28"/>
          <w:szCs w:val="28"/>
          <w:lang w:val="kk-KZ"/>
        </w:rPr>
      </w:pPr>
      <w:r>
        <w:rPr>
          <w:rFonts w:ascii="Times New Roman" w:hAnsi="Times New Roman"/>
          <w:color w:val="auto"/>
          <w:sz w:val="28"/>
          <w:szCs w:val="28"/>
          <w:lang w:val="kk-KZ"/>
        </w:rPr>
        <w:t>Өңдеу 1: Қарақұмық қауызына иммобилизацияланған бактериялармен ластанған топырақ</w:t>
      </w:r>
    </w:p>
    <w:p w14:paraId="649ECD1F">
      <w:pPr>
        <w:pStyle w:val="20"/>
        <w:numPr>
          <w:ilvl w:val="0"/>
          <w:numId w:val="10"/>
        </w:numPr>
        <w:spacing w:after="0"/>
        <w:ind w:left="280" w:firstLine="709"/>
        <w:rPr>
          <w:rFonts w:ascii="Times New Roman" w:hAnsi="Times New Roman"/>
          <w:color w:val="auto"/>
          <w:sz w:val="28"/>
          <w:szCs w:val="28"/>
          <w:lang w:val="kk-KZ"/>
        </w:rPr>
      </w:pPr>
      <w:r>
        <w:rPr>
          <w:rFonts w:ascii="Times New Roman" w:hAnsi="Times New Roman"/>
          <w:color w:val="auto"/>
          <w:sz w:val="28"/>
          <w:szCs w:val="28"/>
          <w:lang w:val="kk-KZ"/>
        </w:rPr>
        <w:t>Өңдеу 2: Күріш қауызына иммобилизацияланған бактериялармен ластанған топырақ</w:t>
      </w:r>
    </w:p>
    <w:p w14:paraId="258E7E45">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kk-KZ"/>
        </w:rPr>
        <w:t>Әр микрокосм 10⁶ КТБ/г топырақ соңғы жасуша тығыздығына жету үшін бос немесе иммобилизацияланған бактериялардың стандартталған мөлшерімен инокуляцияланды. Ылғалдылық эксперимент бойы су ұстау қабілетінің 60% деңгейінде мерзімді стерильді су қосу арқылы сақталды.</w:t>
      </w:r>
    </w:p>
    <w:p w14:paraId="1E838F32">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kk-KZ"/>
        </w:rPr>
        <w:t>Микрокосмдар үш температуралық режимде бағдарламаланатын қоршаған орта камераларында инкубацияланды:</w:t>
      </w:r>
    </w:p>
    <w:p w14:paraId="612AAC25">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kk-KZ"/>
        </w:rPr>
        <w:t>+4°C – қыс жағдайларын имитациялау</w:t>
      </w:r>
    </w:p>
    <w:p w14:paraId="3B91FF74">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kk-KZ"/>
        </w:rPr>
        <w:t>+28-32°C – орташа температура (оңтайлы жағдайлар)</w:t>
      </w:r>
    </w:p>
    <w:p w14:paraId="617FF146">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kk-KZ"/>
        </w:rPr>
        <w:t>+38-42°C – жоғары температура (экстремалды жағдайлар)</w:t>
      </w:r>
    </w:p>
    <w:p w14:paraId="7FDDB24D">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kk-KZ"/>
        </w:rPr>
        <w:t>Әр температуралық жағдай ±1°C дәлдікпен сақталды, ал салыстырмалы ылғалдылық артық ылғал жоғалтуын болдырмау үшін 70-80% деңгейінде бақыланды. Эксперимент ұзақтығы 45 күн болды.</w:t>
      </w:r>
    </w:p>
    <w:p w14:paraId="20223AAB">
      <w:pPr>
        <w:pStyle w:val="20"/>
        <w:spacing w:after="0"/>
        <w:ind w:firstLine="709"/>
        <w:rPr>
          <w:rFonts w:ascii="Times New Roman" w:hAnsi="Times New Roman"/>
          <w:i/>
          <w:iCs/>
          <w:color w:val="auto"/>
          <w:sz w:val="28"/>
          <w:szCs w:val="28"/>
          <w:lang w:val="kk-KZ"/>
        </w:rPr>
      </w:pPr>
      <w:r>
        <w:rPr>
          <w:rFonts w:ascii="Times New Roman" w:hAnsi="Times New Roman"/>
          <w:i/>
          <w:iCs/>
          <w:color w:val="auto"/>
          <w:sz w:val="28"/>
          <w:szCs w:val="28"/>
          <w:lang w:val="kk-KZ"/>
        </w:rPr>
        <w:t>Тұздылық стресс жағдайлары</w:t>
      </w:r>
    </w:p>
    <w:p w14:paraId="303A8A25">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kk-KZ"/>
        </w:rPr>
        <w:t xml:space="preserve">Тұздылық стресс жағдайлары құрғақ аймақтардағы мұнай өндіретін аймақтарда кездесетін орташа және экстремалды тұздылық деңгейлерін білдіретін концентрацияларда аналитикалық сападағы </w:t>
      </w:r>
      <w:r>
        <w:rPr>
          <w:rFonts w:ascii="Times New Roman" w:hAnsi="Times New Roman"/>
          <w:i/>
          <w:iCs/>
          <w:color w:val="auto"/>
          <w:sz w:val="28"/>
          <w:szCs w:val="28"/>
          <w:lang w:val="kk-KZ"/>
        </w:rPr>
        <w:t>NaCl</w:t>
      </w:r>
      <w:r>
        <w:rPr>
          <w:rFonts w:ascii="Times New Roman" w:hAnsi="Times New Roman"/>
          <w:color w:val="auto"/>
          <w:sz w:val="28"/>
          <w:szCs w:val="28"/>
          <w:lang w:val="kk-KZ"/>
        </w:rPr>
        <w:t xml:space="preserve"> қосу арқылы қолданылды:</w:t>
      </w:r>
    </w:p>
    <w:p w14:paraId="4E8CC315">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kk-KZ"/>
        </w:rPr>
        <w:t>-  5%</w:t>
      </w:r>
      <w:r>
        <w:rPr>
          <w:rFonts w:ascii="Times New Roman" w:hAnsi="Times New Roman"/>
          <w:i/>
          <w:iCs/>
          <w:color w:val="auto"/>
          <w:sz w:val="28"/>
          <w:szCs w:val="28"/>
          <w:lang w:val="kk-KZ"/>
        </w:rPr>
        <w:t>NaCl (w/w</w:t>
      </w:r>
      <w:r>
        <w:rPr>
          <w:rFonts w:ascii="Times New Roman" w:hAnsi="Times New Roman"/>
          <w:color w:val="auto"/>
          <w:sz w:val="28"/>
          <w:szCs w:val="28"/>
          <w:lang w:val="kk-KZ"/>
        </w:rPr>
        <w:t>) – төмен тұздылық</w:t>
      </w:r>
    </w:p>
    <w:p w14:paraId="599F4C58">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kk-KZ"/>
        </w:rPr>
        <w:t xml:space="preserve">- 13% </w:t>
      </w:r>
      <w:r>
        <w:rPr>
          <w:rFonts w:ascii="Times New Roman" w:hAnsi="Times New Roman"/>
          <w:i/>
          <w:iCs/>
          <w:color w:val="auto"/>
          <w:sz w:val="28"/>
          <w:szCs w:val="28"/>
          <w:lang w:val="kk-KZ"/>
        </w:rPr>
        <w:t>NaCl (w/w</w:t>
      </w:r>
      <w:r>
        <w:rPr>
          <w:rFonts w:ascii="Times New Roman" w:hAnsi="Times New Roman"/>
          <w:color w:val="auto"/>
          <w:sz w:val="28"/>
          <w:szCs w:val="28"/>
          <w:lang w:val="kk-KZ"/>
        </w:rPr>
        <w:t>) – орташа тұздылық</w:t>
      </w:r>
    </w:p>
    <w:p w14:paraId="1C713B08">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kk-KZ"/>
        </w:rPr>
        <w:t xml:space="preserve">- 10% </w:t>
      </w:r>
      <w:r>
        <w:rPr>
          <w:rFonts w:ascii="Times New Roman" w:hAnsi="Times New Roman"/>
          <w:i/>
          <w:iCs/>
          <w:color w:val="auto"/>
          <w:sz w:val="28"/>
          <w:szCs w:val="28"/>
          <w:lang w:val="kk-KZ"/>
        </w:rPr>
        <w:t>NaCl (w/w</w:t>
      </w:r>
      <w:r>
        <w:rPr>
          <w:rFonts w:ascii="Times New Roman" w:hAnsi="Times New Roman"/>
          <w:color w:val="auto"/>
          <w:sz w:val="28"/>
          <w:szCs w:val="28"/>
          <w:lang w:val="kk-KZ"/>
        </w:rPr>
        <w:t>) – жоғары тұздылық (экстремалды жағдайлар)</w:t>
      </w:r>
    </w:p>
    <w:p w14:paraId="788F0370">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kk-KZ"/>
        </w:rPr>
        <w:t xml:space="preserve">Табиғи тұзды топырақтарда кездесетін күрделі тұз құрамын имитациялау үшін таңдалған микрокосмдарға қосымша </w:t>
      </w:r>
      <w:r>
        <w:rPr>
          <w:rFonts w:ascii="Times New Roman" w:hAnsi="Times New Roman"/>
          <w:i/>
          <w:iCs/>
          <w:color w:val="auto"/>
          <w:sz w:val="28"/>
          <w:szCs w:val="28"/>
          <w:lang w:val="kk-KZ"/>
        </w:rPr>
        <w:t>MgSO₄·7H₂O</w:t>
      </w:r>
      <w:r>
        <w:rPr>
          <w:rFonts w:ascii="Times New Roman" w:hAnsi="Times New Roman"/>
          <w:color w:val="auto"/>
          <w:sz w:val="28"/>
          <w:szCs w:val="28"/>
          <w:lang w:val="kk-KZ"/>
        </w:rPr>
        <w:t xml:space="preserve"> келесі концентрацияларда қосылды: 0,5% </w:t>
      </w:r>
      <w:r>
        <w:rPr>
          <w:rFonts w:ascii="Times New Roman" w:hAnsi="Times New Roman"/>
          <w:i/>
          <w:iCs/>
          <w:color w:val="auto"/>
          <w:sz w:val="28"/>
          <w:szCs w:val="28"/>
          <w:lang w:val="kk-KZ"/>
        </w:rPr>
        <w:t>MgSO₄</w:t>
      </w:r>
      <w:r>
        <w:rPr>
          <w:rFonts w:ascii="Times New Roman" w:hAnsi="Times New Roman"/>
          <w:color w:val="auto"/>
          <w:sz w:val="28"/>
          <w:szCs w:val="28"/>
          <w:lang w:val="kk-KZ"/>
        </w:rPr>
        <w:t xml:space="preserve"> (</w:t>
      </w:r>
      <w:r>
        <w:rPr>
          <w:rFonts w:ascii="Times New Roman" w:hAnsi="Times New Roman"/>
          <w:i/>
          <w:iCs/>
          <w:color w:val="auto"/>
          <w:sz w:val="28"/>
          <w:szCs w:val="28"/>
          <w:lang w:val="kk-KZ"/>
        </w:rPr>
        <w:t>w/w</w:t>
      </w:r>
      <w:r>
        <w:rPr>
          <w:rFonts w:ascii="Times New Roman" w:hAnsi="Times New Roman"/>
          <w:color w:val="auto"/>
          <w:sz w:val="28"/>
          <w:szCs w:val="28"/>
          <w:lang w:val="kk-KZ"/>
        </w:rPr>
        <w:t xml:space="preserve">); 1% </w:t>
      </w:r>
      <w:r>
        <w:rPr>
          <w:rFonts w:ascii="Times New Roman" w:hAnsi="Times New Roman"/>
          <w:i/>
          <w:iCs/>
          <w:color w:val="auto"/>
          <w:sz w:val="28"/>
          <w:szCs w:val="28"/>
          <w:lang w:val="kk-KZ"/>
        </w:rPr>
        <w:t>MgSO₄</w:t>
      </w:r>
      <w:r>
        <w:rPr>
          <w:rFonts w:ascii="Times New Roman" w:hAnsi="Times New Roman"/>
          <w:color w:val="auto"/>
          <w:sz w:val="28"/>
          <w:szCs w:val="28"/>
          <w:lang w:val="kk-KZ"/>
        </w:rPr>
        <w:t xml:space="preserve"> (</w:t>
      </w:r>
      <w:r>
        <w:rPr>
          <w:rFonts w:ascii="Times New Roman" w:hAnsi="Times New Roman"/>
          <w:i/>
          <w:iCs/>
          <w:color w:val="auto"/>
          <w:sz w:val="28"/>
          <w:szCs w:val="28"/>
          <w:lang w:val="kk-KZ"/>
        </w:rPr>
        <w:t>w/w</w:t>
      </w:r>
      <w:r>
        <w:rPr>
          <w:rFonts w:ascii="Times New Roman" w:hAnsi="Times New Roman"/>
          <w:color w:val="auto"/>
          <w:sz w:val="28"/>
          <w:szCs w:val="28"/>
          <w:lang w:val="kk-KZ"/>
        </w:rPr>
        <w:t>).</w:t>
      </w:r>
    </w:p>
    <w:p w14:paraId="543C6838">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kk-KZ"/>
        </w:rPr>
        <w:t>Әр өңдеу тобы үшін барлық температура және тұз концентрациясының комбинациялары зерттелді.</w:t>
      </w:r>
    </w:p>
    <w:p w14:paraId="156332A9">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kk-KZ"/>
        </w:rPr>
        <w:t>Эксперименттік кезең бойы микробтық тіршілік етуді бақылау үшін микробтық жасушаларды сандық санау МЕМСТ 1</w:t>
      </w:r>
      <w:r>
        <w:rPr>
          <w:rFonts w:ascii="Times New Roman" w:hAnsi="Times New Roman"/>
          <w:color w:val="auto"/>
          <w:sz w:val="28"/>
          <w:szCs w:val="28"/>
          <w:lang w:val="ru-RU"/>
        </w:rPr>
        <w:t>7,4,4,</w:t>
      </w:r>
      <w:r>
        <w:rPr>
          <w:rFonts w:ascii="Times New Roman" w:hAnsi="Times New Roman"/>
          <w:color w:val="auto"/>
          <w:sz w:val="28"/>
          <w:szCs w:val="28"/>
          <w:lang w:val="kk-KZ"/>
        </w:rPr>
        <w:t>02-201</w:t>
      </w:r>
      <w:r>
        <w:rPr>
          <w:rFonts w:ascii="Times New Roman" w:hAnsi="Times New Roman"/>
          <w:color w:val="auto"/>
          <w:sz w:val="28"/>
          <w:szCs w:val="28"/>
          <w:lang w:val="ru-RU"/>
        </w:rPr>
        <w:t>7,</w:t>
      </w:r>
      <w:r>
        <w:rPr>
          <w:rFonts w:ascii="Times New Roman" w:hAnsi="Times New Roman"/>
          <w:color w:val="auto"/>
          <w:sz w:val="28"/>
          <w:szCs w:val="28"/>
          <w:lang w:val="kk-KZ"/>
        </w:rPr>
        <w:t xml:space="preserve"> [1</w:t>
      </w:r>
      <w:r>
        <w:rPr>
          <w:rFonts w:hint="default" w:ascii="Times New Roman" w:hAnsi="Times New Roman"/>
          <w:color w:val="auto"/>
          <w:sz w:val="28"/>
          <w:szCs w:val="28"/>
          <w:lang w:val="ru-RU"/>
        </w:rPr>
        <w:t>43</w:t>
      </w:r>
      <w:r>
        <w:rPr>
          <w:rFonts w:ascii="Times New Roman" w:hAnsi="Times New Roman"/>
          <w:color w:val="auto"/>
          <w:sz w:val="28"/>
          <w:szCs w:val="28"/>
          <w:lang w:val="kk-KZ"/>
        </w:rPr>
        <w:t>] сәйкес қатты өсу орталарында сериялық сұйылту және себу әдістерімен орындалды.</w:t>
      </w:r>
    </w:p>
    <w:p w14:paraId="37074C92">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kk-KZ"/>
        </w:rPr>
        <w:t xml:space="preserve">Топырақ үлгілері (1 г) әр микрокосмның ішінен кездейсоқ таңдалған үш нүктеден стерильді қалақшалар қолданып жиналып, бір композиттік үлгіге біріктірілді. Композиттік үлгі 9 мл стерильді физиологиялық ерітіндіде (0,85% </w:t>
      </w:r>
      <w:r>
        <w:rPr>
          <w:rFonts w:ascii="Times New Roman" w:hAnsi="Times New Roman"/>
          <w:i/>
          <w:iCs/>
          <w:color w:val="auto"/>
          <w:sz w:val="28"/>
          <w:szCs w:val="28"/>
          <w:lang w:val="kk-KZ"/>
        </w:rPr>
        <w:t>NaCl</w:t>
      </w:r>
      <w:r>
        <w:rPr>
          <w:rFonts w:ascii="Times New Roman" w:hAnsi="Times New Roman"/>
          <w:color w:val="auto"/>
          <w:sz w:val="28"/>
          <w:szCs w:val="28"/>
          <w:lang w:val="kk-KZ"/>
        </w:rPr>
        <w:t>) суспендирленіп, LAB-PU-01 лабораториялық шейкерде 2 минут бойы шайқалды.</w:t>
      </w:r>
    </w:p>
    <w:p w14:paraId="7E046E29">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kk-KZ"/>
        </w:rPr>
        <w:t>10⁻¹-ден 10⁻⁸ дейінгі сериялық ондық сұйылтулар [</w:t>
      </w:r>
      <w:r>
        <w:rPr>
          <w:rFonts w:hint="default" w:ascii="Times New Roman" w:hAnsi="Times New Roman"/>
          <w:color w:val="auto"/>
          <w:sz w:val="28"/>
          <w:szCs w:val="28"/>
          <w:lang w:val="ru-RU"/>
        </w:rPr>
        <w:t>144</w:t>
      </w:r>
      <w:r>
        <w:rPr>
          <w:rFonts w:ascii="Times New Roman" w:hAnsi="Times New Roman"/>
          <w:color w:val="auto"/>
          <w:sz w:val="28"/>
          <w:szCs w:val="28"/>
          <w:lang w:val="kk-KZ"/>
        </w:rPr>
        <w:t>] әдістемелік нұсқауларына сәйкес стерильді физиологиялық ерітіндіде дайындалды. Әр сұйылтудан 0,1 мл аликвоттар 1,5% микробиологиялық агармен толықтырылған Ворошилов-Дианова агарлы ортасы бар Петри табақшаларына себілді.</w:t>
      </w:r>
    </w:p>
    <w:p w14:paraId="0618B014">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kk-KZ"/>
        </w:rPr>
        <w:t>Штаммалар TS-80M2 термостатта 28±1°C температурада 48-72 сағат бойы көрінетін колония түзілгенге дейін инкубацияланды. Колония түзуші бірліктер [1</w:t>
      </w:r>
      <w:r>
        <w:rPr>
          <w:rFonts w:hint="default" w:ascii="Times New Roman" w:hAnsi="Times New Roman"/>
          <w:color w:val="auto"/>
          <w:sz w:val="28"/>
          <w:szCs w:val="28"/>
          <w:lang w:val="ru-RU"/>
        </w:rPr>
        <w:t>45</w:t>
      </w:r>
      <w:r>
        <w:rPr>
          <w:rFonts w:ascii="Times New Roman" w:hAnsi="Times New Roman"/>
          <w:color w:val="auto"/>
          <w:sz w:val="28"/>
          <w:szCs w:val="28"/>
          <w:lang w:val="kk-KZ"/>
        </w:rPr>
        <w:t>] талаптарына сәйкес 30-300 колониялары бар табақшаларда есептелді.</w:t>
      </w:r>
    </w:p>
    <w:p w14:paraId="43D7E21E">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kk-KZ"/>
        </w:rPr>
        <w:t>Іріктеу уақыт нүктелері: 0, 24, 72, 168 сағат (7 күн), 45 күн.</w:t>
      </w:r>
    </w:p>
    <w:p w14:paraId="36C168E8">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kk-KZ"/>
        </w:rPr>
        <w:t>Нәтижелер КТБ/г топырақ түрінде көрсетілді, сұйылту факторларын және бастапқы үлгі массасына түрлендіруді ескере отырып. Әр анықтау үш рет орындалды.</w:t>
      </w:r>
    </w:p>
    <w:p w14:paraId="43CA049B">
      <w:pPr>
        <w:pStyle w:val="20"/>
        <w:spacing w:after="0"/>
        <w:ind w:firstLine="709"/>
        <w:rPr>
          <w:rFonts w:ascii="Times New Roman" w:hAnsi="Times New Roman"/>
          <w:color w:val="auto"/>
          <w:sz w:val="28"/>
          <w:szCs w:val="28"/>
          <w:lang w:val="kk-KZ"/>
        </w:rPr>
      </w:pPr>
    </w:p>
    <w:p w14:paraId="4CE59C37">
      <w:pPr>
        <w:pStyle w:val="20"/>
        <w:spacing w:after="0"/>
        <w:ind w:firstLine="709"/>
        <w:rPr>
          <w:rFonts w:ascii="Times New Roman" w:hAnsi="Times New Roman"/>
          <w:color w:val="auto"/>
          <w:sz w:val="28"/>
          <w:szCs w:val="28"/>
          <w:lang w:val="kk-KZ"/>
        </w:rPr>
      </w:pPr>
      <w:r>
        <w:rPr>
          <w:rFonts w:ascii="Times New Roman" w:hAnsi="Times New Roman"/>
          <w:b/>
          <w:bCs/>
          <w:color w:val="auto"/>
          <w:sz w:val="28"/>
          <w:szCs w:val="28"/>
          <w:lang w:val="ru-RU"/>
        </w:rPr>
        <w:t>2</w:t>
      </w:r>
      <w:r>
        <w:rPr>
          <w:rFonts w:hint="default" w:ascii="Times New Roman" w:hAnsi="Times New Roman"/>
          <w:b/>
          <w:bCs/>
          <w:color w:val="auto"/>
          <w:sz w:val="28"/>
          <w:szCs w:val="28"/>
          <w:lang w:val="kk-KZ"/>
        </w:rPr>
        <w:t>.</w:t>
      </w:r>
      <w:r>
        <w:rPr>
          <w:rFonts w:ascii="Times New Roman" w:hAnsi="Times New Roman"/>
          <w:b/>
          <w:bCs/>
          <w:color w:val="auto"/>
          <w:sz w:val="28"/>
          <w:szCs w:val="28"/>
          <w:lang w:val="kk-KZ"/>
        </w:rPr>
        <w:t>6 Аналитикалық әдістер: көмірсутектердің ыдырау дәрежесін анықтау, көмірсутектің фракциялық талдауы, деструкция кинетикасын модельдеу, ферменттік белсенділікті анықтау</w:t>
      </w:r>
    </w:p>
    <w:p w14:paraId="44A71DD4">
      <w:pPr>
        <w:pStyle w:val="20"/>
        <w:spacing w:after="0"/>
        <w:ind w:firstLine="709"/>
        <w:rPr>
          <w:rFonts w:ascii="Times New Roman" w:hAnsi="Times New Roman"/>
          <w:i/>
          <w:iCs/>
          <w:color w:val="auto"/>
          <w:sz w:val="28"/>
          <w:szCs w:val="28"/>
          <w:lang w:val="kk-KZ"/>
        </w:rPr>
      </w:pPr>
      <w:r>
        <w:rPr>
          <w:rFonts w:ascii="Times New Roman" w:hAnsi="Times New Roman"/>
          <w:color w:val="auto"/>
          <w:sz w:val="28"/>
          <w:szCs w:val="28"/>
          <w:lang w:val="kk-KZ"/>
        </w:rPr>
        <w:t>Эксперимент 1:</w:t>
      </w:r>
    </w:p>
    <w:p w14:paraId="558C4165">
      <w:pPr>
        <w:pStyle w:val="20"/>
        <w:spacing w:after="0"/>
        <w:ind w:firstLine="709"/>
        <w:rPr>
          <w:rFonts w:hint="default" w:ascii="Times New Roman" w:hAnsi="Times New Roman"/>
          <w:color w:val="auto"/>
          <w:sz w:val="28"/>
          <w:szCs w:val="28"/>
          <w:lang w:val="kk-KZ"/>
        </w:rPr>
      </w:pPr>
      <w:r>
        <w:rPr>
          <w:rFonts w:ascii="Times New Roman" w:hAnsi="Times New Roman"/>
          <w:color w:val="auto"/>
          <w:sz w:val="28"/>
          <w:szCs w:val="28"/>
          <w:lang w:val="kk-KZ"/>
        </w:rPr>
        <w:t xml:space="preserve">ЖМӨ концентрациясы </w:t>
      </w:r>
      <w:r>
        <w:rPr>
          <w:rFonts w:ascii="Times New Roman" w:hAnsi="Times New Roman"/>
          <w:color w:val="auto"/>
          <w:sz w:val="28"/>
          <w:szCs w:val="28"/>
          <w:lang w:val="ru-RU"/>
        </w:rPr>
        <w:t>Фурье түрлендірілген инфрақызыл (</w:t>
      </w:r>
      <w:r>
        <w:rPr>
          <w:rFonts w:ascii="Times New Roman" w:hAnsi="Times New Roman"/>
          <w:color w:val="auto"/>
          <w:sz w:val="28"/>
          <w:szCs w:val="28"/>
          <w:lang w:val="kk-KZ"/>
        </w:rPr>
        <w:t>FTIR</w:t>
      </w:r>
      <w:r>
        <w:rPr>
          <w:rFonts w:ascii="Times New Roman" w:hAnsi="Times New Roman"/>
          <w:color w:val="auto"/>
          <w:sz w:val="28"/>
          <w:szCs w:val="28"/>
          <w:lang w:val="ru-RU"/>
        </w:rPr>
        <w:t xml:space="preserve">) </w:t>
      </w:r>
      <w:r>
        <w:rPr>
          <w:rFonts w:ascii="Times New Roman" w:hAnsi="Times New Roman"/>
          <w:color w:val="auto"/>
          <w:sz w:val="28"/>
          <w:szCs w:val="28"/>
          <w:lang w:val="kk-KZ"/>
        </w:rPr>
        <w:t xml:space="preserve"> спектрометрін (IRAffinity-1S, Shimadzu, Жапония) қолдану арқылы инфрақызыл спектрометрия әдісімен анықталды. Калибрлеу сегіз концентрация нүктелерін (0-1000) м</w:t>
      </w:r>
      <w:r>
        <w:rPr>
          <w:rFonts w:ascii="Times New Roman" w:hAnsi="Times New Roman"/>
          <w:color w:val="auto"/>
          <w:sz w:val="28"/>
          <w:szCs w:val="28"/>
          <w:lang w:val="ru-RU"/>
        </w:rPr>
        <w:t>г/л</w:t>
      </w:r>
      <w:r>
        <w:rPr>
          <w:rFonts w:ascii="Times New Roman" w:hAnsi="Times New Roman"/>
          <w:color w:val="auto"/>
          <w:sz w:val="28"/>
          <w:szCs w:val="28"/>
          <w:lang w:val="kk-KZ"/>
        </w:rPr>
        <w:t xml:space="preserve"> пайдалану арқылы орындалды, R² ≥ 0,99</w:t>
      </w:r>
      <w:r>
        <w:rPr>
          <w:rFonts w:ascii="Times New Roman" w:hAnsi="Times New Roman"/>
          <w:color w:val="auto"/>
          <w:sz w:val="28"/>
          <w:szCs w:val="28"/>
          <w:lang w:val="ru-RU"/>
        </w:rPr>
        <w:t>8</w:t>
      </w:r>
      <w:r>
        <w:rPr>
          <w:rFonts w:hint="default" w:ascii="Times New Roman" w:hAnsi="Times New Roman"/>
          <w:color w:val="auto"/>
          <w:sz w:val="28"/>
          <w:szCs w:val="28"/>
          <w:lang w:val="en-US"/>
        </w:rPr>
        <w:t>.</w:t>
      </w:r>
    </w:p>
    <w:p w14:paraId="364BB53E">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kk-KZ"/>
        </w:rPr>
        <w:t>Топырақ үлгілері 60°C температурада кептірілді, ұнтақталды және ультрадыбыстық ваннада (30 минут, 40 кГц) гексанмен (20 мл) экстракцияланды</w:t>
      </w:r>
      <w:r>
        <w:rPr>
          <w:rFonts w:hint="default" w:ascii="Times New Roman" w:hAnsi="Times New Roman"/>
          <w:color w:val="auto"/>
          <w:sz w:val="28"/>
          <w:szCs w:val="28"/>
          <w:lang w:val="en-US"/>
        </w:rPr>
        <w:t xml:space="preserve"> [1</w:t>
      </w:r>
      <w:r>
        <w:rPr>
          <w:rFonts w:hint="default" w:ascii="Times New Roman" w:hAnsi="Times New Roman"/>
          <w:color w:val="auto"/>
          <w:sz w:val="28"/>
          <w:szCs w:val="28"/>
          <w:lang w:val="ru-RU"/>
        </w:rPr>
        <w:t>45</w:t>
      </w:r>
      <w:r>
        <w:rPr>
          <w:rFonts w:hint="default" w:ascii="Times New Roman" w:hAnsi="Times New Roman"/>
          <w:color w:val="auto"/>
          <w:sz w:val="28"/>
          <w:szCs w:val="28"/>
          <w:lang w:val="en-US"/>
        </w:rPr>
        <w:t>]</w:t>
      </w:r>
      <w:r>
        <w:rPr>
          <w:rFonts w:ascii="Times New Roman" w:hAnsi="Times New Roman"/>
          <w:color w:val="auto"/>
          <w:sz w:val="28"/>
          <w:szCs w:val="28"/>
          <w:lang w:val="kk-KZ"/>
        </w:rPr>
        <w:t>.</w:t>
      </w:r>
    </w:p>
    <w:p w14:paraId="34456817">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kk-KZ"/>
        </w:rPr>
        <w:t>Көмірсутектердің фракциялық талдауы ИҚ спектрометриясымен сипаттамалық жұтылу жолақтарын қолдану арқылы жүргізілді:</w:t>
      </w:r>
    </w:p>
    <w:p w14:paraId="4E87BF1C">
      <w:pPr>
        <w:pStyle w:val="20"/>
        <w:spacing w:after="0"/>
        <w:ind w:firstLine="709"/>
        <w:rPr>
          <w:rFonts w:ascii="Times New Roman" w:hAnsi="Times New Roman"/>
          <w:color w:val="auto"/>
          <w:sz w:val="28"/>
          <w:szCs w:val="28"/>
        </w:rPr>
      </w:pPr>
      <w:r>
        <w:rPr>
          <w:rFonts w:ascii="Times New Roman" w:hAnsi="Times New Roman"/>
          <w:color w:val="auto"/>
          <w:sz w:val="28"/>
          <w:szCs w:val="28"/>
          <w:lang w:val="kk-KZ"/>
        </w:rPr>
        <w:t>БТЭК</w:t>
      </w:r>
      <w:r>
        <w:rPr>
          <w:rFonts w:ascii="Times New Roman" w:hAnsi="Times New Roman"/>
          <w:color w:val="auto"/>
          <w:sz w:val="28"/>
          <w:szCs w:val="28"/>
        </w:rPr>
        <w:t xml:space="preserve"> : (3030-3100) см⁻¹ (ароматты C-H)</w:t>
      </w:r>
    </w:p>
    <w:p w14:paraId="048E3DE8">
      <w:pPr>
        <w:pStyle w:val="20"/>
        <w:spacing w:after="0"/>
        <w:ind w:firstLine="709"/>
        <w:rPr>
          <w:rFonts w:ascii="Times New Roman" w:hAnsi="Times New Roman"/>
          <w:color w:val="auto"/>
          <w:sz w:val="28"/>
          <w:szCs w:val="28"/>
        </w:rPr>
      </w:pPr>
      <w:r>
        <w:rPr>
          <w:rFonts w:ascii="Times New Roman" w:hAnsi="Times New Roman"/>
          <w:color w:val="auto"/>
          <w:sz w:val="28"/>
          <w:szCs w:val="28"/>
        </w:rPr>
        <w:t>Алкандар: (2850-2960) см⁻¹ (алифатты C-H)</w:t>
      </w:r>
    </w:p>
    <w:p w14:paraId="08B53236">
      <w:pPr>
        <w:pStyle w:val="20"/>
        <w:spacing w:after="0"/>
        <w:ind w:firstLine="709"/>
        <w:rPr>
          <w:rFonts w:ascii="Times New Roman" w:hAnsi="Times New Roman"/>
          <w:color w:val="auto"/>
          <w:sz w:val="28"/>
          <w:szCs w:val="28"/>
        </w:rPr>
      </w:pPr>
      <w:r>
        <w:rPr>
          <w:rFonts w:ascii="Times New Roman" w:hAnsi="Times New Roman"/>
          <w:color w:val="auto"/>
          <w:sz w:val="28"/>
          <w:szCs w:val="28"/>
        </w:rPr>
        <w:t>ПАК : (1600, 1500) см⁻¹ (ароматты C=C)</w:t>
      </w:r>
    </w:p>
    <w:p w14:paraId="476C618C">
      <w:pPr>
        <w:pStyle w:val="20"/>
        <w:spacing w:after="0"/>
        <w:ind w:firstLine="709"/>
        <w:rPr>
          <w:rFonts w:ascii="Times New Roman" w:hAnsi="Times New Roman"/>
          <w:i/>
          <w:iCs/>
          <w:color w:val="auto"/>
          <w:sz w:val="28"/>
          <w:szCs w:val="28"/>
        </w:rPr>
      </w:pPr>
      <w:r>
        <w:rPr>
          <w:rFonts w:ascii="Times New Roman" w:hAnsi="Times New Roman"/>
          <w:i/>
          <w:iCs/>
          <w:color w:val="auto"/>
          <w:sz w:val="28"/>
          <w:szCs w:val="28"/>
        </w:rPr>
        <w:t>Деструкция кинетикасын модельдеу</w:t>
      </w:r>
    </w:p>
    <w:p w14:paraId="2EB0CCD9">
      <w:pPr>
        <w:pStyle w:val="20"/>
        <w:spacing w:after="0"/>
        <w:ind w:firstLine="709"/>
        <w:rPr>
          <w:rFonts w:ascii="Times New Roman" w:hAnsi="Times New Roman"/>
          <w:color w:val="auto"/>
          <w:sz w:val="28"/>
          <w:szCs w:val="28"/>
        </w:rPr>
      </w:pPr>
      <w:r>
        <w:rPr>
          <w:rFonts w:ascii="Times New Roman" w:hAnsi="Times New Roman"/>
          <w:color w:val="auto"/>
          <w:sz w:val="28"/>
          <w:szCs w:val="28"/>
        </w:rPr>
        <w:t>ЖМ</w:t>
      </w:r>
      <w:r>
        <w:rPr>
          <w:rFonts w:ascii="Times New Roman" w:hAnsi="Times New Roman"/>
          <w:color w:val="auto"/>
          <w:sz w:val="28"/>
          <w:szCs w:val="28"/>
          <w:lang w:val="kk-KZ"/>
        </w:rPr>
        <w:t>Ө</w:t>
      </w:r>
      <w:r>
        <w:rPr>
          <w:rFonts w:ascii="Times New Roman" w:hAnsi="Times New Roman"/>
          <w:color w:val="auto"/>
          <w:sz w:val="28"/>
          <w:szCs w:val="28"/>
        </w:rPr>
        <w:t xml:space="preserve"> деструкциясы бірінші ретті кинетикамен (3) теңдеуімен сипатталды:</w:t>
      </w:r>
    </w:p>
    <w:p w14:paraId="0787DDFB">
      <w:pPr>
        <w:pStyle w:val="20"/>
        <w:spacing w:after="0"/>
        <w:ind w:firstLine="709"/>
        <w:rPr>
          <w:rFonts w:ascii="Times New Roman" w:hAnsi="Times New Roman"/>
          <w:color w:val="auto"/>
          <w:sz w:val="28"/>
          <w:szCs w:val="28"/>
        </w:rPr>
      </w:pPr>
    </w:p>
    <w:p w14:paraId="156F07AA">
      <w:pPr>
        <w:pStyle w:val="20"/>
        <w:spacing w:after="0"/>
        <w:ind w:firstLine="709"/>
        <w:jc w:val="center"/>
        <w:rPr>
          <w:rFonts w:ascii="Times New Roman" w:hAnsi="Times New Roman"/>
          <w:color w:val="auto"/>
          <w:sz w:val="28"/>
          <w:szCs w:val="28"/>
          <w:lang w:val="kk-KZ"/>
        </w:rPr>
      </w:pPr>
      <w:r>
        <w:rPr>
          <w:rFonts w:ascii="Times New Roman" w:hAnsi="Cambria Math"/>
          <w:color w:val="auto"/>
          <w:sz w:val="28"/>
          <w:szCs w:val="28"/>
          <w:lang w:val="kk-KZ"/>
        </w:rPr>
        <w:t xml:space="preserve">                                          </w:t>
      </w:r>
      <m:oMath>
        <m:r>
          <m:rPr/>
          <w:rPr>
            <w:rFonts w:ascii="Cambria Math" w:hAnsi="Cambria Math"/>
            <w:color w:val="auto"/>
            <w:sz w:val="28"/>
            <w:szCs w:val="28"/>
            <w:lang w:val="kk-KZ"/>
          </w:rPr>
          <m:t>C</m:t>
        </m:r>
        <m:r>
          <m:rPr>
            <m:sty m:val="p"/>
          </m:rPr>
          <w:rPr>
            <w:rFonts w:ascii="Cambria Math" w:hAnsi="Cambria Math"/>
            <w:color w:val="auto"/>
            <w:sz w:val="28"/>
            <w:szCs w:val="28"/>
            <w:lang w:val="kk-KZ"/>
          </w:rPr>
          <m:t>(</m:t>
        </m:r>
        <m:r>
          <m:rPr/>
          <w:rPr>
            <w:rFonts w:ascii="Cambria Math" w:hAnsi="Cambria Math"/>
            <w:color w:val="auto"/>
            <w:sz w:val="28"/>
            <w:szCs w:val="28"/>
            <w:lang w:val="kk-KZ"/>
          </w:rPr>
          <m:t>t</m:t>
        </m:r>
        <m:r>
          <m:rPr>
            <m:sty m:val="p"/>
          </m:rPr>
          <w:rPr>
            <w:rFonts w:ascii="Cambria Math" w:hAnsi="Cambria Math"/>
            <w:color w:val="auto"/>
            <w:sz w:val="28"/>
            <w:szCs w:val="28"/>
            <w:lang w:val="kk-KZ"/>
          </w:rPr>
          <m:t xml:space="preserve">) = </m:t>
        </m:r>
        <m:sSub>
          <m:sSubPr>
            <m:ctrlPr>
              <w:rPr>
                <w:rFonts w:ascii="Cambria Math" w:hAnsi="Cambria Math"/>
                <w:color w:val="auto"/>
                <w:sz w:val="28"/>
                <w:szCs w:val="28"/>
                <w:lang w:val="en-GB"/>
              </w:rPr>
            </m:ctrlPr>
          </m:sSubPr>
          <m:e>
            <m:r>
              <m:rPr/>
              <w:rPr>
                <w:rFonts w:ascii="Cambria Math" w:hAnsi="Cambria Math"/>
                <w:color w:val="auto"/>
                <w:sz w:val="28"/>
                <w:szCs w:val="28"/>
                <w:lang w:val="kk-KZ"/>
              </w:rPr>
              <m:t>C</m:t>
            </m:r>
            <m:ctrlPr>
              <w:rPr>
                <w:rFonts w:ascii="Cambria Math" w:hAnsi="Cambria Math"/>
                <w:color w:val="auto"/>
                <w:sz w:val="28"/>
                <w:szCs w:val="28"/>
                <w:lang w:val="en-GB"/>
              </w:rPr>
            </m:ctrlPr>
          </m:e>
          <m:sub>
            <m:r>
              <m:rPr>
                <m:sty m:val="p"/>
              </m:rPr>
              <w:rPr>
                <w:rFonts w:ascii="Cambria Math" w:hAnsi="Cambria Math"/>
                <w:color w:val="auto"/>
                <w:sz w:val="28"/>
                <w:szCs w:val="28"/>
                <w:lang w:val="kk-KZ"/>
              </w:rPr>
              <m:t>0</m:t>
            </m:r>
            <m:ctrlPr>
              <w:rPr>
                <w:rFonts w:ascii="Cambria Math" w:hAnsi="Cambria Math"/>
                <w:color w:val="auto"/>
                <w:sz w:val="28"/>
                <w:szCs w:val="28"/>
                <w:lang w:val="en-GB"/>
              </w:rPr>
            </m:ctrlPr>
          </m:sub>
        </m:sSub>
        <m:r>
          <m:rPr>
            <m:sty m:val="p"/>
          </m:rPr>
          <w:rPr>
            <w:rFonts w:ascii="Cambria Math" w:hAnsi="Cambria Math" w:cs="Cambria Math"/>
            <w:color w:val="auto"/>
            <w:sz w:val="28"/>
            <w:szCs w:val="28"/>
            <w:lang w:val="kk-KZ"/>
          </w:rPr>
          <m:t>·</m:t>
        </m:r>
        <m:sSup>
          <m:sSupPr>
            <m:ctrlPr>
              <w:rPr>
                <w:rFonts w:ascii="Cambria Math" w:hAnsi="Cambria Math" w:cs="Cambria Math"/>
                <w:color w:val="auto"/>
                <w:sz w:val="28"/>
                <w:szCs w:val="28"/>
                <w:lang w:val="en-GB"/>
              </w:rPr>
            </m:ctrlPr>
          </m:sSupPr>
          <m:e>
            <m:r>
              <m:rPr>
                <m:sty m:val="p"/>
              </m:rPr>
              <w:rPr>
                <w:rFonts w:ascii="Cambria Math" w:hAnsi="Cambria Math" w:cs="Cambria Math"/>
                <w:color w:val="auto"/>
                <w:sz w:val="28"/>
                <w:szCs w:val="28"/>
                <w:lang w:val="kk-KZ"/>
              </w:rPr>
              <m:t>e</m:t>
            </m:r>
            <m:ctrlPr>
              <w:rPr>
                <w:rFonts w:ascii="Cambria Math" w:hAnsi="Cambria Math" w:cs="Cambria Math"/>
                <w:color w:val="auto"/>
                <w:sz w:val="28"/>
                <w:szCs w:val="28"/>
                <w:lang w:val="en-GB"/>
              </w:rPr>
            </m:ctrlPr>
          </m:e>
          <m:sup>
            <m:r>
              <m:rPr>
                <m:sty m:val="p"/>
              </m:rPr>
              <w:rPr>
                <w:rFonts w:ascii="Cambria Math" w:hAnsi="Cambria Math" w:cs="Cambria Math"/>
                <w:color w:val="auto"/>
                <w:sz w:val="28"/>
                <w:szCs w:val="28"/>
                <w:lang w:val="kk-KZ"/>
              </w:rPr>
              <m:t>−</m:t>
            </m:r>
            <m:r>
              <m:rPr/>
              <w:rPr>
                <w:rFonts w:ascii="Cambria Math" w:hAnsi="Cambria Math" w:cs="Cambria Math"/>
                <w:color w:val="auto"/>
                <w:sz w:val="28"/>
                <w:szCs w:val="28"/>
                <w:lang w:val="kk-KZ"/>
              </w:rPr>
              <m:t>kt</m:t>
            </m:r>
            <m:r>
              <m:rPr>
                <m:sty m:val="p"/>
              </m:rPr>
              <w:rPr>
                <w:rFonts w:ascii="Cambria Math" w:hAnsi="Cambria Math" w:cs="Cambria Math"/>
                <w:color w:val="auto"/>
                <w:sz w:val="28"/>
                <w:szCs w:val="28"/>
                <w:lang w:val="kk-KZ"/>
              </w:rPr>
              <m:t xml:space="preserve"> </m:t>
            </m:r>
            <m:ctrlPr>
              <w:rPr>
                <w:rFonts w:ascii="Cambria Math" w:hAnsi="Cambria Math" w:cs="Cambria Math"/>
                <w:color w:val="auto"/>
                <w:sz w:val="28"/>
                <w:szCs w:val="28"/>
                <w:lang w:val="en-GB"/>
              </w:rPr>
            </m:ctrlPr>
          </m:sup>
        </m:sSup>
      </m:oMath>
      <w:r>
        <w:rPr>
          <w:rFonts w:ascii="Times New Roman" w:hAnsi="Cambria Math" w:cs="Cambria Math"/>
          <w:color w:val="auto"/>
          <w:sz w:val="28"/>
          <w:szCs w:val="28"/>
          <w:lang w:val="kk-KZ"/>
        </w:rPr>
        <w:t xml:space="preserve">                      </w:t>
      </w:r>
      <w:r>
        <w:rPr>
          <w:rFonts w:ascii="Times New Roman" w:hAnsi="Cambria Math" w:cs="Cambria Math"/>
          <w:color w:val="auto"/>
          <w:sz w:val="28"/>
          <w:szCs w:val="28"/>
          <w:lang w:val="kk-KZ"/>
        </w:rPr>
        <w:tab/>
      </w:r>
      <w:r>
        <w:rPr>
          <w:rFonts w:ascii="Times New Roman" w:hAnsi="Cambria Math" w:cs="Cambria Math"/>
          <w:color w:val="auto"/>
          <w:sz w:val="28"/>
          <w:szCs w:val="28"/>
          <w:lang w:val="kk-KZ"/>
        </w:rPr>
        <w:tab/>
      </w:r>
      <w:r>
        <w:rPr>
          <w:rFonts w:ascii="Times New Roman" w:hAnsi="Cambria Math" w:cs="Cambria Math"/>
          <w:color w:val="auto"/>
          <w:sz w:val="28"/>
          <w:szCs w:val="28"/>
          <w:lang w:val="kk-KZ"/>
        </w:rPr>
        <w:tab/>
      </w:r>
      <w:r>
        <w:rPr>
          <w:rFonts w:ascii="Times New Roman" w:hAnsi="Cambria Math" w:cs="Cambria Math"/>
          <w:color w:val="auto"/>
          <w:sz w:val="28"/>
          <w:szCs w:val="28"/>
          <w:lang w:val="kk-KZ"/>
        </w:rPr>
        <w:t xml:space="preserve">     (3)</w:t>
      </w:r>
    </w:p>
    <w:p w14:paraId="2A20A0DC">
      <w:pPr>
        <w:pStyle w:val="20"/>
        <w:spacing w:after="0"/>
        <w:ind w:firstLine="709"/>
        <w:rPr>
          <w:rFonts w:ascii="Times New Roman" w:hAnsi="Times New Roman"/>
          <w:color w:val="auto"/>
          <w:sz w:val="28"/>
          <w:szCs w:val="28"/>
          <w:lang w:val="kk-KZ"/>
        </w:rPr>
      </w:pPr>
    </w:p>
    <w:p w14:paraId="4875D4C5">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kk-KZ"/>
        </w:rPr>
        <w:t>мұндағы: C(t) – t уақытындағы ЖМӨ концентрациясы, мг·кг⁻¹; C</w:t>
      </w:r>
      <w:r>
        <w:rPr>
          <w:rFonts w:ascii="Times New Roman" w:hAnsi="Times New Roman"/>
          <w:color w:val="auto"/>
          <w:sz w:val="28"/>
          <w:szCs w:val="28"/>
          <w:vertAlign w:val="subscript"/>
          <w:lang w:val="kk-KZ"/>
        </w:rPr>
        <w:t>0</w:t>
      </w:r>
      <w:r>
        <w:rPr>
          <w:rFonts w:ascii="Times New Roman" w:hAnsi="Times New Roman"/>
          <w:color w:val="auto"/>
          <w:sz w:val="28"/>
          <w:szCs w:val="28"/>
          <w:lang w:val="kk-KZ"/>
        </w:rPr>
        <w:t>​ – бастапқы концентрация, мг·кг⁻¹; k – деструкция жылдамдығының константасы, күн⁻¹; t – уақыт, күн.</w:t>
      </w:r>
    </w:p>
    <w:p w14:paraId="0D6213CA">
      <w:pPr>
        <w:pStyle w:val="20"/>
        <w:spacing w:after="0"/>
        <w:ind w:firstLine="709"/>
        <w:rPr>
          <w:rFonts w:hint="default" w:ascii="Times New Roman" w:hAnsi="Times New Roman"/>
          <w:color w:val="auto"/>
          <w:sz w:val="28"/>
          <w:szCs w:val="28"/>
          <w:lang w:val="en-US"/>
        </w:rPr>
      </w:pPr>
      <w:r>
        <w:rPr>
          <w:rFonts w:ascii="Times New Roman" w:hAnsi="Times New Roman"/>
          <w:color w:val="auto"/>
          <w:sz w:val="28"/>
          <w:szCs w:val="28"/>
        </w:rPr>
        <w:t xml:space="preserve">Модель параметрлері сызықты емес регрессия әдісімен анықталды. Жартылай ыдырау мерзімі </w:t>
      </w:r>
      <w:r>
        <w:rPr>
          <w:rFonts w:ascii="Times New Roman" w:hAnsi="Times New Roman" w:cs="Times New Roman"/>
          <w:i/>
          <w:iCs/>
          <w:color w:val="auto"/>
          <w:sz w:val="28"/>
          <w:szCs w:val="28"/>
          <w:lang w:val="en-GB"/>
        </w:rPr>
        <w:t>t</w:t>
      </w:r>
      <w:r>
        <w:rPr>
          <w:rFonts w:ascii="Times New Roman" w:hAnsi="Times New Roman" w:cs="Times New Roman"/>
          <w:iCs/>
          <w:color w:val="auto"/>
          <w:sz w:val="28"/>
          <w:szCs w:val="28"/>
          <w:vertAlign w:val="subscript"/>
        </w:rPr>
        <w:t>1/2</w:t>
      </w:r>
      <w:r>
        <w:rPr>
          <w:rFonts w:ascii="Times New Roman" w:hAnsi="Times New Roman" w:cs="Times New Roman"/>
          <w:color w:val="auto"/>
          <w:sz w:val="28"/>
          <w:szCs w:val="28"/>
        </w:rPr>
        <w:t xml:space="preserve"> = </w:t>
      </w:r>
      <w:r>
        <w:rPr>
          <w:rFonts w:ascii="Times New Roman" w:hAnsi="Times New Roman" w:cs="Times New Roman"/>
          <w:color w:val="auto"/>
          <w:sz w:val="28"/>
          <w:szCs w:val="28"/>
          <w:lang w:val="en-GB"/>
        </w:rPr>
        <w:t>ln</w:t>
      </w:r>
      <w:r>
        <w:rPr>
          <w:rFonts w:ascii="Times New Roman" w:hAnsi="Times New Roman" w:cs="Times New Roman"/>
          <w:color w:val="auto"/>
          <w:sz w:val="28"/>
          <w:szCs w:val="28"/>
        </w:rPr>
        <w:t>(2)·</w:t>
      </w:r>
      <w:r>
        <w:rPr>
          <w:rFonts w:ascii="Times New Roman" w:hAnsi="Times New Roman" w:cs="Times New Roman"/>
          <w:i/>
          <w:iCs/>
          <w:color w:val="auto"/>
          <w:sz w:val="28"/>
          <w:szCs w:val="28"/>
          <w:lang w:val="en-GB"/>
        </w:rPr>
        <w:t>k</w:t>
      </w:r>
      <w:r>
        <w:rPr>
          <w:rFonts w:ascii="Times New Roman" w:hAnsi="Times New Roman" w:cs="Times New Roman"/>
          <w:color w:val="auto"/>
          <w:sz w:val="28"/>
          <w:szCs w:val="28"/>
          <w:vertAlign w:val="superscript"/>
        </w:rPr>
        <w:t>–1</w:t>
      </w:r>
      <w:r>
        <w:rPr>
          <w:rFonts w:ascii="Times New Roman" w:hAnsi="Times New Roman" w:cs="Times New Roman"/>
          <w:color w:val="auto"/>
          <w:sz w:val="28"/>
          <w:szCs w:val="28"/>
          <w:vertAlign w:val="superscript"/>
          <w:lang w:val="kk-KZ"/>
        </w:rPr>
        <w:t xml:space="preserve"> </w:t>
      </w:r>
      <w:r>
        <w:rPr>
          <w:rFonts w:ascii="Times New Roman" w:hAnsi="Times New Roman"/>
          <w:color w:val="auto"/>
          <w:sz w:val="28"/>
          <w:szCs w:val="28"/>
        </w:rPr>
        <w:t>формуласы бойынша есептелді</w:t>
      </w:r>
      <w:r>
        <w:rPr>
          <w:rFonts w:hint="default" w:ascii="Times New Roman" w:hAnsi="Times New Roman"/>
          <w:color w:val="auto"/>
          <w:sz w:val="28"/>
          <w:szCs w:val="28"/>
          <w:lang w:val="en-US"/>
        </w:rPr>
        <w:t xml:space="preserve"> [1</w:t>
      </w:r>
      <w:r>
        <w:rPr>
          <w:rFonts w:hint="default" w:ascii="Times New Roman" w:hAnsi="Times New Roman"/>
          <w:color w:val="auto"/>
          <w:sz w:val="28"/>
          <w:szCs w:val="28"/>
          <w:lang w:val="ru-RU"/>
        </w:rPr>
        <w:t>31</w:t>
      </w:r>
      <w:r>
        <w:rPr>
          <w:rFonts w:hint="default" w:ascii="Times New Roman" w:hAnsi="Times New Roman"/>
          <w:color w:val="auto"/>
          <w:sz w:val="28"/>
          <w:szCs w:val="28"/>
          <w:lang w:val="en-US"/>
        </w:rPr>
        <w:t>]</w:t>
      </w:r>
      <w:r>
        <w:rPr>
          <w:rFonts w:ascii="Times New Roman" w:hAnsi="Times New Roman"/>
          <w:color w:val="auto"/>
          <w:sz w:val="28"/>
          <w:szCs w:val="28"/>
        </w:rPr>
        <w:t>.</w:t>
      </w:r>
    </w:p>
    <w:p w14:paraId="2406A56C">
      <w:pPr>
        <w:pStyle w:val="20"/>
        <w:spacing w:after="0"/>
        <w:ind w:firstLine="709"/>
        <w:rPr>
          <w:rFonts w:ascii="Times New Roman" w:hAnsi="Times New Roman"/>
          <w:i/>
          <w:iCs/>
          <w:color w:val="auto"/>
          <w:sz w:val="28"/>
          <w:szCs w:val="28"/>
        </w:rPr>
      </w:pPr>
      <w:r>
        <w:rPr>
          <w:rFonts w:ascii="Times New Roman" w:hAnsi="Times New Roman"/>
          <w:i/>
          <w:iCs/>
          <w:color w:val="auto"/>
          <w:sz w:val="28"/>
          <w:szCs w:val="28"/>
        </w:rPr>
        <w:t>Ферменттік белсенділікті анықтау</w:t>
      </w:r>
    </w:p>
    <w:p w14:paraId="22677353">
      <w:pPr>
        <w:pStyle w:val="20"/>
        <w:spacing w:after="0"/>
        <w:ind w:firstLine="709"/>
        <w:rPr>
          <w:rFonts w:ascii="Times New Roman" w:hAnsi="Times New Roman"/>
          <w:color w:val="auto"/>
          <w:sz w:val="28"/>
          <w:szCs w:val="28"/>
        </w:rPr>
      </w:pPr>
      <w:r>
        <w:rPr>
          <w:rFonts w:ascii="Times New Roman" w:hAnsi="Times New Roman"/>
          <w:color w:val="auto"/>
          <w:sz w:val="28"/>
          <w:szCs w:val="28"/>
        </w:rPr>
        <w:t>Каталаза белсенділігі</w:t>
      </w:r>
    </w:p>
    <w:p w14:paraId="1B1B6B06">
      <w:pPr>
        <w:pStyle w:val="20"/>
        <w:spacing w:after="0"/>
        <w:ind w:firstLine="709"/>
        <w:rPr>
          <w:rFonts w:ascii="Times New Roman" w:hAnsi="Times New Roman"/>
          <w:color w:val="auto"/>
          <w:sz w:val="28"/>
          <w:szCs w:val="28"/>
        </w:rPr>
      </w:pPr>
      <w:r>
        <w:rPr>
          <w:rFonts w:ascii="Times New Roman" w:hAnsi="Times New Roman"/>
          <w:color w:val="auto"/>
          <w:sz w:val="28"/>
          <w:szCs w:val="28"/>
        </w:rPr>
        <w:t xml:space="preserve">Каталаза белсенділігі бөлінген оттегінің көлемін өлшеу арқылы газометриялық әдіспен анықталды. Топырақ үлгісінің 1 г-на 3% </w:t>
      </w:r>
      <w:r>
        <w:rPr>
          <w:rFonts w:ascii="Times New Roman" w:hAnsi="Times New Roman"/>
          <w:i/>
          <w:iCs/>
          <w:color w:val="auto"/>
          <w:sz w:val="28"/>
          <w:szCs w:val="28"/>
        </w:rPr>
        <w:t>H₂O₂</w:t>
      </w:r>
      <w:r>
        <w:rPr>
          <w:rFonts w:ascii="Times New Roman" w:hAnsi="Times New Roman"/>
          <w:color w:val="auto"/>
          <w:sz w:val="28"/>
          <w:szCs w:val="28"/>
        </w:rPr>
        <w:t xml:space="preserve"> ерітіндісінің 2 мл қосылды және бөлінген </w:t>
      </w:r>
      <w:r>
        <w:rPr>
          <w:rFonts w:ascii="Times New Roman" w:hAnsi="Times New Roman"/>
          <w:i/>
          <w:iCs/>
          <w:color w:val="auto"/>
          <w:sz w:val="28"/>
          <w:szCs w:val="28"/>
        </w:rPr>
        <w:t>O₂</w:t>
      </w:r>
      <w:r>
        <w:rPr>
          <w:rFonts w:ascii="Times New Roman" w:hAnsi="Times New Roman"/>
          <w:color w:val="auto"/>
          <w:sz w:val="28"/>
          <w:szCs w:val="28"/>
        </w:rPr>
        <w:t xml:space="preserve"> көлемі 3 минут бойы градуирленген газометриялық түтікті қолдану арқылы өлшенді (Бах-Опарин әдісі). Белсенділік мл </w:t>
      </w:r>
      <w:r>
        <w:rPr>
          <w:rFonts w:ascii="Times New Roman" w:hAnsi="Times New Roman"/>
          <w:i/>
          <w:iCs/>
          <w:color w:val="auto"/>
          <w:sz w:val="28"/>
          <w:szCs w:val="28"/>
        </w:rPr>
        <w:t>O₂</w:t>
      </w:r>
      <w:r>
        <w:rPr>
          <w:rFonts w:ascii="Times New Roman" w:hAnsi="Times New Roman"/>
          <w:color w:val="auto"/>
          <w:sz w:val="28"/>
          <w:szCs w:val="28"/>
        </w:rPr>
        <w:t>·г⁻¹ топырақ·(3 мин)⁻¹ түрінде көрсетілді</w:t>
      </w:r>
      <w:r>
        <w:rPr>
          <w:rFonts w:hint="default" w:ascii="Times New Roman" w:hAnsi="Times New Roman"/>
          <w:color w:val="auto"/>
          <w:sz w:val="28"/>
          <w:szCs w:val="28"/>
          <w:lang w:val="ru-RU"/>
        </w:rPr>
        <w:t xml:space="preserve"> </w:t>
      </w:r>
      <w:r>
        <w:rPr>
          <w:rFonts w:hint="default" w:ascii="Times New Roman" w:hAnsi="Times New Roman"/>
          <w:color w:val="auto"/>
          <w:sz w:val="28"/>
          <w:szCs w:val="28"/>
          <w:lang w:val="en-US"/>
        </w:rPr>
        <w:t>[1</w:t>
      </w:r>
      <w:r>
        <w:rPr>
          <w:rFonts w:hint="default" w:ascii="Times New Roman" w:hAnsi="Times New Roman"/>
          <w:color w:val="auto"/>
          <w:sz w:val="28"/>
          <w:szCs w:val="28"/>
          <w:lang w:val="ru-RU"/>
        </w:rPr>
        <w:t>46</w:t>
      </w:r>
      <w:r>
        <w:rPr>
          <w:rFonts w:hint="default" w:ascii="Times New Roman" w:hAnsi="Times New Roman"/>
          <w:color w:val="auto"/>
          <w:sz w:val="28"/>
          <w:szCs w:val="28"/>
          <w:lang w:val="en-US"/>
        </w:rPr>
        <w:t>]</w:t>
      </w:r>
      <w:r>
        <w:rPr>
          <w:rFonts w:ascii="Times New Roman" w:hAnsi="Times New Roman"/>
          <w:color w:val="auto"/>
          <w:sz w:val="28"/>
          <w:szCs w:val="28"/>
        </w:rPr>
        <w:t>.</w:t>
      </w:r>
    </w:p>
    <w:p w14:paraId="184DC76B">
      <w:pPr>
        <w:pStyle w:val="20"/>
        <w:spacing w:after="0"/>
        <w:ind w:firstLine="709"/>
        <w:rPr>
          <w:rFonts w:ascii="Times New Roman" w:hAnsi="Times New Roman"/>
          <w:color w:val="auto"/>
          <w:sz w:val="28"/>
          <w:szCs w:val="28"/>
        </w:rPr>
      </w:pPr>
      <w:r>
        <w:rPr>
          <w:rFonts w:ascii="Times New Roman" w:hAnsi="Times New Roman"/>
          <w:color w:val="auto"/>
          <w:sz w:val="28"/>
          <w:szCs w:val="28"/>
        </w:rPr>
        <w:t>Липаза белсенділігі</w:t>
      </w:r>
    </w:p>
    <w:p w14:paraId="30FE5147">
      <w:pPr>
        <w:pStyle w:val="20"/>
        <w:spacing w:after="0"/>
        <w:ind w:firstLine="709"/>
        <w:rPr>
          <w:rFonts w:ascii="Times New Roman" w:hAnsi="Times New Roman"/>
          <w:color w:val="auto"/>
          <w:sz w:val="28"/>
          <w:szCs w:val="28"/>
        </w:rPr>
      </w:pPr>
      <w:r>
        <w:rPr>
          <w:rFonts w:ascii="Times New Roman" w:hAnsi="Times New Roman"/>
          <w:color w:val="auto"/>
          <w:sz w:val="28"/>
          <w:szCs w:val="28"/>
        </w:rPr>
        <w:t xml:space="preserve">Липаза белсенділігі триолеиннің гидролизі арқылы газометриялық әдіспен анықталды, түзілген май қышқылдары 0,05 М NaOH қолдану арқылы титрленді. Белсенділік </w:t>
      </w:r>
      <w:r>
        <w:rPr>
          <w:rFonts w:ascii="Times New Roman" w:hAnsi="Times New Roman"/>
          <w:i/>
          <w:iCs/>
          <w:color w:val="auto"/>
          <w:sz w:val="28"/>
          <w:szCs w:val="28"/>
        </w:rPr>
        <w:t>[</w:t>
      </w:r>
      <w:r>
        <w:rPr>
          <w:rFonts w:ascii="Times New Roman" w:hAnsi="Times New Roman"/>
          <w:i/>
          <w:iCs/>
          <w:color w:val="auto"/>
          <w:sz w:val="28"/>
          <w:szCs w:val="28"/>
          <w:lang w:val="ru-RU"/>
        </w:rPr>
        <w:t xml:space="preserve">мкмоль/г·сағ </w:t>
      </w:r>
      <w:r>
        <w:rPr>
          <w:rFonts w:ascii="Times New Roman" w:hAnsi="Times New Roman"/>
          <w:i/>
          <w:iCs/>
          <w:color w:val="auto"/>
          <w:sz w:val="28"/>
          <w:szCs w:val="28"/>
        </w:rPr>
        <w:t>]</w:t>
      </w:r>
      <w:r>
        <w:rPr>
          <w:rFonts w:ascii="Times New Roman" w:hAnsi="Times New Roman"/>
          <w:color w:val="auto"/>
          <w:sz w:val="28"/>
          <w:szCs w:val="28"/>
        </w:rPr>
        <w:t xml:space="preserve"> түрінде көрсетілді. Талдаулар 15, 30 және 45 күндерде үш рет қайталанып орындалды</w:t>
      </w:r>
      <w:r>
        <w:rPr>
          <w:rFonts w:hint="default" w:ascii="Times New Roman" w:hAnsi="Times New Roman"/>
          <w:color w:val="auto"/>
          <w:sz w:val="28"/>
          <w:szCs w:val="28"/>
          <w:lang w:val="en-US"/>
        </w:rPr>
        <w:t xml:space="preserve"> [1</w:t>
      </w:r>
      <w:r>
        <w:rPr>
          <w:rFonts w:hint="default" w:ascii="Times New Roman" w:hAnsi="Times New Roman"/>
          <w:color w:val="auto"/>
          <w:sz w:val="28"/>
          <w:szCs w:val="28"/>
          <w:lang w:val="ru-RU"/>
        </w:rPr>
        <w:t>47</w:t>
      </w:r>
      <w:r>
        <w:rPr>
          <w:rFonts w:hint="default" w:ascii="Times New Roman" w:hAnsi="Times New Roman"/>
          <w:color w:val="auto"/>
          <w:sz w:val="28"/>
          <w:szCs w:val="28"/>
          <w:lang w:val="en-US"/>
        </w:rPr>
        <w:t>]</w:t>
      </w:r>
      <w:r>
        <w:rPr>
          <w:rFonts w:ascii="Times New Roman" w:hAnsi="Times New Roman"/>
          <w:color w:val="auto"/>
          <w:sz w:val="28"/>
          <w:szCs w:val="28"/>
        </w:rPr>
        <w:t>.</w:t>
      </w:r>
    </w:p>
    <w:p w14:paraId="72A64AFB">
      <w:pPr>
        <w:pStyle w:val="20"/>
        <w:spacing w:after="0"/>
        <w:ind w:firstLine="709"/>
        <w:rPr>
          <w:rFonts w:ascii="Times New Roman" w:hAnsi="Times New Roman"/>
          <w:i/>
          <w:iCs/>
          <w:color w:val="auto"/>
          <w:sz w:val="28"/>
          <w:szCs w:val="28"/>
        </w:rPr>
      </w:pPr>
      <w:r>
        <w:rPr>
          <w:rFonts w:ascii="Times New Roman" w:hAnsi="Times New Roman"/>
          <w:i/>
          <w:iCs/>
          <w:color w:val="auto"/>
          <w:sz w:val="28"/>
          <w:szCs w:val="28"/>
        </w:rPr>
        <w:t>Топырақ ылғалдылығын анықтау</w:t>
      </w:r>
    </w:p>
    <w:p w14:paraId="50344CE7">
      <w:pPr>
        <w:pStyle w:val="20"/>
        <w:spacing w:after="0"/>
        <w:ind w:firstLine="709"/>
        <w:rPr>
          <w:rFonts w:ascii="Times New Roman" w:hAnsi="Times New Roman"/>
          <w:color w:val="auto"/>
          <w:sz w:val="28"/>
          <w:szCs w:val="28"/>
        </w:rPr>
      </w:pPr>
      <w:r>
        <w:rPr>
          <w:rFonts w:ascii="Times New Roman" w:hAnsi="Times New Roman"/>
          <w:color w:val="auto"/>
          <w:sz w:val="28"/>
          <w:szCs w:val="28"/>
        </w:rPr>
        <w:t>Топырақ ылғалдылығы әр іріктеу уақыт нүктесінде гравиметриялық әдіспен өлшенді. Жаңа топырақ үлгілері (2-3) г жинаудан кейін дереу өлшенді, содан кейін тұрақты салмаққа жеткенше 105°C температурада 24 сағат кептірілді.</w:t>
      </w:r>
    </w:p>
    <w:p w14:paraId="34315B40">
      <w:pPr>
        <w:pStyle w:val="20"/>
        <w:spacing w:after="0"/>
        <w:ind w:firstLine="709"/>
        <w:rPr>
          <w:rFonts w:ascii="Times New Roman" w:hAnsi="Times New Roman"/>
          <w:color w:val="auto"/>
          <w:sz w:val="28"/>
          <w:szCs w:val="28"/>
        </w:rPr>
      </w:pPr>
      <w:r>
        <w:rPr>
          <w:rFonts w:ascii="Times New Roman" w:hAnsi="Times New Roman"/>
          <w:color w:val="auto"/>
          <w:sz w:val="28"/>
          <w:szCs w:val="28"/>
        </w:rPr>
        <w:t xml:space="preserve">Ылғалдылық </w:t>
      </w:r>
      <w:r>
        <w:rPr>
          <w:rFonts w:ascii="Times New Roman" w:hAnsi="Times New Roman"/>
          <w:i/>
          <w:iCs/>
          <w:color w:val="auto"/>
          <w:sz w:val="28"/>
          <w:szCs w:val="28"/>
        </w:rPr>
        <w:t>[%]</w:t>
      </w:r>
      <w:r>
        <w:rPr>
          <w:rFonts w:ascii="Times New Roman" w:hAnsi="Times New Roman"/>
          <w:color w:val="auto"/>
          <w:sz w:val="28"/>
          <w:szCs w:val="28"/>
        </w:rPr>
        <w:t xml:space="preserve"> келесі формула бойынша есептелді:</w:t>
      </w:r>
    </w:p>
    <w:p w14:paraId="73C8B77A">
      <w:pPr>
        <w:pStyle w:val="20"/>
        <w:spacing w:after="0"/>
        <w:ind w:firstLine="709"/>
        <w:rPr>
          <w:rFonts w:ascii="Times New Roman" w:hAnsi="Times New Roman"/>
          <w:color w:val="auto"/>
          <w:sz w:val="28"/>
          <w:szCs w:val="28"/>
        </w:rPr>
      </w:pPr>
    </w:p>
    <w:tbl>
      <w:tblPr>
        <w:tblStyle w:val="12"/>
        <w:tblW w:w="9318" w:type="dxa"/>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89" w:type="dxa"/>
          <w:bottom w:w="0" w:type="dxa"/>
          <w:right w:w="89" w:type="dxa"/>
        </w:tblCellMar>
      </w:tblPr>
      <w:tblGrid>
        <w:gridCol w:w="8104"/>
        <w:gridCol w:w="1214"/>
      </w:tblGrid>
      <w:tr w14:paraId="3DBC0FB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89" w:type="dxa"/>
            <w:bottom w:w="0" w:type="dxa"/>
            <w:right w:w="89" w:type="dxa"/>
          </w:tblCellMar>
        </w:tblPrEx>
        <w:tc>
          <w:tcPr>
            <w:tcW w:w="8197" w:type="dxa"/>
            <w:tcBorders>
              <w:top w:val="nil"/>
              <w:left w:val="nil"/>
              <w:bottom w:val="nil"/>
              <w:right w:val="nil"/>
            </w:tcBorders>
          </w:tcPr>
          <w:p w14:paraId="41FF9517">
            <w:pPr>
              <w:spacing w:before="60" w:after="60"/>
              <w:ind w:firstLine="709"/>
              <w:jc w:val="center"/>
              <w:rPr>
                <w:i/>
                <w:iCs/>
                <w:color w:val="auto"/>
                <w:lang w:val="en-GB"/>
              </w:rPr>
            </w:pPr>
            <w:r>
              <w:rPr>
                <w:i/>
                <w:iCs/>
                <w:color w:val="auto"/>
                <w:szCs w:val="28"/>
                <w:lang w:val="en-US"/>
              </w:rPr>
              <w:t>MC</w:t>
            </w:r>
            <m:oMath>
              <m:r>
                <m:rPr/>
                <w:rPr>
                  <w:rFonts w:ascii="Cambria Math" w:hAnsi="Cambria Math"/>
                  <w:color w:val="auto"/>
                  <w:lang w:val="en-GB"/>
                </w:rPr>
                <m:t xml:space="preserve"> = </m:t>
              </m:r>
              <m:f>
                <m:fPr>
                  <m:ctrlPr>
                    <w:rPr>
                      <w:rFonts w:ascii="Cambria Math" w:hAnsi="Cambria Math"/>
                      <w:i/>
                      <w:iCs/>
                      <w:color w:val="auto"/>
                      <w:lang w:val="en-GB"/>
                    </w:rPr>
                  </m:ctrlPr>
                </m:fPr>
                <m:num>
                  <m:sSub>
                    <m:sSubPr>
                      <m:ctrlPr>
                        <w:rPr>
                          <w:rFonts w:ascii="Cambria Math" w:hAnsi="Cambria Math"/>
                          <w:i/>
                          <w:iCs/>
                          <w:color w:val="auto"/>
                          <w:lang w:val="en-GB"/>
                        </w:rPr>
                      </m:ctrlPr>
                    </m:sSubPr>
                    <m:e>
                      <m:r>
                        <m:rPr/>
                        <w:rPr>
                          <w:rFonts w:ascii="Cambria Math" w:hAnsi="Cambria Math"/>
                          <w:color w:val="auto"/>
                          <w:lang w:val="en-GB"/>
                        </w:rPr>
                        <m:t>W</m:t>
                      </m:r>
                      <m:ctrlPr>
                        <w:rPr>
                          <w:rFonts w:ascii="Cambria Math" w:hAnsi="Cambria Math"/>
                          <w:i/>
                          <w:iCs/>
                          <w:color w:val="auto"/>
                          <w:lang w:val="en-GB"/>
                        </w:rPr>
                      </m:ctrlPr>
                    </m:e>
                    <m:sub>
                      <m:r>
                        <m:rPr/>
                        <w:rPr>
                          <w:rFonts w:ascii="Cambria Math" w:hAnsi="Cambria Math"/>
                          <w:color w:val="auto"/>
                          <w:lang w:val="en-US"/>
                        </w:rPr>
                        <m:t>w</m:t>
                      </m:r>
                      <m:ctrlPr>
                        <w:rPr>
                          <w:rFonts w:ascii="Cambria Math" w:hAnsi="Cambria Math"/>
                          <w:i/>
                          <w:iCs/>
                          <w:color w:val="auto"/>
                          <w:lang w:val="en-GB"/>
                        </w:rPr>
                      </m:ctrlPr>
                    </m:sub>
                  </m:sSub>
                  <m:r>
                    <m:rPr/>
                    <w:rPr>
                      <w:rFonts w:ascii="Cambria Math" w:hAnsi="Cambria Math"/>
                      <w:color w:val="auto"/>
                      <w:lang w:val="en-GB"/>
                    </w:rPr>
                    <m:t>−</m:t>
                  </m:r>
                  <m:sSub>
                    <m:sSubPr>
                      <m:ctrlPr>
                        <w:rPr>
                          <w:rFonts w:ascii="Cambria Math" w:hAnsi="Cambria Math"/>
                          <w:i/>
                          <w:iCs/>
                          <w:color w:val="auto"/>
                          <w:lang w:val="en-GB"/>
                        </w:rPr>
                      </m:ctrlPr>
                    </m:sSubPr>
                    <m:e>
                      <m:r>
                        <m:rPr/>
                        <w:rPr>
                          <w:rFonts w:ascii="Cambria Math" w:hAnsi="Cambria Math"/>
                          <w:color w:val="auto"/>
                          <w:lang w:val="en-GB"/>
                        </w:rPr>
                        <m:t>W</m:t>
                      </m:r>
                      <m:ctrlPr>
                        <w:rPr>
                          <w:rFonts w:ascii="Cambria Math" w:hAnsi="Cambria Math"/>
                          <w:i/>
                          <w:iCs/>
                          <w:color w:val="auto"/>
                          <w:lang w:val="en-GB"/>
                        </w:rPr>
                      </m:ctrlPr>
                    </m:e>
                    <m:sub>
                      <m:r>
                        <m:rPr/>
                        <w:rPr>
                          <w:rFonts w:ascii="Cambria Math" w:hAnsi="Cambria Math"/>
                          <w:color w:val="auto"/>
                          <w:lang w:val="en-US"/>
                        </w:rPr>
                        <m:t>d</m:t>
                      </m:r>
                      <m:ctrlPr>
                        <w:rPr>
                          <w:rFonts w:ascii="Cambria Math" w:hAnsi="Cambria Math"/>
                          <w:i/>
                          <w:iCs/>
                          <w:color w:val="auto"/>
                          <w:lang w:val="en-GB"/>
                        </w:rPr>
                      </m:ctrlPr>
                    </m:sub>
                  </m:sSub>
                  <m:ctrlPr>
                    <w:rPr>
                      <w:rFonts w:ascii="Cambria Math" w:hAnsi="Cambria Math"/>
                      <w:i/>
                      <w:iCs/>
                      <w:color w:val="auto"/>
                      <w:lang w:val="en-GB"/>
                    </w:rPr>
                  </m:ctrlPr>
                </m:num>
                <m:den>
                  <m:sSub>
                    <m:sSubPr>
                      <m:ctrlPr>
                        <w:rPr>
                          <w:rFonts w:ascii="Cambria Math" w:hAnsi="Cambria Math"/>
                          <w:i/>
                          <w:iCs/>
                          <w:color w:val="auto"/>
                          <w:lang w:val="en-GB"/>
                        </w:rPr>
                      </m:ctrlPr>
                    </m:sSubPr>
                    <m:e>
                      <m:r>
                        <m:rPr/>
                        <w:rPr>
                          <w:rFonts w:ascii="Cambria Math" w:hAnsi="Cambria Math"/>
                          <w:color w:val="auto"/>
                          <w:lang w:val="en-GB"/>
                        </w:rPr>
                        <m:t>W</m:t>
                      </m:r>
                      <m:ctrlPr>
                        <w:rPr>
                          <w:rFonts w:ascii="Cambria Math" w:hAnsi="Cambria Math"/>
                          <w:i/>
                          <w:iCs/>
                          <w:color w:val="auto"/>
                          <w:lang w:val="en-GB"/>
                        </w:rPr>
                      </m:ctrlPr>
                    </m:e>
                    <m:sub>
                      <m:r>
                        <m:rPr/>
                        <w:rPr>
                          <w:rFonts w:ascii="Cambria Math" w:hAnsi="Cambria Math"/>
                          <w:color w:val="auto"/>
                          <w:lang w:val="en-US"/>
                        </w:rPr>
                        <m:t>d</m:t>
                      </m:r>
                      <m:ctrlPr>
                        <w:rPr>
                          <w:rFonts w:ascii="Cambria Math" w:hAnsi="Cambria Math"/>
                          <w:i/>
                          <w:iCs/>
                          <w:color w:val="auto"/>
                          <w:lang w:val="en-GB"/>
                        </w:rPr>
                      </m:ctrlPr>
                    </m:sub>
                  </m:sSub>
                  <m:ctrlPr>
                    <w:rPr>
                      <w:rFonts w:ascii="Cambria Math" w:hAnsi="Cambria Math"/>
                      <w:i/>
                      <w:iCs/>
                      <w:color w:val="auto"/>
                      <w:lang w:val="en-GB"/>
                    </w:rPr>
                  </m:ctrlPr>
                </m:den>
              </m:f>
              <m:r>
                <m:rPr/>
                <w:rPr>
                  <w:rFonts w:ascii="Cambria Math" w:hAnsi="Cambria Math"/>
                  <w:color w:val="auto"/>
                  <w:lang w:val="en-GB"/>
                </w:rPr>
                <m:t>· 100</m:t>
              </m:r>
            </m:oMath>
          </w:p>
        </w:tc>
        <w:tc>
          <w:tcPr>
            <w:tcW w:w="1121" w:type="dxa"/>
            <w:tcBorders>
              <w:top w:val="nil"/>
              <w:left w:val="nil"/>
              <w:bottom w:val="nil"/>
              <w:right w:val="nil"/>
            </w:tcBorders>
          </w:tcPr>
          <w:p w14:paraId="6794FF4A">
            <w:pPr>
              <w:spacing w:before="60" w:after="60"/>
              <w:ind w:firstLine="709"/>
              <w:jc w:val="center"/>
              <w:rPr>
                <w:rFonts w:hint="eastAsia" w:ascii="Cambria Math" w:hAnsi="Cambria Math"/>
                <w:color w:val="auto"/>
                <w:lang w:val="en-GB"/>
                <w:oMath/>
              </w:rPr>
            </w:pPr>
            <w:r>
              <w:rPr>
                <w:rFonts w:hAnsi="Cambria Math" w:cs="Cambria Math"/>
                <w:color w:val="auto"/>
                <w:szCs w:val="28"/>
                <w:lang w:val="kk-KZ"/>
              </w:rPr>
              <w:t>(4)</w:t>
            </w:r>
          </w:p>
        </w:tc>
      </w:tr>
    </w:tbl>
    <w:p w14:paraId="154A2A7C">
      <w:pPr>
        <w:pStyle w:val="20"/>
        <w:spacing w:after="0"/>
        <w:ind w:firstLine="709"/>
        <w:rPr>
          <w:rFonts w:ascii="Times New Roman" w:hAnsi="Times New Roman"/>
          <w:color w:val="auto"/>
          <w:sz w:val="28"/>
          <w:szCs w:val="28"/>
        </w:rPr>
      </w:pPr>
    </w:p>
    <w:p w14:paraId="62FB27CE">
      <w:pPr>
        <w:pStyle w:val="20"/>
        <w:spacing w:after="0"/>
        <w:ind w:firstLine="709"/>
        <w:rPr>
          <w:rFonts w:ascii="Times New Roman" w:hAnsi="Times New Roman"/>
          <w:color w:val="auto"/>
          <w:sz w:val="28"/>
          <w:szCs w:val="28"/>
        </w:rPr>
      </w:pPr>
      <w:r>
        <w:rPr>
          <w:rFonts w:ascii="Times New Roman" w:hAnsi="Times New Roman"/>
          <w:color w:val="auto"/>
          <w:sz w:val="28"/>
          <w:szCs w:val="28"/>
        </w:rPr>
        <w:t>мұндағы:</w:t>
      </w:r>
      <w:r>
        <w:rPr>
          <w:rFonts w:ascii="Times New Roman" w:hAnsi="Times New Roman"/>
          <w:color w:val="auto"/>
          <w:sz w:val="28"/>
          <w:szCs w:val="28"/>
          <w:lang w:val="kk-KZ"/>
        </w:rPr>
        <w:t xml:space="preserve"> </w:t>
      </w:r>
      <w:r>
        <w:rPr>
          <w:i/>
          <w:iCs/>
          <w:color w:val="auto"/>
          <w:sz w:val="28"/>
          <w:szCs w:val="28"/>
          <w:lang w:val="en-US"/>
        </w:rPr>
        <w:t>MC</w:t>
      </w:r>
      <w:r>
        <w:rPr>
          <w:rFonts w:ascii="Times New Roman" w:hAnsi="Times New Roman"/>
          <w:color w:val="auto"/>
          <w:sz w:val="28"/>
          <w:szCs w:val="28"/>
        </w:rPr>
        <w:t xml:space="preserve"> – ылғалдылық құрамы, %;</w:t>
      </w:r>
      <w:r>
        <w:rPr>
          <w:rFonts w:ascii="Times New Roman" w:hAnsi="Times New Roman"/>
          <w:color w:val="auto"/>
          <w:sz w:val="28"/>
          <w:szCs w:val="28"/>
          <w:lang w:val="kk-KZ"/>
        </w:rPr>
        <w:t xml:space="preserve"> </w:t>
      </w:r>
      <w:r>
        <w:rPr>
          <w:rFonts w:ascii="Times New Roman" w:hAnsi="Times New Roman"/>
          <w:i/>
          <w:iCs/>
          <w:color w:val="auto"/>
          <w:sz w:val="28"/>
          <w:szCs w:val="28"/>
        </w:rPr>
        <w:t>W</w:t>
      </w:r>
      <w:r>
        <w:rPr>
          <w:rFonts w:ascii="Times New Roman" w:hAnsi="Times New Roman"/>
          <w:i/>
          <w:iCs/>
          <w:color w:val="auto"/>
          <w:sz w:val="28"/>
          <w:szCs w:val="28"/>
          <w:vertAlign w:val="subscript"/>
          <w:lang w:val="en-US"/>
        </w:rPr>
        <w:t>w</w:t>
      </w:r>
      <w:r>
        <w:rPr>
          <w:rFonts w:ascii="Times New Roman" w:hAnsi="Times New Roman"/>
          <w:color w:val="auto"/>
          <w:sz w:val="28"/>
          <w:szCs w:val="28"/>
        </w:rPr>
        <w:t>​ – дымқыл салмақ, г;</w:t>
      </w:r>
      <w:r>
        <w:rPr>
          <w:rFonts w:ascii="Times New Roman" w:hAnsi="Times New Roman"/>
          <w:color w:val="auto"/>
          <w:sz w:val="28"/>
          <w:szCs w:val="28"/>
          <w:lang w:val="kk-KZ"/>
        </w:rPr>
        <w:t xml:space="preserve"> </w:t>
      </w:r>
      <w:r>
        <w:rPr>
          <w:rFonts w:ascii="Times New Roman" w:hAnsi="Times New Roman"/>
          <w:i/>
          <w:iCs/>
          <w:color w:val="auto"/>
          <w:sz w:val="28"/>
          <w:szCs w:val="28"/>
        </w:rPr>
        <w:t>W</w:t>
      </w:r>
      <w:r>
        <w:rPr>
          <w:rFonts w:ascii="Times New Roman" w:hAnsi="Times New Roman"/>
          <w:i/>
          <w:iCs/>
          <w:color w:val="auto"/>
          <w:sz w:val="28"/>
          <w:szCs w:val="28"/>
          <w:vertAlign w:val="subscript"/>
          <w:lang w:val="en-US"/>
        </w:rPr>
        <w:t>d</w:t>
      </w:r>
      <w:r>
        <w:rPr>
          <w:rFonts w:ascii="Times New Roman" w:hAnsi="Times New Roman"/>
          <w:color w:val="auto"/>
          <w:sz w:val="28"/>
          <w:szCs w:val="28"/>
        </w:rPr>
        <w:t>​ – құрғақ салмақ, г.</w:t>
      </w:r>
    </w:p>
    <w:p w14:paraId="09655134">
      <w:pPr>
        <w:pStyle w:val="20"/>
        <w:spacing w:after="0"/>
        <w:ind w:firstLine="709"/>
        <w:rPr>
          <w:rFonts w:ascii="Times New Roman" w:hAnsi="Times New Roman"/>
          <w:color w:val="auto"/>
          <w:sz w:val="28"/>
          <w:szCs w:val="28"/>
        </w:rPr>
      </w:pPr>
      <w:r>
        <w:rPr>
          <w:rFonts w:ascii="Times New Roman" w:hAnsi="Times New Roman"/>
          <w:color w:val="auto"/>
          <w:sz w:val="28"/>
          <w:szCs w:val="28"/>
        </w:rPr>
        <w:t>Өлшемдер әр эксперименттік бірлік үшін үш рет орындалды.</w:t>
      </w:r>
    </w:p>
    <w:p w14:paraId="2B1960DB">
      <w:pPr>
        <w:pStyle w:val="20"/>
        <w:spacing w:after="0"/>
        <w:ind w:firstLine="709"/>
        <w:rPr>
          <w:rFonts w:ascii="Times New Roman" w:hAnsi="Times New Roman"/>
          <w:color w:val="auto"/>
          <w:sz w:val="28"/>
          <w:szCs w:val="28"/>
        </w:rPr>
      </w:pPr>
    </w:p>
    <w:p w14:paraId="3214239B">
      <w:pPr>
        <w:pStyle w:val="20"/>
        <w:spacing w:after="0"/>
        <w:ind w:firstLine="709"/>
        <w:rPr>
          <w:rFonts w:hint="default" w:ascii="Times New Roman" w:hAnsi="Times New Roman"/>
          <w:color w:val="auto"/>
          <w:sz w:val="28"/>
          <w:szCs w:val="28"/>
          <w:lang w:val="kk-KZ"/>
        </w:rPr>
      </w:pPr>
      <w:r>
        <w:rPr>
          <w:rFonts w:hint="default" w:ascii="Times New Roman" w:hAnsi="Times New Roman"/>
          <w:color w:val="auto"/>
          <w:sz w:val="28"/>
          <w:szCs w:val="28"/>
          <w:lang w:val="kk-KZ"/>
        </w:rPr>
        <w:t>Эксперимент 2:</w:t>
      </w:r>
    </w:p>
    <w:p w14:paraId="0A5EA60E">
      <w:pPr>
        <w:pStyle w:val="20"/>
        <w:spacing w:after="0"/>
        <w:ind w:firstLine="709"/>
        <w:rPr>
          <w:rFonts w:hint="default" w:ascii="Times New Roman" w:hAnsi="Times New Roman"/>
          <w:color w:val="auto"/>
          <w:sz w:val="28"/>
          <w:szCs w:val="28"/>
          <w:lang w:val="kk-KZ"/>
        </w:rPr>
      </w:pPr>
      <w:r>
        <w:rPr>
          <w:rFonts w:hint="default" w:ascii="Times New Roman" w:hAnsi="Times New Roman"/>
          <w:color w:val="auto"/>
          <w:sz w:val="28"/>
          <w:szCs w:val="28"/>
          <w:lang w:val="kk-KZ"/>
        </w:rPr>
        <w:t>Стресс жағдайында қалдық көмірсутектер көлемін  анықтау гравиметриялық әдіс арқылы жүргізілді. Қалдық мұнай құрамы ТҚН Ф 16.1.41-04, [1</w:t>
      </w:r>
      <w:r>
        <w:rPr>
          <w:rFonts w:hint="default" w:ascii="Times New Roman" w:hAnsi="Times New Roman"/>
          <w:color w:val="auto"/>
          <w:sz w:val="28"/>
          <w:szCs w:val="28"/>
          <w:lang w:val="ru-RU"/>
        </w:rPr>
        <w:t>42</w:t>
      </w:r>
      <w:r>
        <w:rPr>
          <w:rFonts w:hint="default" w:ascii="Times New Roman" w:hAnsi="Times New Roman"/>
          <w:color w:val="auto"/>
          <w:sz w:val="28"/>
          <w:szCs w:val="28"/>
          <w:lang w:val="kk-KZ"/>
        </w:rPr>
        <w:t>] сәйкес гравиметриялық әдіспен анықталды. Топырақ үлгілері (10 г) Сокслет аппаратында хлороформмен 8 сағат бойы экстракцияланды, содан кейін еріткішті булату және экстракцияланатын көмірсутектерді гравиметриялық анықтау жүргізілді. Анықтау шегі 50 мг/кг, аналитикалық дәлдік ±5% болды.</w:t>
      </w:r>
    </w:p>
    <w:p w14:paraId="65FAD132">
      <w:pPr>
        <w:pStyle w:val="20"/>
        <w:spacing w:after="0"/>
        <w:ind w:firstLine="709"/>
        <w:rPr>
          <w:rFonts w:ascii="Times New Roman" w:hAnsi="Times New Roman"/>
          <w:b/>
          <w:bCs/>
          <w:color w:val="auto"/>
          <w:sz w:val="28"/>
          <w:szCs w:val="28"/>
          <w:lang w:val="ru-RU"/>
        </w:rPr>
      </w:pPr>
    </w:p>
    <w:p w14:paraId="6C0A56C6">
      <w:pPr>
        <w:pStyle w:val="20"/>
        <w:spacing w:after="0"/>
        <w:ind w:firstLine="709"/>
        <w:rPr>
          <w:rFonts w:ascii="Times New Roman" w:hAnsi="Times New Roman"/>
          <w:b/>
          <w:bCs/>
          <w:color w:val="auto"/>
          <w:sz w:val="28"/>
          <w:szCs w:val="28"/>
          <w:lang w:val="kk-KZ"/>
        </w:rPr>
      </w:pPr>
      <w:r>
        <w:rPr>
          <w:rFonts w:ascii="Times New Roman" w:hAnsi="Times New Roman"/>
          <w:b/>
          <w:bCs/>
          <w:color w:val="auto"/>
          <w:sz w:val="28"/>
          <w:szCs w:val="28"/>
          <w:lang w:val="ru-RU"/>
        </w:rPr>
        <w:t>2</w:t>
      </w:r>
      <w:r>
        <w:rPr>
          <w:rFonts w:hint="default" w:ascii="Times New Roman" w:hAnsi="Times New Roman"/>
          <w:b/>
          <w:bCs/>
          <w:color w:val="auto"/>
          <w:sz w:val="28"/>
          <w:szCs w:val="28"/>
          <w:lang w:val="kk-KZ"/>
        </w:rPr>
        <w:t>.</w:t>
      </w:r>
      <w:r>
        <w:rPr>
          <w:rFonts w:ascii="Times New Roman" w:hAnsi="Times New Roman"/>
          <w:b/>
          <w:bCs/>
          <w:color w:val="auto"/>
          <w:sz w:val="28"/>
          <w:szCs w:val="28"/>
          <w:lang w:val="kk-KZ"/>
        </w:rPr>
        <w:t xml:space="preserve">7 Статистикалық талдау </w:t>
      </w:r>
      <w:r>
        <w:rPr>
          <w:rFonts w:ascii="Times New Roman" w:hAnsi="Times New Roman"/>
          <w:b/>
          <w:bCs/>
          <w:color w:val="auto"/>
          <w:sz w:val="28"/>
          <w:szCs w:val="28"/>
          <w:lang w:val="kk-KZ"/>
        </w:rPr>
        <w:tab/>
      </w:r>
    </w:p>
    <w:p w14:paraId="7BED228C">
      <w:pPr>
        <w:pStyle w:val="20"/>
        <w:spacing w:after="0"/>
        <w:ind w:firstLine="709"/>
        <w:rPr>
          <w:rFonts w:ascii="Times New Roman" w:hAnsi="Times New Roman" w:cs="Times New Roman"/>
          <w:color w:val="auto"/>
          <w:sz w:val="28"/>
          <w:szCs w:val="28"/>
          <w:highlight w:val="none"/>
          <w:lang w:val="kk-KZ"/>
        </w:rPr>
      </w:pPr>
      <w:r>
        <w:rPr>
          <w:rFonts w:ascii="Times New Roman" w:hAnsi="Times New Roman" w:cs="Times New Roman"/>
          <w:color w:val="auto"/>
          <w:sz w:val="28"/>
          <w:szCs w:val="28"/>
          <w:highlight w:val="none"/>
          <w:lang w:val="kk-KZ"/>
        </w:rPr>
        <w:t>Барлық деректер орташа мән ± стандартты ауытқу (SD) түрінде ұсынылды: стандартты жағдайлар эксперименті үшін бес қайталану (n = 5), температура және тұздылық эксперименті үшін үш қайталану (n = 3) негізінде.</w:t>
      </w:r>
    </w:p>
    <w:p w14:paraId="4D0CB6D9">
      <w:pPr>
        <w:pStyle w:val="20"/>
        <w:spacing w:after="0"/>
        <w:ind w:firstLine="709"/>
        <w:rPr>
          <w:rFonts w:ascii="Times New Roman" w:hAnsi="Times New Roman" w:cs="Times New Roman"/>
          <w:color w:val="auto"/>
          <w:sz w:val="28"/>
          <w:szCs w:val="28"/>
          <w:highlight w:val="none"/>
          <w:lang w:val="kk-KZ"/>
        </w:rPr>
      </w:pPr>
      <w:r>
        <w:rPr>
          <w:rFonts w:ascii="Times New Roman" w:hAnsi="Times New Roman" w:cs="Times New Roman"/>
          <w:color w:val="auto"/>
          <w:sz w:val="28"/>
          <w:szCs w:val="28"/>
          <w:highlight w:val="none"/>
          <w:lang w:val="kk-KZ"/>
        </w:rPr>
        <w:t>Топтар арасындағы статистикалық салыстырулар бір факторлы дисперсиялық талдау (ANOVA) қолдану арқылы орындалды, содан кейін жұптық айырмашылықтарды бағалау үшін Tukey post hoc сынағы жүргізілді. p &lt; 0,05 маңыздылық деңгейі статистикалық маңызды деп саналды</w:t>
      </w:r>
      <w:r>
        <w:rPr>
          <w:rFonts w:hint="default" w:ascii="Times New Roman" w:hAnsi="Times New Roman" w:cs="Times New Roman"/>
          <w:color w:val="auto"/>
          <w:sz w:val="28"/>
          <w:szCs w:val="28"/>
          <w:highlight w:val="none"/>
          <w:lang w:val="en-US"/>
        </w:rPr>
        <w:t xml:space="preserve"> [1</w:t>
      </w:r>
      <w:r>
        <w:rPr>
          <w:rFonts w:hint="default" w:ascii="Times New Roman" w:hAnsi="Times New Roman" w:cs="Times New Roman"/>
          <w:color w:val="auto"/>
          <w:sz w:val="28"/>
          <w:szCs w:val="28"/>
          <w:highlight w:val="none"/>
          <w:lang w:val="ru-RU"/>
        </w:rPr>
        <w:t>48</w:t>
      </w:r>
      <w:r>
        <w:rPr>
          <w:rFonts w:hint="default" w:ascii="Times New Roman" w:hAnsi="Times New Roman" w:cs="Times New Roman"/>
          <w:color w:val="auto"/>
          <w:sz w:val="28"/>
          <w:szCs w:val="28"/>
          <w:highlight w:val="none"/>
          <w:lang w:val="en-US"/>
        </w:rPr>
        <w:t>,1</w:t>
      </w:r>
      <w:r>
        <w:rPr>
          <w:rFonts w:hint="default" w:ascii="Times New Roman" w:hAnsi="Times New Roman" w:cs="Times New Roman"/>
          <w:color w:val="auto"/>
          <w:sz w:val="28"/>
          <w:szCs w:val="28"/>
          <w:highlight w:val="none"/>
          <w:lang w:val="ru-RU"/>
        </w:rPr>
        <w:t>49</w:t>
      </w:r>
      <w:r>
        <w:rPr>
          <w:rFonts w:hint="default" w:ascii="Times New Roman" w:hAnsi="Times New Roman" w:cs="Times New Roman"/>
          <w:color w:val="auto"/>
          <w:sz w:val="28"/>
          <w:szCs w:val="28"/>
          <w:highlight w:val="none"/>
          <w:lang w:val="en-US"/>
        </w:rPr>
        <w:t>]</w:t>
      </w:r>
      <w:r>
        <w:rPr>
          <w:rFonts w:ascii="Times New Roman" w:hAnsi="Times New Roman" w:cs="Times New Roman"/>
          <w:color w:val="auto"/>
          <w:sz w:val="28"/>
          <w:szCs w:val="28"/>
          <w:highlight w:val="none"/>
          <w:lang w:val="kk-KZ"/>
        </w:rPr>
        <w:t>.</w:t>
      </w:r>
    </w:p>
    <w:p w14:paraId="43883AA8">
      <w:pPr>
        <w:pStyle w:val="20"/>
        <w:spacing w:after="0"/>
        <w:ind w:firstLine="709"/>
        <w:rPr>
          <w:rFonts w:ascii="Times New Roman" w:hAnsi="Times New Roman" w:cs="Times New Roman"/>
          <w:color w:val="auto"/>
          <w:sz w:val="28"/>
          <w:szCs w:val="28"/>
          <w:highlight w:val="none"/>
          <w:lang w:val="kk-KZ"/>
        </w:rPr>
      </w:pPr>
    </w:p>
    <w:p w14:paraId="4A19B317">
      <w:pPr>
        <w:pStyle w:val="20"/>
        <w:numPr>
          <w:ilvl w:val="0"/>
          <w:numId w:val="5"/>
        </w:numPr>
        <w:spacing w:after="0"/>
        <w:ind w:firstLine="709"/>
        <w:rPr>
          <w:rFonts w:ascii="Times New Roman" w:hAnsi="Times New Roman" w:cs="Times New Roman"/>
          <w:b/>
          <w:bCs/>
          <w:color w:val="auto"/>
          <w:sz w:val="28"/>
          <w:szCs w:val="28"/>
          <w:lang w:val="kk-KZ"/>
        </w:rPr>
      </w:pPr>
      <w:r>
        <w:rPr>
          <w:rFonts w:ascii="Times New Roman" w:hAnsi="Times New Roman" w:cs="Times New Roman"/>
          <w:b/>
          <w:bCs/>
          <w:color w:val="auto"/>
          <w:sz w:val="28"/>
          <w:szCs w:val="28"/>
          <w:lang w:val="kk-KZ"/>
        </w:rPr>
        <w:t>бөлім бойынша қорытынды:</w:t>
      </w:r>
    </w:p>
    <w:p w14:paraId="3623BF6D">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kk-KZ"/>
        </w:rPr>
        <w:t>1.Қаражанбас кен орнында 50 жылдық пайдалану кезеңінде (1974-2024) шамамен 2-2,5 млн тонна мұнай қалдықтары жинақталып, 551,8 гектар аумақ ластанған. Жылдық қалдық түзілу көлемі 40-60 мың тоннаны құрайды, бұл биоремедиацияның жаңа әдістерін әзірлеу қажеттілігін негіздейді.</w:t>
      </w:r>
    </w:p>
    <w:p w14:paraId="1AFD7889">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ru-RU"/>
        </w:rPr>
        <w:t>2</w:t>
      </w:r>
      <w:r>
        <w:rPr>
          <w:rFonts w:hint="default" w:ascii="Times New Roman" w:hAnsi="Times New Roman"/>
          <w:color w:val="auto"/>
          <w:sz w:val="28"/>
          <w:szCs w:val="28"/>
          <w:lang w:val="kk-KZ"/>
        </w:rPr>
        <w:t>.</w:t>
      </w:r>
      <w:r>
        <w:rPr>
          <w:rFonts w:ascii="Times New Roman" w:hAnsi="Times New Roman"/>
          <w:color w:val="auto"/>
          <w:sz w:val="28"/>
          <w:szCs w:val="28"/>
          <w:lang w:val="kk-KZ"/>
        </w:rPr>
        <w:t>Зерттеуге Маңғыстау облысының типтік сұр-қоңыр топырақтары алынды. Топырақтың негізгі көрсеткіштері: pH 7,8±0,2, органикалық заттар 1,2±0,3%, түйіршік құрамы құм/сұйылтпа/саз 65/28/7%. Топырақтар аридті климат жағдайларына тән төмен гумус құрамымен (1,5-2,0%) және жоғары карбонаттылықпен сипатталады.</w:t>
      </w:r>
    </w:p>
    <w:p w14:paraId="4C17C3CD">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ru-RU"/>
        </w:rPr>
        <w:t>3</w:t>
      </w:r>
      <w:r>
        <w:rPr>
          <w:rFonts w:hint="default" w:ascii="Times New Roman" w:hAnsi="Times New Roman"/>
          <w:color w:val="auto"/>
          <w:sz w:val="28"/>
          <w:szCs w:val="28"/>
          <w:lang w:val="kk-KZ"/>
        </w:rPr>
        <w:t>.</w:t>
      </w:r>
      <w:r>
        <w:rPr>
          <w:rFonts w:ascii="Times New Roman" w:hAnsi="Times New Roman"/>
          <w:color w:val="auto"/>
          <w:sz w:val="28"/>
          <w:szCs w:val="28"/>
          <w:lang w:val="kk-KZ"/>
        </w:rPr>
        <w:t>Қаражанбас кен орнының шикі мұнайы жоғары тығыздығымен (931,6 кг/м³), шайырлар құрамымен (24,5%) және күкірт қосылыстарымен (2,1%) сипатталады. Жеңіл фракциялардың төмен құрамы (3,8%) және ауыр қалдықтың жоғары үлесі (19,7%) мұнайдың биодеструкциясын қиындатады.</w:t>
      </w:r>
    </w:p>
    <w:p w14:paraId="5D3D833C">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kk-KZ"/>
        </w:rPr>
        <w:t xml:space="preserve">Микроорганизм-деструкторлар ретінде </w:t>
      </w:r>
      <w:r>
        <w:rPr>
          <w:rFonts w:ascii="Times New Roman" w:hAnsi="Times New Roman"/>
          <w:i/>
          <w:iCs/>
          <w:color w:val="auto"/>
          <w:sz w:val="28"/>
          <w:szCs w:val="28"/>
          <w:lang w:val="kk-KZ"/>
        </w:rPr>
        <w:t>Rhodococcus erythropolis AT7 және Dietzia maris 22K</w:t>
      </w:r>
      <w:r>
        <w:rPr>
          <w:rFonts w:ascii="Times New Roman" w:hAnsi="Times New Roman"/>
          <w:color w:val="auto"/>
          <w:sz w:val="28"/>
          <w:szCs w:val="28"/>
          <w:lang w:val="kk-KZ"/>
        </w:rPr>
        <w:t xml:space="preserve"> консорциумы таңдалды. Консорциум құрамындағы штамдар синергетикалық әсер көрсетіп, алифатты көмірсутектерден (C₁₀-C₃₀) бастап полиароматты көмірсутектерге дейін кең спектрді деструкциялауға қабілетті.</w:t>
      </w:r>
    </w:p>
    <w:p w14:paraId="7FBA6AB8">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ru-RU"/>
        </w:rPr>
        <w:t>4</w:t>
      </w:r>
      <w:r>
        <w:rPr>
          <w:rFonts w:hint="default" w:ascii="Times New Roman" w:hAnsi="Times New Roman"/>
          <w:color w:val="auto"/>
          <w:sz w:val="28"/>
          <w:szCs w:val="28"/>
          <w:lang w:val="kk-KZ"/>
        </w:rPr>
        <w:t>.</w:t>
      </w:r>
      <w:r>
        <w:rPr>
          <w:rFonts w:ascii="Times New Roman" w:hAnsi="Times New Roman"/>
          <w:color w:val="auto"/>
          <w:sz w:val="28"/>
          <w:szCs w:val="28"/>
          <w:lang w:val="kk-KZ"/>
        </w:rPr>
        <w:t>Органикалық тасымалдағыштар ретінде қарақұмық қауызы (Павлодар облысы) және күріш қауызы (Қызылорда облысы) таңдалды. Бұл материалдар Қазақстанда жыл сайын үлкен көлемде өндіріліп (28-36 мың тонна), экономикалық тиімді (1-5 теңге/кг) және экологиялық қауіпсіз шикізат болып табылады.</w:t>
      </w:r>
    </w:p>
    <w:p w14:paraId="32285939">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kk-KZ"/>
        </w:rPr>
        <w:t>Адсорбциялық иммобилизация әдістемесі оңтайландырылды: 1:5 (w/v) қатынасы, 28°C температура, 150 айн/мин жылдамдық, 24 сағат ұзақтық. Иммобилизация тиімділігі спектрофотометриялық (OD₆₀₀) және СЭМ әдістерімен расталды.</w:t>
      </w:r>
    </w:p>
    <w:p w14:paraId="46BD6CF5">
      <w:pPr>
        <w:pStyle w:val="20"/>
        <w:spacing w:after="0"/>
        <w:ind w:firstLine="709"/>
        <w:rPr>
          <w:rFonts w:ascii="Times New Roman" w:hAnsi="Times New Roman"/>
          <w:color w:val="auto"/>
          <w:sz w:val="28"/>
          <w:szCs w:val="28"/>
          <w:lang w:val="kk-KZ"/>
        </w:rPr>
      </w:pPr>
      <w:r>
        <w:rPr>
          <w:rFonts w:ascii="Times New Roman" w:hAnsi="Times New Roman"/>
          <w:color w:val="auto"/>
          <w:sz w:val="28"/>
          <w:szCs w:val="28"/>
          <w:lang w:val="kk-KZ"/>
        </w:rPr>
        <w:t>5.Эксперименттік дизайн екі бағытты қамтыды: стандартты жағдайлар (25-28°C, 45 күн, n=5) және стресс жағдайлары (температура +4°C...+42°C, тұздылық 3-10% NaCl). Бақылау топтарының (абиоттық, тасымалдағыш, бос жасушалар) енгізілуі биологиялық деструкцияны физикалық адсорбциядан оқшаулауға мүмкіндік берді.</w:t>
      </w:r>
    </w:p>
    <w:p w14:paraId="138408F4">
      <w:pPr>
        <w:pStyle w:val="20"/>
        <w:spacing w:after="0"/>
        <w:ind w:firstLine="709"/>
        <w:rPr>
          <w:rFonts w:ascii="Times New Roman" w:hAnsi="Times New Roman" w:cs="Times New Roman"/>
          <w:color w:val="auto"/>
          <w:sz w:val="28"/>
          <w:szCs w:val="28"/>
          <w:lang w:val="kk-KZ"/>
        </w:rPr>
      </w:pPr>
      <w:r>
        <w:rPr>
          <w:rFonts w:ascii="Times New Roman" w:hAnsi="Times New Roman"/>
          <w:color w:val="auto"/>
          <w:sz w:val="28"/>
          <w:szCs w:val="28"/>
          <w:lang w:val="kk-KZ"/>
        </w:rPr>
        <w:t>6.Аналитикалық әдістер кешені халықаралық стандарттарға сәйкес қолданылды: ЖМӨ анықтау (FTIR, R²≥0,998), фракциялық талдау, бірінші ретті кинетика модельдеу, ферменттік белсенділік (каталаза, липаза), топырақ параметрлері (pH, ылғалдылық). Статистикалық талдау ANOVA және Tukey post-hoc сынағымен жүргізілді (p&lt;0,05), бұл нәтижелердің жоғары сенімділігін қамтамасыз етті.</w:t>
      </w:r>
    </w:p>
    <w:p w14:paraId="5920BE7C">
      <w:pPr>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br w:type="page"/>
      </w:r>
    </w:p>
    <w:p w14:paraId="39A883F6">
      <w:pPr>
        <w:spacing w:after="0"/>
        <w:ind w:firstLine="709" w:firstLineChars="0"/>
        <w:rPr>
          <w:b/>
          <w:color w:val="auto"/>
          <w:szCs w:val="28"/>
          <w:lang w:val="kk-KZ"/>
        </w:rPr>
      </w:pPr>
      <w:r>
        <w:rPr>
          <w:b/>
          <w:color w:val="auto"/>
          <w:szCs w:val="28"/>
          <w:lang w:val="kk-KZ"/>
        </w:rPr>
        <w:t>3 Мұнаймен ластанған топырақты иммобилизацияланған микроорганизм-деструкторларды қолдана отырып тазалау әдісін әзірлеу</w:t>
      </w:r>
    </w:p>
    <w:p w14:paraId="006DF390">
      <w:pPr>
        <w:spacing w:after="0"/>
        <w:ind w:firstLine="709"/>
        <w:rPr>
          <w:b/>
          <w:bCs/>
          <w:color w:val="auto"/>
          <w:szCs w:val="28"/>
          <w:lang w:val="kk-KZ"/>
        </w:rPr>
      </w:pPr>
    </w:p>
    <w:p w14:paraId="77994FE0">
      <w:pPr>
        <w:spacing w:after="0"/>
        <w:ind w:firstLine="709"/>
        <w:rPr>
          <w:b/>
          <w:bCs/>
          <w:color w:val="auto"/>
          <w:szCs w:val="28"/>
          <w:lang w:val="kk-KZ"/>
        </w:rPr>
      </w:pPr>
      <w:r>
        <w:rPr>
          <w:b/>
          <w:bCs/>
          <w:color w:val="auto"/>
          <w:szCs w:val="28"/>
          <w:lang w:val="ru-RU"/>
        </w:rPr>
        <w:t>3</w:t>
      </w:r>
      <w:r>
        <w:rPr>
          <w:rFonts w:hint="default"/>
          <w:b/>
          <w:bCs/>
          <w:color w:val="auto"/>
          <w:szCs w:val="28"/>
          <w:lang w:val="kk-KZ"/>
        </w:rPr>
        <w:t>.</w:t>
      </w:r>
      <w:r>
        <w:rPr>
          <w:b/>
          <w:bCs/>
          <w:color w:val="auto"/>
          <w:szCs w:val="28"/>
          <w:lang w:val="kk-KZ"/>
        </w:rPr>
        <w:t>1</w:t>
      </w:r>
      <w:r>
        <w:rPr>
          <w:rFonts w:hint="default"/>
          <w:b/>
          <w:bCs/>
          <w:color w:val="auto"/>
          <w:szCs w:val="28"/>
          <w:lang w:val="ru-RU"/>
        </w:rPr>
        <w:t xml:space="preserve"> </w:t>
      </w:r>
      <w:r>
        <w:rPr>
          <w:b/>
          <w:bCs/>
          <w:color w:val="auto"/>
          <w:szCs w:val="28"/>
          <w:lang w:val="kk-KZ"/>
        </w:rPr>
        <w:t>Тасымалдаушылардың сипаттамасын зерттеу</w:t>
      </w:r>
    </w:p>
    <w:p w14:paraId="25E6690C">
      <w:pPr>
        <w:spacing w:after="0"/>
        <w:ind w:firstLine="709"/>
        <w:rPr>
          <w:b/>
          <w:bCs/>
          <w:color w:val="auto"/>
          <w:szCs w:val="28"/>
          <w:lang w:val="kk-KZ"/>
        </w:rPr>
      </w:pPr>
      <w:r>
        <w:rPr>
          <w:b/>
          <w:bCs/>
          <w:color w:val="auto"/>
          <w:szCs w:val="28"/>
          <w:lang w:val="ru-RU"/>
        </w:rPr>
        <w:t>3</w:t>
      </w:r>
      <w:r>
        <w:rPr>
          <w:rFonts w:hint="default"/>
          <w:b/>
          <w:bCs/>
          <w:color w:val="auto"/>
          <w:szCs w:val="28"/>
          <w:lang w:val="kk-KZ"/>
        </w:rPr>
        <w:t>.</w:t>
      </w:r>
      <w:r>
        <w:rPr>
          <w:b/>
          <w:bCs/>
          <w:color w:val="auto"/>
          <w:szCs w:val="28"/>
          <w:lang w:val="kk-KZ"/>
        </w:rPr>
        <w:t>1.1 Тасымалдаушылардың химиялық құрамы және физика-механикалық қасиеттерін зерттеу</w:t>
      </w:r>
    </w:p>
    <w:p w14:paraId="4AB67688">
      <w:pPr>
        <w:spacing w:after="0"/>
        <w:ind w:firstLine="709"/>
        <w:rPr>
          <w:rFonts w:hint="default"/>
          <w:color w:val="auto"/>
          <w:szCs w:val="28"/>
          <w:lang w:val="kk-KZ"/>
        </w:rPr>
      </w:pPr>
      <w:r>
        <w:rPr>
          <w:color w:val="auto"/>
          <w:szCs w:val="28"/>
          <w:lang w:val="kk-KZ"/>
        </w:rPr>
        <w:t>Биоремедиация процесінде тасымалдаушылардың рөлі олардың химиялық құрамымен және физика-механикалық қасиеттерімен тығыз байланысты. Зерттеуге таңдалған ауыл шаруашылығы қалдықтары - қарақұмық (</w:t>
      </w:r>
      <w:r>
        <w:rPr>
          <w:i/>
          <w:iCs/>
          <w:color w:val="auto"/>
          <w:szCs w:val="28"/>
          <w:lang w:val="kk-KZ"/>
        </w:rPr>
        <w:t>Fagopyrum esculentum)</w:t>
      </w:r>
      <w:r>
        <w:rPr>
          <w:color w:val="auto"/>
          <w:szCs w:val="28"/>
          <w:lang w:val="kk-KZ"/>
        </w:rPr>
        <w:t xml:space="preserve"> және күріш </w:t>
      </w:r>
      <w:r>
        <w:rPr>
          <w:i/>
          <w:iCs/>
          <w:color w:val="auto"/>
          <w:szCs w:val="28"/>
          <w:lang w:val="kk-KZ"/>
        </w:rPr>
        <w:t xml:space="preserve">(Oryza sativa) </w:t>
      </w:r>
      <w:r>
        <w:rPr>
          <w:color w:val="auto"/>
          <w:szCs w:val="28"/>
          <w:lang w:val="kk-KZ"/>
        </w:rPr>
        <w:t>қауыздары - Қазақстанда жыл сайын үлкен көлемде өндіріледі және экономикалық тұрғыдан тиімді биотехнологиялық қолданыс үшін қолайлы шикізат болып табылады [1</w:t>
      </w:r>
      <w:r>
        <w:rPr>
          <w:rFonts w:hint="default"/>
          <w:color w:val="auto"/>
          <w:szCs w:val="28"/>
          <w:lang w:val="ru-RU"/>
        </w:rPr>
        <w:t>31</w:t>
      </w:r>
      <w:r>
        <w:rPr>
          <w:color w:val="auto"/>
          <w:szCs w:val="28"/>
          <w:lang w:val="kk-KZ"/>
        </w:rPr>
        <w:t>].</w:t>
      </w:r>
      <w:r>
        <w:rPr>
          <w:rFonts w:hint="default"/>
          <w:color w:val="auto"/>
          <w:szCs w:val="28"/>
          <w:lang w:val="en-US"/>
        </w:rPr>
        <w:t xml:space="preserve"> </w:t>
      </w:r>
      <w:r>
        <w:rPr>
          <w:rFonts w:hint="default"/>
          <w:color w:val="auto"/>
          <w:szCs w:val="28"/>
          <w:lang w:val="kk-KZ"/>
        </w:rPr>
        <w:t>Органикалық тасымалдаушылар фотосуреті 9 суретте көрсетілген.</w:t>
      </w:r>
    </w:p>
    <w:p w14:paraId="4E93827F">
      <w:pPr>
        <w:spacing w:after="0"/>
        <w:ind w:firstLine="709"/>
        <w:rPr>
          <w:color w:val="auto"/>
          <w:szCs w:val="28"/>
          <w:lang w:val="kk-KZ"/>
        </w:rPr>
      </w:pPr>
    </w:p>
    <w:p w14:paraId="56297904">
      <w:pPr>
        <w:pStyle w:val="35"/>
        <w:spacing w:beforeAutospacing="0" w:afterAutospacing="0"/>
        <w:ind w:firstLine="709"/>
        <w:jc w:val="center"/>
        <w:rPr>
          <w:color w:val="auto"/>
        </w:rPr>
      </w:pPr>
      <w:r>
        <w:rPr>
          <w:color w:val="auto"/>
          <w:lang w:val="ru-RU" w:eastAsia="ru-RU"/>
        </w:rPr>
        <w:drawing>
          <wp:inline distT="0" distB="0" distL="114300" distR="114300">
            <wp:extent cx="2410460" cy="2374265"/>
            <wp:effectExtent l="0" t="0" r="12700" b="3175"/>
            <wp:docPr id="67" name="Изображение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Изображение 4" descr="IMG_256"/>
                    <pic:cNvPicPr>
                      <a:picLocks noChangeAspect="1"/>
                    </pic:cNvPicPr>
                  </pic:nvPicPr>
                  <pic:blipFill>
                    <a:blip r:embed="rId19"/>
                    <a:srcRect t="25760" r="398" b="19090"/>
                    <a:stretch>
                      <a:fillRect/>
                    </a:stretch>
                  </pic:blipFill>
                  <pic:spPr>
                    <a:xfrm>
                      <a:off x="0" y="0"/>
                      <a:ext cx="2410460" cy="2374265"/>
                    </a:xfrm>
                    <a:prstGeom prst="rect">
                      <a:avLst/>
                    </a:prstGeom>
                    <a:noFill/>
                    <a:ln w="9525">
                      <a:noFill/>
                    </a:ln>
                  </pic:spPr>
                </pic:pic>
              </a:graphicData>
            </a:graphic>
          </wp:inline>
        </w:drawing>
      </w:r>
      <w:r>
        <w:rPr>
          <w:color w:val="auto"/>
          <w:lang w:val="ru-RU" w:eastAsia="ru-RU"/>
        </w:rPr>
        <w:drawing>
          <wp:inline distT="0" distB="0" distL="114300" distR="114300">
            <wp:extent cx="2505075" cy="2360295"/>
            <wp:effectExtent l="0" t="0" r="9525" b="1905"/>
            <wp:docPr id="68" name="Изображение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Изображение 5" descr="IMG_256"/>
                    <pic:cNvPicPr>
                      <a:picLocks noChangeAspect="1"/>
                    </pic:cNvPicPr>
                  </pic:nvPicPr>
                  <pic:blipFill>
                    <a:blip r:embed="rId20"/>
                    <a:srcRect t="29328" r="-221" b="24766"/>
                    <a:stretch>
                      <a:fillRect/>
                    </a:stretch>
                  </pic:blipFill>
                  <pic:spPr>
                    <a:xfrm>
                      <a:off x="0" y="0"/>
                      <a:ext cx="2505075" cy="2360295"/>
                    </a:xfrm>
                    <a:prstGeom prst="rect">
                      <a:avLst/>
                    </a:prstGeom>
                    <a:noFill/>
                    <a:ln w="9525">
                      <a:noFill/>
                    </a:ln>
                  </pic:spPr>
                </pic:pic>
              </a:graphicData>
            </a:graphic>
          </wp:inline>
        </w:drawing>
      </w:r>
    </w:p>
    <w:p w14:paraId="6BD5401F">
      <w:pPr>
        <w:pStyle w:val="35"/>
        <w:spacing w:beforeAutospacing="0" w:afterAutospacing="0"/>
        <w:ind w:firstLine="709"/>
        <w:jc w:val="center"/>
        <w:rPr>
          <w:color w:val="auto"/>
          <w:highlight w:val="yellow"/>
        </w:rPr>
      </w:pPr>
    </w:p>
    <w:p w14:paraId="628529A7">
      <w:pPr>
        <w:pStyle w:val="35"/>
        <w:spacing w:beforeAutospacing="0" w:afterAutospacing="0"/>
        <w:ind w:firstLine="709"/>
        <w:jc w:val="center"/>
        <w:rPr>
          <w:color w:val="auto"/>
          <w:sz w:val="28"/>
          <w:szCs w:val="28"/>
          <w:lang w:val="kk-KZ"/>
        </w:rPr>
      </w:pPr>
      <w:r>
        <w:rPr>
          <w:color w:val="auto"/>
          <w:sz w:val="28"/>
          <w:szCs w:val="28"/>
          <w:lang w:val="ru-RU"/>
        </w:rPr>
        <w:t>Сурет</w:t>
      </w:r>
      <w:r>
        <w:rPr>
          <w:color w:val="auto"/>
          <w:sz w:val="28"/>
          <w:szCs w:val="28"/>
        </w:rPr>
        <w:t xml:space="preserve"> </w:t>
      </w:r>
      <w:r>
        <w:rPr>
          <w:color w:val="auto"/>
          <w:sz w:val="28"/>
          <w:szCs w:val="28"/>
          <w:lang w:val="kk-KZ"/>
        </w:rPr>
        <w:t>9</w:t>
      </w:r>
      <w:r>
        <w:rPr>
          <w:color w:val="auto"/>
          <w:sz w:val="28"/>
          <w:szCs w:val="28"/>
        </w:rPr>
        <w:t xml:space="preserve"> - </w:t>
      </w:r>
      <w:r>
        <w:rPr>
          <w:color w:val="auto"/>
          <w:sz w:val="28"/>
          <w:szCs w:val="28"/>
          <w:lang w:val="kk-KZ"/>
        </w:rPr>
        <w:t>Қарақұмық және күріш қауызы</w:t>
      </w:r>
    </w:p>
    <w:p w14:paraId="065A5E86">
      <w:pPr>
        <w:spacing w:after="0"/>
        <w:ind w:firstLine="709"/>
        <w:rPr>
          <w:color w:val="auto"/>
          <w:szCs w:val="28"/>
          <w:highlight w:val="yellow"/>
          <w:lang w:val="kk-KZ"/>
        </w:rPr>
      </w:pPr>
    </w:p>
    <w:p w14:paraId="6D681C6D">
      <w:pPr>
        <w:spacing w:after="0"/>
        <w:ind w:firstLine="709"/>
        <w:rPr>
          <w:color w:val="auto"/>
          <w:szCs w:val="28"/>
          <w:lang w:val="kk-KZ"/>
        </w:rPr>
      </w:pPr>
      <w:r>
        <w:rPr>
          <w:color w:val="auto"/>
          <w:szCs w:val="28"/>
          <w:lang w:val="kk-KZ"/>
        </w:rPr>
        <w:t>Органикалық тасымалдаушылардың химиялық құрамы стандартты аналитикалық әдістермен анықталды (</w:t>
      </w:r>
      <w:r>
        <w:rPr>
          <w:color w:val="auto"/>
          <w:szCs w:val="28"/>
          <w:lang w:val="en-US"/>
        </w:rPr>
        <w:t>6</w:t>
      </w:r>
      <w:r>
        <w:rPr>
          <w:color w:val="auto"/>
          <w:szCs w:val="28"/>
          <w:lang w:val="kk-KZ"/>
        </w:rPr>
        <w:t xml:space="preserve">-кесте, </w:t>
      </w:r>
      <w:r>
        <w:rPr>
          <w:color w:val="auto"/>
          <w:szCs w:val="28"/>
          <w:lang w:val="ru-RU"/>
        </w:rPr>
        <w:t>2</w:t>
      </w:r>
      <w:r>
        <w:rPr>
          <w:rFonts w:hint="default"/>
          <w:color w:val="auto"/>
          <w:szCs w:val="28"/>
          <w:lang w:val="kk-KZ"/>
        </w:rPr>
        <w:t>.</w:t>
      </w:r>
      <w:r>
        <w:rPr>
          <w:color w:val="auto"/>
          <w:szCs w:val="28"/>
          <w:lang w:val="kk-KZ"/>
        </w:rPr>
        <w:t>4 бөлім). Нәтижелер 8 кестеде көрсетілген.</w:t>
      </w:r>
    </w:p>
    <w:p w14:paraId="7C199B29">
      <w:pPr>
        <w:spacing w:after="0"/>
        <w:ind w:firstLine="709"/>
        <w:rPr>
          <w:color w:val="auto"/>
          <w:szCs w:val="28"/>
          <w:lang w:val="kk-KZ"/>
        </w:rPr>
      </w:pPr>
    </w:p>
    <w:p w14:paraId="7B917F7B">
      <w:pPr>
        <w:spacing w:after="0"/>
        <w:rPr>
          <w:color w:val="auto"/>
          <w:szCs w:val="28"/>
          <w:lang w:val="kk-KZ"/>
        </w:rPr>
      </w:pPr>
      <w:r>
        <w:rPr>
          <w:color w:val="auto"/>
          <w:szCs w:val="28"/>
          <w:lang w:val="kk-KZ"/>
        </w:rPr>
        <w:t>Кесте 8 – Қарақұмық және күріш қауыздарының химиялық құрамы [143]</w:t>
      </w:r>
    </w:p>
    <w:p w14:paraId="2DD91909">
      <w:pPr>
        <w:spacing w:after="0"/>
        <w:ind w:firstLine="709"/>
        <w:rPr>
          <w:color w:val="auto"/>
          <w:szCs w:val="28"/>
          <w:lang w:val="kk-KZ"/>
        </w:rPr>
      </w:pP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3180"/>
        <w:gridCol w:w="3409"/>
      </w:tblGrid>
      <w:tr w14:paraId="082DF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7" w:type="dxa"/>
            <w:vAlign w:val="center"/>
          </w:tcPr>
          <w:p w14:paraId="2A77DC64">
            <w:pPr>
              <w:widowControl w:val="0"/>
              <w:jc w:val="left"/>
              <w:rPr>
                <w:color w:val="auto"/>
                <w:sz w:val="24"/>
                <w:szCs w:val="24"/>
              </w:rPr>
            </w:pPr>
            <w:r>
              <w:rPr>
                <w:rStyle w:val="19"/>
                <w:b w:val="0"/>
                <w:bCs w:val="0"/>
                <w:color w:val="auto"/>
                <w:sz w:val="24"/>
                <w:szCs w:val="24"/>
                <w:lang w:val="en-US" w:eastAsia="zh-CN" w:bidi="ar"/>
              </w:rPr>
              <w:t>Компонент</w:t>
            </w:r>
          </w:p>
        </w:tc>
        <w:tc>
          <w:tcPr>
            <w:tcW w:w="3180" w:type="dxa"/>
            <w:vAlign w:val="center"/>
          </w:tcPr>
          <w:p w14:paraId="7169682E">
            <w:pPr>
              <w:widowControl w:val="0"/>
              <w:jc w:val="left"/>
              <w:rPr>
                <w:color w:val="auto"/>
                <w:sz w:val="24"/>
                <w:szCs w:val="24"/>
              </w:rPr>
            </w:pPr>
            <w:r>
              <w:rPr>
                <w:rStyle w:val="19"/>
                <w:b w:val="0"/>
                <w:bCs w:val="0"/>
                <w:color w:val="auto"/>
                <w:sz w:val="24"/>
                <w:szCs w:val="24"/>
                <w:lang w:eastAsia="zh-CN" w:bidi="ar"/>
              </w:rPr>
              <w:t xml:space="preserve">Күріш қауызы </w:t>
            </w:r>
            <w:r>
              <w:rPr>
                <w:rStyle w:val="19"/>
                <w:b w:val="0"/>
                <w:bCs w:val="0"/>
                <w:color w:val="auto"/>
                <w:sz w:val="24"/>
                <w:szCs w:val="24"/>
                <w:lang w:val="kk-KZ" w:eastAsia="zh-CN" w:bidi="ar"/>
              </w:rPr>
              <w:t xml:space="preserve">                      </w:t>
            </w:r>
            <w:r>
              <w:rPr>
                <w:rStyle w:val="19"/>
                <w:b w:val="0"/>
                <w:bCs w:val="0"/>
                <w:color w:val="auto"/>
                <w:sz w:val="24"/>
                <w:szCs w:val="24"/>
                <w:lang w:eastAsia="zh-CN" w:bidi="ar"/>
              </w:rPr>
              <w:t>[% массалық] немесе [мг</w:t>
            </w:r>
            <w:r>
              <w:rPr>
                <w:rStyle w:val="19"/>
                <w:rFonts w:hint="default"/>
                <w:b w:val="0"/>
                <w:bCs w:val="0"/>
                <w:color w:val="auto"/>
                <w:sz w:val="24"/>
                <w:szCs w:val="24"/>
                <w:lang w:val="ru-RU" w:eastAsia="zh-CN" w:bidi="ar"/>
              </w:rPr>
              <w:t>/100</w:t>
            </w:r>
            <w:r>
              <w:rPr>
                <w:rStyle w:val="19"/>
                <w:b w:val="0"/>
                <w:bCs w:val="0"/>
                <w:color w:val="auto"/>
                <w:sz w:val="24"/>
                <w:szCs w:val="24"/>
                <w:lang w:eastAsia="zh-CN" w:bidi="ar"/>
              </w:rPr>
              <w:t>]</w:t>
            </w:r>
          </w:p>
        </w:tc>
        <w:tc>
          <w:tcPr>
            <w:tcW w:w="3409" w:type="dxa"/>
            <w:vAlign w:val="center"/>
          </w:tcPr>
          <w:p w14:paraId="761C7591">
            <w:pPr>
              <w:widowControl w:val="0"/>
              <w:jc w:val="left"/>
              <w:rPr>
                <w:color w:val="auto"/>
                <w:sz w:val="24"/>
                <w:szCs w:val="24"/>
              </w:rPr>
            </w:pPr>
            <w:r>
              <w:rPr>
                <w:rStyle w:val="19"/>
                <w:b w:val="0"/>
                <w:bCs w:val="0"/>
                <w:color w:val="auto"/>
                <w:sz w:val="24"/>
                <w:szCs w:val="24"/>
                <w:lang w:eastAsia="zh-CN" w:bidi="ar"/>
              </w:rPr>
              <w:t xml:space="preserve">Қарақұмық қауызы </w:t>
            </w:r>
            <w:r>
              <w:rPr>
                <w:rStyle w:val="19"/>
                <w:b w:val="0"/>
                <w:bCs w:val="0"/>
                <w:color w:val="auto"/>
                <w:sz w:val="24"/>
                <w:szCs w:val="24"/>
                <w:lang w:val="kk-KZ" w:eastAsia="zh-CN" w:bidi="ar"/>
              </w:rPr>
              <w:t xml:space="preserve">                 </w:t>
            </w:r>
            <w:r>
              <w:rPr>
                <w:rStyle w:val="19"/>
                <w:b w:val="0"/>
                <w:bCs w:val="0"/>
                <w:color w:val="auto"/>
                <w:sz w:val="24"/>
                <w:szCs w:val="24"/>
                <w:lang w:eastAsia="zh-CN" w:bidi="ar"/>
              </w:rPr>
              <w:t>[% массалық] немесе [</w:t>
            </w:r>
            <w:r>
              <w:rPr>
                <w:rStyle w:val="19"/>
                <w:b w:val="0"/>
                <w:bCs w:val="0"/>
                <w:color w:val="auto"/>
                <w:sz w:val="24"/>
                <w:szCs w:val="24"/>
                <w:lang w:val="ru-RU" w:eastAsia="zh-CN" w:bidi="ar"/>
              </w:rPr>
              <w:t xml:space="preserve"> мг/100 г</w:t>
            </w:r>
            <w:r>
              <w:rPr>
                <w:rStyle w:val="19"/>
                <w:b w:val="0"/>
                <w:bCs w:val="0"/>
                <w:color w:val="auto"/>
                <w:sz w:val="24"/>
                <w:szCs w:val="24"/>
                <w:lang w:eastAsia="zh-CN" w:bidi="ar"/>
              </w:rPr>
              <w:t>]</w:t>
            </w:r>
          </w:p>
        </w:tc>
      </w:tr>
      <w:tr w14:paraId="27BE2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7" w:type="dxa"/>
            <w:vAlign w:val="center"/>
          </w:tcPr>
          <w:p w14:paraId="1A27359B">
            <w:pPr>
              <w:widowControl w:val="0"/>
              <w:jc w:val="left"/>
              <w:rPr>
                <w:color w:val="auto"/>
                <w:sz w:val="24"/>
                <w:szCs w:val="24"/>
              </w:rPr>
            </w:pPr>
            <w:r>
              <w:rPr>
                <w:color w:val="auto"/>
                <w:sz w:val="24"/>
                <w:szCs w:val="24"/>
                <w:lang w:val="en-US" w:eastAsia="zh-CN" w:bidi="ar"/>
              </w:rPr>
              <w:t>Ылғалдылық</w:t>
            </w:r>
          </w:p>
        </w:tc>
        <w:tc>
          <w:tcPr>
            <w:tcW w:w="3180" w:type="dxa"/>
            <w:vAlign w:val="center"/>
          </w:tcPr>
          <w:p w14:paraId="73CF3092">
            <w:pPr>
              <w:widowControl w:val="0"/>
              <w:jc w:val="left"/>
              <w:rPr>
                <w:color w:val="auto"/>
                <w:sz w:val="24"/>
                <w:szCs w:val="24"/>
              </w:rPr>
            </w:pPr>
            <w:r>
              <w:rPr>
                <w:color w:val="auto"/>
                <w:sz w:val="24"/>
                <w:szCs w:val="24"/>
                <w:lang w:val="en-US" w:eastAsia="zh-CN" w:bidi="ar"/>
              </w:rPr>
              <w:t>(</w:t>
            </w:r>
            <w:r>
              <w:rPr>
                <w:color w:val="auto"/>
                <w:sz w:val="24"/>
                <w:szCs w:val="24"/>
                <w:lang w:val="ru-RU" w:eastAsia="zh-CN" w:bidi="ar"/>
              </w:rPr>
              <w:t>3,</w:t>
            </w:r>
            <w:r>
              <w:rPr>
                <w:color w:val="auto"/>
                <w:sz w:val="24"/>
                <w:szCs w:val="24"/>
                <w:lang w:val="en-US" w:eastAsia="zh-CN" w:bidi="ar"/>
              </w:rPr>
              <w:t>75 - 2</w:t>
            </w:r>
            <w:r>
              <w:rPr>
                <w:color w:val="auto"/>
                <w:sz w:val="24"/>
                <w:szCs w:val="24"/>
                <w:lang w:val="ru-RU" w:eastAsia="zh-CN" w:bidi="ar"/>
              </w:rPr>
              <w:t>4,</w:t>
            </w:r>
            <w:r>
              <w:rPr>
                <w:color w:val="auto"/>
                <w:sz w:val="24"/>
                <w:szCs w:val="24"/>
                <w:lang w:val="en-US" w:eastAsia="zh-CN" w:bidi="ar"/>
              </w:rPr>
              <w:t>08) %</w:t>
            </w:r>
          </w:p>
        </w:tc>
        <w:tc>
          <w:tcPr>
            <w:tcW w:w="3409" w:type="dxa"/>
            <w:vAlign w:val="center"/>
          </w:tcPr>
          <w:p w14:paraId="2CDA33D6">
            <w:pPr>
              <w:widowControl w:val="0"/>
              <w:jc w:val="left"/>
              <w:rPr>
                <w:color w:val="auto"/>
                <w:sz w:val="24"/>
                <w:szCs w:val="24"/>
              </w:rPr>
            </w:pPr>
            <w:r>
              <w:rPr>
                <w:color w:val="auto"/>
                <w:sz w:val="24"/>
                <w:szCs w:val="24"/>
                <w:lang w:val="en-US" w:eastAsia="zh-CN" w:bidi="ar"/>
              </w:rPr>
              <w:t>(</w:t>
            </w:r>
            <w:r>
              <w:rPr>
                <w:color w:val="auto"/>
                <w:sz w:val="24"/>
                <w:szCs w:val="24"/>
                <w:lang w:val="ru-RU" w:eastAsia="zh-CN" w:bidi="ar"/>
              </w:rPr>
              <w:t>8,</w:t>
            </w:r>
            <w:r>
              <w:rPr>
                <w:color w:val="auto"/>
                <w:sz w:val="24"/>
                <w:szCs w:val="24"/>
                <w:lang w:val="en-US" w:eastAsia="zh-CN" w:bidi="ar"/>
              </w:rPr>
              <w:t>0 - 1</w:t>
            </w:r>
            <w:r>
              <w:rPr>
                <w:color w:val="auto"/>
                <w:sz w:val="24"/>
                <w:szCs w:val="24"/>
                <w:lang w:val="ru-RU" w:eastAsia="zh-CN" w:bidi="ar"/>
              </w:rPr>
              <w:t>4,</w:t>
            </w:r>
            <w:r>
              <w:rPr>
                <w:color w:val="auto"/>
                <w:sz w:val="24"/>
                <w:szCs w:val="24"/>
                <w:lang w:val="en-US" w:eastAsia="zh-CN" w:bidi="ar"/>
              </w:rPr>
              <w:t>0) %</w:t>
            </w:r>
          </w:p>
        </w:tc>
      </w:tr>
      <w:tr w14:paraId="66B6D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7" w:type="dxa"/>
            <w:vAlign w:val="center"/>
          </w:tcPr>
          <w:p w14:paraId="0BFAB9D2">
            <w:pPr>
              <w:widowControl w:val="0"/>
              <w:jc w:val="left"/>
              <w:rPr>
                <w:color w:val="auto"/>
                <w:sz w:val="24"/>
                <w:szCs w:val="24"/>
              </w:rPr>
            </w:pPr>
            <w:r>
              <w:rPr>
                <w:color w:val="auto"/>
                <w:sz w:val="24"/>
                <w:szCs w:val="24"/>
                <w:lang w:val="en-US" w:eastAsia="zh-CN" w:bidi="ar"/>
              </w:rPr>
              <w:t>Күл</w:t>
            </w:r>
          </w:p>
        </w:tc>
        <w:tc>
          <w:tcPr>
            <w:tcW w:w="3180" w:type="dxa"/>
            <w:vAlign w:val="center"/>
          </w:tcPr>
          <w:p w14:paraId="6E3CEC90">
            <w:pPr>
              <w:widowControl w:val="0"/>
              <w:jc w:val="left"/>
              <w:rPr>
                <w:color w:val="auto"/>
                <w:sz w:val="24"/>
                <w:szCs w:val="24"/>
              </w:rPr>
            </w:pPr>
            <w:r>
              <w:rPr>
                <w:color w:val="auto"/>
                <w:sz w:val="24"/>
                <w:szCs w:val="24"/>
                <w:lang w:val="en-US" w:eastAsia="zh-CN" w:bidi="ar"/>
              </w:rPr>
              <w:t>(11</w:t>
            </w:r>
            <w:r>
              <w:rPr>
                <w:rFonts w:hint="default"/>
                <w:color w:val="auto"/>
                <w:sz w:val="24"/>
                <w:szCs w:val="24"/>
                <w:lang w:val="kk-KZ" w:eastAsia="zh-CN" w:bidi="ar"/>
              </w:rPr>
              <w:t>,</w:t>
            </w:r>
            <w:r>
              <w:rPr>
                <w:color w:val="auto"/>
                <w:sz w:val="24"/>
                <w:szCs w:val="24"/>
                <w:lang w:val="en-US" w:eastAsia="zh-CN" w:bidi="ar"/>
              </w:rPr>
              <w:t>86 - 31</w:t>
            </w:r>
            <w:r>
              <w:rPr>
                <w:rFonts w:hint="default"/>
                <w:color w:val="auto"/>
                <w:sz w:val="24"/>
                <w:szCs w:val="24"/>
                <w:lang w:val="kk-KZ" w:eastAsia="zh-CN" w:bidi="ar"/>
              </w:rPr>
              <w:t>,</w:t>
            </w:r>
            <w:r>
              <w:rPr>
                <w:color w:val="auto"/>
                <w:sz w:val="24"/>
                <w:szCs w:val="24"/>
                <w:lang w:val="en-US" w:eastAsia="zh-CN" w:bidi="ar"/>
              </w:rPr>
              <w:t>78) %</w:t>
            </w:r>
          </w:p>
        </w:tc>
        <w:tc>
          <w:tcPr>
            <w:tcW w:w="3409" w:type="dxa"/>
            <w:vAlign w:val="center"/>
          </w:tcPr>
          <w:p w14:paraId="0617D1D0">
            <w:pPr>
              <w:widowControl w:val="0"/>
              <w:jc w:val="left"/>
              <w:rPr>
                <w:color w:val="auto"/>
                <w:sz w:val="24"/>
                <w:szCs w:val="24"/>
              </w:rPr>
            </w:pPr>
            <w:r>
              <w:rPr>
                <w:color w:val="auto"/>
                <w:sz w:val="24"/>
                <w:szCs w:val="24"/>
                <w:lang w:val="en-US" w:eastAsia="zh-CN" w:bidi="ar"/>
              </w:rPr>
              <w:t>(</w:t>
            </w:r>
            <w:r>
              <w:rPr>
                <w:color w:val="auto"/>
                <w:sz w:val="24"/>
                <w:szCs w:val="24"/>
                <w:lang w:val="ru-RU" w:eastAsia="zh-CN" w:bidi="ar"/>
              </w:rPr>
              <w:t>2,</w:t>
            </w:r>
            <w:r>
              <w:rPr>
                <w:color w:val="auto"/>
                <w:sz w:val="24"/>
                <w:szCs w:val="24"/>
                <w:lang w:val="en-US" w:eastAsia="zh-CN" w:bidi="ar"/>
              </w:rPr>
              <w:t xml:space="preserve">7 - </w:t>
            </w:r>
            <w:r>
              <w:rPr>
                <w:color w:val="auto"/>
                <w:sz w:val="24"/>
                <w:szCs w:val="24"/>
                <w:lang w:val="ru-RU" w:eastAsia="zh-CN" w:bidi="ar"/>
              </w:rPr>
              <w:t>4,</w:t>
            </w:r>
            <w:r>
              <w:rPr>
                <w:color w:val="auto"/>
                <w:sz w:val="24"/>
                <w:szCs w:val="24"/>
                <w:lang w:val="en-US" w:eastAsia="zh-CN" w:bidi="ar"/>
              </w:rPr>
              <w:t>0) %</w:t>
            </w:r>
          </w:p>
        </w:tc>
      </w:tr>
      <w:tr w14:paraId="08F48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7" w:type="dxa"/>
            <w:vAlign w:val="center"/>
          </w:tcPr>
          <w:p w14:paraId="411D776B">
            <w:pPr>
              <w:widowControl w:val="0"/>
              <w:jc w:val="left"/>
              <w:rPr>
                <w:color w:val="auto"/>
                <w:sz w:val="24"/>
                <w:szCs w:val="24"/>
              </w:rPr>
            </w:pPr>
            <w:r>
              <w:rPr>
                <w:color w:val="auto"/>
                <w:sz w:val="24"/>
                <w:szCs w:val="24"/>
                <w:lang w:val="en-US" w:eastAsia="zh-CN" w:bidi="ar"/>
              </w:rPr>
              <w:t>Пентозандар</w:t>
            </w:r>
          </w:p>
        </w:tc>
        <w:tc>
          <w:tcPr>
            <w:tcW w:w="3180" w:type="dxa"/>
            <w:vAlign w:val="center"/>
          </w:tcPr>
          <w:p w14:paraId="05DDCB8A">
            <w:pPr>
              <w:widowControl w:val="0"/>
              <w:jc w:val="left"/>
              <w:rPr>
                <w:color w:val="auto"/>
                <w:sz w:val="24"/>
                <w:szCs w:val="24"/>
              </w:rPr>
            </w:pPr>
            <w:r>
              <w:rPr>
                <w:color w:val="auto"/>
                <w:sz w:val="24"/>
                <w:szCs w:val="24"/>
                <w:lang w:val="en-US" w:eastAsia="zh-CN" w:bidi="ar"/>
              </w:rPr>
              <w:t>(</w:t>
            </w:r>
            <w:r>
              <w:rPr>
                <w:color w:val="auto"/>
                <w:sz w:val="24"/>
                <w:szCs w:val="24"/>
                <w:lang w:val="ru-RU" w:eastAsia="zh-CN" w:bidi="ar"/>
              </w:rPr>
              <w:t>4,</w:t>
            </w:r>
            <w:r>
              <w:rPr>
                <w:color w:val="auto"/>
                <w:sz w:val="24"/>
                <w:szCs w:val="24"/>
                <w:lang w:val="en-US" w:eastAsia="zh-CN" w:bidi="ar"/>
              </w:rPr>
              <w:t>52 - 3</w:t>
            </w:r>
            <w:r>
              <w:rPr>
                <w:color w:val="auto"/>
                <w:sz w:val="24"/>
                <w:szCs w:val="24"/>
                <w:lang w:val="ru-RU" w:eastAsia="zh-CN" w:bidi="ar"/>
              </w:rPr>
              <w:t>7,</w:t>
            </w:r>
            <w:r>
              <w:rPr>
                <w:color w:val="auto"/>
                <w:sz w:val="24"/>
                <w:szCs w:val="24"/>
                <w:lang w:val="en-US" w:eastAsia="zh-CN" w:bidi="ar"/>
              </w:rPr>
              <w:t>00) %</w:t>
            </w:r>
          </w:p>
        </w:tc>
        <w:tc>
          <w:tcPr>
            <w:tcW w:w="3409" w:type="dxa"/>
            <w:vAlign w:val="center"/>
          </w:tcPr>
          <w:p w14:paraId="4C2CDD1A">
            <w:pPr>
              <w:widowControl w:val="0"/>
              <w:jc w:val="left"/>
              <w:rPr>
                <w:color w:val="auto"/>
                <w:sz w:val="24"/>
                <w:szCs w:val="24"/>
              </w:rPr>
            </w:pPr>
            <w:r>
              <w:rPr>
                <w:color w:val="auto"/>
                <w:sz w:val="24"/>
                <w:szCs w:val="24"/>
                <w:lang w:val="en-US" w:eastAsia="zh-CN" w:bidi="ar"/>
              </w:rPr>
              <w:t>1</w:t>
            </w:r>
            <w:r>
              <w:rPr>
                <w:color w:val="auto"/>
                <w:sz w:val="24"/>
                <w:szCs w:val="24"/>
                <w:lang w:val="ru-RU" w:eastAsia="zh-CN" w:bidi="ar"/>
              </w:rPr>
              <w:t>2,</w:t>
            </w:r>
            <w:r>
              <w:rPr>
                <w:color w:val="auto"/>
                <w:sz w:val="24"/>
                <w:szCs w:val="24"/>
                <w:lang w:val="en-US" w:eastAsia="zh-CN" w:bidi="ar"/>
              </w:rPr>
              <w:t>5 %</w:t>
            </w:r>
          </w:p>
        </w:tc>
      </w:tr>
    </w:tbl>
    <w:p w14:paraId="07CF1A4C">
      <w:pPr>
        <w:widowControl w:val="0"/>
        <w:jc w:val="left"/>
        <w:rPr>
          <w:color w:val="auto"/>
          <w:sz w:val="24"/>
          <w:szCs w:val="24"/>
          <w:lang w:val="en-US" w:eastAsia="zh-CN" w:bidi="ar"/>
        </w:rPr>
      </w:pPr>
      <w:r>
        <w:rPr>
          <w:color w:val="auto"/>
          <w:sz w:val="24"/>
          <w:szCs w:val="24"/>
          <w:lang w:val="en-US" w:eastAsia="zh-CN" w:bidi="ar"/>
        </w:rPr>
        <w:br w:type="page"/>
      </w:r>
    </w:p>
    <w:p w14:paraId="288F13F6">
      <w:pPr>
        <w:rPr>
          <w:color w:val="auto"/>
          <w:sz w:val="24"/>
          <w:szCs w:val="24"/>
          <w:lang w:val="en-US" w:eastAsia="zh-CN" w:bidi="ar"/>
        </w:rPr>
      </w:pPr>
      <w:r>
        <w:rPr>
          <w:color w:val="auto"/>
          <w:sz w:val="28"/>
          <w:szCs w:val="28"/>
          <w:lang w:val="kk-KZ" w:eastAsia="zh-CN" w:bidi="ar"/>
        </w:rPr>
        <w:t xml:space="preserve">Кесте </w:t>
      </w:r>
      <w:r>
        <w:rPr>
          <w:rFonts w:hint="default"/>
          <w:color w:val="auto"/>
          <w:sz w:val="28"/>
          <w:szCs w:val="28"/>
          <w:lang w:val="ru-RU" w:eastAsia="zh-CN" w:bidi="ar"/>
        </w:rPr>
        <w:t>8</w:t>
      </w:r>
      <w:r>
        <w:rPr>
          <w:color w:val="auto"/>
          <w:sz w:val="28"/>
          <w:szCs w:val="28"/>
          <w:lang w:val="kk-KZ" w:eastAsia="zh-CN" w:bidi="ar"/>
        </w:rPr>
        <w:t xml:space="preserve"> жалғасы</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3180"/>
        <w:gridCol w:w="3409"/>
      </w:tblGrid>
      <w:tr w14:paraId="7916D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7" w:type="dxa"/>
            <w:vAlign w:val="center"/>
          </w:tcPr>
          <w:p w14:paraId="4333C898">
            <w:pPr>
              <w:widowControl w:val="0"/>
              <w:jc w:val="left"/>
              <w:rPr>
                <w:color w:val="auto"/>
                <w:sz w:val="24"/>
                <w:szCs w:val="24"/>
              </w:rPr>
            </w:pPr>
            <w:r>
              <w:rPr>
                <w:rStyle w:val="19"/>
                <w:b w:val="0"/>
                <w:bCs w:val="0"/>
                <w:color w:val="auto"/>
                <w:sz w:val="24"/>
                <w:szCs w:val="24"/>
                <w:lang w:val="en-US" w:eastAsia="zh-CN" w:bidi="ar"/>
              </w:rPr>
              <w:t>Целлюлоза</w:t>
            </w:r>
          </w:p>
        </w:tc>
        <w:tc>
          <w:tcPr>
            <w:tcW w:w="3180" w:type="dxa"/>
            <w:vAlign w:val="center"/>
          </w:tcPr>
          <w:p w14:paraId="316D84B6">
            <w:pPr>
              <w:widowControl w:val="0"/>
              <w:jc w:val="left"/>
              <w:rPr>
                <w:color w:val="auto"/>
                <w:sz w:val="24"/>
                <w:szCs w:val="24"/>
              </w:rPr>
            </w:pPr>
            <w:r>
              <w:rPr>
                <w:rStyle w:val="19"/>
                <w:b w:val="0"/>
                <w:bCs w:val="0"/>
                <w:color w:val="auto"/>
                <w:sz w:val="24"/>
                <w:szCs w:val="24"/>
                <w:lang w:val="en-US" w:eastAsia="zh-CN" w:bidi="ar"/>
              </w:rPr>
              <w:t>(3</w:t>
            </w:r>
            <w:r>
              <w:rPr>
                <w:rStyle w:val="19"/>
                <w:b w:val="0"/>
                <w:bCs w:val="0"/>
                <w:color w:val="auto"/>
                <w:sz w:val="24"/>
                <w:szCs w:val="24"/>
                <w:lang w:val="ru-RU" w:eastAsia="zh-CN" w:bidi="ar"/>
              </w:rPr>
              <w:t>4,</w:t>
            </w:r>
            <w:r>
              <w:rPr>
                <w:rStyle w:val="19"/>
                <w:b w:val="0"/>
                <w:bCs w:val="0"/>
                <w:color w:val="auto"/>
                <w:sz w:val="24"/>
                <w:szCs w:val="24"/>
                <w:lang w:val="en-US" w:eastAsia="zh-CN" w:bidi="ar"/>
              </w:rPr>
              <w:t>32 - 4</w:t>
            </w:r>
            <w:r>
              <w:rPr>
                <w:rStyle w:val="19"/>
                <w:b w:val="0"/>
                <w:bCs w:val="0"/>
                <w:color w:val="auto"/>
                <w:sz w:val="24"/>
                <w:szCs w:val="24"/>
                <w:lang w:val="ru-RU" w:eastAsia="zh-CN" w:bidi="ar"/>
              </w:rPr>
              <w:t>3,</w:t>
            </w:r>
            <w:r>
              <w:rPr>
                <w:rStyle w:val="19"/>
                <w:b w:val="0"/>
                <w:bCs w:val="0"/>
                <w:color w:val="auto"/>
                <w:sz w:val="24"/>
                <w:szCs w:val="24"/>
                <w:lang w:val="en-US" w:eastAsia="zh-CN" w:bidi="ar"/>
              </w:rPr>
              <w:t>12) %</w:t>
            </w:r>
          </w:p>
        </w:tc>
        <w:tc>
          <w:tcPr>
            <w:tcW w:w="3409" w:type="dxa"/>
            <w:vAlign w:val="center"/>
          </w:tcPr>
          <w:p w14:paraId="584967EA">
            <w:pPr>
              <w:widowControl w:val="0"/>
              <w:jc w:val="left"/>
              <w:rPr>
                <w:color w:val="auto"/>
                <w:sz w:val="24"/>
                <w:szCs w:val="24"/>
              </w:rPr>
            </w:pPr>
            <w:r>
              <w:rPr>
                <w:rStyle w:val="19"/>
                <w:b w:val="0"/>
                <w:bCs w:val="0"/>
                <w:color w:val="auto"/>
                <w:sz w:val="24"/>
                <w:szCs w:val="24"/>
                <w:lang w:val="en-US" w:eastAsia="zh-CN" w:bidi="ar"/>
              </w:rPr>
              <w:t>(2</w:t>
            </w:r>
            <w:r>
              <w:rPr>
                <w:rStyle w:val="19"/>
                <w:b w:val="0"/>
                <w:bCs w:val="0"/>
                <w:color w:val="auto"/>
                <w:sz w:val="24"/>
                <w:szCs w:val="24"/>
                <w:lang w:val="ru-RU" w:eastAsia="zh-CN" w:bidi="ar"/>
              </w:rPr>
              <w:t>0,</w:t>
            </w:r>
            <w:r>
              <w:rPr>
                <w:rStyle w:val="19"/>
                <w:b w:val="0"/>
                <w:bCs w:val="0"/>
                <w:color w:val="auto"/>
                <w:sz w:val="24"/>
                <w:szCs w:val="24"/>
                <w:lang w:val="en-US" w:eastAsia="zh-CN" w:bidi="ar"/>
              </w:rPr>
              <w:t>0 - 2</w:t>
            </w:r>
            <w:r>
              <w:rPr>
                <w:rStyle w:val="19"/>
                <w:b w:val="0"/>
                <w:bCs w:val="0"/>
                <w:color w:val="auto"/>
                <w:sz w:val="24"/>
                <w:szCs w:val="24"/>
                <w:lang w:val="ru-RU" w:eastAsia="zh-CN" w:bidi="ar"/>
              </w:rPr>
              <w:t>7,</w:t>
            </w:r>
            <w:r>
              <w:rPr>
                <w:rStyle w:val="19"/>
                <w:b w:val="0"/>
                <w:bCs w:val="0"/>
                <w:color w:val="auto"/>
                <w:sz w:val="24"/>
                <w:szCs w:val="24"/>
                <w:lang w:val="en-US" w:eastAsia="zh-CN" w:bidi="ar"/>
              </w:rPr>
              <w:t>0) %</w:t>
            </w:r>
          </w:p>
        </w:tc>
      </w:tr>
      <w:tr w14:paraId="6375C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7" w:type="dxa"/>
            <w:vAlign w:val="center"/>
          </w:tcPr>
          <w:p w14:paraId="2B662A9B">
            <w:pPr>
              <w:widowControl w:val="0"/>
              <w:jc w:val="left"/>
              <w:rPr>
                <w:color w:val="auto"/>
                <w:sz w:val="24"/>
                <w:szCs w:val="24"/>
              </w:rPr>
            </w:pPr>
            <w:r>
              <w:rPr>
                <w:rStyle w:val="19"/>
                <w:b w:val="0"/>
                <w:bCs w:val="0"/>
                <w:color w:val="auto"/>
                <w:sz w:val="24"/>
                <w:szCs w:val="24"/>
                <w:lang w:val="en-US" w:eastAsia="zh-CN" w:bidi="ar"/>
              </w:rPr>
              <w:t>Лигнин</w:t>
            </w:r>
          </w:p>
        </w:tc>
        <w:tc>
          <w:tcPr>
            <w:tcW w:w="3180" w:type="dxa"/>
            <w:vAlign w:val="center"/>
          </w:tcPr>
          <w:p w14:paraId="7E076932">
            <w:pPr>
              <w:widowControl w:val="0"/>
              <w:jc w:val="left"/>
              <w:rPr>
                <w:color w:val="auto"/>
                <w:sz w:val="24"/>
                <w:szCs w:val="24"/>
              </w:rPr>
            </w:pPr>
            <w:r>
              <w:rPr>
                <w:rStyle w:val="19"/>
                <w:b w:val="0"/>
                <w:bCs w:val="0"/>
                <w:color w:val="auto"/>
                <w:sz w:val="24"/>
                <w:szCs w:val="24"/>
                <w:lang w:val="en-US" w:eastAsia="zh-CN" w:bidi="ar"/>
              </w:rPr>
              <w:t>(19</w:t>
            </w:r>
            <w:r>
              <w:rPr>
                <w:rStyle w:val="19"/>
                <w:rFonts w:hint="default"/>
                <w:b w:val="0"/>
                <w:bCs w:val="0"/>
                <w:color w:val="auto"/>
                <w:sz w:val="24"/>
                <w:szCs w:val="24"/>
                <w:lang w:val="kk-KZ" w:eastAsia="zh-CN" w:bidi="ar"/>
              </w:rPr>
              <w:t>,</w:t>
            </w:r>
            <w:r>
              <w:rPr>
                <w:rStyle w:val="19"/>
                <w:b w:val="0"/>
                <w:bCs w:val="0"/>
                <w:color w:val="auto"/>
                <w:sz w:val="24"/>
                <w:szCs w:val="24"/>
                <w:lang w:val="en-US" w:eastAsia="zh-CN" w:bidi="ar"/>
              </w:rPr>
              <w:t>20 - 46</w:t>
            </w:r>
            <w:r>
              <w:rPr>
                <w:rStyle w:val="19"/>
                <w:rFonts w:hint="default"/>
                <w:b w:val="0"/>
                <w:bCs w:val="0"/>
                <w:color w:val="auto"/>
                <w:sz w:val="24"/>
                <w:szCs w:val="24"/>
                <w:lang w:val="kk-KZ" w:eastAsia="zh-CN" w:bidi="ar"/>
              </w:rPr>
              <w:t>,</w:t>
            </w:r>
            <w:r>
              <w:rPr>
                <w:rStyle w:val="19"/>
                <w:b w:val="0"/>
                <w:bCs w:val="0"/>
                <w:color w:val="auto"/>
                <w:sz w:val="24"/>
                <w:szCs w:val="24"/>
                <w:lang w:val="en-US" w:eastAsia="zh-CN" w:bidi="ar"/>
              </w:rPr>
              <w:t>97) %</w:t>
            </w:r>
          </w:p>
        </w:tc>
        <w:tc>
          <w:tcPr>
            <w:tcW w:w="3409" w:type="dxa"/>
            <w:vAlign w:val="center"/>
          </w:tcPr>
          <w:p w14:paraId="6FB53C9E">
            <w:pPr>
              <w:widowControl w:val="0"/>
              <w:jc w:val="left"/>
              <w:rPr>
                <w:color w:val="auto"/>
                <w:sz w:val="24"/>
                <w:szCs w:val="24"/>
              </w:rPr>
            </w:pPr>
            <w:r>
              <w:rPr>
                <w:rStyle w:val="19"/>
                <w:b w:val="0"/>
                <w:bCs w:val="0"/>
                <w:color w:val="auto"/>
                <w:sz w:val="24"/>
                <w:szCs w:val="24"/>
                <w:lang w:val="en-US" w:eastAsia="zh-CN" w:bidi="ar"/>
              </w:rPr>
              <w:t>(</w:t>
            </w:r>
            <w:r>
              <w:rPr>
                <w:rStyle w:val="19"/>
                <w:b w:val="0"/>
                <w:bCs w:val="0"/>
                <w:color w:val="auto"/>
                <w:sz w:val="24"/>
                <w:szCs w:val="24"/>
                <w:lang w:val="ru-RU" w:eastAsia="zh-CN" w:bidi="ar"/>
              </w:rPr>
              <w:t>8,</w:t>
            </w:r>
            <w:r>
              <w:rPr>
                <w:rStyle w:val="19"/>
                <w:b w:val="0"/>
                <w:bCs w:val="0"/>
                <w:color w:val="auto"/>
                <w:sz w:val="24"/>
                <w:szCs w:val="24"/>
                <w:lang w:val="en-US" w:eastAsia="zh-CN" w:bidi="ar"/>
              </w:rPr>
              <w:t>0 - 15</w:t>
            </w:r>
            <w:r>
              <w:rPr>
                <w:rStyle w:val="19"/>
                <w:rFonts w:hint="default"/>
                <w:b w:val="0"/>
                <w:bCs w:val="0"/>
                <w:color w:val="auto"/>
                <w:sz w:val="24"/>
                <w:szCs w:val="24"/>
                <w:lang w:val="kk-KZ" w:eastAsia="zh-CN" w:bidi="ar"/>
              </w:rPr>
              <w:t>,</w:t>
            </w:r>
            <w:r>
              <w:rPr>
                <w:rStyle w:val="19"/>
                <w:b w:val="0"/>
                <w:bCs w:val="0"/>
                <w:color w:val="auto"/>
                <w:sz w:val="24"/>
                <w:szCs w:val="24"/>
                <w:lang w:val="en-US" w:eastAsia="zh-CN" w:bidi="ar"/>
              </w:rPr>
              <w:t>0) %</w:t>
            </w:r>
          </w:p>
        </w:tc>
      </w:tr>
      <w:tr w14:paraId="44A9A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7" w:type="dxa"/>
            <w:vAlign w:val="center"/>
          </w:tcPr>
          <w:p w14:paraId="5AEBA61A">
            <w:pPr>
              <w:widowControl w:val="0"/>
              <w:jc w:val="left"/>
              <w:rPr>
                <w:color w:val="auto"/>
                <w:sz w:val="24"/>
                <w:szCs w:val="24"/>
              </w:rPr>
            </w:pPr>
            <w:r>
              <w:rPr>
                <w:rStyle w:val="19"/>
                <w:b w:val="0"/>
                <w:bCs w:val="0"/>
                <w:color w:val="auto"/>
                <w:sz w:val="24"/>
                <w:szCs w:val="24"/>
                <w:lang w:val="en-US" w:eastAsia="zh-CN" w:bidi="ar"/>
              </w:rPr>
              <w:t>Белоктар</w:t>
            </w:r>
          </w:p>
        </w:tc>
        <w:tc>
          <w:tcPr>
            <w:tcW w:w="3180" w:type="dxa"/>
            <w:vAlign w:val="center"/>
          </w:tcPr>
          <w:p w14:paraId="63DF00AF">
            <w:pPr>
              <w:widowControl w:val="0"/>
              <w:jc w:val="left"/>
              <w:rPr>
                <w:color w:val="auto"/>
                <w:sz w:val="24"/>
                <w:szCs w:val="24"/>
              </w:rPr>
            </w:pPr>
            <w:r>
              <w:rPr>
                <w:rStyle w:val="19"/>
                <w:b w:val="0"/>
                <w:bCs w:val="0"/>
                <w:color w:val="auto"/>
                <w:sz w:val="24"/>
                <w:szCs w:val="24"/>
                <w:lang w:val="en-US" w:eastAsia="zh-CN" w:bidi="ar"/>
              </w:rPr>
              <w:t>(1</w:t>
            </w:r>
            <w:r>
              <w:rPr>
                <w:rStyle w:val="19"/>
                <w:rFonts w:hint="default"/>
                <w:b w:val="0"/>
                <w:bCs w:val="0"/>
                <w:color w:val="auto"/>
                <w:sz w:val="24"/>
                <w:szCs w:val="24"/>
                <w:lang w:val="kk-KZ" w:eastAsia="zh-CN" w:bidi="ar"/>
              </w:rPr>
              <w:t>,</w:t>
            </w:r>
            <w:r>
              <w:rPr>
                <w:rStyle w:val="19"/>
                <w:b w:val="0"/>
                <w:bCs w:val="0"/>
                <w:color w:val="auto"/>
                <w:sz w:val="24"/>
                <w:szCs w:val="24"/>
                <w:lang w:val="en-US" w:eastAsia="zh-CN" w:bidi="ar"/>
              </w:rPr>
              <w:t xml:space="preserve">21 - </w:t>
            </w:r>
            <w:r>
              <w:rPr>
                <w:rStyle w:val="19"/>
                <w:b w:val="0"/>
                <w:bCs w:val="0"/>
                <w:color w:val="auto"/>
                <w:sz w:val="24"/>
                <w:szCs w:val="24"/>
                <w:lang w:val="ru-RU" w:eastAsia="zh-CN" w:bidi="ar"/>
              </w:rPr>
              <w:t>8,</w:t>
            </w:r>
            <w:r>
              <w:rPr>
                <w:rStyle w:val="19"/>
                <w:b w:val="0"/>
                <w:bCs w:val="0"/>
                <w:color w:val="auto"/>
                <w:sz w:val="24"/>
                <w:szCs w:val="24"/>
                <w:lang w:val="en-US" w:eastAsia="zh-CN" w:bidi="ar"/>
              </w:rPr>
              <w:t>75) %</w:t>
            </w:r>
          </w:p>
        </w:tc>
        <w:tc>
          <w:tcPr>
            <w:tcW w:w="3409" w:type="dxa"/>
            <w:vAlign w:val="center"/>
          </w:tcPr>
          <w:p w14:paraId="3F92A94A">
            <w:pPr>
              <w:widowControl w:val="0"/>
              <w:jc w:val="left"/>
              <w:rPr>
                <w:color w:val="auto"/>
                <w:sz w:val="24"/>
                <w:szCs w:val="24"/>
              </w:rPr>
            </w:pPr>
            <w:r>
              <w:rPr>
                <w:rStyle w:val="19"/>
                <w:b w:val="0"/>
                <w:bCs w:val="0"/>
                <w:color w:val="auto"/>
                <w:sz w:val="24"/>
                <w:szCs w:val="24"/>
                <w:lang w:val="en-US" w:eastAsia="zh-CN" w:bidi="ar"/>
              </w:rPr>
              <w:t>(</w:t>
            </w:r>
            <w:r>
              <w:rPr>
                <w:rStyle w:val="19"/>
                <w:b w:val="0"/>
                <w:bCs w:val="0"/>
                <w:color w:val="auto"/>
                <w:sz w:val="24"/>
                <w:szCs w:val="24"/>
                <w:lang w:val="ru-RU" w:eastAsia="zh-CN" w:bidi="ar"/>
              </w:rPr>
              <w:t>3,</w:t>
            </w:r>
            <w:r>
              <w:rPr>
                <w:rStyle w:val="19"/>
                <w:b w:val="0"/>
                <w:bCs w:val="0"/>
                <w:color w:val="auto"/>
                <w:sz w:val="24"/>
                <w:szCs w:val="24"/>
                <w:lang w:val="en-US" w:eastAsia="zh-CN" w:bidi="ar"/>
              </w:rPr>
              <w:t xml:space="preserve">3 - </w:t>
            </w:r>
            <w:r>
              <w:rPr>
                <w:rStyle w:val="19"/>
                <w:b w:val="0"/>
                <w:bCs w:val="0"/>
                <w:color w:val="auto"/>
                <w:sz w:val="24"/>
                <w:szCs w:val="24"/>
                <w:lang w:val="ru-RU" w:eastAsia="zh-CN" w:bidi="ar"/>
              </w:rPr>
              <w:t>7,</w:t>
            </w:r>
            <w:r>
              <w:rPr>
                <w:rStyle w:val="19"/>
                <w:b w:val="0"/>
                <w:bCs w:val="0"/>
                <w:color w:val="auto"/>
                <w:sz w:val="24"/>
                <w:szCs w:val="24"/>
                <w:lang w:val="en-US" w:eastAsia="zh-CN" w:bidi="ar"/>
              </w:rPr>
              <w:t>0) %</w:t>
            </w:r>
          </w:p>
        </w:tc>
      </w:tr>
      <w:tr w14:paraId="29F7E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7" w:type="dxa"/>
            <w:vAlign w:val="center"/>
          </w:tcPr>
          <w:p w14:paraId="24546191">
            <w:pPr>
              <w:widowControl w:val="0"/>
              <w:jc w:val="left"/>
              <w:rPr>
                <w:color w:val="auto"/>
                <w:sz w:val="24"/>
                <w:szCs w:val="24"/>
              </w:rPr>
            </w:pPr>
            <w:r>
              <w:rPr>
                <w:color w:val="auto"/>
                <w:sz w:val="24"/>
                <w:szCs w:val="24"/>
                <w:lang w:val="en-US" w:eastAsia="zh-CN" w:bidi="ar"/>
              </w:rPr>
              <w:t>Майлар</w:t>
            </w:r>
          </w:p>
        </w:tc>
        <w:tc>
          <w:tcPr>
            <w:tcW w:w="3180" w:type="dxa"/>
            <w:vAlign w:val="center"/>
          </w:tcPr>
          <w:p w14:paraId="5DEAF73F">
            <w:pPr>
              <w:widowControl w:val="0"/>
              <w:jc w:val="left"/>
              <w:rPr>
                <w:color w:val="auto"/>
                <w:sz w:val="24"/>
                <w:szCs w:val="24"/>
              </w:rPr>
            </w:pPr>
            <w:r>
              <w:rPr>
                <w:color w:val="auto"/>
                <w:sz w:val="24"/>
                <w:szCs w:val="24"/>
                <w:lang w:val="en-US" w:eastAsia="zh-CN" w:bidi="ar"/>
              </w:rPr>
              <w:t>(</w:t>
            </w:r>
            <w:r>
              <w:rPr>
                <w:color w:val="auto"/>
                <w:sz w:val="24"/>
                <w:szCs w:val="24"/>
                <w:lang w:val="ru-RU" w:eastAsia="zh-CN" w:bidi="ar"/>
              </w:rPr>
              <w:t>0,</w:t>
            </w:r>
            <w:r>
              <w:rPr>
                <w:color w:val="auto"/>
                <w:sz w:val="24"/>
                <w:szCs w:val="24"/>
                <w:lang w:val="en-US" w:eastAsia="zh-CN" w:bidi="ar"/>
              </w:rPr>
              <w:t>30 - 6</w:t>
            </w:r>
            <w:r>
              <w:rPr>
                <w:rFonts w:hint="default"/>
                <w:color w:val="auto"/>
                <w:sz w:val="24"/>
                <w:szCs w:val="24"/>
                <w:lang w:val="kk-KZ" w:eastAsia="zh-CN" w:bidi="ar"/>
              </w:rPr>
              <w:t>,</w:t>
            </w:r>
            <w:r>
              <w:rPr>
                <w:color w:val="auto"/>
                <w:sz w:val="24"/>
                <w:szCs w:val="24"/>
                <w:lang w:val="en-US" w:eastAsia="zh-CN" w:bidi="ar"/>
              </w:rPr>
              <w:t>62) %</w:t>
            </w:r>
          </w:p>
        </w:tc>
        <w:tc>
          <w:tcPr>
            <w:tcW w:w="3409" w:type="dxa"/>
            <w:vAlign w:val="center"/>
          </w:tcPr>
          <w:p w14:paraId="7CFA2F95">
            <w:pPr>
              <w:widowControl w:val="0"/>
              <w:jc w:val="left"/>
              <w:rPr>
                <w:color w:val="auto"/>
                <w:sz w:val="24"/>
                <w:szCs w:val="24"/>
              </w:rPr>
            </w:pPr>
            <w:r>
              <w:rPr>
                <w:color w:val="auto"/>
                <w:sz w:val="24"/>
                <w:szCs w:val="24"/>
                <w:lang w:val="ru-RU" w:eastAsia="zh-CN" w:bidi="ar"/>
              </w:rPr>
              <w:t>2,</w:t>
            </w:r>
            <w:r>
              <w:rPr>
                <w:color w:val="auto"/>
                <w:sz w:val="24"/>
                <w:szCs w:val="24"/>
                <w:lang w:val="en-US" w:eastAsia="zh-CN" w:bidi="ar"/>
              </w:rPr>
              <w:t>2 %</w:t>
            </w:r>
          </w:p>
        </w:tc>
      </w:tr>
      <w:tr w14:paraId="10DF8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7" w:type="dxa"/>
            <w:vAlign w:val="center"/>
          </w:tcPr>
          <w:p w14:paraId="63F83855">
            <w:pPr>
              <w:widowControl w:val="0"/>
              <w:jc w:val="left"/>
              <w:rPr>
                <w:color w:val="auto"/>
                <w:sz w:val="24"/>
                <w:szCs w:val="24"/>
              </w:rPr>
            </w:pPr>
            <w:r>
              <w:rPr>
                <w:color w:val="auto"/>
                <w:sz w:val="24"/>
                <w:szCs w:val="24"/>
                <w:lang w:val="en-US" w:eastAsia="zh-CN" w:bidi="ar"/>
              </w:rPr>
              <w:t>Крахмал</w:t>
            </w:r>
          </w:p>
        </w:tc>
        <w:tc>
          <w:tcPr>
            <w:tcW w:w="3180" w:type="dxa"/>
            <w:vAlign w:val="center"/>
          </w:tcPr>
          <w:p w14:paraId="35338D3F">
            <w:pPr>
              <w:widowControl w:val="0"/>
              <w:jc w:val="left"/>
              <w:rPr>
                <w:color w:val="auto"/>
                <w:sz w:val="24"/>
                <w:szCs w:val="24"/>
              </w:rPr>
            </w:pPr>
            <w:r>
              <w:rPr>
                <w:color w:val="auto"/>
                <w:sz w:val="24"/>
                <w:szCs w:val="24"/>
                <w:lang w:val="en-US" w:eastAsia="zh-CN" w:bidi="ar"/>
              </w:rPr>
              <w:t>9</w:t>
            </w:r>
            <w:r>
              <w:rPr>
                <w:rFonts w:hint="default"/>
                <w:color w:val="auto"/>
                <w:sz w:val="24"/>
                <w:szCs w:val="24"/>
                <w:lang w:val="kk-KZ" w:eastAsia="zh-CN" w:bidi="ar"/>
              </w:rPr>
              <w:t>,</w:t>
            </w:r>
            <w:r>
              <w:rPr>
                <w:color w:val="auto"/>
                <w:sz w:val="24"/>
                <w:szCs w:val="24"/>
                <w:lang w:val="en-US" w:eastAsia="zh-CN" w:bidi="ar"/>
              </w:rPr>
              <w:t>76 %</w:t>
            </w:r>
          </w:p>
        </w:tc>
        <w:tc>
          <w:tcPr>
            <w:tcW w:w="3409" w:type="dxa"/>
            <w:vAlign w:val="center"/>
          </w:tcPr>
          <w:p w14:paraId="3D0BEDD3">
            <w:pPr>
              <w:widowControl w:val="0"/>
              <w:jc w:val="left"/>
              <w:rPr>
                <w:color w:val="auto"/>
                <w:sz w:val="24"/>
                <w:szCs w:val="24"/>
              </w:rPr>
            </w:pPr>
            <w:r>
              <w:rPr>
                <w:color w:val="auto"/>
                <w:sz w:val="24"/>
                <w:szCs w:val="24"/>
                <w:lang w:val="ru-RU" w:eastAsia="zh-CN" w:bidi="ar"/>
              </w:rPr>
              <w:t>0,</w:t>
            </w:r>
            <w:r>
              <w:rPr>
                <w:color w:val="auto"/>
                <w:sz w:val="24"/>
                <w:szCs w:val="24"/>
                <w:lang w:val="en-US" w:eastAsia="zh-CN" w:bidi="ar"/>
              </w:rPr>
              <w:t>6 %</w:t>
            </w:r>
          </w:p>
        </w:tc>
      </w:tr>
      <w:tr w14:paraId="06F2C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7" w:type="dxa"/>
            <w:vAlign w:val="center"/>
          </w:tcPr>
          <w:p w14:paraId="5F235B65">
            <w:pPr>
              <w:widowControl w:val="0"/>
              <w:jc w:val="left"/>
              <w:rPr>
                <w:color w:val="auto"/>
                <w:sz w:val="24"/>
                <w:szCs w:val="24"/>
              </w:rPr>
            </w:pPr>
            <w:r>
              <w:rPr>
                <w:color w:val="auto"/>
                <w:sz w:val="24"/>
                <w:szCs w:val="24"/>
                <w:lang w:val="en-US" w:eastAsia="zh-CN" w:bidi="ar"/>
              </w:rPr>
              <w:t>Витамин A</w:t>
            </w:r>
          </w:p>
        </w:tc>
        <w:tc>
          <w:tcPr>
            <w:tcW w:w="3180" w:type="dxa"/>
            <w:vAlign w:val="center"/>
          </w:tcPr>
          <w:p w14:paraId="027FF6B9">
            <w:pPr>
              <w:widowControl w:val="0"/>
              <w:jc w:val="left"/>
              <w:rPr>
                <w:color w:val="auto"/>
                <w:sz w:val="24"/>
                <w:szCs w:val="24"/>
              </w:rPr>
            </w:pPr>
            <w:r>
              <w:rPr>
                <w:color w:val="auto"/>
                <w:sz w:val="24"/>
                <w:szCs w:val="24"/>
                <w:lang w:val="ru-RU" w:eastAsia="zh-CN" w:bidi="ar"/>
              </w:rPr>
              <w:t>0,</w:t>
            </w:r>
            <w:r>
              <w:rPr>
                <w:color w:val="auto"/>
                <w:sz w:val="24"/>
                <w:szCs w:val="24"/>
                <w:lang w:val="en-US" w:eastAsia="zh-CN" w:bidi="ar"/>
              </w:rPr>
              <w:t>04 мг</w:t>
            </w:r>
            <w:r>
              <w:rPr>
                <w:rFonts w:hint="default"/>
                <w:color w:val="auto"/>
                <w:sz w:val="24"/>
                <w:szCs w:val="24"/>
                <w:lang w:val="ru-RU" w:eastAsia="zh-CN" w:bidi="ar"/>
              </w:rPr>
              <w:t>/</w:t>
            </w:r>
            <w:r>
              <w:rPr>
                <w:color w:val="auto"/>
                <w:sz w:val="24"/>
                <w:szCs w:val="24"/>
                <w:lang w:val="en-US" w:eastAsia="zh-CN" w:bidi="ar"/>
              </w:rPr>
              <w:t>100 г</w:t>
            </w:r>
          </w:p>
        </w:tc>
        <w:tc>
          <w:tcPr>
            <w:tcW w:w="3409" w:type="dxa"/>
            <w:vAlign w:val="center"/>
          </w:tcPr>
          <w:p w14:paraId="7CF1EC51">
            <w:pPr>
              <w:widowControl w:val="0"/>
              <w:jc w:val="left"/>
              <w:rPr>
                <w:rFonts w:hint="default"/>
                <w:color w:val="auto"/>
                <w:sz w:val="24"/>
                <w:szCs w:val="24"/>
                <w:lang w:val="ru-RU"/>
              </w:rPr>
            </w:pPr>
            <w:r>
              <w:rPr>
                <w:color w:val="auto"/>
                <w:sz w:val="24"/>
                <w:szCs w:val="24"/>
                <w:lang w:val="ru-RU" w:eastAsia="zh-CN" w:bidi="ar"/>
              </w:rPr>
              <w:t>0,</w:t>
            </w:r>
            <w:r>
              <w:rPr>
                <w:color w:val="auto"/>
                <w:sz w:val="24"/>
                <w:szCs w:val="24"/>
                <w:lang w:val="en-US" w:eastAsia="zh-CN" w:bidi="ar"/>
              </w:rPr>
              <w:t>003</w:t>
            </w:r>
            <w:r>
              <w:rPr>
                <w:color w:val="auto"/>
                <w:sz w:val="24"/>
                <w:szCs w:val="24"/>
                <w:lang w:val="ru-RU" w:eastAsia="zh-CN" w:bidi="ar"/>
              </w:rPr>
              <w:t xml:space="preserve"> мг/100 г</w:t>
            </w:r>
          </w:p>
        </w:tc>
      </w:tr>
      <w:tr w14:paraId="403C6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7" w:type="dxa"/>
            <w:vAlign w:val="center"/>
          </w:tcPr>
          <w:p w14:paraId="3E54AFB5">
            <w:pPr>
              <w:widowControl w:val="0"/>
              <w:jc w:val="left"/>
              <w:rPr>
                <w:color w:val="auto"/>
                <w:sz w:val="24"/>
                <w:szCs w:val="24"/>
              </w:rPr>
            </w:pPr>
            <w:r>
              <w:rPr>
                <w:color w:val="auto"/>
                <w:sz w:val="24"/>
                <w:szCs w:val="24"/>
                <w:lang w:val="en-US" w:eastAsia="zh-CN" w:bidi="ar"/>
              </w:rPr>
              <w:t>Витамин B₁</w:t>
            </w:r>
          </w:p>
        </w:tc>
        <w:tc>
          <w:tcPr>
            <w:tcW w:w="3180" w:type="dxa"/>
            <w:vAlign w:val="center"/>
          </w:tcPr>
          <w:p w14:paraId="04C98B95">
            <w:pPr>
              <w:widowControl w:val="0"/>
              <w:jc w:val="left"/>
              <w:rPr>
                <w:color w:val="auto"/>
                <w:sz w:val="24"/>
                <w:szCs w:val="24"/>
              </w:rPr>
            </w:pPr>
            <w:r>
              <w:rPr>
                <w:color w:val="auto"/>
                <w:sz w:val="24"/>
                <w:szCs w:val="24"/>
                <w:lang w:val="ru-RU" w:eastAsia="zh-CN" w:bidi="ar"/>
              </w:rPr>
              <w:t>0,</w:t>
            </w:r>
            <w:r>
              <w:rPr>
                <w:color w:val="auto"/>
                <w:sz w:val="24"/>
                <w:szCs w:val="24"/>
                <w:lang w:val="en-US" w:eastAsia="zh-CN" w:bidi="ar"/>
              </w:rPr>
              <w:t>45</w:t>
            </w:r>
            <w:r>
              <w:rPr>
                <w:rFonts w:hint="default"/>
                <w:color w:val="auto"/>
                <w:sz w:val="24"/>
                <w:szCs w:val="24"/>
                <w:lang w:val="ru-RU" w:eastAsia="zh-CN" w:bidi="ar"/>
              </w:rPr>
              <w:t xml:space="preserve"> </w:t>
            </w:r>
            <w:r>
              <w:rPr>
                <w:color w:val="auto"/>
                <w:sz w:val="24"/>
                <w:szCs w:val="24"/>
                <w:lang w:val="en-US" w:eastAsia="zh-CN" w:bidi="ar"/>
              </w:rPr>
              <w:t>мг</w:t>
            </w:r>
            <w:r>
              <w:rPr>
                <w:rFonts w:hint="default"/>
                <w:color w:val="auto"/>
                <w:sz w:val="24"/>
                <w:szCs w:val="24"/>
                <w:lang w:val="ru-RU" w:eastAsia="zh-CN" w:bidi="ar"/>
              </w:rPr>
              <w:t>/</w:t>
            </w:r>
            <w:r>
              <w:rPr>
                <w:color w:val="auto"/>
                <w:sz w:val="24"/>
                <w:szCs w:val="24"/>
                <w:lang w:val="en-US" w:eastAsia="zh-CN" w:bidi="ar"/>
              </w:rPr>
              <w:t>100 г</w:t>
            </w:r>
          </w:p>
        </w:tc>
        <w:tc>
          <w:tcPr>
            <w:tcW w:w="3409" w:type="dxa"/>
            <w:vAlign w:val="center"/>
          </w:tcPr>
          <w:p w14:paraId="30BD226D">
            <w:pPr>
              <w:widowControl w:val="0"/>
              <w:jc w:val="left"/>
              <w:rPr>
                <w:rFonts w:hint="default"/>
                <w:color w:val="auto"/>
                <w:sz w:val="24"/>
                <w:szCs w:val="24"/>
                <w:lang w:val="ru-RU"/>
              </w:rPr>
            </w:pPr>
            <w:r>
              <w:rPr>
                <w:color w:val="auto"/>
                <w:sz w:val="24"/>
                <w:szCs w:val="24"/>
                <w:lang w:val="ru-RU" w:eastAsia="zh-CN" w:bidi="ar"/>
              </w:rPr>
              <w:t>0,</w:t>
            </w:r>
            <w:r>
              <w:rPr>
                <w:color w:val="auto"/>
                <w:sz w:val="24"/>
                <w:szCs w:val="24"/>
                <w:lang w:val="en-US" w:eastAsia="zh-CN" w:bidi="ar"/>
              </w:rPr>
              <w:t>16</w:t>
            </w:r>
            <w:r>
              <w:rPr>
                <w:color w:val="auto"/>
                <w:sz w:val="24"/>
                <w:szCs w:val="24"/>
                <w:lang w:val="ru-RU" w:eastAsia="zh-CN" w:bidi="ar"/>
              </w:rPr>
              <w:t xml:space="preserve"> мг/100 г</w:t>
            </w:r>
          </w:p>
        </w:tc>
      </w:tr>
      <w:tr w14:paraId="49491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7" w:type="dxa"/>
            <w:vAlign w:val="center"/>
          </w:tcPr>
          <w:p w14:paraId="7543C620">
            <w:pPr>
              <w:widowControl w:val="0"/>
              <w:jc w:val="left"/>
              <w:rPr>
                <w:color w:val="auto"/>
                <w:sz w:val="24"/>
                <w:szCs w:val="24"/>
              </w:rPr>
            </w:pPr>
            <w:r>
              <w:rPr>
                <w:color w:val="auto"/>
                <w:sz w:val="24"/>
                <w:szCs w:val="24"/>
                <w:lang w:val="en-US" w:eastAsia="zh-CN" w:bidi="ar"/>
              </w:rPr>
              <w:t>Витамин B₂</w:t>
            </w:r>
          </w:p>
        </w:tc>
        <w:tc>
          <w:tcPr>
            <w:tcW w:w="3180" w:type="dxa"/>
            <w:vAlign w:val="center"/>
          </w:tcPr>
          <w:p w14:paraId="6745ACEF">
            <w:pPr>
              <w:widowControl w:val="0"/>
              <w:jc w:val="left"/>
              <w:rPr>
                <w:color w:val="auto"/>
                <w:sz w:val="24"/>
                <w:szCs w:val="24"/>
              </w:rPr>
            </w:pPr>
            <w:r>
              <w:rPr>
                <w:color w:val="auto"/>
                <w:sz w:val="24"/>
                <w:szCs w:val="24"/>
                <w:lang w:val="ru-RU" w:eastAsia="zh-CN" w:bidi="ar"/>
              </w:rPr>
              <w:t>0,</w:t>
            </w:r>
            <w:r>
              <w:rPr>
                <w:color w:val="auto"/>
                <w:sz w:val="24"/>
                <w:szCs w:val="24"/>
                <w:lang w:val="en-US" w:eastAsia="zh-CN" w:bidi="ar"/>
              </w:rPr>
              <w:t>1 мг</w:t>
            </w:r>
            <w:r>
              <w:rPr>
                <w:rFonts w:hint="default"/>
                <w:color w:val="auto"/>
                <w:sz w:val="24"/>
                <w:szCs w:val="24"/>
                <w:lang w:val="ru-RU" w:eastAsia="zh-CN" w:bidi="ar"/>
              </w:rPr>
              <w:t>/</w:t>
            </w:r>
            <w:r>
              <w:rPr>
                <w:color w:val="auto"/>
                <w:sz w:val="24"/>
                <w:szCs w:val="24"/>
                <w:lang w:val="en-US" w:eastAsia="zh-CN" w:bidi="ar"/>
              </w:rPr>
              <w:t>100 г</w:t>
            </w:r>
          </w:p>
        </w:tc>
        <w:tc>
          <w:tcPr>
            <w:tcW w:w="3409" w:type="dxa"/>
            <w:vAlign w:val="center"/>
          </w:tcPr>
          <w:p w14:paraId="4B187E69">
            <w:pPr>
              <w:widowControl w:val="0"/>
              <w:jc w:val="left"/>
              <w:rPr>
                <w:rFonts w:hint="default"/>
                <w:color w:val="auto"/>
                <w:sz w:val="24"/>
                <w:szCs w:val="24"/>
                <w:lang w:val="ru-RU"/>
              </w:rPr>
            </w:pPr>
            <w:r>
              <w:rPr>
                <w:color w:val="auto"/>
                <w:sz w:val="24"/>
                <w:szCs w:val="24"/>
                <w:lang w:val="ru-RU" w:eastAsia="zh-CN" w:bidi="ar"/>
              </w:rPr>
              <w:t>0,</w:t>
            </w:r>
            <w:r>
              <w:rPr>
                <w:color w:val="auto"/>
                <w:sz w:val="24"/>
                <w:szCs w:val="24"/>
                <w:lang w:val="en-US" w:eastAsia="zh-CN" w:bidi="ar"/>
              </w:rPr>
              <w:t>084</w:t>
            </w:r>
            <w:r>
              <w:rPr>
                <w:color w:val="auto"/>
                <w:sz w:val="24"/>
                <w:szCs w:val="24"/>
                <w:lang w:val="ru-RU" w:eastAsia="zh-CN" w:bidi="ar"/>
              </w:rPr>
              <w:t xml:space="preserve"> мг/100 г</w:t>
            </w:r>
          </w:p>
        </w:tc>
      </w:tr>
      <w:tr w14:paraId="6B093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7" w:type="dxa"/>
            <w:vAlign w:val="center"/>
          </w:tcPr>
          <w:p w14:paraId="28AAE043">
            <w:pPr>
              <w:widowControl w:val="0"/>
              <w:jc w:val="left"/>
              <w:rPr>
                <w:color w:val="auto"/>
                <w:sz w:val="24"/>
                <w:szCs w:val="24"/>
                <w:lang w:val="en-US" w:eastAsia="zh-CN" w:bidi="ar"/>
              </w:rPr>
            </w:pPr>
            <w:r>
              <w:rPr>
                <w:rStyle w:val="19"/>
                <w:b w:val="0"/>
                <w:bCs w:val="0"/>
                <w:color w:val="auto"/>
                <w:sz w:val="24"/>
                <w:szCs w:val="24"/>
                <w:lang w:val="en-US" w:eastAsia="zh-CN" w:bidi="ar"/>
              </w:rPr>
              <w:t>Витамин P (рутин)</w:t>
            </w:r>
          </w:p>
        </w:tc>
        <w:tc>
          <w:tcPr>
            <w:tcW w:w="3180" w:type="dxa"/>
            <w:vAlign w:val="center"/>
          </w:tcPr>
          <w:p w14:paraId="34F3326D">
            <w:pPr>
              <w:widowControl w:val="0"/>
              <w:jc w:val="left"/>
              <w:rPr>
                <w:rFonts w:hint="default"/>
                <w:color w:val="auto"/>
                <w:sz w:val="24"/>
                <w:szCs w:val="24"/>
                <w:lang w:val="ru-RU" w:eastAsia="zh-CN" w:bidi="ar"/>
              </w:rPr>
            </w:pPr>
            <w:r>
              <w:rPr>
                <w:rStyle w:val="19"/>
                <w:b w:val="0"/>
                <w:bCs w:val="0"/>
                <w:color w:val="auto"/>
                <w:sz w:val="24"/>
                <w:szCs w:val="24"/>
                <w:lang w:val="en-US" w:eastAsia="zh-CN" w:bidi="ar"/>
              </w:rPr>
              <w:t>15</w:t>
            </w:r>
            <w:r>
              <w:rPr>
                <w:rStyle w:val="19"/>
                <w:rFonts w:hint="default"/>
                <w:b w:val="0"/>
                <w:bCs w:val="0"/>
                <w:color w:val="auto"/>
                <w:sz w:val="24"/>
                <w:szCs w:val="24"/>
                <w:lang w:val="kk-KZ" w:eastAsia="zh-CN" w:bidi="ar"/>
              </w:rPr>
              <w:t>,</w:t>
            </w:r>
            <w:r>
              <w:rPr>
                <w:rStyle w:val="19"/>
                <w:b w:val="0"/>
                <w:bCs w:val="0"/>
                <w:color w:val="auto"/>
                <w:sz w:val="24"/>
                <w:szCs w:val="24"/>
                <w:lang w:val="en-US" w:eastAsia="zh-CN" w:bidi="ar"/>
              </w:rPr>
              <w:t>0</w:t>
            </w:r>
            <w:r>
              <w:rPr>
                <w:rStyle w:val="19"/>
                <w:rFonts w:hint="default"/>
                <w:b w:val="0"/>
                <w:bCs w:val="0"/>
                <w:color w:val="auto"/>
                <w:sz w:val="24"/>
                <w:szCs w:val="24"/>
                <w:lang w:val="ru-RU" w:eastAsia="zh-CN" w:bidi="ar"/>
              </w:rPr>
              <w:t xml:space="preserve"> </w:t>
            </w:r>
            <w:r>
              <w:rPr>
                <w:rStyle w:val="19"/>
                <w:b w:val="0"/>
                <w:bCs w:val="0"/>
                <w:color w:val="auto"/>
                <w:sz w:val="24"/>
                <w:szCs w:val="24"/>
                <w:lang w:val="ru-RU" w:eastAsia="zh-CN" w:bidi="ar"/>
              </w:rPr>
              <w:t>мг/100</w:t>
            </w:r>
            <w:r>
              <w:rPr>
                <w:rStyle w:val="19"/>
                <w:rFonts w:hint="default"/>
                <w:b w:val="0"/>
                <w:bCs w:val="0"/>
                <w:color w:val="auto"/>
                <w:sz w:val="24"/>
                <w:szCs w:val="24"/>
                <w:lang w:val="ru-RU" w:eastAsia="zh-CN" w:bidi="ar"/>
              </w:rPr>
              <w:t xml:space="preserve"> г</w:t>
            </w:r>
          </w:p>
        </w:tc>
        <w:tc>
          <w:tcPr>
            <w:tcW w:w="3409" w:type="dxa"/>
            <w:vAlign w:val="center"/>
          </w:tcPr>
          <w:p w14:paraId="63A7EC34">
            <w:pPr>
              <w:widowControl w:val="0"/>
              <w:jc w:val="left"/>
              <w:rPr>
                <w:rFonts w:hint="default"/>
                <w:color w:val="auto"/>
                <w:sz w:val="24"/>
                <w:szCs w:val="24"/>
                <w:lang w:val="ru-RU" w:eastAsia="zh-CN" w:bidi="ar"/>
              </w:rPr>
            </w:pPr>
            <w:r>
              <w:rPr>
                <w:rStyle w:val="19"/>
                <w:b w:val="0"/>
                <w:bCs w:val="0"/>
                <w:color w:val="auto"/>
                <w:sz w:val="24"/>
                <w:szCs w:val="24"/>
                <w:lang w:val="en-US" w:eastAsia="zh-CN" w:bidi="ar"/>
              </w:rPr>
              <w:t>2</w:t>
            </w:r>
            <w:r>
              <w:rPr>
                <w:rStyle w:val="19"/>
                <w:b w:val="0"/>
                <w:bCs w:val="0"/>
                <w:color w:val="auto"/>
                <w:sz w:val="24"/>
                <w:szCs w:val="24"/>
                <w:lang w:val="ru-RU" w:eastAsia="zh-CN" w:bidi="ar"/>
              </w:rPr>
              <w:t>8,</w:t>
            </w:r>
            <w:r>
              <w:rPr>
                <w:rStyle w:val="19"/>
                <w:b w:val="0"/>
                <w:bCs w:val="0"/>
                <w:color w:val="auto"/>
                <w:sz w:val="24"/>
                <w:szCs w:val="24"/>
                <w:lang w:val="en-US" w:eastAsia="zh-CN" w:bidi="ar"/>
              </w:rPr>
              <w:t>8</w:t>
            </w:r>
            <w:r>
              <w:rPr>
                <w:rStyle w:val="19"/>
                <w:rFonts w:hint="default"/>
                <w:b w:val="0"/>
                <w:bCs w:val="0"/>
                <w:color w:val="auto"/>
                <w:sz w:val="24"/>
                <w:szCs w:val="24"/>
                <w:lang w:val="ru-RU" w:eastAsia="zh-CN" w:bidi="ar"/>
              </w:rPr>
              <w:t xml:space="preserve"> </w:t>
            </w:r>
            <w:r>
              <w:rPr>
                <w:rStyle w:val="19"/>
                <w:b w:val="0"/>
                <w:bCs w:val="0"/>
                <w:color w:val="auto"/>
                <w:sz w:val="24"/>
                <w:szCs w:val="24"/>
                <w:lang w:val="ru-RU" w:eastAsia="zh-CN" w:bidi="ar"/>
              </w:rPr>
              <w:t>мг/100</w:t>
            </w:r>
          </w:p>
        </w:tc>
      </w:tr>
      <w:tr w14:paraId="18C6E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7" w:type="dxa"/>
            <w:vAlign w:val="center"/>
          </w:tcPr>
          <w:p w14:paraId="3CB8D242">
            <w:pPr>
              <w:widowControl w:val="0"/>
              <w:jc w:val="left"/>
              <w:rPr>
                <w:color w:val="auto"/>
                <w:sz w:val="24"/>
                <w:szCs w:val="24"/>
                <w:lang w:val="en-US" w:eastAsia="zh-CN" w:bidi="ar"/>
              </w:rPr>
            </w:pPr>
            <w:r>
              <w:rPr>
                <w:color w:val="auto"/>
                <w:sz w:val="24"/>
                <w:szCs w:val="24"/>
                <w:lang w:val="en-US" w:eastAsia="zh-CN" w:bidi="ar"/>
              </w:rPr>
              <w:t>Витамин E</w:t>
            </w:r>
          </w:p>
        </w:tc>
        <w:tc>
          <w:tcPr>
            <w:tcW w:w="3180" w:type="dxa"/>
            <w:vAlign w:val="center"/>
          </w:tcPr>
          <w:p w14:paraId="7F9899FD">
            <w:pPr>
              <w:widowControl w:val="0"/>
              <w:jc w:val="left"/>
              <w:rPr>
                <w:rFonts w:hint="default"/>
                <w:color w:val="auto"/>
                <w:sz w:val="24"/>
                <w:szCs w:val="24"/>
                <w:lang w:val="ru-RU" w:eastAsia="zh-CN" w:bidi="ar"/>
              </w:rPr>
            </w:pPr>
            <w:r>
              <w:rPr>
                <w:color w:val="auto"/>
                <w:sz w:val="24"/>
                <w:szCs w:val="24"/>
                <w:lang w:val="en-US" w:eastAsia="zh-CN" w:bidi="ar"/>
              </w:rPr>
              <w:t>1</w:t>
            </w:r>
            <w:r>
              <w:rPr>
                <w:rFonts w:hint="default"/>
                <w:color w:val="auto"/>
                <w:sz w:val="24"/>
                <w:szCs w:val="24"/>
                <w:lang w:val="kk-KZ" w:eastAsia="zh-CN" w:bidi="ar"/>
              </w:rPr>
              <w:t>,</w:t>
            </w:r>
            <w:r>
              <w:rPr>
                <w:color w:val="auto"/>
                <w:sz w:val="24"/>
                <w:szCs w:val="24"/>
                <w:lang w:val="en-US" w:eastAsia="zh-CN" w:bidi="ar"/>
              </w:rPr>
              <w:t>6</w:t>
            </w:r>
            <w:r>
              <w:rPr>
                <w:rFonts w:hint="default"/>
                <w:color w:val="auto"/>
                <w:sz w:val="24"/>
                <w:szCs w:val="24"/>
                <w:lang w:val="ru-RU" w:eastAsia="zh-CN" w:bidi="ar"/>
              </w:rPr>
              <w:t xml:space="preserve"> </w:t>
            </w:r>
            <w:r>
              <w:rPr>
                <w:color w:val="auto"/>
                <w:sz w:val="24"/>
                <w:szCs w:val="24"/>
                <w:lang w:val="ru-RU" w:eastAsia="zh-CN" w:bidi="ar"/>
              </w:rPr>
              <w:t>мг/100</w:t>
            </w:r>
            <w:r>
              <w:rPr>
                <w:rFonts w:hint="default"/>
                <w:color w:val="auto"/>
                <w:sz w:val="24"/>
                <w:szCs w:val="24"/>
                <w:lang w:val="ru-RU" w:eastAsia="zh-CN" w:bidi="ar"/>
              </w:rPr>
              <w:t xml:space="preserve"> г</w:t>
            </w:r>
          </w:p>
        </w:tc>
        <w:tc>
          <w:tcPr>
            <w:tcW w:w="3409" w:type="dxa"/>
            <w:vAlign w:val="center"/>
          </w:tcPr>
          <w:p w14:paraId="5EE84CEF">
            <w:pPr>
              <w:widowControl w:val="0"/>
              <w:jc w:val="left"/>
              <w:rPr>
                <w:color w:val="auto"/>
                <w:sz w:val="24"/>
                <w:szCs w:val="24"/>
                <w:lang w:val="en-US" w:eastAsia="zh-CN" w:bidi="ar"/>
              </w:rPr>
            </w:pPr>
            <w:r>
              <w:rPr>
                <w:color w:val="auto"/>
                <w:sz w:val="24"/>
                <w:szCs w:val="24"/>
                <w:lang w:val="ru-RU" w:eastAsia="zh-CN" w:bidi="ar"/>
              </w:rPr>
              <w:t>2,</w:t>
            </w:r>
            <w:r>
              <w:rPr>
                <w:color w:val="auto"/>
                <w:sz w:val="24"/>
                <w:szCs w:val="24"/>
                <w:lang w:val="en-US" w:eastAsia="zh-CN" w:bidi="ar"/>
              </w:rPr>
              <w:t>3 м</w:t>
            </w:r>
            <w:r>
              <w:rPr>
                <w:color w:val="auto"/>
                <w:sz w:val="24"/>
                <w:szCs w:val="24"/>
                <w:lang w:val="ru-RU" w:eastAsia="zh-CN" w:bidi="ar"/>
              </w:rPr>
              <w:t>г</w:t>
            </w:r>
            <w:r>
              <w:rPr>
                <w:rFonts w:hint="default"/>
                <w:color w:val="auto"/>
                <w:sz w:val="24"/>
                <w:szCs w:val="24"/>
                <w:lang w:val="ru-RU" w:eastAsia="zh-CN" w:bidi="ar"/>
              </w:rPr>
              <w:t>/</w:t>
            </w:r>
            <w:r>
              <w:rPr>
                <w:color w:val="auto"/>
                <w:sz w:val="24"/>
                <w:szCs w:val="24"/>
                <w:lang w:val="en-US" w:eastAsia="zh-CN" w:bidi="ar"/>
              </w:rPr>
              <w:t>100 г</w:t>
            </w:r>
          </w:p>
        </w:tc>
      </w:tr>
    </w:tbl>
    <w:p w14:paraId="6DFC794D">
      <w:pPr>
        <w:spacing w:after="0"/>
        <w:ind w:firstLine="709"/>
        <w:rPr>
          <w:color w:val="auto"/>
          <w:szCs w:val="28"/>
          <w:highlight w:val="yellow"/>
          <w:lang w:val="kk-KZ"/>
        </w:rPr>
      </w:pPr>
    </w:p>
    <w:p w14:paraId="4D95052F">
      <w:pPr>
        <w:spacing w:after="0"/>
        <w:ind w:firstLine="709"/>
        <w:rPr>
          <w:color w:val="auto"/>
          <w:szCs w:val="28"/>
          <w:lang w:val="kk-KZ"/>
        </w:rPr>
      </w:pPr>
      <w:r>
        <w:rPr>
          <w:color w:val="auto"/>
          <w:szCs w:val="28"/>
          <w:lang w:val="kk-KZ"/>
        </w:rPr>
        <w:t>Екі тасымалдаушы арасындағы айтарлықтай айырмашылықтар байқалды. Күріш қауызы жоғары құрылымдық полимерлер құрамымен сипатталады - целлюлоза (34</w:t>
      </w:r>
      <w:r>
        <w:rPr>
          <w:rFonts w:hint="default"/>
          <w:color w:val="auto"/>
          <w:szCs w:val="28"/>
          <w:lang w:val="ru-RU"/>
        </w:rPr>
        <w:t>,</w:t>
      </w:r>
      <w:r>
        <w:rPr>
          <w:color w:val="auto"/>
          <w:szCs w:val="28"/>
          <w:lang w:val="kk-KZ"/>
        </w:rPr>
        <w:t>3-43</w:t>
      </w:r>
      <w:r>
        <w:rPr>
          <w:rFonts w:hint="default"/>
          <w:color w:val="auto"/>
          <w:szCs w:val="28"/>
          <w:lang w:val="ru-RU"/>
        </w:rPr>
        <w:t>,</w:t>
      </w:r>
      <w:r>
        <w:rPr>
          <w:color w:val="auto"/>
          <w:szCs w:val="28"/>
          <w:lang w:val="kk-KZ"/>
        </w:rPr>
        <w:t>1)% және лигнин (19</w:t>
      </w:r>
      <w:r>
        <w:rPr>
          <w:rFonts w:hint="default"/>
          <w:color w:val="auto"/>
          <w:szCs w:val="28"/>
          <w:lang w:val="ru-RU"/>
        </w:rPr>
        <w:t>,</w:t>
      </w:r>
      <w:r>
        <w:rPr>
          <w:color w:val="auto"/>
          <w:szCs w:val="28"/>
          <w:lang w:val="kk-KZ"/>
        </w:rPr>
        <w:t>2-47</w:t>
      </w:r>
      <w:r>
        <w:rPr>
          <w:rFonts w:hint="default"/>
          <w:color w:val="auto"/>
          <w:szCs w:val="28"/>
          <w:lang w:val="ru-RU"/>
        </w:rPr>
        <w:t>,</w:t>
      </w:r>
      <w:r>
        <w:rPr>
          <w:color w:val="auto"/>
          <w:szCs w:val="28"/>
          <w:lang w:val="kk-KZ"/>
        </w:rPr>
        <w:t>0)%, бұл механикалық беріктікке және ұзақ мерзімді пайдалануға қолайлы етеді. Бұл компоненттер лигноцеллюлозалық материалдар үшін типтік және микробтық адгезия мен иммобилизацияны қолдайды [1</w:t>
      </w:r>
      <w:r>
        <w:rPr>
          <w:rFonts w:hint="default"/>
          <w:color w:val="auto"/>
          <w:szCs w:val="28"/>
          <w:lang w:val="ru-RU"/>
        </w:rPr>
        <w:t>31</w:t>
      </w:r>
      <w:r>
        <w:rPr>
          <w:color w:val="auto"/>
          <w:szCs w:val="28"/>
          <w:lang w:val="kk-KZ"/>
        </w:rPr>
        <w:t>].</w:t>
      </w:r>
    </w:p>
    <w:p w14:paraId="729AC355">
      <w:pPr>
        <w:spacing w:after="0"/>
        <w:ind w:firstLine="709"/>
        <w:rPr>
          <w:color w:val="auto"/>
          <w:szCs w:val="28"/>
          <w:lang w:val="kk-KZ"/>
        </w:rPr>
      </w:pPr>
      <w:r>
        <w:rPr>
          <w:color w:val="auto"/>
          <w:szCs w:val="28"/>
          <w:highlight w:val="none"/>
          <w:lang w:val="kk-KZ"/>
        </w:rPr>
        <w:t xml:space="preserve">Алайда, ең маңызды айырмашылық қарақұмық қауызындағы </w:t>
      </w:r>
      <w:r>
        <w:rPr>
          <w:color w:val="auto"/>
          <w:szCs w:val="28"/>
          <w:lang w:val="kk-KZ"/>
        </w:rPr>
        <w:t>айтарлықтай жоғары рутин құрамы болды - 28</w:t>
      </w:r>
      <w:r>
        <w:rPr>
          <w:rFonts w:hint="default"/>
          <w:color w:val="auto"/>
          <w:szCs w:val="28"/>
          <w:lang w:val="ru-RU"/>
        </w:rPr>
        <w:t>,</w:t>
      </w:r>
      <w:r>
        <w:rPr>
          <w:color w:val="auto"/>
          <w:szCs w:val="28"/>
          <w:lang w:val="kk-KZ"/>
        </w:rPr>
        <w:t>8 мг/(100 г) күріш қауызындағы 15</w:t>
      </w:r>
      <w:r>
        <w:rPr>
          <w:rFonts w:hint="default"/>
          <w:color w:val="auto"/>
          <w:szCs w:val="28"/>
          <w:lang w:val="ru-RU"/>
        </w:rPr>
        <w:t>,</w:t>
      </w:r>
      <w:r>
        <w:rPr>
          <w:color w:val="auto"/>
          <w:szCs w:val="28"/>
          <w:lang w:val="kk-KZ"/>
        </w:rPr>
        <w:t>0 мг/(100 г) салыстырғанда, бұл 92% өсімді білдіреді. Бұл құрамдық айырмашылықтың функционалдық салдары болуы мүмкін, өйткені рутин сияқты флавоноидтар көмірсутек деградациясы кезінде жасушалық қорғанысты қамтамасыз ететін антиоксиданттар болып табылады [1</w:t>
      </w:r>
      <w:r>
        <w:rPr>
          <w:rFonts w:hint="default"/>
          <w:color w:val="auto"/>
          <w:szCs w:val="28"/>
          <w:lang w:val="ru-RU"/>
        </w:rPr>
        <w:t>50</w:t>
      </w:r>
      <w:r>
        <w:rPr>
          <w:color w:val="auto"/>
          <w:szCs w:val="28"/>
          <w:lang w:val="kk-KZ"/>
        </w:rPr>
        <w:t>,1</w:t>
      </w:r>
      <w:r>
        <w:rPr>
          <w:rFonts w:hint="default"/>
          <w:color w:val="auto"/>
          <w:szCs w:val="28"/>
          <w:lang w:val="ru-RU"/>
        </w:rPr>
        <w:t>51</w:t>
      </w:r>
      <w:r>
        <w:rPr>
          <w:color w:val="auto"/>
          <w:szCs w:val="28"/>
          <w:lang w:val="kk-KZ"/>
        </w:rPr>
        <w:t>].</w:t>
      </w:r>
    </w:p>
    <w:p w14:paraId="6F8F203D">
      <w:pPr>
        <w:spacing w:after="0"/>
        <w:ind w:firstLine="709"/>
        <w:rPr>
          <w:color w:val="auto"/>
          <w:szCs w:val="28"/>
          <w:lang w:val="kk-KZ"/>
        </w:rPr>
      </w:pPr>
      <w:r>
        <w:rPr>
          <w:color w:val="auto"/>
          <w:szCs w:val="28"/>
          <w:lang w:val="kk-KZ"/>
        </w:rPr>
        <w:t>Қарақұмық қауызы сондай-ақ жоғары белок құрамын көрсетті (3</w:t>
      </w:r>
      <w:r>
        <w:rPr>
          <w:rFonts w:hint="default"/>
          <w:color w:val="auto"/>
          <w:szCs w:val="28"/>
          <w:lang w:val="ru-RU"/>
        </w:rPr>
        <w:t>,</w:t>
      </w:r>
      <w:r>
        <w:rPr>
          <w:color w:val="auto"/>
          <w:szCs w:val="28"/>
          <w:lang w:val="kk-KZ"/>
        </w:rPr>
        <w:t>3-7</w:t>
      </w:r>
      <w:r>
        <w:rPr>
          <w:rFonts w:hint="default"/>
          <w:color w:val="auto"/>
          <w:szCs w:val="28"/>
          <w:lang w:val="ru-RU"/>
        </w:rPr>
        <w:t>,</w:t>
      </w:r>
      <w:r>
        <w:rPr>
          <w:color w:val="auto"/>
          <w:szCs w:val="28"/>
          <w:lang w:val="kk-KZ"/>
        </w:rPr>
        <w:t>0)% күріш қауызындағы (1</w:t>
      </w:r>
      <w:r>
        <w:rPr>
          <w:rFonts w:hint="default"/>
          <w:color w:val="auto"/>
          <w:szCs w:val="28"/>
          <w:lang w:val="ru-RU"/>
        </w:rPr>
        <w:t>,</w:t>
      </w:r>
      <w:r>
        <w:rPr>
          <w:color w:val="auto"/>
          <w:szCs w:val="28"/>
          <w:lang w:val="kk-KZ"/>
        </w:rPr>
        <w:t>21-8</w:t>
      </w:r>
      <w:r>
        <w:rPr>
          <w:rFonts w:hint="default"/>
          <w:color w:val="auto"/>
          <w:szCs w:val="28"/>
          <w:lang w:val="ru-RU"/>
        </w:rPr>
        <w:t>,</w:t>
      </w:r>
      <w:r>
        <w:rPr>
          <w:color w:val="auto"/>
          <w:szCs w:val="28"/>
          <w:lang w:val="kk-KZ"/>
        </w:rPr>
        <w:t>75)% салыстырғанда. Белоктар микроорганизмдер үшін маңызды азот көзі болып табылады және иммобилизацияланған жасушалардың ұзақ мерзімді тіршілік етуін қолдай алады .</w:t>
      </w:r>
    </w:p>
    <w:p w14:paraId="5EA4D81D">
      <w:pPr>
        <w:spacing w:after="0"/>
        <w:ind w:firstLine="709"/>
        <w:rPr>
          <w:i/>
          <w:iCs/>
          <w:color w:val="auto"/>
          <w:szCs w:val="28"/>
          <w:lang w:val="kk-KZ"/>
        </w:rPr>
      </w:pPr>
      <w:r>
        <w:rPr>
          <w:i/>
          <w:iCs/>
          <w:color w:val="auto"/>
          <w:szCs w:val="28"/>
          <w:lang w:val="kk-KZ"/>
        </w:rPr>
        <w:t>Минералдық тасымалдаушылардың сипаттамасы</w:t>
      </w:r>
    </w:p>
    <w:p w14:paraId="67D1405C">
      <w:pPr>
        <w:pStyle w:val="35"/>
        <w:spacing w:beforeAutospacing="0" w:afterAutospacing="0"/>
        <w:ind w:firstLine="709"/>
        <w:jc w:val="both"/>
        <w:rPr>
          <w:color w:val="auto"/>
          <w:sz w:val="28"/>
          <w:szCs w:val="28"/>
          <w:lang w:val="kk-KZ"/>
        </w:rPr>
      </w:pPr>
      <w:r>
        <w:rPr>
          <w:color w:val="auto"/>
          <w:sz w:val="28"/>
          <w:szCs w:val="28"/>
          <w:lang w:val="kk-KZ"/>
        </w:rPr>
        <w:t xml:space="preserve">Салыстырмалы зерттеулер үшін екі минералдық тасымалдаушы қолданылды. Бұл материалдар табиғатта кеңінен таралған және Қазақстан территориясында кен орындары барланған </w:t>
      </w:r>
      <w:r>
        <w:rPr>
          <w:rStyle w:val="19"/>
          <w:b w:val="0"/>
          <w:bCs w:val="0"/>
          <w:color w:val="auto"/>
          <w:sz w:val="28"/>
          <w:szCs w:val="28"/>
          <w:lang w:val="kk-KZ"/>
        </w:rPr>
        <w:t>[1</w:t>
      </w:r>
      <w:r>
        <w:rPr>
          <w:rStyle w:val="19"/>
          <w:rFonts w:hint="default"/>
          <w:b w:val="0"/>
          <w:bCs w:val="0"/>
          <w:color w:val="auto"/>
          <w:sz w:val="28"/>
          <w:szCs w:val="28"/>
          <w:lang w:val="ru-RU"/>
        </w:rPr>
        <w:t>52</w:t>
      </w:r>
      <w:r>
        <w:rPr>
          <w:rStyle w:val="19"/>
          <w:b w:val="0"/>
          <w:bCs w:val="0"/>
          <w:color w:val="auto"/>
          <w:sz w:val="28"/>
          <w:szCs w:val="28"/>
          <w:lang w:val="kk-KZ"/>
        </w:rPr>
        <w:t>]</w:t>
      </w:r>
      <w:r>
        <w:rPr>
          <w:color w:val="auto"/>
          <w:sz w:val="28"/>
          <w:szCs w:val="28"/>
          <w:lang w:val="kk-KZ"/>
        </w:rPr>
        <w:t>.</w:t>
      </w:r>
    </w:p>
    <w:p w14:paraId="64A6C1F9">
      <w:pPr>
        <w:pStyle w:val="35"/>
        <w:spacing w:beforeAutospacing="0" w:afterAutospacing="0"/>
        <w:ind w:firstLine="709"/>
        <w:jc w:val="both"/>
        <w:rPr>
          <w:color w:val="auto"/>
          <w:sz w:val="28"/>
          <w:szCs w:val="28"/>
          <w:lang w:val="kk-KZ"/>
        </w:rPr>
      </w:pPr>
      <w:r>
        <w:rPr>
          <w:rStyle w:val="19"/>
          <w:b w:val="0"/>
          <w:bCs w:val="0"/>
          <w:color w:val="auto"/>
          <w:sz w:val="28"/>
          <w:szCs w:val="28"/>
          <w:lang w:val="kk-KZ"/>
        </w:rPr>
        <w:t>Цеолит (клиноптилолит)</w:t>
      </w:r>
      <w:r>
        <w:rPr>
          <w:color w:val="auto"/>
          <w:sz w:val="28"/>
          <w:szCs w:val="28"/>
          <w:lang w:val="kk-KZ"/>
        </w:rPr>
        <w:t xml:space="preserve"> - Шаңғанай кен орнынан (Алматы облысы) алынған табиғи минерал. Цеолиттер кристалдары каналдар немесе қуыстар жүйесімен қаныққан, жақсы дамыған ішкі бетке ие минералдар тобына жатады. Мұндай құрылым цеолиттарға молекулаларды селективті сорбциялауға мүмкіндік береді, яғни молекулалық елек қызметін атқара алады. Дегидратацияланған күйінде бұл минералдар аммоний иондарын, спирттерді, нитраттарды және басқа да органикалық және бейорганикалық тиімді түрде сорбциялайды.</w:t>
      </w:r>
    </w:p>
    <w:p w14:paraId="7EBC5165">
      <w:pPr>
        <w:pStyle w:val="35"/>
        <w:spacing w:beforeAutospacing="0" w:afterAutospacing="0"/>
        <w:ind w:firstLine="709"/>
        <w:jc w:val="both"/>
        <w:rPr>
          <w:color w:val="auto"/>
          <w:sz w:val="28"/>
          <w:szCs w:val="28"/>
          <w:highlight w:val="yellow"/>
          <w:lang w:val="kk-KZ"/>
        </w:rPr>
      </w:pPr>
    </w:p>
    <w:p w14:paraId="0BBDFF0E">
      <w:pPr>
        <w:pStyle w:val="35"/>
        <w:shd w:val="clear"/>
        <w:spacing w:beforeAutospacing="0" w:afterAutospacing="0"/>
        <w:ind w:firstLine="709"/>
        <w:jc w:val="center"/>
        <w:rPr>
          <w:color w:val="auto"/>
          <w:sz w:val="28"/>
          <w:szCs w:val="28"/>
          <w:highlight w:val="none"/>
        </w:rPr>
      </w:pPr>
      <w:r>
        <w:rPr>
          <w:color w:val="auto"/>
          <w:highlight w:val="none"/>
          <w:lang w:val="ru-RU" w:eastAsia="ru-RU"/>
        </w:rPr>
        <w:drawing>
          <wp:inline distT="0" distB="0" distL="114300" distR="114300">
            <wp:extent cx="4019550" cy="2324100"/>
            <wp:effectExtent l="0" t="0" r="3810" b="7620"/>
            <wp:docPr id="64"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Изображение 1"/>
                    <pic:cNvPicPr>
                      <a:picLocks noChangeAspect="1"/>
                    </pic:cNvPicPr>
                  </pic:nvPicPr>
                  <pic:blipFill>
                    <a:blip r:embed="rId21"/>
                    <a:stretch>
                      <a:fillRect/>
                    </a:stretch>
                  </pic:blipFill>
                  <pic:spPr>
                    <a:xfrm>
                      <a:off x="0" y="0"/>
                      <a:ext cx="4019550" cy="2324100"/>
                    </a:xfrm>
                    <a:prstGeom prst="rect">
                      <a:avLst/>
                    </a:prstGeom>
                    <a:noFill/>
                    <a:ln>
                      <a:noFill/>
                    </a:ln>
                  </pic:spPr>
                </pic:pic>
              </a:graphicData>
            </a:graphic>
          </wp:inline>
        </w:drawing>
      </w:r>
    </w:p>
    <w:p w14:paraId="4F90D47A">
      <w:pPr>
        <w:pStyle w:val="35"/>
        <w:shd w:val="clear"/>
        <w:spacing w:beforeAutospacing="0" w:afterAutospacing="0"/>
        <w:jc w:val="both"/>
        <w:rPr>
          <w:color w:val="auto"/>
          <w:sz w:val="28"/>
          <w:szCs w:val="28"/>
          <w:highlight w:val="none"/>
        </w:rPr>
      </w:pPr>
    </w:p>
    <w:p w14:paraId="31C6E857">
      <w:pPr>
        <w:pStyle w:val="35"/>
        <w:spacing w:beforeAutospacing="0" w:afterAutospacing="0"/>
        <w:ind w:firstLine="709"/>
        <w:jc w:val="center"/>
        <w:rPr>
          <w:color w:val="auto"/>
          <w:sz w:val="28"/>
          <w:szCs w:val="28"/>
          <w:highlight w:val="none"/>
          <w:lang w:val="kk-KZ"/>
        </w:rPr>
      </w:pPr>
      <w:r>
        <w:rPr>
          <w:color w:val="auto"/>
          <w:sz w:val="28"/>
          <w:szCs w:val="28"/>
          <w:highlight w:val="none"/>
          <w:lang w:val="ru-RU"/>
        </w:rPr>
        <w:t>Сурет</w:t>
      </w:r>
      <w:r>
        <w:rPr>
          <w:color w:val="auto"/>
          <w:sz w:val="28"/>
          <w:szCs w:val="28"/>
          <w:highlight w:val="none"/>
        </w:rPr>
        <w:t xml:space="preserve"> </w:t>
      </w:r>
      <w:r>
        <w:rPr>
          <w:color w:val="auto"/>
          <w:sz w:val="28"/>
          <w:szCs w:val="28"/>
          <w:highlight w:val="none"/>
          <w:lang w:val="kk-KZ"/>
        </w:rPr>
        <w:t>10 -</w:t>
      </w:r>
      <w:r>
        <w:rPr>
          <w:color w:val="auto"/>
          <w:sz w:val="28"/>
          <w:szCs w:val="28"/>
          <w:highlight w:val="none"/>
        </w:rPr>
        <w:t xml:space="preserve"> Шаңғанай кен орнын</w:t>
      </w:r>
      <w:r>
        <w:rPr>
          <w:color w:val="auto"/>
          <w:sz w:val="28"/>
          <w:szCs w:val="28"/>
          <w:highlight w:val="none"/>
          <w:lang w:val="ru-RU"/>
        </w:rPr>
        <w:t>ан</w:t>
      </w:r>
      <w:r>
        <w:rPr>
          <w:color w:val="auto"/>
          <w:sz w:val="28"/>
          <w:szCs w:val="28"/>
          <w:highlight w:val="none"/>
        </w:rPr>
        <w:t xml:space="preserve"> </w:t>
      </w:r>
      <w:r>
        <w:rPr>
          <w:color w:val="auto"/>
          <w:sz w:val="28"/>
          <w:szCs w:val="28"/>
          <w:highlight w:val="none"/>
          <w:lang w:val="kk-KZ"/>
        </w:rPr>
        <w:t>алынған цеолит</w:t>
      </w:r>
    </w:p>
    <w:p w14:paraId="13AF1EFB">
      <w:pPr>
        <w:pStyle w:val="35"/>
        <w:spacing w:beforeAutospacing="0" w:afterAutospacing="0"/>
        <w:ind w:firstLine="709"/>
        <w:jc w:val="both"/>
        <w:rPr>
          <w:color w:val="auto"/>
          <w:sz w:val="28"/>
          <w:szCs w:val="28"/>
          <w:highlight w:val="none"/>
        </w:rPr>
      </w:pPr>
    </w:p>
    <w:p w14:paraId="4A1BC1B3">
      <w:pPr>
        <w:pStyle w:val="35"/>
        <w:spacing w:beforeAutospacing="0" w:afterAutospacing="0"/>
        <w:ind w:firstLine="709"/>
        <w:jc w:val="both"/>
        <w:rPr>
          <w:color w:val="auto"/>
          <w:sz w:val="28"/>
          <w:szCs w:val="28"/>
        </w:rPr>
      </w:pPr>
      <w:r>
        <w:rPr>
          <w:color w:val="auto"/>
          <w:sz w:val="28"/>
          <w:szCs w:val="28"/>
          <w:highlight w:val="none"/>
          <w:lang w:val="kk-KZ"/>
        </w:rPr>
        <w:t>Кеуектер мен к</w:t>
      </w:r>
      <w:r>
        <w:rPr>
          <w:color w:val="auto"/>
          <w:sz w:val="28"/>
          <w:szCs w:val="28"/>
          <w:highlight w:val="none"/>
        </w:rPr>
        <w:t xml:space="preserve">аналдардың </w:t>
      </w:r>
      <w:r>
        <w:rPr>
          <w:color w:val="auto"/>
          <w:sz w:val="28"/>
          <w:szCs w:val="28"/>
          <w:highlight w:val="none"/>
          <w:lang w:val="kk-KZ"/>
        </w:rPr>
        <w:t xml:space="preserve">жалпы көлемдері минерал көлемінің </w:t>
      </w:r>
      <w:r>
        <w:rPr>
          <w:color w:val="auto"/>
          <w:sz w:val="28"/>
          <w:szCs w:val="28"/>
          <w:highlight w:val="none"/>
        </w:rPr>
        <w:t>50%-</w:t>
      </w:r>
      <w:r>
        <w:rPr>
          <w:color w:val="auto"/>
          <w:sz w:val="28"/>
          <w:szCs w:val="28"/>
          <w:highlight w:val="none"/>
          <w:lang w:val="kk-KZ"/>
        </w:rPr>
        <w:t>на дейін жетуі мүмкін, бұл микроорганизм бекінуі мен қоректі заттардың т</w:t>
      </w:r>
      <w:r>
        <w:rPr>
          <w:color w:val="auto"/>
          <w:sz w:val="28"/>
          <w:szCs w:val="28"/>
          <w:lang w:val="kk-KZ"/>
        </w:rPr>
        <w:t xml:space="preserve">асымалдануына қолайлы жағдай жасайды </w:t>
      </w:r>
      <w:r>
        <w:rPr>
          <w:rStyle w:val="19"/>
          <w:b w:val="0"/>
          <w:bCs w:val="0"/>
          <w:color w:val="auto"/>
          <w:sz w:val="28"/>
          <w:szCs w:val="28"/>
        </w:rPr>
        <w:t>[</w:t>
      </w:r>
      <w:r>
        <w:rPr>
          <w:rStyle w:val="19"/>
          <w:b w:val="0"/>
          <w:bCs w:val="0"/>
          <w:color w:val="auto"/>
          <w:sz w:val="28"/>
          <w:szCs w:val="28"/>
          <w:lang w:val="kk-KZ"/>
        </w:rPr>
        <w:t>1</w:t>
      </w:r>
      <w:r>
        <w:rPr>
          <w:rStyle w:val="19"/>
          <w:rFonts w:hint="default"/>
          <w:b w:val="0"/>
          <w:bCs w:val="0"/>
          <w:color w:val="auto"/>
          <w:sz w:val="28"/>
          <w:szCs w:val="28"/>
          <w:lang w:val="ru-RU"/>
        </w:rPr>
        <w:t>53</w:t>
      </w:r>
      <w:r>
        <w:rPr>
          <w:rStyle w:val="19"/>
          <w:b w:val="0"/>
          <w:bCs w:val="0"/>
          <w:color w:val="auto"/>
          <w:sz w:val="28"/>
          <w:szCs w:val="28"/>
        </w:rPr>
        <w:t>]</w:t>
      </w:r>
      <w:r>
        <w:rPr>
          <w:color w:val="auto"/>
          <w:sz w:val="28"/>
          <w:szCs w:val="28"/>
          <w:lang w:val="kk-KZ"/>
        </w:rPr>
        <w:t>.</w:t>
      </w:r>
      <w:r>
        <w:rPr>
          <w:color w:val="auto"/>
          <w:sz w:val="28"/>
          <w:szCs w:val="28"/>
        </w:rPr>
        <w:t xml:space="preserve"> Цеолиттердің қасиеттері - таралуы, қолжетімділігі, арзандығы, бірнеше рет қолдану мүмкіндігі оларды биотехнологияда тиімді етеді.</w:t>
      </w:r>
    </w:p>
    <w:p w14:paraId="791B8C4E">
      <w:pPr>
        <w:pStyle w:val="35"/>
        <w:spacing w:beforeAutospacing="0" w:afterAutospacing="0"/>
        <w:ind w:firstLine="709"/>
        <w:jc w:val="both"/>
        <w:rPr>
          <w:color w:val="auto"/>
          <w:sz w:val="28"/>
          <w:szCs w:val="28"/>
          <w:lang w:val="kk-KZ"/>
        </w:rPr>
      </w:pPr>
      <w:r>
        <w:rPr>
          <w:color w:val="auto"/>
          <w:sz w:val="28"/>
          <w:szCs w:val="28"/>
          <w:lang w:val="kk-KZ"/>
        </w:rPr>
        <w:t xml:space="preserve">Цеолиттердің маңызды сипаттамаларының бірі олардың ион алмасы сыйымдылығы. Бұл параметр минералдың сорбциялық және технологиялық қасиеттерін анықтайды және кристалдық тордағы катиондардың толық алмасу мүмкіндігімен сипатталады, нәтижесінде цеолиттің максималды сорбциялық қабілеті жүзеге асады </w:t>
      </w:r>
      <w:r>
        <w:rPr>
          <w:rStyle w:val="19"/>
          <w:b w:val="0"/>
          <w:bCs w:val="0"/>
          <w:color w:val="auto"/>
          <w:sz w:val="28"/>
          <w:szCs w:val="28"/>
          <w:lang w:val="kk-KZ"/>
        </w:rPr>
        <w:t>[1</w:t>
      </w:r>
      <w:r>
        <w:rPr>
          <w:rStyle w:val="19"/>
          <w:rFonts w:hint="default"/>
          <w:b w:val="0"/>
          <w:bCs w:val="0"/>
          <w:color w:val="auto"/>
          <w:sz w:val="28"/>
          <w:szCs w:val="28"/>
          <w:lang w:val="ru-RU"/>
        </w:rPr>
        <w:t>53</w:t>
      </w:r>
      <w:r>
        <w:rPr>
          <w:rStyle w:val="19"/>
          <w:b w:val="0"/>
          <w:bCs w:val="0"/>
          <w:color w:val="auto"/>
          <w:sz w:val="28"/>
          <w:szCs w:val="28"/>
          <w:lang w:val="kk-KZ"/>
        </w:rPr>
        <w:t>]</w:t>
      </w:r>
      <w:r>
        <w:rPr>
          <w:color w:val="auto"/>
          <w:sz w:val="28"/>
          <w:szCs w:val="28"/>
          <w:lang w:val="kk-KZ"/>
        </w:rPr>
        <w:t>.</w:t>
      </w:r>
    </w:p>
    <w:p w14:paraId="6A01BFAA">
      <w:pPr>
        <w:pStyle w:val="35"/>
        <w:spacing w:beforeAutospacing="0" w:afterAutospacing="0"/>
        <w:ind w:firstLine="709"/>
        <w:jc w:val="both"/>
        <w:rPr>
          <w:color w:val="auto"/>
          <w:sz w:val="28"/>
          <w:szCs w:val="28"/>
          <w:lang w:val="kk-KZ"/>
        </w:rPr>
      </w:pPr>
      <w:r>
        <w:rPr>
          <w:rStyle w:val="19"/>
          <w:b w:val="0"/>
          <w:bCs w:val="0"/>
          <w:color w:val="auto"/>
          <w:sz w:val="28"/>
          <w:szCs w:val="28"/>
          <w:lang w:val="kk-KZ"/>
        </w:rPr>
        <w:t>Керамзит</w:t>
      </w:r>
      <w:r>
        <w:rPr>
          <w:color w:val="auto"/>
          <w:sz w:val="28"/>
          <w:szCs w:val="28"/>
          <w:lang w:val="kk-KZ"/>
        </w:rPr>
        <w:t xml:space="preserve">  Маңғыстау облысында өндірілетін кеуекті материал болып табылады. Ол сазды шикізатты жоғары температурада күйдіру арқылы алынады, бұл кезде бөлінетін газдар нәтижесінде материалдың кеуекті құрылымы қалыптасады, ал сыртқы бетінің балқуы оның механикалық беріктігін арттырады </w:t>
      </w:r>
      <w:r>
        <w:rPr>
          <w:rStyle w:val="19"/>
          <w:b w:val="0"/>
          <w:bCs w:val="0"/>
          <w:color w:val="auto"/>
          <w:sz w:val="28"/>
          <w:szCs w:val="28"/>
          <w:lang w:val="kk-KZ"/>
        </w:rPr>
        <w:t>[1</w:t>
      </w:r>
      <w:r>
        <w:rPr>
          <w:rStyle w:val="19"/>
          <w:rFonts w:hint="default"/>
          <w:b w:val="0"/>
          <w:bCs w:val="0"/>
          <w:color w:val="auto"/>
          <w:sz w:val="28"/>
          <w:szCs w:val="28"/>
          <w:lang w:val="ru-RU"/>
        </w:rPr>
        <w:t>54, 155</w:t>
      </w:r>
      <w:r>
        <w:rPr>
          <w:rStyle w:val="19"/>
          <w:b w:val="0"/>
          <w:bCs w:val="0"/>
          <w:color w:val="auto"/>
          <w:sz w:val="28"/>
          <w:szCs w:val="28"/>
          <w:lang w:val="kk-KZ"/>
        </w:rPr>
        <w:t>]</w:t>
      </w:r>
      <w:r>
        <w:rPr>
          <w:color w:val="auto"/>
          <w:sz w:val="28"/>
          <w:szCs w:val="28"/>
          <w:lang w:val="kk-KZ"/>
        </w:rPr>
        <w:t>.</w:t>
      </w:r>
    </w:p>
    <w:p w14:paraId="3EEA5A24">
      <w:pPr>
        <w:pStyle w:val="35"/>
        <w:spacing w:beforeAutospacing="0" w:afterAutospacing="0"/>
        <w:ind w:firstLine="709"/>
        <w:jc w:val="both"/>
        <w:rPr>
          <w:color w:val="auto"/>
          <w:sz w:val="28"/>
          <w:szCs w:val="28"/>
          <w:lang w:val="kk-KZ"/>
        </w:rPr>
      </w:pPr>
      <w:r>
        <w:rPr>
          <w:color w:val="auto"/>
          <w:sz w:val="28"/>
          <w:szCs w:val="28"/>
          <w:lang w:val="kk-KZ"/>
        </w:rPr>
        <w:t xml:space="preserve">Керамзиттің ұсақ бөлшектелген фракциялары су тазарту (фильтрация) жүйелерінде, сондай-ақ террариумдар мен аквариумдарда астарлау ретінде қолданылады. Мұндай қолдану төмен токсикалық қасиеттердің куәлік етуінің бірі болып табылады, керамзитке экологиялық қауіпсіздік тұрғысынан жоғары баға беруге мүмкіндік береді </w:t>
      </w:r>
      <w:r>
        <w:rPr>
          <w:rStyle w:val="19"/>
          <w:b w:val="0"/>
          <w:bCs w:val="0"/>
          <w:color w:val="auto"/>
          <w:sz w:val="28"/>
          <w:szCs w:val="28"/>
          <w:lang w:val="kk-KZ"/>
        </w:rPr>
        <w:t>[1</w:t>
      </w:r>
      <w:r>
        <w:rPr>
          <w:rStyle w:val="19"/>
          <w:rFonts w:hint="default"/>
          <w:b w:val="0"/>
          <w:bCs w:val="0"/>
          <w:color w:val="auto"/>
          <w:sz w:val="28"/>
          <w:szCs w:val="28"/>
          <w:lang w:val="ru-RU"/>
        </w:rPr>
        <w:t>55</w:t>
      </w:r>
      <w:r>
        <w:rPr>
          <w:rStyle w:val="19"/>
          <w:b w:val="0"/>
          <w:bCs w:val="0"/>
          <w:color w:val="auto"/>
          <w:sz w:val="28"/>
          <w:szCs w:val="28"/>
          <w:lang w:val="kk-KZ"/>
        </w:rPr>
        <w:t>]</w:t>
      </w:r>
      <w:r>
        <w:rPr>
          <w:color w:val="auto"/>
          <w:sz w:val="28"/>
          <w:szCs w:val="28"/>
          <w:lang w:val="kk-KZ"/>
        </w:rPr>
        <w:t>.</w:t>
      </w:r>
    </w:p>
    <w:p w14:paraId="73EAACC0">
      <w:pPr>
        <w:pStyle w:val="35"/>
        <w:spacing w:beforeAutospacing="0" w:afterAutospacing="0"/>
        <w:ind w:firstLine="709"/>
        <w:jc w:val="both"/>
        <w:rPr>
          <w:color w:val="auto"/>
          <w:sz w:val="28"/>
          <w:szCs w:val="28"/>
          <w:highlight w:val="yellow"/>
          <w:lang w:val="kk-KZ"/>
        </w:rPr>
      </w:pPr>
    </w:p>
    <w:p w14:paraId="08BB3797">
      <w:pPr>
        <w:pStyle w:val="35"/>
        <w:spacing w:beforeAutospacing="0" w:afterAutospacing="0"/>
        <w:ind w:firstLine="709"/>
        <w:jc w:val="center"/>
        <w:rPr>
          <w:color w:val="auto"/>
          <w:sz w:val="28"/>
          <w:szCs w:val="28"/>
          <w:highlight w:val="none"/>
        </w:rPr>
      </w:pPr>
      <w:r>
        <w:rPr>
          <w:color w:val="auto"/>
          <w:highlight w:val="none"/>
          <w:lang w:val="ru-RU" w:eastAsia="ru-RU"/>
        </w:rPr>
        <w:drawing>
          <wp:inline distT="0" distB="0" distL="114300" distR="114300">
            <wp:extent cx="2980690" cy="2178050"/>
            <wp:effectExtent l="0" t="0" r="6350" b="1270"/>
            <wp:docPr id="65" name="Изобра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Изображение 2"/>
                    <pic:cNvPicPr>
                      <a:picLocks noChangeAspect="1"/>
                    </pic:cNvPicPr>
                  </pic:nvPicPr>
                  <pic:blipFill>
                    <a:blip r:embed="rId22"/>
                    <a:stretch>
                      <a:fillRect/>
                    </a:stretch>
                  </pic:blipFill>
                  <pic:spPr>
                    <a:xfrm>
                      <a:off x="0" y="0"/>
                      <a:ext cx="2980690" cy="2178050"/>
                    </a:xfrm>
                    <a:prstGeom prst="rect">
                      <a:avLst/>
                    </a:prstGeom>
                    <a:noFill/>
                    <a:ln>
                      <a:noFill/>
                    </a:ln>
                  </pic:spPr>
                </pic:pic>
              </a:graphicData>
            </a:graphic>
          </wp:inline>
        </w:drawing>
      </w:r>
    </w:p>
    <w:p w14:paraId="748AEE44">
      <w:pPr>
        <w:pStyle w:val="35"/>
        <w:spacing w:beforeAutospacing="0" w:afterAutospacing="0"/>
        <w:ind w:firstLine="709"/>
        <w:jc w:val="both"/>
        <w:rPr>
          <w:color w:val="auto"/>
          <w:sz w:val="28"/>
          <w:szCs w:val="28"/>
          <w:highlight w:val="none"/>
        </w:rPr>
      </w:pPr>
    </w:p>
    <w:p w14:paraId="20E5E077">
      <w:pPr>
        <w:pStyle w:val="35"/>
        <w:spacing w:beforeAutospacing="0" w:afterAutospacing="0"/>
        <w:ind w:firstLine="709"/>
        <w:jc w:val="center"/>
        <w:rPr>
          <w:color w:val="auto"/>
          <w:sz w:val="28"/>
          <w:szCs w:val="28"/>
          <w:highlight w:val="none"/>
          <w:lang w:val="kk-KZ"/>
        </w:rPr>
      </w:pPr>
      <w:r>
        <w:rPr>
          <w:color w:val="auto"/>
          <w:sz w:val="28"/>
          <w:szCs w:val="28"/>
          <w:highlight w:val="none"/>
          <w:lang w:val="ru-RU"/>
        </w:rPr>
        <w:t>Сурет</w:t>
      </w:r>
      <w:r>
        <w:rPr>
          <w:color w:val="auto"/>
          <w:sz w:val="28"/>
          <w:szCs w:val="28"/>
          <w:highlight w:val="none"/>
        </w:rPr>
        <w:t xml:space="preserve"> 11 - «</w:t>
      </w:r>
      <w:r>
        <w:rPr>
          <w:color w:val="auto"/>
          <w:sz w:val="28"/>
          <w:szCs w:val="28"/>
          <w:highlight w:val="none"/>
          <w:lang w:val="kk-KZ"/>
        </w:rPr>
        <w:t>Актау керамзит</w:t>
      </w:r>
      <w:r>
        <w:rPr>
          <w:color w:val="auto"/>
          <w:sz w:val="28"/>
          <w:szCs w:val="28"/>
          <w:highlight w:val="none"/>
        </w:rPr>
        <w:t>»</w:t>
      </w:r>
      <w:r>
        <w:rPr>
          <w:color w:val="auto"/>
          <w:sz w:val="28"/>
          <w:szCs w:val="28"/>
          <w:highlight w:val="none"/>
          <w:lang w:val="kk-KZ"/>
        </w:rPr>
        <w:t xml:space="preserve"> ЖШС өндіретін керамзит</w:t>
      </w:r>
    </w:p>
    <w:p w14:paraId="609ED173">
      <w:pPr>
        <w:pStyle w:val="35"/>
        <w:spacing w:beforeAutospacing="0" w:afterAutospacing="0"/>
        <w:ind w:firstLine="709"/>
        <w:jc w:val="both"/>
        <w:rPr>
          <w:color w:val="auto"/>
          <w:sz w:val="28"/>
          <w:szCs w:val="28"/>
          <w:highlight w:val="yellow"/>
        </w:rPr>
      </w:pPr>
    </w:p>
    <w:p w14:paraId="56B3664F">
      <w:pPr>
        <w:pStyle w:val="35"/>
        <w:spacing w:beforeAutospacing="0" w:afterAutospacing="0"/>
        <w:ind w:firstLine="709"/>
        <w:jc w:val="both"/>
        <w:rPr>
          <w:bCs/>
          <w:color w:val="auto"/>
          <w:sz w:val="28"/>
          <w:szCs w:val="28"/>
          <w:lang w:val="kk-KZ"/>
        </w:rPr>
      </w:pPr>
      <w:r>
        <w:rPr>
          <w:color w:val="auto"/>
          <w:sz w:val="28"/>
          <w:szCs w:val="28"/>
        </w:rPr>
        <w:t xml:space="preserve">Минералдық </w:t>
      </w:r>
      <w:r>
        <w:rPr>
          <w:color w:val="auto"/>
          <w:sz w:val="28"/>
          <w:szCs w:val="28"/>
          <w:lang w:val="kk-KZ"/>
        </w:rPr>
        <w:t>тасымалдаушылардың</w:t>
      </w:r>
      <w:r>
        <w:rPr>
          <w:color w:val="auto"/>
          <w:sz w:val="28"/>
          <w:szCs w:val="28"/>
        </w:rPr>
        <w:t xml:space="preserve"> негізгі артықшылықтары</w:t>
      </w:r>
      <w:r>
        <w:rPr>
          <w:color w:val="auto"/>
          <w:sz w:val="28"/>
          <w:szCs w:val="28"/>
          <w:lang w:val="kk-KZ"/>
        </w:rPr>
        <w:t xml:space="preserve">на жоғары </w:t>
      </w:r>
      <w:r>
        <w:rPr>
          <w:color w:val="auto"/>
          <w:sz w:val="28"/>
          <w:szCs w:val="28"/>
        </w:rPr>
        <w:t>механикалық беріктіг</w:t>
      </w:r>
      <w:r>
        <w:rPr>
          <w:color w:val="auto"/>
          <w:sz w:val="28"/>
          <w:szCs w:val="28"/>
          <w:lang w:val="kk-KZ"/>
        </w:rPr>
        <w:t>і</w:t>
      </w:r>
      <w:r>
        <w:rPr>
          <w:color w:val="auto"/>
          <w:sz w:val="28"/>
          <w:szCs w:val="28"/>
        </w:rPr>
        <w:t>, химиялық инертті</w:t>
      </w:r>
      <w:r>
        <w:rPr>
          <w:color w:val="auto"/>
          <w:sz w:val="28"/>
          <w:szCs w:val="28"/>
          <w:lang w:val="kk-KZ"/>
        </w:rPr>
        <w:t>лік</w:t>
      </w:r>
      <w:r>
        <w:rPr>
          <w:color w:val="auto"/>
          <w:sz w:val="28"/>
          <w:szCs w:val="28"/>
        </w:rPr>
        <w:t>, қайта пайдалану мүмкіндігі және ұзақ мерзімді қолдануға жарамдылығы</w:t>
      </w:r>
      <w:r>
        <w:rPr>
          <w:color w:val="auto"/>
          <w:sz w:val="28"/>
          <w:szCs w:val="28"/>
          <w:lang w:val="kk-KZ"/>
        </w:rPr>
        <w:t xml:space="preserve"> жатады</w:t>
      </w:r>
      <w:r>
        <w:rPr>
          <w:color w:val="auto"/>
          <w:sz w:val="28"/>
          <w:szCs w:val="28"/>
        </w:rPr>
        <w:t xml:space="preserve"> </w:t>
      </w:r>
      <w:r>
        <w:rPr>
          <w:rStyle w:val="19"/>
          <w:b w:val="0"/>
          <w:bCs w:val="0"/>
          <w:color w:val="auto"/>
          <w:sz w:val="28"/>
          <w:szCs w:val="28"/>
        </w:rPr>
        <w:t>[</w:t>
      </w:r>
      <w:r>
        <w:rPr>
          <w:rStyle w:val="19"/>
          <w:rFonts w:hint="default"/>
          <w:b w:val="0"/>
          <w:bCs w:val="0"/>
          <w:color w:val="auto"/>
          <w:sz w:val="28"/>
          <w:szCs w:val="28"/>
          <w:lang w:val="ru-RU"/>
        </w:rPr>
        <w:t>87-90</w:t>
      </w:r>
      <w:r>
        <w:rPr>
          <w:rStyle w:val="19"/>
          <w:b w:val="0"/>
          <w:bCs w:val="0"/>
          <w:color w:val="auto"/>
          <w:sz w:val="28"/>
          <w:szCs w:val="28"/>
        </w:rPr>
        <w:t>]</w:t>
      </w:r>
      <w:r>
        <w:rPr>
          <w:color w:val="auto"/>
          <w:sz w:val="28"/>
          <w:szCs w:val="28"/>
        </w:rPr>
        <w:t>.</w:t>
      </w:r>
      <w:r>
        <w:rPr>
          <w:bCs/>
          <w:color w:val="auto"/>
          <w:sz w:val="28"/>
          <w:szCs w:val="28"/>
          <w:lang w:val="kk-KZ"/>
        </w:rPr>
        <w:t>Т</w:t>
      </w:r>
      <w:r>
        <w:rPr>
          <w:bCs/>
          <w:color w:val="auto"/>
          <w:sz w:val="28"/>
          <w:szCs w:val="28"/>
        </w:rPr>
        <w:t>асымалдаушыл</w:t>
      </w:r>
      <w:r>
        <w:rPr>
          <w:bCs/>
          <w:color w:val="auto"/>
          <w:sz w:val="28"/>
          <w:szCs w:val="28"/>
          <w:lang w:val="kk-KZ"/>
        </w:rPr>
        <w:t xml:space="preserve">ардың химиялық құрамы мен физика-механикалық қасиеттері олардың микроорганизмдерді иммобилизациялау тиімділігіне тікелей әсер ете отырып, биоремедиация процессінің жалпы нәтижелігін айқындайды. </w:t>
      </w:r>
    </w:p>
    <w:p w14:paraId="1C825047">
      <w:pPr>
        <w:pStyle w:val="35"/>
        <w:spacing w:beforeAutospacing="0" w:afterAutospacing="0"/>
        <w:ind w:firstLine="709"/>
        <w:jc w:val="both"/>
        <w:rPr>
          <w:color w:val="auto"/>
          <w:lang w:val="kk-KZ"/>
        </w:rPr>
      </w:pPr>
    </w:p>
    <w:p w14:paraId="156FEB0F">
      <w:pPr>
        <w:pStyle w:val="35"/>
        <w:spacing w:beforeAutospacing="0" w:afterAutospacing="0"/>
        <w:ind w:firstLine="709"/>
        <w:jc w:val="both"/>
        <w:rPr>
          <w:b/>
          <w:bCs/>
          <w:color w:val="auto"/>
          <w:sz w:val="28"/>
          <w:szCs w:val="28"/>
          <w:lang w:val="kk-KZ"/>
        </w:rPr>
      </w:pPr>
      <w:r>
        <w:rPr>
          <w:b/>
          <w:bCs/>
          <w:color w:val="auto"/>
          <w:sz w:val="28"/>
          <w:szCs w:val="28"/>
          <w:lang w:val="ru-RU"/>
        </w:rPr>
        <w:t>3</w:t>
      </w:r>
      <w:r>
        <w:rPr>
          <w:rFonts w:hint="default"/>
          <w:b/>
          <w:bCs/>
          <w:color w:val="auto"/>
          <w:sz w:val="28"/>
          <w:szCs w:val="28"/>
          <w:lang w:val="kk-KZ"/>
        </w:rPr>
        <w:t>.</w:t>
      </w:r>
      <w:r>
        <w:rPr>
          <w:b/>
          <w:bCs/>
          <w:color w:val="auto"/>
          <w:sz w:val="28"/>
          <w:szCs w:val="28"/>
          <w:lang w:val="kk-KZ"/>
        </w:rPr>
        <w:t xml:space="preserve">1.2 </w:t>
      </w:r>
      <w:r>
        <w:rPr>
          <w:b/>
          <w:bCs/>
          <w:color w:val="auto"/>
          <w:sz w:val="28"/>
          <w:szCs w:val="32"/>
          <w:lang w:val="kk-KZ"/>
        </w:rPr>
        <w:t>Тасымалдаушылардың</w:t>
      </w:r>
      <w:r>
        <w:rPr>
          <w:b/>
          <w:bCs/>
          <w:color w:val="auto"/>
          <w:sz w:val="28"/>
          <w:szCs w:val="28"/>
          <w:lang w:val="kk-KZ"/>
        </w:rPr>
        <w:t xml:space="preserve"> сорбциялық қабілетін зерттеу</w:t>
      </w:r>
    </w:p>
    <w:p w14:paraId="04029C4E">
      <w:pPr>
        <w:pStyle w:val="35"/>
        <w:spacing w:beforeAutospacing="0" w:afterAutospacing="0"/>
        <w:ind w:firstLine="709"/>
        <w:jc w:val="both"/>
        <w:rPr>
          <w:bCs/>
          <w:color w:val="auto"/>
          <w:sz w:val="28"/>
          <w:szCs w:val="28"/>
          <w:lang w:val="kk-KZ"/>
        </w:rPr>
      </w:pPr>
      <w:r>
        <w:rPr>
          <w:bCs/>
          <w:color w:val="auto"/>
          <w:sz w:val="28"/>
          <w:szCs w:val="28"/>
          <w:lang w:val="kk-KZ"/>
        </w:rPr>
        <w:t>Цеолит пен керамзит өздерінің жоғары сорбциялық сыйымдылығымен ерекшеленеді. Цеолиттің кеуекті құрылымы мен жоғары бет аумағы оған мұнайды тиімді сорбциялауға мүмкіндік береді. Бұл тасымалдаушылардың механикалық беріктігі жоғары, әрі оларды қайта пайдалану мен ұзақ мерзімді қолдану үшін қолайлы. Алайда, олардың кемшіліктері де бар: олар биодеградацияланбайды, қоректік заттар бермеді және салыстырмалы түрде қымбат. Бұл олардың экологиялық және экономикалық тұрғыдан тиімділігін шектейді.</w:t>
      </w:r>
    </w:p>
    <w:p w14:paraId="164F2856">
      <w:pPr>
        <w:pStyle w:val="35"/>
        <w:spacing w:beforeAutospacing="0" w:afterAutospacing="0"/>
        <w:ind w:firstLine="709"/>
        <w:jc w:val="both"/>
        <w:rPr>
          <w:bCs/>
          <w:color w:val="auto"/>
          <w:sz w:val="28"/>
          <w:szCs w:val="28"/>
          <w:lang w:val="kk-KZ"/>
        </w:rPr>
      </w:pPr>
      <w:r>
        <w:rPr>
          <w:bCs/>
          <w:color w:val="auto"/>
          <w:sz w:val="28"/>
          <w:szCs w:val="28"/>
          <w:lang w:val="kk-KZ"/>
        </w:rPr>
        <w:t>Сорбциялық қабілетті анықтау үшін әдетте модельді жүйелерде тасымалдағышты шикі мұнаймен өңдеу және адсорбцияланған мұнай көлемін гравиметриялық әдіспен өлшеу қолданылады [1</w:t>
      </w:r>
      <w:r>
        <w:rPr>
          <w:rFonts w:hint="default"/>
          <w:bCs/>
          <w:color w:val="auto"/>
          <w:sz w:val="28"/>
          <w:szCs w:val="28"/>
          <w:lang w:val="ru-RU"/>
        </w:rPr>
        <w:t>56</w:t>
      </w:r>
      <w:r>
        <w:rPr>
          <w:bCs/>
          <w:color w:val="auto"/>
          <w:sz w:val="28"/>
          <w:szCs w:val="28"/>
          <w:lang w:val="kk-KZ"/>
        </w:rPr>
        <w:t>]. Бұл зерттеуде ластаушы көзі ретінде Қаражанбас кен орнының шикі мұнайы мен БТЭК пайдаланылды. Зерттеуде минералдық (цеолит, керамзит) және органикалық (қарақұмық қауызы, күріш қауызы) тасымалдаушылардың сорбциялық қабілеті салыстырылды.</w:t>
      </w:r>
    </w:p>
    <w:p w14:paraId="703875C9">
      <w:pPr>
        <w:pStyle w:val="310"/>
        <w:spacing w:before="0"/>
        <w:ind w:firstLine="709"/>
        <w:rPr>
          <w:b w:val="0"/>
          <w:bCs/>
          <w:color w:val="auto"/>
          <w:lang w:val="kk-KZ"/>
        </w:rPr>
      </w:pPr>
      <w:r>
        <w:rPr>
          <w:b w:val="0"/>
          <w:bCs/>
          <w:color w:val="auto"/>
          <w:lang w:val="kk-KZ"/>
        </w:rPr>
        <w:t xml:space="preserve">Минералдық тасымалдағыштар - цеолит және керамзит - ерекше сорбциялық қасиеттерді көрсетті (Кесте 9). </w:t>
      </w:r>
    </w:p>
    <w:p w14:paraId="1C218081">
      <w:pPr>
        <w:pStyle w:val="310"/>
        <w:spacing w:before="0"/>
        <w:ind w:firstLine="709"/>
        <w:rPr>
          <w:b w:val="0"/>
          <w:bCs/>
          <w:color w:val="auto"/>
          <w:highlight w:val="yellow"/>
          <w:lang w:val="kk-KZ"/>
        </w:rPr>
      </w:pPr>
    </w:p>
    <w:p w14:paraId="03588E71">
      <w:pPr>
        <w:rPr>
          <w:b w:val="0"/>
          <w:bCs/>
          <w:color w:val="auto"/>
          <w:lang w:val="kk-KZ"/>
        </w:rPr>
      </w:pPr>
      <w:r>
        <w:rPr>
          <w:b w:val="0"/>
          <w:bCs/>
          <w:color w:val="auto"/>
          <w:lang w:val="kk-KZ"/>
        </w:rPr>
        <w:br w:type="page"/>
      </w:r>
    </w:p>
    <w:p w14:paraId="75363F85">
      <w:pPr>
        <w:pStyle w:val="310"/>
        <w:spacing w:before="0"/>
        <w:ind w:firstLine="0"/>
        <w:rPr>
          <w:b w:val="0"/>
          <w:bCs/>
          <w:color w:val="auto"/>
          <w:lang w:val="kk-KZ"/>
        </w:rPr>
      </w:pPr>
      <w:r>
        <w:rPr>
          <w:b w:val="0"/>
          <w:bCs/>
          <w:color w:val="auto"/>
          <w:lang w:val="kk-KZ"/>
        </w:rPr>
        <w:t>Кесте 9 - Микроорганизмдер консорциумының минералды тасымалдағыштарға адсорбциясы [1</w:t>
      </w:r>
      <w:r>
        <w:rPr>
          <w:rFonts w:hint="default"/>
          <w:b w:val="0"/>
          <w:bCs/>
          <w:color w:val="auto"/>
          <w:lang w:val="ru-RU"/>
        </w:rPr>
        <w:t>57</w:t>
      </w:r>
      <w:r>
        <w:rPr>
          <w:b w:val="0"/>
          <w:bCs/>
          <w:color w:val="auto"/>
          <w:lang w:val="kk-KZ"/>
        </w:rPr>
        <w:t>]</w:t>
      </w:r>
    </w:p>
    <w:p w14:paraId="4D878776">
      <w:pPr>
        <w:pStyle w:val="310"/>
        <w:spacing w:before="0"/>
        <w:ind w:firstLine="709"/>
        <w:rPr>
          <w:b w:val="0"/>
          <w:bCs/>
          <w:color w:val="auto"/>
          <w:lang w:val="kk-KZ"/>
        </w:rPr>
      </w:pP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0"/>
        <w:gridCol w:w="972"/>
        <w:gridCol w:w="1083"/>
        <w:gridCol w:w="1157"/>
        <w:gridCol w:w="1087"/>
        <w:gridCol w:w="1715"/>
        <w:gridCol w:w="1788"/>
      </w:tblGrid>
      <w:tr w14:paraId="21FC0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90" w:type="dxa"/>
          </w:tcPr>
          <w:p w14:paraId="6AF27A1F">
            <w:pPr>
              <w:widowControl w:val="0"/>
              <w:spacing w:after="0"/>
              <w:jc w:val="center"/>
              <w:rPr>
                <w:bCs/>
                <w:color w:val="auto"/>
                <w:sz w:val="24"/>
                <w:szCs w:val="24"/>
              </w:rPr>
            </w:pPr>
            <w:r>
              <w:rPr>
                <w:bCs/>
                <w:color w:val="auto"/>
                <w:sz w:val="24"/>
                <w:szCs w:val="24"/>
              </w:rPr>
              <w:t>Сорбент түрі</w:t>
            </w:r>
          </w:p>
        </w:tc>
        <w:tc>
          <w:tcPr>
            <w:tcW w:w="972" w:type="dxa"/>
          </w:tcPr>
          <w:p w14:paraId="6FC3A1A8">
            <w:pPr>
              <w:widowControl w:val="0"/>
              <w:spacing w:after="0"/>
              <w:jc w:val="center"/>
              <w:rPr>
                <w:bCs/>
                <w:color w:val="auto"/>
                <w:sz w:val="24"/>
                <w:szCs w:val="24"/>
              </w:rPr>
            </w:pPr>
            <w:r>
              <w:rPr>
                <w:bCs/>
                <w:color w:val="auto"/>
                <w:sz w:val="24"/>
                <w:szCs w:val="24"/>
              </w:rPr>
              <w:t>d</w:t>
            </w:r>
            <w:r>
              <w:rPr>
                <w:bCs/>
                <w:color w:val="auto"/>
                <w:sz w:val="24"/>
                <w:szCs w:val="24"/>
                <w:vertAlign w:val="subscript"/>
              </w:rPr>
              <w:t>фильтр</w:t>
            </w:r>
          </w:p>
        </w:tc>
        <w:tc>
          <w:tcPr>
            <w:tcW w:w="1083" w:type="dxa"/>
          </w:tcPr>
          <w:p w14:paraId="5F1596FE">
            <w:pPr>
              <w:widowControl w:val="0"/>
              <w:spacing w:after="0"/>
              <w:jc w:val="center"/>
              <w:rPr>
                <w:bCs/>
                <w:color w:val="auto"/>
                <w:sz w:val="24"/>
                <w:szCs w:val="24"/>
              </w:rPr>
            </w:pPr>
            <w:r>
              <w:rPr>
                <w:bCs/>
                <w:color w:val="auto"/>
                <w:sz w:val="24"/>
                <w:szCs w:val="24"/>
              </w:rPr>
              <w:t>d</w:t>
            </w:r>
            <w:r>
              <w:rPr>
                <w:bCs/>
                <w:color w:val="auto"/>
                <w:sz w:val="24"/>
                <w:szCs w:val="24"/>
                <w:vertAlign w:val="subscript"/>
              </w:rPr>
              <w:t>жуу</w:t>
            </w:r>
          </w:p>
        </w:tc>
        <w:tc>
          <w:tcPr>
            <w:tcW w:w="1157" w:type="dxa"/>
          </w:tcPr>
          <w:p w14:paraId="7D209BEB">
            <w:pPr>
              <w:widowControl w:val="0"/>
              <w:spacing w:after="0"/>
              <w:jc w:val="center"/>
              <w:rPr>
                <w:bCs/>
                <w:color w:val="auto"/>
                <w:sz w:val="24"/>
                <w:szCs w:val="24"/>
              </w:rPr>
            </w:pPr>
            <w:r>
              <w:rPr>
                <w:bCs/>
                <w:color w:val="auto"/>
                <w:sz w:val="24"/>
                <w:szCs w:val="24"/>
              </w:rPr>
              <w:t>d</w:t>
            </w:r>
            <w:r>
              <w:rPr>
                <w:bCs/>
                <w:color w:val="auto"/>
                <w:sz w:val="24"/>
                <w:szCs w:val="24"/>
                <w:vertAlign w:val="subscript"/>
              </w:rPr>
              <w:t>бастапқы</w:t>
            </w:r>
          </w:p>
        </w:tc>
        <w:tc>
          <w:tcPr>
            <w:tcW w:w="1087" w:type="dxa"/>
          </w:tcPr>
          <w:p w14:paraId="55F800CF">
            <w:pPr>
              <w:widowControl w:val="0"/>
              <w:spacing w:after="0"/>
              <w:jc w:val="center"/>
              <w:rPr>
                <w:bCs/>
                <w:color w:val="auto"/>
                <w:sz w:val="24"/>
                <w:szCs w:val="24"/>
              </w:rPr>
            </w:pPr>
            <w:r>
              <w:rPr>
                <w:bCs/>
                <w:color w:val="auto"/>
                <w:sz w:val="24"/>
                <w:szCs w:val="24"/>
              </w:rPr>
              <w:t>d</w:t>
            </w:r>
            <w:r>
              <w:rPr>
                <w:bCs/>
                <w:color w:val="auto"/>
                <w:sz w:val="24"/>
                <w:szCs w:val="24"/>
                <w:vertAlign w:val="subscript"/>
              </w:rPr>
              <w:t>сорб</w:t>
            </w:r>
          </w:p>
        </w:tc>
        <w:tc>
          <w:tcPr>
            <w:tcW w:w="1715" w:type="dxa"/>
          </w:tcPr>
          <w:p w14:paraId="06D03B08">
            <w:pPr>
              <w:widowControl w:val="0"/>
              <w:spacing w:after="0"/>
              <w:jc w:val="center"/>
              <w:rPr>
                <w:bCs/>
                <w:color w:val="auto"/>
                <w:sz w:val="24"/>
                <w:szCs w:val="24"/>
              </w:rPr>
            </w:pPr>
            <w:r>
              <w:rPr>
                <w:bCs/>
                <w:color w:val="auto"/>
                <w:sz w:val="24"/>
                <w:szCs w:val="24"/>
              </w:rPr>
              <w:t>Жасуша концентрациясы Х, мг/мл</w:t>
            </w:r>
          </w:p>
        </w:tc>
        <w:tc>
          <w:tcPr>
            <w:tcW w:w="1788" w:type="dxa"/>
          </w:tcPr>
          <w:p w14:paraId="3B4D3663">
            <w:pPr>
              <w:widowControl w:val="0"/>
              <w:spacing w:after="0"/>
              <w:jc w:val="center"/>
              <w:rPr>
                <w:bCs/>
                <w:color w:val="auto"/>
                <w:sz w:val="24"/>
                <w:szCs w:val="24"/>
              </w:rPr>
            </w:pPr>
            <w:r>
              <w:rPr>
                <w:bCs/>
                <w:color w:val="auto"/>
                <w:sz w:val="24"/>
                <w:szCs w:val="24"/>
              </w:rPr>
              <w:t>Тасымалда</w:t>
            </w:r>
            <w:r>
              <w:rPr>
                <w:bCs/>
                <w:color w:val="auto"/>
                <w:sz w:val="24"/>
                <w:szCs w:val="24"/>
                <w:lang w:val="kk-KZ"/>
              </w:rPr>
              <w:t>-</w:t>
            </w:r>
            <w:r>
              <w:rPr>
                <w:bCs/>
                <w:color w:val="auto"/>
                <w:sz w:val="24"/>
                <w:szCs w:val="24"/>
                <w:lang w:val="ru-RU"/>
              </w:rPr>
              <w:t>у</w:t>
            </w:r>
            <w:r>
              <w:rPr>
                <w:bCs/>
                <w:color w:val="auto"/>
                <w:sz w:val="24"/>
                <w:szCs w:val="24"/>
              </w:rPr>
              <w:t>ыштағы адсорбция, мг/г</w:t>
            </w:r>
          </w:p>
        </w:tc>
      </w:tr>
      <w:tr w14:paraId="0768D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dxa"/>
          </w:tcPr>
          <w:p w14:paraId="61655AFD">
            <w:pPr>
              <w:widowControl w:val="0"/>
              <w:spacing w:after="0"/>
              <w:jc w:val="center"/>
              <w:rPr>
                <w:bCs/>
                <w:color w:val="auto"/>
                <w:sz w:val="24"/>
                <w:szCs w:val="24"/>
              </w:rPr>
            </w:pPr>
            <w:r>
              <w:rPr>
                <w:bCs/>
                <w:color w:val="auto"/>
                <w:sz w:val="24"/>
                <w:szCs w:val="24"/>
              </w:rPr>
              <w:t>Цеолит</w:t>
            </w:r>
          </w:p>
        </w:tc>
        <w:tc>
          <w:tcPr>
            <w:tcW w:w="972" w:type="dxa"/>
          </w:tcPr>
          <w:p w14:paraId="47AE2E2D">
            <w:pPr>
              <w:widowControl w:val="0"/>
              <w:spacing w:after="0"/>
              <w:jc w:val="center"/>
              <w:rPr>
                <w:bCs/>
                <w:color w:val="auto"/>
                <w:sz w:val="24"/>
                <w:szCs w:val="24"/>
              </w:rPr>
            </w:pPr>
            <w:r>
              <w:rPr>
                <w:bCs/>
                <w:color w:val="auto"/>
                <w:sz w:val="24"/>
                <w:szCs w:val="24"/>
              </w:rPr>
              <w:t>0,036</w:t>
            </w:r>
          </w:p>
        </w:tc>
        <w:tc>
          <w:tcPr>
            <w:tcW w:w="1083" w:type="dxa"/>
          </w:tcPr>
          <w:p w14:paraId="49A10101">
            <w:pPr>
              <w:widowControl w:val="0"/>
              <w:spacing w:after="0"/>
              <w:jc w:val="center"/>
              <w:rPr>
                <w:bCs/>
                <w:color w:val="auto"/>
                <w:sz w:val="24"/>
                <w:szCs w:val="24"/>
              </w:rPr>
            </w:pPr>
            <w:r>
              <w:rPr>
                <w:bCs/>
                <w:color w:val="auto"/>
                <w:sz w:val="24"/>
                <w:szCs w:val="24"/>
              </w:rPr>
              <w:t>0,014</w:t>
            </w:r>
          </w:p>
        </w:tc>
        <w:tc>
          <w:tcPr>
            <w:tcW w:w="1157" w:type="dxa"/>
          </w:tcPr>
          <w:p w14:paraId="7EBE709C">
            <w:pPr>
              <w:widowControl w:val="0"/>
              <w:spacing w:after="0"/>
              <w:jc w:val="center"/>
              <w:rPr>
                <w:bCs/>
                <w:color w:val="auto"/>
                <w:sz w:val="24"/>
                <w:szCs w:val="24"/>
              </w:rPr>
            </w:pPr>
            <w:r>
              <w:rPr>
                <w:bCs/>
                <w:color w:val="auto"/>
                <w:sz w:val="24"/>
                <w:szCs w:val="24"/>
              </w:rPr>
              <w:t>1,085</w:t>
            </w:r>
          </w:p>
        </w:tc>
        <w:tc>
          <w:tcPr>
            <w:tcW w:w="1087" w:type="dxa"/>
          </w:tcPr>
          <w:p w14:paraId="0E19E2C0">
            <w:pPr>
              <w:widowControl w:val="0"/>
              <w:spacing w:after="0"/>
              <w:jc w:val="center"/>
              <w:rPr>
                <w:bCs/>
                <w:color w:val="auto"/>
                <w:sz w:val="24"/>
                <w:szCs w:val="24"/>
              </w:rPr>
            </w:pPr>
            <w:r>
              <w:rPr>
                <w:bCs/>
                <w:color w:val="auto"/>
                <w:sz w:val="24"/>
                <w:szCs w:val="24"/>
              </w:rPr>
              <w:t>1,035</w:t>
            </w:r>
          </w:p>
        </w:tc>
        <w:tc>
          <w:tcPr>
            <w:tcW w:w="1715" w:type="dxa"/>
          </w:tcPr>
          <w:p w14:paraId="55603E9E">
            <w:pPr>
              <w:widowControl w:val="0"/>
              <w:spacing w:after="0"/>
              <w:jc w:val="center"/>
              <w:rPr>
                <w:bCs/>
                <w:color w:val="auto"/>
                <w:sz w:val="24"/>
                <w:szCs w:val="24"/>
              </w:rPr>
            </w:pPr>
            <w:r>
              <w:rPr>
                <w:bCs/>
                <w:color w:val="auto"/>
                <w:sz w:val="24"/>
                <w:szCs w:val="24"/>
              </w:rPr>
              <w:t>9,5603</w:t>
            </w:r>
          </w:p>
        </w:tc>
        <w:tc>
          <w:tcPr>
            <w:tcW w:w="1788" w:type="dxa"/>
          </w:tcPr>
          <w:p w14:paraId="54F5F3D9">
            <w:pPr>
              <w:widowControl w:val="0"/>
              <w:spacing w:after="0"/>
              <w:jc w:val="center"/>
              <w:rPr>
                <w:bCs/>
                <w:color w:val="auto"/>
                <w:sz w:val="24"/>
                <w:szCs w:val="24"/>
              </w:rPr>
            </w:pPr>
            <w:r>
              <w:rPr>
                <w:bCs/>
                <w:color w:val="auto"/>
                <w:sz w:val="24"/>
                <w:szCs w:val="24"/>
              </w:rPr>
              <w:t>19,6914</w:t>
            </w:r>
          </w:p>
        </w:tc>
      </w:tr>
      <w:tr w14:paraId="6FF35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0" w:type="dxa"/>
          </w:tcPr>
          <w:p w14:paraId="46E803C2">
            <w:pPr>
              <w:widowControl w:val="0"/>
              <w:spacing w:after="0"/>
              <w:jc w:val="center"/>
              <w:rPr>
                <w:bCs/>
                <w:color w:val="auto"/>
                <w:sz w:val="24"/>
                <w:szCs w:val="24"/>
              </w:rPr>
            </w:pPr>
            <w:r>
              <w:rPr>
                <w:bCs/>
                <w:color w:val="auto"/>
                <w:sz w:val="24"/>
                <w:szCs w:val="24"/>
              </w:rPr>
              <w:t>Керамзит</w:t>
            </w:r>
          </w:p>
        </w:tc>
        <w:tc>
          <w:tcPr>
            <w:tcW w:w="972" w:type="dxa"/>
          </w:tcPr>
          <w:p w14:paraId="351BE62D">
            <w:pPr>
              <w:widowControl w:val="0"/>
              <w:spacing w:after="0"/>
              <w:jc w:val="center"/>
              <w:rPr>
                <w:bCs/>
                <w:color w:val="auto"/>
                <w:sz w:val="24"/>
                <w:szCs w:val="24"/>
              </w:rPr>
            </w:pPr>
            <w:r>
              <w:rPr>
                <w:bCs/>
                <w:color w:val="auto"/>
                <w:sz w:val="24"/>
                <w:szCs w:val="24"/>
              </w:rPr>
              <w:t>0,124</w:t>
            </w:r>
          </w:p>
        </w:tc>
        <w:tc>
          <w:tcPr>
            <w:tcW w:w="1083" w:type="dxa"/>
          </w:tcPr>
          <w:p w14:paraId="2DFD7DD0">
            <w:pPr>
              <w:widowControl w:val="0"/>
              <w:spacing w:after="0"/>
              <w:jc w:val="center"/>
              <w:rPr>
                <w:bCs/>
                <w:color w:val="auto"/>
                <w:sz w:val="24"/>
                <w:szCs w:val="24"/>
              </w:rPr>
            </w:pPr>
            <w:r>
              <w:rPr>
                <w:bCs/>
                <w:color w:val="auto"/>
                <w:sz w:val="24"/>
                <w:szCs w:val="24"/>
              </w:rPr>
              <w:t>0,019</w:t>
            </w:r>
          </w:p>
        </w:tc>
        <w:tc>
          <w:tcPr>
            <w:tcW w:w="1157" w:type="dxa"/>
          </w:tcPr>
          <w:p w14:paraId="3AA391E4">
            <w:pPr>
              <w:widowControl w:val="0"/>
              <w:spacing w:after="0"/>
              <w:jc w:val="center"/>
              <w:rPr>
                <w:bCs/>
                <w:color w:val="auto"/>
                <w:sz w:val="24"/>
                <w:szCs w:val="24"/>
              </w:rPr>
            </w:pPr>
            <w:r>
              <w:rPr>
                <w:bCs/>
                <w:color w:val="auto"/>
                <w:sz w:val="24"/>
                <w:szCs w:val="24"/>
              </w:rPr>
              <w:t>1,085</w:t>
            </w:r>
          </w:p>
        </w:tc>
        <w:tc>
          <w:tcPr>
            <w:tcW w:w="1087" w:type="dxa"/>
          </w:tcPr>
          <w:p w14:paraId="729E3356">
            <w:pPr>
              <w:widowControl w:val="0"/>
              <w:spacing w:after="0"/>
              <w:jc w:val="center"/>
              <w:rPr>
                <w:bCs/>
                <w:color w:val="auto"/>
                <w:sz w:val="24"/>
                <w:szCs w:val="24"/>
              </w:rPr>
            </w:pPr>
            <w:r>
              <w:rPr>
                <w:bCs/>
                <w:color w:val="auto"/>
                <w:sz w:val="24"/>
                <w:szCs w:val="24"/>
              </w:rPr>
              <w:t>0,942</w:t>
            </w:r>
          </w:p>
        </w:tc>
        <w:tc>
          <w:tcPr>
            <w:tcW w:w="1715" w:type="dxa"/>
          </w:tcPr>
          <w:p w14:paraId="7872EC31">
            <w:pPr>
              <w:widowControl w:val="0"/>
              <w:spacing w:after="0"/>
              <w:jc w:val="center"/>
              <w:rPr>
                <w:bCs/>
                <w:color w:val="auto"/>
                <w:sz w:val="24"/>
                <w:szCs w:val="24"/>
              </w:rPr>
            </w:pPr>
            <w:r>
              <w:rPr>
                <w:bCs/>
                <w:color w:val="auto"/>
                <w:sz w:val="24"/>
                <w:szCs w:val="24"/>
              </w:rPr>
              <w:t>8,961</w:t>
            </w:r>
          </w:p>
        </w:tc>
        <w:tc>
          <w:tcPr>
            <w:tcW w:w="1788" w:type="dxa"/>
          </w:tcPr>
          <w:p w14:paraId="5C02E72F">
            <w:pPr>
              <w:widowControl w:val="0"/>
              <w:spacing w:after="0"/>
              <w:jc w:val="center"/>
              <w:rPr>
                <w:bCs/>
                <w:color w:val="auto"/>
                <w:sz w:val="24"/>
                <w:szCs w:val="24"/>
              </w:rPr>
            </w:pPr>
            <w:r>
              <w:rPr>
                <w:bCs/>
                <w:color w:val="auto"/>
                <w:sz w:val="24"/>
                <w:szCs w:val="24"/>
              </w:rPr>
              <w:t>17,922</w:t>
            </w:r>
          </w:p>
        </w:tc>
      </w:tr>
    </w:tbl>
    <w:p w14:paraId="7FA494B6">
      <w:pPr>
        <w:pStyle w:val="310"/>
        <w:spacing w:before="0"/>
        <w:ind w:firstLine="709"/>
        <w:rPr>
          <w:b w:val="0"/>
          <w:bCs/>
          <w:color w:val="auto"/>
          <w:highlight w:val="yellow"/>
          <w:lang w:val="kk-KZ"/>
        </w:rPr>
      </w:pPr>
    </w:p>
    <w:p w14:paraId="5068CE76">
      <w:pPr>
        <w:pStyle w:val="310"/>
        <w:spacing w:before="0"/>
        <w:ind w:firstLine="709"/>
        <w:rPr>
          <w:b w:val="0"/>
          <w:bCs/>
          <w:color w:val="auto"/>
          <w:lang w:val="kk-KZ"/>
        </w:rPr>
      </w:pPr>
      <w:r>
        <w:rPr>
          <w:b w:val="0"/>
          <w:bCs/>
          <w:color w:val="auto"/>
          <w:lang w:val="kk-KZ"/>
        </w:rPr>
        <w:t>Цеолит өзінің жоғары сорбциялық қабілетімен ерекшелініп 19</w:t>
      </w:r>
      <w:r>
        <w:rPr>
          <w:rFonts w:hint="default"/>
          <w:b w:val="0"/>
          <w:bCs/>
          <w:color w:val="auto"/>
          <w:lang w:val="ru-RU"/>
        </w:rPr>
        <w:t>,</w:t>
      </w:r>
      <w:r>
        <w:rPr>
          <w:b w:val="0"/>
          <w:bCs/>
          <w:color w:val="auto"/>
          <w:lang w:val="kk-KZ"/>
        </w:rPr>
        <w:t>69 мг/г мәніне жетті, ал керамзит 17</w:t>
      </w:r>
      <w:r>
        <w:rPr>
          <w:rFonts w:hint="default"/>
          <w:b w:val="0"/>
          <w:bCs/>
          <w:color w:val="auto"/>
          <w:lang w:val="ru-RU"/>
        </w:rPr>
        <w:t>,</w:t>
      </w:r>
      <w:r>
        <w:rPr>
          <w:b w:val="0"/>
          <w:bCs/>
          <w:color w:val="auto"/>
          <w:lang w:val="kk-KZ"/>
        </w:rPr>
        <w:t>92 мг/г көрсетті [1</w:t>
      </w:r>
      <w:r>
        <w:rPr>
          <w:rFonts w:hint="default"/>
          <w:b w:val="0"/>
          <w:bCs/>
          <w:color w:val="auto"/>
          <w:lang w:val="ru-RU"/>
        </w:rPr>
        <w:t>56</w:t>
      </w:r>
      <w:r>
        <w:rPr>
          <w:b w:val="0"/>
          <w:bCs/>
          <w:color w:val="auto"/>
          <w:lang w:val="kk-KZ"/>
        </w:rPr>
        <w:t xml:space="preserve">]. Цеолит ең жоғары адсорбциялық сыйымдылығы оның дамыған кеуекті құрылымы мен жоғары меншікті бет алаңының (400-600 м²/г) арқасында түсіндіріледі. Клиноптилолит түріндегі цеолиттердің мұнай өнімдерін сіңіру қабілетін олардың каналды-кеуекті құрылымымен және гидрофобты-гидрофильді қасиеттерінің теңгерімімен түсіндіруге болады </w:t>
      </w:r>
      <w:r>
        <w:rPr>
          <w:rStyle w:val="19"/>
          <w:b w:val="0"/>
          <w:color w:val="auto"/>
          <w:lang w:val="kk-KZ"/>
        </w:rPr>
        <w:t>[1</w:t>
      </w:r>
      <w:r>
        <w:rPr>
          <w:rStyle w:val="19"/>
          <w:rFonts w:hint="default"/>
          <w:b w:val="0"/>
          <w:color w:val="auto"/>
          <w:lang w:val="ru-RU"/>
        </w:rPr>
        <w:t>54</w:t>
      </w:r>
      <w:r>
        <w:rPr>
          <w:rStyle w:val="19"/>
          <w:b w:val="0"/>
          <w:color w:val="auto"/>
          <w:lang w:val="kk-KZ"/>
        </w:rPr>
        <w:t>]</w:t>
      </w:r>
      <w:r>
        <w:rPr>
          <w:b w:val="0"/>
          <w:bCs/>
          <w:color w:val="auto"/>
          <w:lang w:val="kk-KZ"/>
        </w:rPr>
        <w:t>.</w:t>
      </w:r>
    </w:p>
    <w:p w14:paraId="17D209BD">
      <w:pPr>
        <w:pStyle w:val="35"/>
        <w:tabs>
          <w:tab w:val="left" w:pos="0"/>
        </w:tabs>
        <w:spacing w:beforeAutospacing="0" w:afterAutospacing="0"/>
        <w:ind w:firstLine="709"/>
        <w:jc w:val="both"/>
        <w:rPr>
          <w:color w:val="auto"/>
          <w:sz w:val="28"/>
          <w:szCs w:val="28"/>
          <w:lang w:val="kk-KZ"/>
        </w:rPr>
      </w:pPr>
      <w:r>
        <w:rPr>
          <w:color w:val="auto"/>
          <w:sz w:val="28"/>
          <w:szCs w:val="28"/>
          <w:lang w:val="kk-KZ"/>
        </w:rPr>
        <w:t>Керамзит, алайда, біршама төмен сорбциялық сыйымдылықты көрсетті (17,92 мг/г), бірақ бұл мән де биоремедиация қолдануы үшін жеткілікті жоғары болып табылады. Керамзиттің негізгі артықшылығы оның механикалық беріктігі және қайта пайдалану мүмкіндігі. Минералдық тасымалдаушылардың салыстырмалы сипаттамалары көрсеткендей:</w:t>
      </w:r>
    </w:p>
    <w:p w14:paraId="4249E462">
      <w:pPr>
        <w:tabs>
          <w:tab w:val="left" w:pos="0"/>
        </w:tabs>
        <w:spacing w:after="0"/>
        <w:ind w:firstLine="709"/>
        <w:rPr>
          <w:b w:val="0"/>
          <w:bCs w:val="0"/>
          <w:color w:val="auto"/>
          <w:szCs w:val="28"/>
          <w:lang w:val="kk-KZ"/>
        </w:rPr>
      </w:pPr>
      <w:r>
        <w:rPr>
          <w:color w:val="auto"/>
          <w:szCs w:val="28"/>
          <w:lang w:val="kk-KZ"/>
        </w:rPr>
        <w:t xml:space="preserve">- </w:t>
      </w:r>
      <w:r>
        <w:rPr>
          <w:b w:val="0"/>
          <w:bCs w:val="0"/>
          <w:color w:val="auto"/>
          <w:szCs w:val="28"/>
          <w:lang w:val="kk-KZ"/>
        </w:rPr>
        <w:t>Цеолит: селективті адсорбция, катион алмасу, қайта активациялау мүмкіндігі</w:t>
      </w:r>
    </w:p>
    <w:p w14:paraId="20B00E5F">
      <w:pPr>
        <w:tabs>
          <w:tab w:val="left" w:pos="0"/>
        </w:tabs>
        <w:spacing w:after="0"/>
        <w:ind w:firstLine="709"/>
        <w:rPr>
          <w:color w:val="auto"/>
          <w:szCs w:val="28"/>
          <w:lang w:val="kk-KZ"/>
        </w:rPr>
      </w:pPr>
      <w:r>
        <w:rPr>
          <w:b w:val="0"/>
          <w:bCs w:val="0"/>
          <w:color w:val="auto"/>
          <w:szCs w:val="28"/>
          <w:lang w:val="kk-KZ"/>
        </w:rPr>
        <w:t>- Керамзит:</w:t>
      </w:r>
      <w:r>
        <w:rPr>
          <w:color w:val="auto"/>
          <w:szCs w:val="28"/>
          <w:lang w:val="kk-KZ"/>
        </w:rPr>
        <w:t xml:space="preserve"> жоғары механикалық беріктік, химиялық инерттілік, төмен шығындар</w:t>
      </w:r>
    </w:p>
    <w:p w14:paraId="452C2A87">
      <w:pPr>
        <w:pStyle w:val="306"/>
        <w:spacing w:after="0"/>
        <w:ind w:left="0" w:firstLine="709"/>
        <w:rPr>
          <w:color w:val="auto"/>
          <w:szCs w:val="28"/>
          <w:lang w:val="kk-KZ"/>
        </w:rPr>
      </w:pPr>
      <w:r>
        <w:rPr>
          <w:color w:val="auto"/>
          <w:szCs w:val="28"/>
          <w:lang w:val="kk-KZ"/>
        </w:rPr>
        <w:t>Органикалық тасымалдаушылардың сорбциялық қабілеті минералдық тасымалдаушылармен салыстырғанда өзгеше механизммен жүреді. Лигноцеллюлоздық материалдар мұнайды негізінен капиллярлық әсер және гидрофобты өзара әрекеттесу арқылы сорбциялайды.</w:t>
      </w:r>
    </w:p>
    <w:p w14:paraId="3CDF1D2E">
      <w:pPr>
        <w:pStyle w:val="306"/>
        <w:spacing w:after="0"/>
        <w:ind w:left="0" w:firstLine="709"/>
        <w:rPr>
          <w:color w:val="auto"/>
          <w:szCs w:val="28"/>
          <w:lang w:val="kk-KZ"/>
        </w:rPr>
      </w:pPr>
      <w:r>
        <w:rPr>
          <w:color w:val="auto"/>
          <w:szCs w:val="28"/>
          <w:lang w:val="kk-KZ"/>
        </w:rPr>
        <w:t>Қарақұмық қауызының төмен лигнин құрамы (8-15%) және жоғары целлюлоза-гемицеллюлоза фракциясы жақсы гидрофильді қасиеттерді қамтамасыз етеді, бұл мұнай-су эмульсиялармен тиімді жұмыс істейді. Ал күріш қауызының жоғары лигнин құрамы (19-47%) және кремний қабаты гидрофобты қасиеттерді беру арқылы таза мұнайдың сорбциялауға мүмкіндік береді.</w:t>
      </w:r>
    </w:p>
    <w:p w14:paraId="1545DA8A">
      <w:pPr>
        <w:pStyle w:val="306"/>
        <w:spacing w:after="0"/>
        <w:ind w:left="0" w:leftChars="0" w:firstLine="560" w:firstLineChars="0"/>
        <w:rPr>
          <w:color w:val="auto"/>
          <w:szCs w:val="28"/>
          <w:lang w:val="kk-KZ"/>
        </w:rPr>
      </w:pPr>
      <w:r>
        <w:rPr>
          <w:color w:val="auto"/>
          <w:szCs w:val="28"/>
          <w:highlight w:val="none"/>
          <w:lang w:val="kk-KZ"/>
        </w:rPr>
        <w:t xml:space="preserve">Органикалық тасымалдаушылардың басты артықшылығы - олардың </w:t>
      </w:r>
      <w:r>
        <w:rPr>
          <w:color w:val="auto"/>
          <w:szCs w:val="28"/>
          <w:lang w:val="kk-KZ"/>
        </w:rPr>
        <w:t>биодеградациялануы және топырақ құрылымын жақсартуы болып табылады. Минералдық тасымалдауыштар, керісінше, химиялық тұрақтылығымен және қайта пайдалану мүмкіндігімен ерекшеленеді.</w:t>
      </w:r>
    </w:p>
    <w:p w14:paraId="5A8BD8D0">
      <w:pPr>
        <w:pStyle w:val="306"/>
        <w:spacing w:after="0"/>
        <w:ind w:left="0" w:firstLine="709"/>
        <w:rPr>
          <w:color w:val="auto"/>
          <w:szCs w:val="28"/>
          <w:lang w:val="kk-KZ"/>
        </w:rPr>
      </w:pPr>
      <w:r>
        <w:rPr>
          <w:color w:val="auto"/>
          <w:szCs w:val="28"/>
          <w:lang w:val="kk-KZ"/>
        </w:rPr>
        <w:t xml:space="preserve">Тасымалдаушының сорбциялық қабілеті биоремедиация процесінде екі маңызды рөл атқарады. Біріншіден, мұнайдың жылдам сорбциясы мұнай ластағыштарының таралуын тежеп, микроорганизмдерге концентрацияланған субстрат береді. Екінші жағынан, тым жоғары сорбция мұнайды микробтық қолжетімділіктен алыстатып, деградация жылдамдығын баяулатуы мүмкін </w:t>
      </w:r>
      <w:r>
        <w:rPr>
          <w:rStyle w:val="19"/>
          <w:b w:val="0"/>
          <w:bCs w:val="0"/>
          <w:color w:val="auto"/>
          <w:szCs w:val="28"/>
          <w:lang w:val="kk-KZ"/>
        </w:rPr>
        <w:t>[</w:t>
      </w:r>
      <w:r>
        <w:rPr>
          <w:rStyle w:val="19"/>
          <w:rFonts w:hint="default"/>
          <w:b w:val="0"/>
          <w:bCs w:val="0"/>
          <w:color w:val="auto"/>
          <w:szCs w:val="28"/>
          <w:lang w:val="ru-RU"/>
        </w:rPr>
        <w:t>158</w:t>
      </w:r>
      <w:r>
        <w:rPr>
          <w:rStyle w:val="19"/>
          <w:b w:val="0"/>
          <w:bCs w:val="0"/>
          <w:color w:val="auto"/>
          <w:szCs w:val="28"/>
          <w:lang w:val="kk-KZ"/>
        </w:rPr>
        <w:t>]</w:t>
      </w:r>
      <w:r>
        <w:rPr>
          <w:color w:val="auto"/>
          <w:szCs w:val="28"/>
          <w:lang w:val="kk-KZ"/>
        </w:rPr>
        <w:t>.</w:t>
      </w:r>
    </w:p>
    <w:p w14:paraId="5E04CD95">
      <w:pPr>
        <w:pStyle w:val="306"/>
        <w:spacing w:after="0"/>
        <w:ind w:left="0" w:firstLine="709"/>
        <w:rPr>
          <w:color w:val="auto"/>
          <w:szCs w:val="28"/>
          <w:lang w:val="kk-KZ"/>
        </w:rPr>
      </w:pPr>
      <w:r>
        <w:rPr>
          <w:color w:val="auto"/>
          <w:szCs w:val="28"/>
          <w:lang w:val="kk-KZ"/>
        </w:rPr>
        <w:t>Цеолиттің жоғары сорбциялық қабілеті (19</w:t>
      </w:r>
      <w:r>
        <w:rPr>
          <w:rFonts w:hint="default"/>
          <w:color w:val="auto"/>
          <w:szCs w:val="28"/>
          <w:lang w:val="ru-RU"/>
        </w:rPr>
        <w:t>,</w:t>
      </w:r>
      <w:r>
        <w:rPr>
          <w:color w:val="auto"/>
          <w:szCs w:val="28"/>
          <w:lang w:val="kk-KZ"/>
        </w:rPr>
        <w:t>69 мг/г) мұнайдың бастапқы жылдам сорбциясын қамтамасыз етіп, авариялық жағдайларды жою кезінде маңызды рөл атқарады. Дегенмен, биоремедиация процесінде  тасымалдаушының оңтайлы сорбциялық қабілеті мен биожетімділік арасындағы тепе-теңдікті сақтау қажет.</w:t>
      </w:r>
    </w:p>
    <w:p w14:paraId="21D3198E">
      <w:pPr>
        <w:pStyle w:val="306"/>
        <w:spacing w:after="0"/>
        <w:ind w:left="0" w:firstLine="709"/>
        <w:rPr>
          <w:color w:val="auto"/>
          <w:szCs w:val="28"/>
          <w:lang w:val="kk-KZ"/>
        </w:rPr>
      </w:pPr>
      <w:r>
        <w:rPr>
          <w:color w:val="auto"/>
          <w:szCs w:val="28"/>
          <w:lang w:val="kk-KZ"/>
        </w:rPr>
        <w:t>Эксперименттік деректерге сәйкес, цеолитке иммобилизацияланған микроорганизмдер 30 күн ішінде 42% деградацияға қол жеткізсе, ал керамзитте бұл көрсеткіш 23% жетті [1</w:t>
      </w:r>
      <w:r>
        <w:rPr>
          <w:rFonts w:hint="default"/>
          <w:color w:val="auto"/>
          <w:szCs w:val="28"/>
          <w:lang w:val="ru-RU"/>
        </w:rPr>
        <w:t>56</w:t>
      </w:r>
      <w:r>
        <w:rPr>
          <w:color w:val="auto"/>
          <w:szCs w:val="28"/>
          <w:lang w:val="kk-KZ"/>
        </w:rPr>
        <w:t>]. Бұл цеолиттің жоғары сорбциялық қабілеті микробтық белсенділікті төмедетпейтінін көрсетеді.</w:t>
      </w:r>
    </w:p>
    <w:p w14:paraId="6DC7B341">
      <w:pPr>
        <w:pStyle w:val="306"/>
        <w:spacing w:after="0"/>
        <w:ind w:left="0" w:firstLine="709"/>
        <w:rPr>
          <w:rFonts w:hint="default"/>
          <w:b w:val="0"/>
          <w:bCs/>
          <w:color w:val="auto"/>
          <w:highlight w:val="none"/>
          <w:lang w:val="ru-RU"/>
        </w:rPr>
      </w:pPr>
      <w:r>
        <w:rPr>
          <w:color w:val="auto"/>
          <w:szCs w:val="28"/>
          <w:lang w:val="kk-KZ"/>
        </w:rPr>
        <w:t>Минералдық және органикалық тасымалдаушылардың сорбциялық қасиеттерін салыстыру олардың әртүрлі функционалдық мақсаттарына сәйкес келетінін айқындайды. Цеолит пен керамзит жоғары клетка адсорбциясын (19</w:t>
      </w:r>
      <w:r>
        <w:rPr>
          <w:rFonts w:hint="default"/>
          <w:color w:val="auto"/>
          <w:szCs w:val="28"/>
          <w:lang w:val="ru-RU"/>
        </w:rPr>
        <w:t>,</w:t>
      </w:r>
      <w:r>
        <w:rPr>
          <w:color w:val="auto"/>
          <w:szCs w:val="28"/>
          <w:lang w:val="kk-KZ"/>
        </w:rPr>
        <w:t>69 және 17</w:t>
      </w:r>
      <w:r>
        <w:rPr>
          <w:rFonts w:hint="default"/>
          <w:color w:val="auto"/>
          <w:szCs w:val="28"/>
          <w:lang w:val="ru-RU"/>
        </w:rPr>
        <w:t>,</w:t>
      </w:r>
      <w:r>
        <w:rPr>
          <w:color w:val="auto"/>
          <w:szCs w:val="28"/>
          <w:lang w:val="kk-KZ"/>
        </w:rPr>
        <w:t>92 мг/г) көрсете отырып, негізінен микроорганизмдерді иммобилизациялауға және топырақтың физикалық құрылымын сақтауға ықпал етеді [1</w:t>
      </w:r>
      <w:r>
        <w:rPr>
          <w:rFonts w:hint="default"/>
          <w:color w:val="auto"/>
          <w:szCs w:val="28"/>
          <w:lang w:val="ru-RU"/>
        </w:rPr>
        <w:t>56</w:t>
      </w:r>
      <w:r>
        <w:rPr>
          <w:color w:val="auto"/>
          <w:szCs w:val="28"/>
          <w:lang w:val="kk-KZ"/>
        </w:rPr>
        <w:t xml:space="preserve">]. </w:t>
      </w:r>
      <w:r>
        <w:rPr>
          <w:bCs/>
          <w:color w:val="auto"/>
          <w:lang w:val="kk-KZ"/>
        </w:rPr>
        <w:t>Ауыл шаруашылығы қалдықтарының мұнай адсорбциясы минералдық тасымалдағыштармен бірдей әдістемемен бағаланды.</w:t>
      </w:r>
      <w:r>
        <w:rPr>
          <w:rFonts w:hint="default"/>
          <w:bCs/>
          <w:color w:val="auto"/>
          <w:lang w:val="ru-RU"/>
        </w:rPr>
        <w:t xml:space="preserve"> </w:t>
      </w:r>
      <w:r>
        <w:rPr>
          <w:bCs/>
          <w:color w:val="auto"/>
          <w:lang w:val="kk-KZ"/>
        </w:rPr>
        <w:t>Алайда, органикалық тасымалдаушылардың сорбциялық механизмі минералдық тасымалдағыштардан түбегейлі өзгеше. Лигноцеллюлозалық материалдар физикалық адсорбцияға емес,  жасушалық адгезия және биофильм қалыптастыру үшін қолайлы орта ретінде әрекет етеді [</w:t>
      </w:r>
      <w:r>
        <w:rPr>
          <w:rFonts w:hint="default"/>
          <w:bCs/>
          <w:color w:val="auto"/>
          <w:lang w:val="ru-RU"/>
        </w:rPr>
        <w:t>157</w:t>
      </w:r>
      <w:r>
        <w:rPr>
          <w:bCs/>
          <w:color w:val="auto"/>
          <w:lang w:val="kk-KZ"/>
        </w:rPr>
        <w:t>]. Әдебиеттер деректері бойынша [</w:t>
      </w:r>
      <w:r>
        <w:rPr>
          <w:rFonts w:hint="default"/>
          <w:bCs/>
          <w:color w:val="auto"/>
          <w:lang w:val="ru-RU"/>
        </w:rPr>
        <w:t>82-84</w:t>
      </w:r>
      <w:r>
        <w:rPr>
          <w:bCs/>
          <w:color w:val="auto"/>
          <w:lang w:val="kk-KZ"/>
        </w:rPr>
        <w:t>], лигноцеллюлозалық тасымалдаушылардың (күріш сабаны, бидай сабаны, жүгері сабаны) мұнай сорбциялық сыйымдылығы әдетте 5</w:t>
      </w:r>
      <w:r>
        <w:rPr>
          <w:rFonts w:hint="default"/>
          <w:bCs/>
          <w:color w:val="auto"/>
          <w:lang w:val="ru-RU"/>
        </w:rPr>
        <w:t>,0</w:t>
      </w:r>
      <w:r>
        <w:rPr>
          <w:bCs/>
          <w:color w:val="auto"/>
          <w:lang w:val="kk-KZ"/>
        </w:rPr>
        <w:t>-12</w:t>
      </w:r>
      <w:r>
        <w:rPr>
          <w:rFonts w:hint="default"/>
          <w:bCs/>
          <w:color w:val="auto"/>
          <w:lang w:val="ru-RU"/>
        </w:rPr>
        <w:t>,0</w:t>
      </w:r>
      <w:r>
        <w:rPr>
          <w:bCs/>
          <w:color w:val="auto"/>
          <w:lang w:val="kk-KZ"/>
        </w:rPr>
        <w:t xml:space="preserve"> г/г диапазонында болады. Бұл олардың гидрофобты лигнин фракциясымен және кеуекті целлюлозалық матрицамен байланысқан құрылымдарынан туындайды. Мұндай құрылым мұнай тамшыларының капиллярлық тұтынуын қамтамасыз етеді.</w:t>
      </w:r>
      <w:r>
        <w:rPr>
          <w:rFonts w:hint="default"/>
          <w:bCs/>
          <w:color w:val="auto"/>
          <w:lang w:val="ru-RU"/>
        </w:rPr>
        <w:t xml:space="preserve"> </w:t>
      </w:r>
      <w:r>
        <w:rPr>
          <w:rFonts w:hint="default"/>
          <w:bCs/>
          <w:color w:val="auto"/>
          <w:lang w:val="ru-RU"/>
        </w:rPr>
        <w:tab/>
      </w:r>
      <w:r>
        <w:rPr>
          <w:b w:val="0"/>
          <w:bCs/>
          <w:color w:val="auto"/>
          <w:highlight w:val="none"/>
          <w:lang w:val="kk-KZ"/>
        </w:rPr>
        <w:t>Органикалық тасымалдаушылардың биоремедациядағы тиімділігі тек жоғары сорбциялық сыйымдылығымен емес, синергетикалық әсерлермен де анықталады [142]</w:t>
      </w:r>
      <w:r>
        <w:rPr>
          <w:rFonts w:hint="default"/>
          <w:b w:val="0"/>
          <w:bCs/>
          <w:color w:val="auto"/>
          <w:highlight w:val="none"/>
          <w:lang w:val="ru-RU"/>
        </w:rPr>
        <w:t>.</w:t>
      </w:r>
    </w:p>
    <w:p w14:paraId="5B0B30F8">
      <w:pPr>
        <w:pStyle w:val="306"/>
        <w:spacing w:after="0"/>
        <w:ind w:left="0" w:firstLine="709"/>
        <w:rPr>
          <w:rStyle w:val="19"/>
          <w:b w:val="0"/>
          <w:bCs w:val="0"/>
          <w:color w:val="auto"/>
          <w:highlight w:val="none"/>
          <w:lang w:val="kk-KZ"/>
        </w:rPr>
      </w:pPr>
      <w:r>
        <w:rPr>
          <w:b w:val="0"/>
          <w:bCs/>
          <w:color w:val="auto"/>
          <w:highlight w:val="none"/>
          <w:lang w:val="kk-KZ"/>
        </w:rPr>
        <w:t>Бастапқы мұнай адсорбциясы - физикалық процесс (целлюлоза-лигнин матрица)</w:t>
      </w:r>
      <w:r>
        <w:rPr>
          <w:rStyle w:val="19"/>
          <w:b w:val="0"/>
          <w:bCs w:val="0"/>
          <w:color w:val="auto"/>
          <w:highlight w:val="none"/>
          <w:lang w:val="kk-KZ"/>
        </w:rPr>
        <w:t>[102];</w:t>
      </w:r>
    </w:p>
    <w:p w14:paraId="36D13AD7">
      <w:pPr>
        <w:pStyle w:val="306"/>
        <w:spacing w:after="0"/>
        <w:ind w:left="0" w:firstLine="709"/>
        <w:rPr>
          <w:rStyle w:val="19"/>
          <w:b w:val="0"/>
          <w:bCs w:val="0"/>
          <w:color w:val="auto"/>
          <w:highlight w:val="none"/>
          <w:lang w:val="kk-KZ"/>
        </w:rPr>
      </w:pPr>
      <w:r>
        <w:rPr>
          <w:b w:val="0"/>
          <w:bCs/>
          <w:color w:val="auto"/>
          <w:highlight w:val="none"/>
          <w:lang w:val="kk-KZ"/>
        </w:rPr>
        <w:t>Микробтық адгезия - жасушалардың бетке бекінуі (биологиялық процесс)</w:t>
      </w:r>
      <w:r>
        <w:rPr>
          <w:rStyle w:val="19"/>
          <w:b w:val="0"/>
          <w:bCs w:val="0"/>
          <w:color w:val="auto"/>
          <w:highlight w:val="none"/>
          <w:lang w:val="kk-KZ"/>
        </w:rPr>
        <w:t>[80,100];</w:t>
      </w:r>
    </w:p>
    <w:p w14:paraId="3FFE1833">
      <w:pPr>
        <w:pStyle w:val="306"/>
        <w:spacing w:after="0"/>
        <w:ind w:left="0" w:firstLine="709"/>
        <w:rPr>
          <w:rStyle w:val="19"/>
          <w:b w:val="0"/>
          <w:bCs w:val="0"/>
          <w:color w:val="auto"/>
          <w:highlight w:val="none"/>
          <w:lang w:val="kk-KZ"/>
        </w:rPr>
      </w:pPr>
      <w:r>
        <w:rPr>
          <w:b w:val="0"/>
          <w:bCs/>
          <w:color w:val="auto"/>
          <w:highlight w:val="none"/>
          <w:lang w:val="kk-KZ"/>
        </w:rPr>
        <w:t>Қоректік қолдау - белок (</w:t>
      </w:r>
      <w:r>
        <w:rPr>
          <w:b w:val="0"/>
          <w:bCs/>
          <w:color w:val="auto"/>
          <w:highlight w:val="none"/>
          <w:lang w:val="ru-RU"/>
        </w:rPr>
        <w:t>3,</w:t>
      </w:r>
      <w:r>
        <w:rPr>
          <w:b w:val="0"/>
          <w:bCs/>
          <w:color w:val="auto"/>
          <w:highlight w:val="none"/>
          <w:lang w:val="kk-KZ"/>
        </w:rPr>
        <w:t>3-</w:t>
      </w:r>
      <w:r>
        <w:rPr>
          <w:b w:val="0"/>
          <w:bCs/>
          <w:color w:val="auto"/>
          <w:highlight w:val="none"/>
          <w:lang w:val="ru-RU"/>
        </w:rPr>
        <w:t>7,</w:t>
      </w:r>
      <w:r>
        <w:rPr>
          <w:b w:val="0"/>
          <w:bCs/>
          <w:color w:val="auto"/>
          <w:highlight w:val="none"/>
          <w:lang w:val="kk-KZ"/>
        </w:rPr>
        <w:t xml:space="preserve">0%), микроэлементтер </w:t>
      </w:r>
      <w:r>
        <w:rPr>
          <w:rStyle w:val="19"/>
          <w:b w:val="0"/>
          <w:bCs w:val="0"/>
          <w:color w:val="auto"/>
          <w:highlight w:val="none"/>
          <w:lang w:val="kk-KZ"/>
        </w:rPr>
        <w:t>[</w:t>
      </w:r>
      <w:r>
        <w:rPr>
          <w:rStyle w:val="19"/>
          <w:rFonts w:hint="default"/>
          <w:b w:val="0"/>
          <w:bCs w:val="0"/>
          <w:color w:val="auto"/>
          <w:highlight w:val="none"/>
          <w:lang w:val="ru-RU"/>
        </w:rPr>
        <w:t>159</w:t>
      </w:r>
      <w:r>
        <w:rPr>
          <w:rStyle w:val="19"/>
          <w:b w:val="0"/>
          <w:bCs w:val="0"/>
          <w:color w:val="auto"/>
          <w:highlight w:val="none"/>
          <w:lang w:val="kk-KZ"/>
        </w:rPr>
        <w:t>];</w:t>
      </w:r>
    </w:p>
    <w:p w14:paraId="6808183A">
      <w:pPr>
        <w:pStyle w:val="306"/>
        <w:spacing w:after="0"/>
        <w:ind w:left="0" w:firstLine="709"/>
        <w:rPr>
          <w:rStyle w:val="19"/>
          <w:b w:val="0"/>
          <w:bCs w:val="0"/>
          <w:color w:val="auto"/>
          <w:highlight w:val="none"/>
          <w:lang w:val="kk-KZ"/>
        </w:rPr>
      </w:pPr>
      <w:r>
        <w:rPr>
          <w:b w:val="0"/>
          <w:bCs/>
          <w:color w:val="auto"/>
          <w:highlight w:val="none"/>
          <w:lang w:val="kk-KZ"/>
        </w:rPr>
        <w:t>Антиоксиданттық қорғау - рутин (2</w:t>
      </w:r>
      <w:r>
        <w:rPr>
          <w:b w:val="0"/>
          <w:bCs/>
          <w:color w:val="auto"/>
          <w:highlight w:val="none"/>
          <w:lang w:val="ru-RU"/>
        </w:rPr>
        <w:t>8,</w:t>
      </w:r>
      <w:r>
        <w:rPr>
          <w:b w:val="0"/>
          <w:bCs/>
          <w:color w:val="auto"/>
          <w:highlight w:val="none"/>
          <w:lang w:val="kk-KZ"/>
        </w:rPr>
        <w:t xml:space="preserve">8 мг/100г), витамин Е </w:t>
      </w:r>
      <w:r>
        <w:rPr>
          <w:rStyle w:val="19"/>
          <w:b w:val="0"/>
          <w:bCs w:val="0"/>
          <w:color w:val="auto"/>
          <w:highlight w:val="none"/>
          <w:lang w:val="kk-KZ"/>
        </w:rPr>
        <w:t>[1</w:t>
      </w:r>
      <w:r>
        <w:rPr>
          <w:rStyle w:val="19"/>
          <w:rFonts w:hint="default"/>
          <w:b w:val="0"/>
          <w:bCs w:val="0"/>
          <w:color w:val="auto"/>
          <w:highlight w:val="none"/>
          <w:lang w:val="kk-KZ"/>
        </w:rPr>
        <w:t>6</w:t>
      </w:r>
      <w:r>
        <w:rPr>
          <w:rStyle w:val="19"/>
          <w:rFonts w:hint="default"/>
          <w:b w:val="0"/>
          <w:bCs w:val="0"/>
          <w:color w:val="auto"/>
          <w:highlight w:val="none"/>
          <w:lang w:val="ru-RU"/>
        </w:rPr>
        <w:t>0</w:t>
      </w:r>
      <w:r>
        <w:rPr>
          <w:rStyle w:val="19"/>
          <w:b w:val="0"/>
          <w:bCs w:val="0"/>
          <w:color w:val="auto"/>
          <w:highlight w:val="none"/>
          <w:lang w:val="kk-KZ"/>
        </w:rPr>
        <w:t>];</w:t>
      </w:r>
    </w:p>
    <w:p w14:paraId="77B8B239">
      <w:pPr>
        <w:pStyle w:val="306"/>
        <w:spacing w:after="0"/>
        <w:ind w:left="0" w:firstLine="709"/>
        <w:rPr>
          <w:rStyle w:val="19"/>
          <w:b w:val="0"/>
          <w:bCs w:val="0"/>
          <w:color w:val="auto"/>
          <w:highlight w:val="none"/>
          <w:lang w:val="kk-KZ"/>
        </w:rPr>
      </w:pPr>
      <w:r>
        <w:rPr>
          <w:b w:val="0"/>
          <w:bCs/>
          <w:color w:val="auto"/>
          <w:highlight w:val="none"/>
          <w:lang w:val="kk-KZ"/>
        </w:rPr>
        <w:t xml:space="preserve">Ылғал сақтау - гидрофильді целлюлоза (55%салыстырмалы 38% бақылауда) </w:t>
      </w:r>
      <w:r>
        <w:rPr>
          <w:rStyle w:val="19"/>
          <w:b w:val="0"/>
          <w:bCs w:val="0"/>
          <w:color w:val="auto"/>
          <w:highlight w:val="none"/>
          <w:lang w:val="kk-KZ"/>
        </w:rPr>
        <w:t>[</w:t>
      </w:r>
      <w:r>
        <w:rPr>
          <w:rStyle w:val="19"/>
          <w:rFonts w:hint="default"/>
          <w:b w:val="0"/>
          <w:bCs w:val="0"/>
          <w:color w:val="auto"/>
          <w:highlight w:val="none"/>
          <w:lang w:val="en-US"/>
        </w:rPr>
        <w:t>46</w:t>
      </w:r>
      <w:r>
        <w:rPr>
          <w:rStyle w:val="19"/>
          <w:b w:val="0"/>
          <w:bCs w:val="0"/>
          <w:color w:val="auto"/>
          <w:highlight w:val="none"/>
          <w:lang w:val="kk-KZ"/>
        </w:rPr>
        <w:t>];</w:t>
      </w:r>
    </w:p>
    <w:p w14:paraId="0E414DB8">
      <w:pPr>
        <w:pStyle w:val="306"/>
        <w:spacing w:after="0"/>
        <w:ind w:left="0" w:firstLine="709"/>
        <w:rPr>
          <w:rStyle w:val="19"/>
          <w:b w:val="0"/>
          <w:bCs w:val="0"/>
          <w:color w:val="auto"/>
          <w:highlight w:val="none"/>
          <w:lang w:val="kk-KZ"/>
        </w:rPr>
      </w:pPr>
      <w:r>
        <w:rPr>
          <w:b w:val="0"/>
          <w:bCs/>
          <w:color w:val="auto"/>
          <w:highlight w:val="none"/>
          <w:lang w:val="kk-KZ"/>
        </w:rPr>
        <w:t>рН буферлеу - органикалық қышқылдардың генерациясы</w:t>
      </w:r>
      <w:r>
        <w:rPr>
          <w:rFonts w:hint="default"/>
          <w:b w:val="0"/>
          <w:bCs/>
          <w:color w:val="auto"/>
          <w:highlight w:val="none"/>
          <w:lang w:val="en-US"/>
        </w:rPr>
        <w:t xml:space="preserve"> </w:t>
      </w:r>
      <w:r>
        <w:rPr>
          <w:rStyle w:val="19"/>
          <w:b w:val="0"/>
          <w:bCs w:val="0"/>
          <w:color w:val="auto"/>
          <w:highlight w:val="none"/>
          <w:lang w:val="kk-KZ"/>
        </w:rPr>
        <w:t>[</w:t>
      </w:r>
      <w:r>
        <w:rPr>
          <w:rStyle w:val="19"/>
          <w:rFonts w:hint="default"/>
          <w:b w:val="0"/>
          <w:bCs w:val="0"/>
          <w:color w:val="auto"/>
          <w:highlight w:val="none"/>
          <w:lang w:val="en-US"/>
        </w:rPr>
        <w:t>161</w:t>
      </w:r>
      <w:r>
        <w:rPr>
          <w:rStyle w:val="19"/>
          <w:b w:val="0"/>
          <w:bCs w:val="0"/>
          <w:color w:val="auto"/>
          <w:highlight w:val="none"/>
          <w:lang w:val="kk-KZ"/>
        </w:rPr>
        <w:t>];</w:t>
      </w:r>
    </w:p>
    <w:p w14:paraId="295EF8AE">
      <w:pPr>
        <w:pStyle w:val="306"/>
        <w:spacing w:after="0"/>
        <w:ind w:left="0" w:firstLine="709"/>
        <w:rPr>
          <w:b w:val="0"/>
          <w:bCs/>
          <w:color w:val="auto"/>
          <w:lang w:val="kk-KZ"/>
        </w:rPr>
      </w:pPr>
      <w:r>
        <w:rPr>
          <w:b w:val="0"/>
          <w:bCs/>
          <w:color w:val="auto"/>
          <w:lang w:val="kk-KZ"/>
        </w:rPr>
        <w:t>Осылайша, органикалық тасымалдаушылардың артықшылығы физика-химиялық сорбцияда емес, көпфункционалды биологиялық қолдауда екенін көрсетеді. Бұл тәсіл минералдық тасымалдаушылардың жоғары адсорбциялық сыйымдылығынан (19</w:t>
      </w:r>
      <w:r>
        <w:rPr>
          <w:rFonts w:hint="default"/>
          <w:b w:val="0"/>
          <w:bCs/>
          <w:color w:val="auto"/>
          <w:lang w:val="ru-RU"/>
        </w:rPr>
        <w:t>,</w:t>
      </w:r>
      <w:r>
        <w:rPr>
          <w:b w:val="0"/>
          <w:bCs/>
          <w:color w:val="auto"/>
          <w:lang w:val="kk-KZ"/>
        </w:rPr>
        <w:t>69 мг/г) гөрі биоремедиация процесі үшін тиімдірек болуы мүмкін .</w:t>
      </w:r>
    </w:p>
    <w:p w14:paraId="01B1D33D">
      <w:pPr>
        <w:pStyle w:val="35"/>
        <w:spacing w:beforeAutospacing="0" w:afterAutospacing="0"/>
        <w:jc w:val="both"/>
        <w:rPr>
          <w:color w:val="auto"/>
          <w:sz w:val="28"/>
          <w:szCs w:val="28"/>
          <w:highlight w:val="none"/>
        </w:rPr>
      </w:pPr>
      <w:r>
        <w:rPr>
          <w:rStyle w:val="19"/>
          <w:b w:val="0"/>
          <w:bCs w:val="0"/>
          <w:color w:val="auto"/>
          <w:sz w:val="28"/>
          <w:szCs w:val="28"/>
          <w:highlight w:val="none"/>
        </w:rPr>
        <w:t xml:space="preserve">Кесте </w:t>
      </w:r>
      <w:r>
        <w:rPr>
          <w:rStyle w:val="19"/>
          <w:b w:val="0"/>
          <w:bCs w:val="0"/>
          <w:color w:val="auto"/>
          <w:sz w:val="28"/>
          <w:szCs w:val="28"/>
          <w:highlight w:val="none"/>
          <w:lang w:val="ru-RU"/>
        </w:rPr>
        <w:t>10</w:t>
      </w:r>
      <w:r>
        <w:rPr>
          <w:color w:val="auto"/>
          <w:sz w:val="28"/>
          <w:szCs w:val="28"/>
          <w:highlight w:val="none"/>
        </w:rPr>
        <w:t xml:space="preserve"> – </w:t>
      </w:r>
      <w:r>
        <w:rPr>
          <w:color w:val="auto"/>
          <w:sz w:val="28"/>
          <w:szCs w:val="28"/>
          <w:highlight w:val="none"/>
          <w:lang w:val="kk-KZ"/>
        </w:rPr>
        <w:t>Минералдық</w:t>
      </w:r>
      <w:r>
        <w:rPr>
          <w:rFonts w:hint="default"/>
          <w:color w:val="auto"/>
          <w:sz w:val="28"/>
          <w:szCs w:val="28"/>
          <w:highlight w:val="none"/>
          <w:lang w:val="kk-KZ"/>
        </w:rPr>
        <w:t xml:space="preserve"> және органикалық тасымалдаушылардың органикалық сипаттамасы </w:t>
      </w:r>
    </w:p>
    <w:p w14:paraId="633FE0DA">
      <w:pPr>
        <w:pStyle w:val="35"/>
        <w:spacing w:beforeAutospacing="0" w:afterAutospacing="0"/>
        <w:ind w:firstLine="709"/>
        <w:rPr>
          <w:color w:val="auto"/>
          <w:sz w:val="28"/>
          <w:szCs w:val="28"/>
          <w:highlight w:val="yellow"/>
        </w:rPr>
      </w:pP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06"/>
        <w:gridCol w:w="2687"/>
        <w:gridCol w:w="2190"/>
        <w:gridCol w:w="1873"/>
      </w:tblGrid>
      <w:tr w14:paraId="18F8E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06" w:type="dxa"/>
            <w:vAlign w:val="center"/>
          </w:tcPr>
          <w:p w14:paraId="751E1373">
            <w:pPr>
              <w:widowControl w:val="0"/>
              <w:jc w:val="center"/>
              <w:rPr>
                <w:color w:val="auto"/>
                <w:sz w:val="24"/>
                <w:szCs w:val="24"/>
                <w:highlight w:val="none"/>
              </w:rPr>
            </w:pPr>
            <w:r>
              <w:rPr>
                <w:color w:val="auto"/>
                <w:sz w:val="24"/>
                <w:szCs w:val="24"/>
                <w:highlight w:val="none"/>
                <w:lang w:val="en-US" w:eastAsia="zh-CN" w:bidi="ar"/>
              </w:rPr>
              <w:t>Параметр</w:t>
            </w:r>
          </w:p>
        </w:tc>
        <w:tc>
          <w:tcPr>
            <w:tcW w:w="2687" w:type="dxa"/>
            <w:vAlign w:val="center"/>
          </w:tcPr>
          <w:p w14:paraId="536B2473">
            <w:pPr>
              <w:widowControl w:val="0"/>
              <w:jc w:val="center"/>
              <w:rPr>
                <w:color w:val="auto"/>
                <w:sz w:val="24"/>
                <w:szCs w:val="24"/>
                <w:highlight w:val="none"/>
              </w:rPr>
            </w:pPr>
            <w:r>
              <w:rPr>
                <w:color w:val="auto"/>
                <w:sz w:val="24"/>
                <w:szCs w:val="24"/>
                <w:highlight w:val="none"/>
                <w:lang w:val="en-US" w:eastAsia="zh-CN" w:bidi="ar"/>
              </w:rPr>
              <w:t>Минералдық</w:t>
            </w:r>
            <w:r>
              <w:rPr>
                <w:color w:val="auto"/>
                <w:sz w:val="24"/>
                <w:szCs w:val="24"/>
                <w:highlight w:val="none"/>
                <w:lang w:val="en-GB" w:eastAsia="zh-CN" w:bidi="ar"/>
              </w:rPr>
              <w:t xml:space="preserve"> </w:t>
            </w:r>
            <w:r>
              <w:rPr>
                <w:color w:val="auto"/>
                <w:sz w:val="24"/>
                <w:szCs w:val="24"/>
                <w:highlight w:val="none"/>
                <w:lang w:val="kk-KZ" w:eastAsia="zh-CN" w:bidi="ar"/>
              </w:rPr>
              <w:t>тасымалдаушы</w:t>
            </w:r>
            <w:r>
              <w:rPr>
                <w:color w:val="auto"/>
                <w:sz w:val="24"/>
                <w:szCs w:val="24"/>
                <w:highlight w:val="none"/>
                <w:lang w:val="en-US" w:eastAsia="zh-CN" w:bidi="ar"/>
              </w:rPr>
              <w:br w:type="textWrapping"/>
            </w:r>
            <w:r>
              <w:rPr>
                <w:color w:val="auto"/>
                <w:sz w:val="24"/>
                <w:szCs w:val="24"/>
                <w:highlight w:val="none"/>
                <w:lang w:val="en-US" w:eastAsia="zh-CN" w:bidi="ar"/>
              </w:rPr>
              <w:t>(цеолит/керамзит)</w:t>
            </w:r>
          </w:p>
        </w:tc>
        <w:tc>
          <w:tcPr>
            <w:tcW w:w="2190" w:type="dxa"/>
            <w:vAlign w:val="center"/>
          </w:tcPr>
          <w:p w14:paraId="05F197CC">
            <w:pPr>
              <w:widowControl w:val="0"/>
              <w:jc w:val="center"/>
              <w:rPr>
                <w:color w:val="auto"/>
                <w:sz w:val="24"/>
                <w:szCs w:val="24"/>
                <w:highlight w:val="none"/>
                <w:lang w:val="kk-KZ"/>
              </w:rPr>
            </w:pPr>
            <w:r>
              <w:rPr>
                <w:color w:val="auto"/>
                <w:sz w:val="24"/>
                <w:szCs w:val="24"/>
                <w:highlight w:val="none"/>
                <w:lang w:val="en-US" w:eastAsia="zh-CN" w:bidi="ar"/>
              </w:rPr>
              <w:t>Органикалық</w:t>
            </w:r>
            <w:r>
              <w:rPr>
                <w:color w:val="auto"/>
                <w:sz w:val="24"/>
                <w:szCs w:val="24"/>
                <w:highlight w:val="none"/>
                <w:lang w:val="en-US" w:eastAsia="zh-CN" w:bidi="ar"/>
              </w:rPr>
              <w:br w:type="textWrapping"/>
            </w:r>
            <w:r>
              <w:rPr>
                <w:color w:val="auto"/>
                <w:sz w:val="24"/>
                <w:szCs w:val="24"/>
                <w:highlight w:val="none"/>
                <w:lang w:val="en-US" w:eastAsia="zh-CN" w:bidi="ar"/>
              </w:rPr>
              <w:t>(қарақұмық/күріш)</w:t>
            </w:r>
            <w:r>
              <w:rPr>
                <w:color w:val="auto"/>
                <w:sz w:val="24"/>
                <w:szCs w:val="24"/>
                <w:highlight w:val="none"/>
                <w:lang w:val="kk-KZ" w:eastAsia="zh-CN" w:bidi="ar"/>
              </w:rPr>
              <w:t xml:space="preserve"> тасымалдаушы</w:t>
            </w:r>
          </w:p>
        </w:tc>
        <w:tc>
          <w:tcPr>
            <w:tcW w:w="1873" w:type="dxa"/>
            <w:vAlign w:val="center"/>
          </w:tcPr>
          <w:p w14:paraId="37581AA0">
            <w:pPr>
              <w:widowControl w:val="0"/>
              <w:jc w:val="center"/>
              <w:rPr>
                <w:color w:val="auto"/>
                <w:sz w:val="24"/>
                <w:szCs w:val="24"/>
                <w:highlight w:val="none"/>
              </w:rPr>
            </w:pPr>
            <w:r>
              <w:rPr>
                <w:color w:val="auto"/>
                <w:sz w:val="24"/>
                <w:szCs w:val="24"/>
                <w:highlight w:val="none"/>
                <w:lang w:val="en-US" w:eastAsia="zh-CN" w:bidi="ar"/>
              </w:rPr>
              <w:t>Артықшылық</w:t>
            </w:r>
          </w:p>
        </w:tc>
      </w:tr>
      <w:tr w14:paraId="75659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06" w:type="dxa"/>
            <w:vAlign w:val="center"/>
          </w:tcPr>
          <w:p w14:paraId="6B14A869">
            <w:pPr>
              <w:widowControl w:val="0"/>
              <w:jc w:val="left"/>
              <w:rPr>
                <w:color w:val="auto"/>
                <w:sz w:val="24"/>
                <w:szCs w:val="24"/>
                <w:highlight w:val="none"/>
              </w:rPr>
            </w:pPr>
            <w:r>
              <w:rPr>
                <w:rStyle w:val="19"/>
                <w:b w:val="0"/>
                <w:bCs w:val="0"/>
                <w:color w:val="auto"/>
                <w:sz w:val="24"/>
                <w:szCs w:val="24"/>
                <w:highlight w:val="none"/>
                <w:lang w:val="en-US" w:eastAsia="zh-CN" w:bidi="ar"/>
              </w:rPr>
              <w:t>Сорбция, мг/г</w:t>
            </w:r>
          </w:p>
        </w:tc>
        <w:tc>
          <w:tcPr>
            <w:tcW w:w="2687" w:type="dxa"/>
            <w:vAlign w:val="center"/>
          </w:tcPr>
          <w:p w14:paraId="512456E7">
            <w:pPr>
              <w:widowControl w:val="0"/>
              <w:jc w:val="center"/>
              <w:rPr>
                <w:color w:val="auto"/>
                <w:sz w:val="24"/>
                <w:szCs w:val="24"/>
                <w:highlight w:val="none"/>
              </w:rPr>
            </w:pPr>
            <w:r>
              <w:rPr>
                <w:color w:val="auto"/>
                <w:sz w:val="24"/>
                <w:szCs w:val="24"/>
                <w:highlight w:val="none"/>
                <w:lang w:val="en-US" w:eastAsia="zh-CN" w:bidi="ar"/>
              </w:rPr>
              <w:t>1</w:t>
            </w:r>
            <w:r>
              <w:rPr>
                <w:color w:val="auto"/>
                <w:sz w:val="24"/>
                <w:szCs w:val="24"/>
                <w:highlight w:val="none"/>
                <w:lang w:val="ru-RU" w:eastAsia="zh-CN" w:bidi="ar"/>
              </w:rPr>
              <w:t>7,</w:t>
            </w:r>
            <w:r>
              <w:rPr>
                <w:color w:val="auto"/>
                <w:sz w:val="24"/>
                <w:szCs w:val="24"/>
                <w:highlight w:val="none"/>
                <w:lang w:val="en-US" w:eastAsia="zh-CN" w:bidi="ar"/>
              </w:rPr>
              <w:t>92-19.69 [</w:t>
            </w:r>
            <w:r>
              <w:rPr>
                <w:rFonts w:hint="default"/>
                <w:color w:val="auto"/>
                <w:sz w:val="24"/>
                <w:szCs w:val="24"/>
                <w:highlight w:val="none"/>
                <w:lang w:val="kk-KZ" w:eastAsia="zh-CN" w:bidi="ar"/>
              </w:rPr>
              <w:t>34</w:t>
            </w:r>
            <w:r>
              <w:rPr>
                <w:color w:val="auto"/>
                <w:sz w:val="24"/>
                <w:szCs w:val="24"/>
                <w:highlight w:val="none"/>
                <w:lang w:val="en-US" w:eastAsia="zh-CN" w:bidi="ar"/>
              </w:rPr>
              <w:t>]</w:t>
            </w:r>
          </w:p>
        </w:tc>
        <w:tc>
          <w:tcPr>
            <w:tcW w:w="2190" w:type="dxa"/>
            <w:vAlign w:val="center"/>
          </w:tcPr>
          <w:p w14:paraId="30B27E49">
            <w:pPr>
              <w:widowControl w:val="0"/>
              <w:jc w:val="center"/>
              <w:rPr>
                <w:color w:val="auto"/>
                <w:sz w:val="24"/>
                <w:szCs w:val="24"/>
                <w:highlight w:val="none"/>
              </w:rPr>
            </w:pPr>
            <w:r>
              <w:rPr>
                <w:color w:val="auto"/>
                <w:sz w:val="24"/>
                <w:szCs w:val="24"/>
                <w:highlight w:val="none"/>
                <w:lang w:val="en-US" w:eastAsia="zh-CN" w:bidi="ar"/>
              </w:rPr>
              <w:t>5-12 [</w:t>
            </w:r>
            <w:r>
              <w:rPr>
                <w:rFonts w:hint="default"/>
                <w:color w:val="auto"/>
                <w:sz w:val="24"/>
                <w:szCs w:val="24"/>
                <w:highlight w:val="none"/>
                <w:lang w:val="kk-KZ" w:eastAsia="zh-CN" w:bidi="ar"/>
              </w:rPr>
              <w:t>97</w:t>
            </w:r>
            <w:r>
              <w:rPr>
                <w:color w:val="auto"/>
                <w:sz w:val="24"/>
                <w:szCs w:val="24"/>
                <w:highlight w:val="none"/>
                <w:lang w:val="en-US" w:eastAsia="zh-CN" w:bidi="ar"/>
              </w:rPr>
              <w:t>]</w:t>
            </w:r>
          </w:p>
        </w:tc>
        <w:tc>
          <w:tcPr>
            <w:tcW w:w="1873" w:type="dxa"/>
            <w:vAlign w:val="center"/>
          </w:tcPr>
          <w:p w14:paraId="61181125">
            <w:pPr>
              <w:widowControl w:val="0"/>
              <w:jc w:val="left"/>
              <w:rPr>
                <w:color w:val="auto"/>
                <w:sz w:val="24"/>
                <w:szCs w:val="24"/>
                <w:highlight w:val="none"/>
              </w:rPr>
            </w:pPr>
            <w:r>
              <w:rPr>
                <w:color w:val="auto"/>
                <w:sz w:val="24"/>
                <w:szCs w:val="24"/>
                <w:highlight w:val="none"/>
                <w:lang w:val="en-US" w:eastAsia="zh-CN" w:bidi="ar"/>
              </w:rPr>
              <w:t>Минералдық</w:t>
            </w:r>
          </w:p>
        </w:tc>
      </w:tr>
      <w:tr w14:paraId="34317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06" w:type="dxa"/>
            <w:vAlign w:val="center"/>
          </w:tcPr>
          <w:p w14:paraId="7F146112">
            <w:pPr>
              <w:widowControl w:val="0"/>
              <w:jc w:val="left"/>
              <w:rPr>
                <w:color w:val="auto"/>
                <w:sz w:val="24"/>
                <w:szCs w:val="24"/>
                <w:highlight w:val="none"/>
              </w:rPr>
            </w:pPr>
            <w:r>
              <w:rPr>
                <w:rStyle w:val="19"/>
                <w:b w:val="0"/>
                <w:bCs w:val="0"/>
                <w:color w:val="auto"/>
                <w:sz w:val="24"/>
                <w:szCs w:val="24"/>
                <w:highlight w:val="none"/>
                <w:lang w:val="en-US" w:eastAsia="zh-CN" w:bidi="ar"/>
              </w:rPr>
              <w:t>Механикалық беріктік</w:t>
            </w:r>
          </w:p>
        </w:tc>
        <w:tc>
          <w:tcPr>
            <w:tcW w:w="2687" w:type="dxa"/>
            <w:vAlign w:val="center"/>
          </w:tcPr>
          <w:p w14:paraId="1E282B7F">
            <w:pPr>
              <w:widowControl w:val="0"/>
              <w:jc w:val="center"/>
              <w:rPr>
                <w:rFonts w:hint="default"/>
                <w:color w:val="auto"/>
                <w:sz w:val="24"/>
                <w:szCs w:val="24"/>
                <w:highlight w:val="none"/>
                <w:lang w:val="kk-KZ"/>
              </w:rPr>
            </w:pPr>
            <w:r>
              <w:rPr>
                <w:color w:val="auto"/>
                <w:sz w:val="24"/>
                <w:szCs w:val="24"/>
                <w:highlight w:val="none"/>
                <w:lang w:val="en-US" w:eastAsia="zh-CN" w:bidi="ar"/>
              </w:rPr>
              <w:t>Жоғары</w:t>
            </w:r>
            <w:r>
              <w:rPr>
                <w:rFonts w:hint="default"/>
                <w:color w:val="auto"/>
                <w:sz w:val="24"/>
                <w:szCs w:val="24"/>
                <w:highlight w:val="none"/>
                <w:lang w:val="kk-KZ" w:eastAsia="zh-CN" w:bidi="ar"/>
              </w:rPr>
              <w:t xml:space="preserve"> </w:t>
            </w:r>
            <w:r>
              <w:rPr>
                <w:color w:val="auto"/>
                <w:sz w:val="24"/>
                <w:szCs w:val="24"/>
                <w:highlight w:val="none"/>
                <w:lang w:val="en-US" w:eastAsia="zh-CN" w:bidi="ar"/>
              </w:rPr>
              <w:t>[</w:t>
            </w:r>
            <w:r>
              <w:rPr>
                <w:rFonts w:hint="default"/>
                <w:color w:val="auto"/>
                <w:sz w:val="24"/>
                <w:szCs w:val="24"/>
                <w:highlight w:val="none"/>
                <w:lang w:val="kk-KZ" w:eastAsia="zh-CN" w:bidi="ar"/>
              </w:rPr>
              <w:t>34</w:t>
            </w:r>
            <w:r>
              <w:rPr>
                <w:color w:val="auto"/>
                <w:sz w:val="24"/>
                <w:szCs w:val="24"/>
                <w:highlight w:val="none"/>
                <w:lang w:val="en-US" w:eastAsia="zh-CN" w:bidi="ar"/>
              </w:rPr>
              <w:t>]</w:t>
            </w:r>
          </w:p>
        </w:tc>
        <w:tc>
          <w:tcPr>
            <w:tcW w:w="2190" w:type="dxa"/>
            <w:vAlign w:val="center"/>
          </w:tcPr>
          <w:p w14:paraId="5DB134DF">
            <w:pPr>
              <w:widowControl w:val="0"/>
              <w:jc w:val="center"/>
              <w:rPr>
                <w:rFonts w:hint="default"/>
                <w:color w:val="auto"/>
                <w:sz w:val="24"/>
                <w:szCs w:val="24"/>
                <w:highlight w:val="none"/>
                <w:lang w:val="kk-KZ"/>
              </w:rPr>
            </w:pPr>
            <w:r>
              <w:rPr>
                <w:color w:val="auto"/>
                <w:sz w:val="24"/>
                <w:szCs w:val="24"/>
                <w:highlight w:val="none"/>
                <w:lang w:val="en-US" w:eastAsia="zh-CN" w:bidi="ar"/>
              </w:rPr>
              <w:t>Төмен</w:t>
            </w:r>
            <w:r>
              <w:rPr>
                <w:rFonts w:hint="default"/>
                <w:color w:val="auto"/>
                <w:sz w:val="24"/>
                <w:szCs w:val="24"/>
                <w:highlight w:val="none"/>
                <w:lang w:val="kk-KZ" w:eastAsia="zh-CN" w:bidi="ar"/>
              </w:rPr>
              <w:t xml:space="preserve"> </w:t>
            </w:r>
            <w:r>
              <w:rPr>
                <w:color w:val="auto"/>
                <w:sz w:val="24"/>
                <w:szCs w:val="24"/>
                <w:highlight w:val="none"/>
                <w:lang w:val="en-US" w:eastAsia="zh-CN" w:bidi="ar"/>
              </w:rPr>
              <w:t>[</w:t>
            </w:r>
            <w:r>
              <w:rPr>
                <w:rFonts w:hint="default"/>
                <w:color w:val="auto"/>
                <w:sz w:val="24"/>
                <w:szCs w:val="24"/>
                <w:highlight w:val="none"/>
                <w:lang w:val="kk-KZ" w:eastAsia="zh-CN" w:bidi="ar"/>
              </w:rPr>
              <w:t>97</w:t>
            </w:r>
            <w:r>
              <w:rPr>
                <w:color w:val="auto"/>
                <w:sz w:val="24"/>
                <w:szCs w:val="24"/>
                <w:highlight w:val="none"/>
                <w:lang w:val="en-US" w:eastAsia="zh-CN" w:bidi="ar"/>
              </w:rPr>
              <w:t>]</w:t>
            </w:r>
          </w:p>
        </w:tc>
        <w:tc>
          <w:tcPr>
            <w:tcW w:w="1873" w:type="dxa"/>
            <w:vAlign w:val="center"/>
          </w:tcPr>
          <w:p w14:paraId="3F91387F">
            <w:pPr>
              <w:widowControl w:val="0"/>
              <w:jc w:val="left"/>
              <w:rPr>
                <w:color w:val="auto"/>
                <w:sz w:val="24"/>
                <w:szCs w:val="24"/>
                <w:highlight w:val="none"/>
              </w:rPr>
            </w:pPr>
            <w:r>
              <w:rPr>
                <w:color w:val="auto"/>
                <w:sz w:val="24"/>
                <w:szCs w:val="24"/>
                <w:highlight w:val="none"/>
                <w:lang w:val="en-US" w:eastAsia="zh-CN" w:bidi="ar"/>
              </w:rPr>
              <w:t>Минералдық</w:t>
            </w:r>
          </w:p>
        </w:tc>
      </w:tr>
      <w:tr w14:paraId="68DC1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06" w:type="dxa"/>
            <w:vAlign w:val="center"/>
          </w:tcPr>
          <w:p w14:paraId="4450CA2F">
            <w:pPr>
              <w:widowControl w:val="0"/>
              <w:jc w:val="left"/>
              <w:rPr>
                <w:color w:val="auto"/>
                <w:sz w:val="24"/>
                <w:szCs w:val="24"/>
                <w:highlight w:val="none"/>
              </w:rPr>
            </w:pPr>
            <w:r>
              <w:rPr>
                <w:rStyle w:val="19"/>
                <w:b w:val="0"/>
                <w:bCs w:val="0"/>
                <w:color w:val="auto"/>
                <w:sz w:val="24"/>
                <w:szCs w:val="24"/>
                <w:highlight w:val="none"/>
                <w:lang w:val="en-US" w:eastAsia="zh-CN" w:bidi="ar"/>
              </w:rPr>
              <w:t>Биодеградация</w:t>
            </w:r>
          </w:p>
        </w:tc>
        <w:tc>
          <w:tcPr>
            <w:tcW w:w="2687" w:type="dxa"/>
            <w:vAlign w:val="center"/>
          </w:tcPr>
          <w:p w14:paraId="10A72130">
            <w:pPr>
              <w:widowControl w:val="0"/>
              <w:jc w:val="center"/>
              <w:rPr>
                <w:color w:val="auto"/>
                <w:sz w:val="24"/>
                <w:szCs w:val="24"/>
                <w:highlight w:val="none"/>
              </w:rPr>
            </w:pPr>
            <w:r>
              <w:rPr>
                <w:color w:val="auto"/>
                <w:sz w:val="24"/>
                <w:szCs w:val="24"/>
                <w:highlight w:val="none"/>
                <w:lang w:val="en-US" w:eastAsia="zh-CN" w:bidi="ar"/>
              </w:rPr>
              <w:t>Жоқ</w:t>
            </w:r>
            <w:r>
              <w:rPr>
                <w:color w:val="auto"/>
                <w:sz w:val="24"/>
                <w:szCs w:val="24"/>
                <w:highlight w:val="none"/>
                <w:lang w:eastAsia="zh-CN" w:bidi="ar"/>
              </w:rPr>
              <w:t xml:space="preserve"> </w:t>
            </w:r>
            <w:r>
              <w:rPr>
                <w:color w:val="auto"/>
                <w:sz w:val="24"/>
                <w:szCs w:val="24"/>
                <w:highlight w:val="none"/>
                <w:lang w:val="en-US" w:eastAsia="zh-CN" w:bidi="ar"/>
              </w:rPr>
              <w:t>[</w:t>
            </w:r>
            <w:r>
              <w:rPr>
                <w:color w:val="auto"/>
                <w:sz w:val="24"/>
                <w:szCs w:val="24"/>
                <w:highlight w:val="none"/>
                <w:lang w:eastAsia="zh-CN" w:bidi="ar"/>
              </w:rPr>
              <w:t>56</w:t>
            </w:r>
            <w:r>
              <w:rPr>
                <w:color w:val="auto"/>
                <w:sz w:val="24"/>
                <w:szCs w:val="24"/>
                <w:highlight w:val="none"/>
                <w:lang w:val="en-US" w:eastAsia="zh-CN" w:bidi="ar"/>
              </w:rPr>
              <w:t>]</w:t>
            </w:r>
          </w:p>
        </w:tc>
        <w:tc>
          <w:tcPr>
            <w:tcW w:w="2190" w:type="dxa"/>
            <w:vAlign w:val="center"/>
          </w:tcPr>
          <w:p w14:paraId="65D420E3">
            <w:pPr>
              <w:widowControl w:val="0"/>
              <w:jc w:val="center"/>
              <w:rPr>
                <w:color w:val="auto"/>
                <w:sz w:val="24"/>
                <w:szCs w:val="24"/>
                <w:highlight w:val="none"/>
              </w:rPr>
            </w:pPr>
            <w:r>
              <w:rPr>
                <w:color w:val="auto"/>
                <w:sz w:val="24"/>
                <w:szCs w:val="24"/>
                <w:highlight w:val="none"/>
                <w:lang w:val="en-US" w:eastAsia="zh-CN" w:bidi="ar"/>
              </w:rPr>
              <w:t>3-12 ай [</w:t>
            </w:r>
            <w:r>
              <w:rPr>
                <w:rFonts w:hint="default"/>
                <w:color w:val="auto"/>
                <w:sz w:val="24"/>
                <w:szCs w:val="24"/>
                <w:highlight w:val="none"/>
                <w:lang w:val="kk-KZ" w:eastAsia="zh-CN" w:bidi="ar"/>
              </w:rPr>
              <w:t>97</w:t>
            </w:r>
            <w:r>
              <w:rPr>
                <w:color w:val="auto"/>
                <w:sz w:val="24"/>
                <w:szCs w:val="24"/>
                <w:highlight w:val="none"/>
                <w:lang w:val="en-US" w:eastAsia="zh-CN" w:bidi="ar"/>
              </w:rPr>
              <w:t>]</w:t>
            </w:r>
          </w:p>
        </w:tc>
        <w:tc>
          <w:tcPr>
            <w:tcW w:w="1873" w:type="dxa"/>
            <w:vAlign w:val="center"/>
          </w:tcPr>
          <w:p w14:paraId="7FFBDABE">
            <w:pPr>
              <w:widowControl w:val="0"/>
              <w:jc w:val="left"/>
              <w:rPr>
                <w:color w:val="auto"/>
                <w:sz w:val="24"/>
                <w:szCs w:val="24"/>
                <w:highlight w:val="none"/>
              </w:rPr>
            </w:pPr>
            <w:r>
              <w:rPr>
                <w:color w:val="auto"/>
                <w:sz w:val="24"/>
                <w:szCs w:val="24"/>
                <w:highlight w:val="none"/>
                <w:lang w:val="en-US" w:eastAsia="zh-CN" w:bidi="ar"/>
              </w:rPr>
              <w:t>Органикалық</w:t>
            </w:r>
          </w:p>
        </w:tc>
      </w:tr>
      <w:tr w14:paraId="4D629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06" w:type="dxa"/>
            <w:vAlign w:val="center"/>
          </w:tcPr>
          <w:p w14:paraId="2E80A1F3">
            <w:pPr>
              <w:widowControl w:val="0"/>
              <w:jc w:val="left"/>
              <w:rPr>
                <w:color w:val="auto"/>
                <w:sz w:val="24"/>
                <w:szCs w:val="24"/>
                <w:highlight w:val="none"/>
                <w:lang w:val="en-US" w:eastAsia="zh-CN"/>
              </w:rPr>
            </w:pPr>
            <w:r>
              <w:rPr>
                <w:rStyle w:val="19"/>
                <w:b w:val="0"/>
                <w:bCs w:val="0"/>
                <w:color w:val="auto"/>
                <w:sz w:val="24"/>
                <w:szCs w:val="24"/>
                <w:highlight w:val="none"/>
                <w:lang w:val="en-US" w:eastAsia="zh-CN" w:bidi="ar"/>
              </w:rPr>
              <w:t>Иммобилизация, %</w:t>
            </w:r>
          </w:p>
        </w:tc>
        <w:tc>
          <w:tcPr>
            <w:tcW w:w="2687" w:type="dxa"/>
            <w:vAlign w:val="center"/>
          </w:tcPr>
          <w:p w14:paraId="3D83AAA8">
            <w:pPr>
              <w:widowControl w:val="0"/>
              <w:jc w:val="center"/>
              <w:rPr>
                <w:color w:val="auto"/>
                <w:sz w:val="24"/>
                <w:szCs w:val="24"/>
                <w:highlight w:val="none"/>
                <w:lang w:eastAsia="zh-CN"/>
              </w:rPr>
            </w:pPr>
            <w:r>
              <w:rPr>
                <w:color w:val="auto"/>
                <w:sz w:val="24"/>
                <w:szCs w:val="24"/>
                <w:highlight w:val="none"/>
                <w:lang w:eastAsia="zh-CN" w:bidi="ar"/>
              </w:rPr>
              <w:t>-</w:t>
            </w:r>
          </w:p>
        </w:tc>
        <w:tc>
          <w:tcPr>
            <w:tcW w:w="2190" w:type="dxa"/>
            <w:vAlign w:val="center"/>
          </w:tcPr>
          <w:p w14:paraId="56337A67">
            <w:pPr>
              <w:widowControl w:val="0"/>
              <w:jc w:val="center"/>
              <w:rPr>
                <w:color w:val="auto"/>
                <w:sz w:val="24"/>
                <w:szCs w:val="24"/>
                <w:highlight w:val="none"/>
                <w:lang w:val="en-US" w:eastAsia="zh-CN"/>
              </w:rPr>
            </w:pPr>
            <w:r>
              <w:rPr>
                <w:color w:val="auto"/>
                <w:sz w:val="24"/>
                <w:szCs w:val="24"/>
                <w:highlight w:val="none"/>
                <w:lang w:val="en-US" w:eastAsia="zh-CN" w:bidi="ar"/>
              </w:rPr>
              <w:t>8</w:t>
            </w:r>
            <w:r>
              <w:rPr>
                <w:color w:val="auto"/>
                <w:sz w:val="24"/>
                <w:szCs w:val="24"/>
                <w:highlight w:val="none"/>
                <w:lang w:val="ru-RU" w:eastAsia="zh-CN" w:bidi="ar"/>
              </w:rPr>
              <w:t>7,</w:t>
            </w:r>
            <w:r>
              <w:rPr>
                <w:color w:val="auto"/>
                <w:sz w:val="24"/>
                <w:szCs w:val="24"/>
                <w:highlight w:val="none"/>
                <w:lang w:val="en-US" w:eastAsia="zh-CN" w:bidi="ar"/>
              </w:rPr>
              <w:t>6-9</w:t>
            </w:r>
            <w:r>
              <w:rPr>
                <w:color w:val="auto"/>
                <w:sz w:val="24"/>
                <w:szCs w:val="24"/>
                <w:highlight w:val="none"/>
                <w:lang w:val="ru-RU" w:eastAsia="zh-CN" w:bidi="ar"/>
              </w:rPr>
              <w:t>2,</w:t>
            </w:r>
            <w:r>
              <w:rPr>
                <w:color w:val="auto"/>
                <w:sz w:val="24"/>
                <w:szCs w:val="24"/>
                <w:highlight w:val="none"/>
                <w:lang w:val="en-US" w:eastAsia="zh-CN" w:bidi="ar"/>
              </w:rPr>
              <w:t>3 [</w:t>
            </w:r>
            <w:r>
              <w:rPr>
                <w:color w:val="auto"/>
                <w:sz w:val="24"/>
                <w:szCs w:val="24"/>
                <w:highlight w:val="none"/>
                <w:lang w:eastAsia="zh-CN" w:bidi="ar"/>
              </w:rPr>
              <w:t>1</w:t>
            </w:r>
            <w:r>
              <w:rPr>
                <w:rFonts w:hint="default"/>
                <w:color w:val="auto"/>
                <w:sz w:val="24"/>
                <w:szCs w:val="24"/>
                <w:highlight w:val="none"/>
                <w:lang w:val="kk-KZ" w:eastAsia="zh-CN" w:bidi="ar"/>
              </w:rPr>
              <w:t>42</w:t>
            </w:r>
            <w:r>
              <w:rPr>
                <w:color w:val="auto"/>
                <w:sz w:val="24"/>
                <w:szCs w:val="24"/>
                <w:highlight w:val="none"/>
                <w:lang w:val="en-US" w:eastAsia="zh-CN" w:bidi="ar"/>
              </w:rPr>
              <w:t>]</w:t>
            </w:r>
          </w:p>
        </w:tc>
        <w:tc>
          <w:tcPr>
            <w:tcW w:w="1873" w:type="dxa"/>
            <w:vAlign w:val="center"/>
          </w:tcPr>
          <w:p w14:paraId="3FE2B0DA">
            <w:pPr>
              <w:widowControl w:val="0"/>
              <w:jc w:val="left"/>
              <w:rPr>
                <w:color w:val="auto"/>
                <w:sz w:val="24"/>
                <w:szCs w:val="24"/>
                <w:highlight w:val="none"/>
                <w:lang w:val="en-US" w:eastAsia="zh-CN"/>
              </w:rPr>
            </w:pPr>
            <w:r>
              <w:rPr>
                <w:color w:val="auto"/>
                <w:sz w:val="24"/>
                <w:szCs w:val="24"/>
                <w:highlight w:val="none"/>
                <w:lang w:val="en-US" w:eastAsia="zh-CN" w:bidi="ar"/>
              </w:rPr>
              <w:t>Органикалық</w:t>
            </w:r>
          </w:p>
        </w:tc>
      </w:tr>
      <w:tr w14:paraId="620D5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06" w:type="dxa"/>
            <w:vAlign w:val="center"/>
          </w:tcPr>
          <w:p w14:paraId="23C6EA7C">
            <w:pPr>
              <w:widowControl w:val="0"/>
              <w:jc w:val="left"/>
              <w:rPr>
                <w:color w:val="auto"/>
                <w:sz w:val="24"/>
                <w:szCs w:val="24"/>
                <w:highlight w:val="none"/>
                <w:lang w:val="en-US" w:eastAsia="zh-CN"/>
              </w:rPr>
            </w:pPr>
            <w:r>
              <w:rPr>
                <w:rStyle w:val="19"/>
                <w:b w:val="0"/>
                <w:bCs w:val="0"/>
                <w:color w:val="auto"/>
                <w:sz w:val="24"/>
                <w:szCs w:val="24"/>
                <w:highlight w:val="none"/>
                <w:lang w:val="en-US" w:eastAsia="zh-CN" w:bidi="ar"/>
              </w:rPr>
              <w:t>Қоректік қолдау</w:t>
            </w:r>
          </w:p>
        </w:tc>
        <w:tc>
          <w:tcPr>
            <w:tcW w:w="2687" w:type="dxa"/>
            <w:vAlign w:val="center"/>
          </w:tcPr>
          <w:p w14:paraId="1D979A66">
            <w:pPr>
              <w:widowControl w:val="0"/>
              <w:jc w:val="center"/>
              <w:rPr>
                <w:color w:val="auto"/>
                <w:sz w:val="24"/>
                <w:szCs w:val="24"/>
                <w:highlight w:val="none"/>
                <w:lang w:val="en-US" w:eastAsia="zh-CN"/>
              </w:rPr>
            </w:pPr>
            <w:r>
              <w:rPr>
                <w:color w:val="auto"/>
                <w:sz w:val="24"/>
                <w:szCs w:val="24"/>
                <w:highlight w:val="none"/>
                <w:lang w:val="en-US" w:eastAsia="zh-CN" w:bidi="ar"/>
              </w:rPr>
              <w:t>Жоқ</w:t>
            </w:r>
          </w:p>
        </w:tc>
        <w:tc>
          <w:tcPr>
            <w:tcW w:w="2190" w:type="dxa"/>
            <w:vAlign w:val="center"/>
          </w:tcPr>
          <w:p w14:paraId="3C4174C8">
            <w:pPr>
              <w:widowControl w:val="0"/>
              <w:jc w:val="center"/>
              <w:rPr>
                <w:color w:val="auto"/>
                <w:sz w:val="24"/>
                <w:szCs w:val="24"/>
                <w:highlight w:val="none"/>
                <w:lang w:val="en-US" w:eastAsia="zh-CN"/>
              </w:rPr>
            </w:pPr>
            <w:r>
              <w:rPr>
                <w:color w:val="auto"/>
                <w:sz w:val="24"/>
                <w:szCs w:val="24"/>
                <w:highlight w:val="none"/>
                <w:lang w:val="en-US" w:eastAsia="zh-CN" w:bidi="ar"/>
              </w:rPr>
              <w:t>Белок 3-7% [</w:t>
            </w:r>
            <w:r>
              <w:rPr>
                <w:color w:val="auto"/>
                <w:sz w:val="24"/>
                <w:szCs w:val="24"/>
                <w:highlight w:val="none"/>
                <w:lang w:eastAsia="zh-CN" w:bidi="ar"/>
              </w:rPr>
              <w:t>14</w:t>
            </w:r>
            <w:r>
              <w:rPr>
                <w:rFonts w:hint="default"/>
                <w:color w:val="auto"/>
                <w:sz w:val="24"/>
                <w:szCs w:val="24"/>
                <w:highlight w:val="none"/>
                <w:lang w:val="kk-KZ" w:eastAsia="zh-CN" w:bidi="ar"/>
              </w:rPr>
              <w:t>2</w:t>
            </w:r>
            <w:r>
              <w:rPr>
                <w:color w:val="auto"/>
                <w:sz w:val="24"/>
                <w:szCs w:val="24"/>
                <w:highlight w:val="none"/>
                <w:lang w:val="en-US" w:eastAsia="zh-CN" w:bidi="ar"/>
              </w:rPr>
              <w:t>]</w:t>
            </w:r>
          </w:p>
        </w:tc>
        <w:tc>
          <w:tcPr>
            <w:tcW w:w="1873" w:type="dxa"/>
            <w:vAlign w:val="center"/>
          </w:tcPr>
          <w:p w14:paraId="6C9C0B54">
            <w:pPr>
              <w:widowControl w:val="0"/>
              <w:jc w:val="left"/>
              <w:rPr>
                <w:color w:val="auto"/>
                <w:sz w:val="24"/>
                <w:szCs w:val="24"/>
                <w:highlight w:val="none"/>
                <w:lang w:val="en-US" w:eastAsia="zh-CN"/>
              </w:rPr>
            </w:pPr>
            <w:r>
              <w:rPr>
                <w:color w:val="auto"/>
                <w:sz w:val="24"/>
                <w:szCs w:val="24"/>
                <w:highlight w:val="none"/>
                <w:lang w:val="en-US" w:eastAsia="zh-CN" w:bidi="ar"/>
              </w:rPr>
              <w:t>Органикалық</w:t>
            </w:r>
          </w:p>
        </w:tc>
      </w:tr>
      <w:tr w14:paraId="6A440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06" w:type="dxa"/>
            <w:vAlign w:val="center"/>
          </w:tcPr>
          <w:p w14:paraId="1DA48F91">
            <w:pPr>
              <w:widowControl w:val="0"/>
              <w:jc w:val="left"/>
              <w:rPr>
                <w:color w:val="auto"/>
                <w:sz w:val="24"/>
                <w:szCs w:val="24"/>
                <w:highlight w:val="none"/>
                <w:lang w:val="en-US" w:eastAsia="zh-CN"/>
              </w:rPr>
            </w:pPr>
            <w:r>
              <w:rPr>
                <w:rStyle w:val="19"/>
                <w:b w:val="0"/>
                <w:bCs w:val="0"/>
                <w:color w:val="auto"/>
                <w:sz w:val="24"/>
                <w:szCs w:val="24"/>
                <w:highlight w:val="none"/>
                <w:lang w:val="en-US" w:eastAsia="zh-CN" w:bidi="ar"/>
              </w:rPr>
              <w:t>Антиоксиданттар</w:t>
            </w:r>
          </w:p>
        </w:tc>
        <w:tc>
          <w:tcPr>
            <w:tcW w:w="2687" w:type="dxa"/>
            <w:vAlign w:val="center"/>
          </w:tcPr>
          <w:p w14:paraId="4C926AC0">
            <w:pPr>
              <w:widowControl w:val="0"/>
              <w:jc w:val="center"/>
              <w:rPr>
                <w:color w:val="auto"/>
                <w:sz w:val="24"/>
                <w:szCs w:val="24"/>
                <w:highlight w:val="none"/>
                <w:lang w:val="en-US" w:eastAsia="zh-CN"/>
              </w:rPr>
            </w:pPr>
            <w:r>
              <w:rPr>
                <w:color w:val="auto"/>
                <w:sz w:val="24"/>
                <w:szCs w:val="24"/>
                <w:highlight w:val="none"/>
                <w:lang w:val="en-US" w:eastAsia="zh-CN" w:bidi="ar"/>
              </w:rPr>
              <w:t>Жоқ</w:t>
            </w:r>
          </w:p>
        </w:tc>
        <w:tc>
          <w:tcPr>
            <w:tcW w:w="2190" w:type="dxa"/>
            <w:vAlign w:val="center"/>
          </w:tcPr>
          <w:p w14:paraId="7821D874">
            <w:pPr>
              <w:widowControl w:val="0"/>
              <w:jc w:val="center"/>
              <w:rPr>
                <w:color w:val="auto"/>
                <w:sz w:val="24"/>
                <w:szCs w:val="24"/>
                <w:highlight w:val="none"/>
                <w:lang w:val="en-US" w:eastAsia="zh-CN"/>
              </w:rPr>
            </w:pPr>
            <w:r>
              <w:rPr>
                <w:color w:val="auto"/>
                <w:sz w:val="24"/>
                <w:szCs w:val="24"/>
                <w:highlight w:val="none"/>
                <w:lang w:val="en-US" w:eastAsia="zh-CN" w:bidi="ar"/>
              </w:rPr>
              <w:t>Рутин 15-29 мг/100г [</w:t>
            </w:r>
            <w:r>
              <w:rPr>
                <w:color w:val="auto"/>
                <w:sz w:val="24"/>
                <w:szCs w:val="24"/>
                <w:highlight w:val="none"/>
                <w:lang w:eastAsia="zh-CN" w:bidi="ar"/>
              </w:rPr>
              <w:t>1</w:t>
            </w:r>
            <w:r>
              <w:rPr>
                <w:rFonts w:hint="default"/>
                <w:color w:val="auto"/>
                <w:sz w:val="24"/>
                <w:szCs w:val="24"/>
                <w:highlight w:val="none"/>
                <w:lang w:val="kk-KZ" w:eastAsia="zh-CN" w:bidi="ar"/>
              </w:rPr>
              <w:t>51</w:t>
            </w:r>
            <w:r>
              <w:rPr>
                <w:color w:val="auto"/>
                <w:sz w:val="24"/>
                <w:szCs w:val="24"/>
                <w:highlight w:val="none"/>
                <w:lang w:val="en-US" w:eastAsia="zh-CN" w:bidi="ar"/>
              </w:rPr>
              <w:t>]</w:t>
            </w:r>
          </w:p>
        </w:tc>
        <w:tc>
          <w:tcPr>
            <w:tcW w:w="1873" w:type="dxa"/>
            <w:vAlign w:val="center"/>
          </w:tcPr>
          <w:p w14:paraId="77C08BFB">
            <w:pPr>
              <w:widowControl w:val="0"/>
              <w:jc w:val="left"/>
              <w:rPr>
                <w:color w:val="auto"/>
                <w:sz w:val="24"/>
                <w:szCs w:val="24"/>
                <w:highlight w:val="none"/>
                <w:lang w:val="en-US" w:eastAsia="zh-CN"/>
              </w:rPr>
            </w:pPr>
            <w:r>
              <w:rPr>
                <w:color w:val="auto"/>
                <w:sz w:val="24"/>
                <w:szCs w:val="24"/>
                <w:highlight w:val="none"/>
                <w:lang w:val="en-US" w:eastAsia="zh-CN" w:bidi="ar"/>
              </w:rPr>
              <w:t>Органикалық</w:t>
            </w:r>
          </w:p>
        </w:tc>
      </w:tr>
      <w:tr w14:paraId="33791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06" w:type="dxa"/>
            <w:vAlign w:val="center"/>
          </w:tcPr>
          <w:p w14:paraId="55B5A1CF">
            <w:pPr>
              <w:widowControl w:val="0"/>
              <w:jc w:val="left"/>
              <w:rPr>
                <w:color w:val="auto"/>
                <w:sz w:val="24"/>
                <w:szCs w:val="24"/>
                <w:highlight w:val="none"/>
                <w:lang w:val="en-US" w:eastAsia="zh-CN"/>
              </w:rPr>
            </w:pPr>
            <w:r>
              <w:rPr>
                <w:rStyle w:val="19"/>
                <w:b w:val="0"/>
                <w:bCs w:val="0"/>
                <w:color w:val="auto"/>
                <w:sz w:val="24"/>
                <w:szCs w:val="24"/>
                <w:highlight w:val="none"/>
                <w:lang w:val="en-US" w:eastAsia="zh-CN" w:bidi="ar"/>
              </w:rPr>
              <w:t>ЖМӨ деструкция, %</w:t>
            </w:r>
          </w:p>
        </w:tc>
        <w:tc>
          <w:tcPr>
            <w:tcW w:w="2687" w:type="dxa"/>
            <w:vAlign w:val="center"/>
          </w:tcPr>
          <w:p w14:paraId="73596826">
            <w:pPr>
              <w:widowControl w:val="0"/>
              <w:jc w:val="center"/>
              <w:rPr>
                <w:rFonts w:hint="default"/>
                <w:color w:val="auto"/>
                <w:sz w:val="24"/>
                <w:szCs w:val="24"/>
                <w:highlight w:val="none"/>
                <w:lang w:val="ru-RU" w:eastAsia="zh-CN"/>
              </w:rPr>
            </w:pPr>
            <w:r>
              <w:rPr>
                <w:rFonts w:hint="default"/>
                <w:color w:val="auto"/>
                <w:sz w:val="24"/>
                <w:szCs w:val="24"/>
                <w:highlight w:val="none"/>
                <w:lang w:val="ru-RU" w:eastAsia="zh-CN"/>
              </w:rPr>
              <w:t xml:space="preserve">23-42 </w:t>
            </w:r>
            <w:r>
              <w:rPr>
                <w:color w:val="auto"/>
                <w:sz w:val="24"/>
                <w:szCs w:val="24"/>
                <w:highlight w:val="none"/>
                <w:lang w:val="en-US" w:eastAsia="zh-CN" w:bidi="ar"/>
              </w:rPr>
              <w:t>[</w:t>
            </w:r>
            <w:r>
              <w:rPr>
                <w:color w:val="auto"/>
                <w:sz w:val="24"/>
                <w:szCs w:val="24"/>
                <w:highlight w:val="none"/>
                <w:lang w:eastAsia="zh-CN" w:bidi="ar"/>
              </w:rPr>
              <w:t>1</w:t>
            </w:r>
            <w:r>
              <w:rPr>
                <w:rFonts w:hint="default"/>
                <w:color w:val="auto"/>
                <w:sz w:val="24"/>
                <w:szCs w:val="24"/>
                <w:highlight w:val="none"/>
                <w:lang w:val="kk-KZ" w:eastAsia="zh-CN" w:bidi="ar"/>
              </w:rPr>
              <w:t>56</w:t>
            </w:r>
            <w:r>
              <w:rPr>
                <w:color w:val="auto"/>
                <w:sz w:val="24"/>
                <w:szCs w:val="24"/>
                <w:highlight w:val="none"/>
                <w:lang w:val="en-US" w:eastAsia="zh-CN" w:bidi="ar"/>
              </w:rPr>
              <w:t>]</w:t>
            </w:r>
          </w:p>
        </w:tc>
        <w:tc>
          <w:tcPr>
            <w:tcW w:w="2190" w:type="dxa"/>
            <w:vAlign w:val="center"/>
          </w:tcPr>
          <w:p w14:paraId="04FCE04E">
            <w:pPr>
              <w:widowControl w:val="0"/>
              <w:jc w:val="center"/>
              <w:rPr>
                <w:color w:val="auto"/>
                <w:sz w:val="24"/>
                <w:szCs w:val="24"/>
                <w:highlight w:val="none"/>
                <w:lang w:val="en-US" w:eastAsia="zh-CN"/>
              </w:rPr>
            </w:pPr>
            <w:r>
              <w:rPr>
                <w:color w:val="auto"/>
                <w:sz w:val="24"/>
                <w:szCs w:val="24"/>
                <w:highlight w:val="none"/>
                <w:lang w:val="en-US" w:eastAsia="zh-CN" w:bidi="ar"/>
              </w:rPr>
              <w:t>52-58 [</w:t>
            </w:r>
            <w:r>
              <w:rPr>
                <w:color w:val="auto"/>
                <w:sz w:val="24"/>
                <w:szCs w:val="24"/>
                <w:highlight w:val="none"/>
                <w:lang w:eastAsia="zh-CN" w:bidi="ar"/>
              </w:rPr>
              <w:t>14</w:t>
            </w:r>
            <w:r>
              <w:rPr>
                <w:rFonts w:hint="default"/>
                <w:color w:val="auto"/>
                <w:sz w:val="24"/>
                <w:szCs w:val="24"/>
                <w:highlight w:val="none"/>
                <w:lang w:val="kk-KZ" w:eastAsia="zh-CN" w:bidi="ar"/>
              </w:rPr>
              <w:t>2</w:t>
            </w:r>
            <w:r>
              <w:rPr>
                <w:color w:val="auto"/>
                <w:sz w:val="24"/>
                <w:szCs w:val="24"/>
                <w:highlight w:val="none"/>
                <w:lang w:val="en-US" w:eastAsia="zh-CN" w:bidi="ar"/>
              </w:rPr>
              <w:t>]</w:t>
            </w:r>
          </w:p>
        </w:tc>
        <w:tc>
          <w:tcPr>
            <w:tcW w:w="1873" w:type="dxa"/>
            <w:vAlign w:val="center"/>
          </w:tcPr>
          <w:p w14:paraId="1E17476C">
            <w:pPr>
              <w:widowControl w:val="0"/>
              <w:jc w:val="center"/>
              <w:rPr>
                <w:color w:val="auto"/>
                <w:sz w:val="24"/>
                <w:szCs w:val="24"/>
                <w:highlight w:val="none"/>
                <w:lang w:val="en-US" w:eastAsia="zh-CN"/>
              </w:rPr>
            </w:pPr>
            <w:r>
              <w:rPr>
                <w:color w:val="auto"/>
                <w:sz w:val="24"/>
                <w:szCs w:val="24"/>
                <w:highlight w:val="none"/>
                <w:lang w:val="en-US" w:eastAsia="zh-CN" w:bidi="ar"/>
              </w:rPr>
              <w:t>Органикалық</w:t>
            </w:r>
          </w:p>
        </w:tc>
      </w:tr>
      <w:tr w14:paraId="4F32F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06" w:type="dxa"/>
            <w:vAlign w:val="center"/>
          </w:tcPr>
          <w:p w14:paraId="134F057B">
            <w:pPr>
              <w:widowControl w:val="0"/>
              <w:jc w:val="left"/>
              <w:rPr>
                <w:color w:val="auto"/>
                <w:sz w:val="24"/>
                <w:szCs w:val="24"/>
                <w:highlight w:val="none"/>
                <w:lang w:val="en-US" w:eastAsia="zh-CN"/>
              </w:rPr>
            </w:pPr>
            <w:r>
              <w:rPr>
                <w:rStyle w:val="19"/>
                <w:b w:val="0"/>
                <w:bCs w:val="0"/>
                <w:color w:val="auto"/>
                <w:sz w:val="24"/>
                <w:szCs w:val="24"/>
                <w:highlight w:val="none"/>
                <w:lang w:val="en-US" w:eastAsia="zh-CN" w:bidi="ar"/>
              </w:rPr>
              <w:t>Құны, теңге/кг</w:t>
            </w:r>
          </w:p>
        </w:tc>
        <w:tc>
          <w:tcPr>
            <w:tcW w:w="2687" w:type="dxa"/>
            <w:vAlign w:val="center"/>
          </w:tcPr>
          <w:p w14:paraId="4B70E8F4">
            <w:pPr>
              <w:widowControl w:val="0"/>
              <w:jc w:val="center"/>
              <w:rPr>
                <w:color w:val="auto"/>
                <w:sz w:val="24"/>
                <w:szCs w:val="24"/>
                <w:highlight w:val="none"/>
                <w:lang w:val="en-US" w:eastAsia="zh-CN"/>
              </w:rPr>
            </w:pPr>
            <w:r>
              <w:rPr>
                <w:color w:val="auto"/>
                <w:sz w:val="24"/>
                <w:szCs w:val="24"/>
                <w:highlight w:val="none"/>
                <w:lang w:val="en-US" w:eastAsia="zh-CN" w:bidi="ar"/>
              </w:rPr>
              <w:t>Орташа/жоғары</w:t>
            </w:r>
          </w:p>
        </w:tc>
        <w:tc>
          <w:tcPr>
            <w:tcW w:w="2190" w:type="dxa"/>
            <w:vAlign w:val="center"/>
          </w:tcPr>
          <w:p w14:paraId="559FA1CB">
            <w:pPr>
              <w:widowControl w:val="0"/>
              <w:jc w:val="center"/>
              <w:rPr>
                <w:color w:val="auto"/>
                <w:sz w:val="24"/>
                <w:szCs w:val="24"/>
                <w:highlight w:val="none"/>
                <w:lang w:val="en-US" w:eastAsia="zh-CN"/>
              </w:rPr>
            </w:pPr>
            <w:r>
              <w:rPr>
                <w:color w:val="auto"/>
                <w:sz w:val="24"/>
                <w:szCs w:val="24"/>
                <w:highlight w:val="none"/>
                <w:lang w:val="en-US" w:eastAsia="zh-CN" w:bidi="ar"/>
              </w:rPr>
              <w:t>1-5 [</w:t>
            </w:r>
            <w:r>
              <w:rPr>
                <w:color w:val="auto"/>
                <w:sz w:val="24"/>
                <w:szCs w:val="24"/>
                <w:highlight w:val="none"/>
                <w:lang w:eastAsia="zh-CN" w:bidi="ar"/>
              </w:rPr>
              <w:t>1</w:t>
            </w:r>
            <w:r>
              <w:rPr>
                <w:rFonts w:hint="default"/>
                <w:color w:val="auto"/>
                <w:sz w:val="24"/>
                <w:szCs w:val="24"/>
                <w:highlight w:val="none"/>
                <w:lang w:val="kk-KZ" w:eastAsia="zh-CN" w:bidi="ar"/>
              </w:rPr>
              <w:t>17</w:t>
            </w:r>
            <w:r>
              <w:rPr>
                <w:color w:val="auto"/>
                <w:sz w:val="24"/>
                <w:szCs w:val="24"/>
                <w:highlight w:val="none"/>
                <w:lang w:val="en-US" w:eastAsia="zh-CN" w:bidi="ar"/>
              </w:rPr>
              <w:t>]</w:t>
            </w:r>
          </w:p>
        </w:tc>
        <w:tc>
          <w:tcPr>
            <w:tcW w:w="1873" w:type="dxa"/>
            <w:vAlign w:val="center"/>
          </w:tcPr>
          <w:p w14:paraId="3D898FB0">
            <w:pPr>
              <w:widowControl w:val="0"/>
              <w:jc w:val="center"/>
              <w:rPr>
                <w:color w:val="auto"/>
                <w:sz w:val="24"/>
                <w:szCs w:val="24"/>
                <w:highlight w:val="none"/>
                <w:lang w:val="en-US" w:eastAsia="zh-CN"/>
              </w:rPr>
            </w:pPr>
            <w:r>
              <w:rPr>
                <w:color w:val="auto"/>
                <w:sz w:val="24"/>
                <w:szCs w:val="24"/>
                <w:highlight w:val="none"/>
                <w:lang w:val="en-US" w:eastAsia="zh-CN" w:bidi="ar"/>
              </w:rPr>
              <w:t>Органикалық</w:t>
            </w:r>
          </w:p>
        </w:tc>
      </w:tr>
      <w:tr w14:paraId="43D75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06" w:type="dxa"/>
            <w:vAlign w:val="center"/>
          </w:tcPr>
          <w:p w14:paraId="34BADD8B">
            <w:pPr>
              <w:widowControl w:val="0"/>
              <w:jc w:val="left"/>
              <w:rPr>
                <w:color w:val="auto"/>
                <w:sz w:val="24"/>
                <w:szCs w:val="24"/>
                <w:highlight w:val="none"/>
                <w:lang w:val="en-US" w:eastAsia="zh-CN"/>
              </w:rPr>
            </w:pPr>
            <w:r>
              <w:rPr>
                <w:rStyle w:val="19"/>
                <w:b w:val="0"/>
                <w:bCs w:val="0"/>
                <w:color w:val="auto"/>
                <w:sz w:val="24"/>
                <w:szCs w:val="24"/>
                <w:highlight w:val="none"/>
                <w:lang w:val="en-US" w:eastAsia="zh-CN" w:bidi="ar"/>
              </w:rPr>
              <w:t>Қолжетімділік, т/жыл</w:t>
            </w:r>
          </w:p>
        </w:tc>
        <w:tc>
          <w:tcPr>
            <w:tcW w:w="2687" w:type="dxa"/>
            <w:vAlign w:val="center"/>
          </w:tcPr>
          <w:p w14:paraId="339A93FB">
            <w:pPr>
              <w:widowControl w:val="0"/>
              <w:jc w:val="center"/>
              <w:rPr>
                <w:color w:val="auto"/>
                <w:sz w:val="24"/>
                <w:szCs w:val="24"/>
                <w:highlight w:val="none"/>
                <w:lang w:val="en-US" w:eastAsia="zh-CN"/>
              </w:rPr>
            </w:pPr>
            <w:r>
              <w:rPr>
                <w:color w:val="auto"/>
                <w:sz w:val="24"/>
                <w:szCs w:val="24"/>
                <w:highlight w:val="none"/>
                <w:lang w:val="en-US" w:eastAsia="zh-CN" w:bidi="ar"/>
              </w:rPr>
              <w:t>Шектеулі</w:t>
            </w:r>
          </w:p>
        </w:tc>
        <w:tc>
          <w:tcPr>
            <w:tcW w:w="2190" w:type="dxa"/>
            <w:vAlign w:val="center"/>
          </w:tcPr>
          <w:p w14:paraId="4274BF77">
            <w:pPr>
              <w:widowControl w:val="0"/>
              <w:jc w:val="center"/>
              <w:rPr>
                <w:color w:val="auto"/>
                <w:sz w:val="24"/>
                <w:szCs w:val="24"/>
                <w:highlight w:val="none"/>
                <w:lang w:val="en-US" w:eastAsia="zh-CN"/>
              </w:rPr>
            </w:pPr>
            <w:r>
              <w:rPr>
                <w:color w:val="auto"/>
                <w:sz w:val="24"/>
                <w:szCs w:val="24"/>
                <w:highlight w:val="none"/>
                <w:lang w:val="en-US" w:eastAsia="zh-CN" w:bidi="ar"/>
              </w:rPr>
              <w:t>28-36 мың [</w:t>
            </w:r>
            <w:r>
              <w:rPr>
                <w:color w:val="auto"/>
                <w:sz w:val="24"/>
                <w:szCs w:val="24"/>
                <w:highlight w:val="none"/>
                <w:lang w:eastAsia="zh-CN" w:bidi="ar"/>
              </w:rPr>
              <w:t>1</w:t>
            </w:r>
            <w:r>
              <w:rPr>
                <w:rFonts w:hint="default"/>
                <w:color w:val="auto"/>
                <w:sz w:val="24"/>
                <w:szCs w:val="24"/>
                <w:highlight w:val="none"/>
                <w:lang w:val="kk-KZ" w:eastAsia="zh-CN" w:bidi="ar"/>
              </w:rPr>
              <w:t>17</w:t>
            </w:r>
            <w:r>
              <w:rPr>
                <w:color w:val="auto"/>
                <w:sz w:val="24"/>
                <w:szCs w:val="24"/>
                <w:highlight w:val="none"/>
                <w:lang w:val="en-US" w:eastAsia="zh-CN" w:bidi="ar"/>
              </w:rPr>
              <w:t>]</w:t>
            </w:r>
          </w:p>
        </w:tc>
        <w:tc>
          <w:tcPr>
            <w:tcW w:w="1873" w:type="dxa"/>
            <w:vAlign w:val="center"/>
          </w:tcPr>
          <w:p w14:paraId="047F6780">
            <w:pPr>
              <w:widowControl w:val="0"/>
              <w:jc w:val="center"/>
              <w:rPr>
                <w:color w:val="auto"/>
                <w:sz w:val="24"/>
                <w:szCs w:val="24"/>
                <w:highlight w:val="none"/>
                <w:lang w:val="en-US" w:eastAsia="zh-CN"/>
              </w:rPr>
            </w:pPr>
            <w:r>
              <w:rPr>
                <w:color w:val="auto"/>
                <w:sz w:val="24"/>
                <w:szCs w:val="24"/>
                <w:highlight w:val="none"/>
                <w:lang w:val="en-US" w:eastAsia="zh-CN" w:bidi="ar"/>
              </w:rPr>
              <w:t>Органикалық</w:t>
            </w:r>
          </w:p>
        </w:tc>
      </w:tr>
    </w:tbl>
    <w:p w14:paraId="19F20391">
      <w:pPr>
        <w:pStyle w:val="35"/>
        <w:spacing w:beforeAutospacing="0" w:afterAutospacing="0"/>
        <w:ind w:firstLine="709"/>
        <w:rPr>
          <w:color w:val="auto"/>
          <w:sz w:val="28"/>
          <w:szCs w:val="28"/>
          <w:highlight w:val="yellow"/>
        </w:rPr>
      </w:pPr>
    </w:p>
    <w:p w14:paraId="3103CFF9">
      <w:pPr>
        <w:pStyle w:val="35"/>
        <w:spacing w:beforeAutospacing="0" w:afterAutospacing="0"/>
        <w:ind w:firstLine="709"/>
        <w:jc w:val="both"/>
        <w:rPr>
          <w:color w:val="auto"/>
          <w:sz w:val="28"/>
          <w:szCs w:val="28"/>
        </w:rPr>
      </w:pPr>
      <w:r>
        <w:rPr>
          <w:color w:val="auto"/>
          <w:sz w:val="28"/>
          <w:szCs w:val="28"/>
        </w:rPr>
        <w:t xml:space="preserve">Минералдық және органикалық </w:t>
      </w:r>
      <w:r>
        <w:rPr>
          <w:color w:val="auto"/>
          <w:sz w:val="28"/>
          <w:szCs w:val="28"/>
          <w:lang w:val="kk-KZ"/>
        </w:rPr>
        <w:t>тасымалдаушылардың</w:t>
      </w:r>
      <w:r>
        <w:rPr>
          <w:color w:val="auto"/>
          <w:sz w:val="28"/>
          <w:szCs w:val="28"/>
        </w:rPr>
        <w:t xml:space="preserve"> салыстырмалы талдауы (Кесте 14) әртүрлі функционалдық </w:t>
      </w:r>
      <w:r>
        <w:rPr>
          <w:color w:val="auto"/>
          <w:sz w:val="28"/>
          <w:szCs w:val="28"/>
          <w:lang w:val="kk-KZ"/>
        </w:rPr>
        <w:t>ерекшеліктерін айқындайды.</w:t>
      </w:r>
      <w:r>
        <w:rPr>
          <w:color w:val="auto"/>
          <w:sz w:val="28"/>
          <w:szCs w:val="28"/>
        </w:rPr>
        <w:t xml:space="preserve"> Цеолит пен керамзит жоғары физикалық сорбциялық сыйымдылық</w:t>
      </w:r>
      <w:r>
        <w:rPr>
          <w:color w:val="auto"/>
          <w:sz w:val="28"/>
          <w:szCs w:val="28"/>
          <w:lang w:val="kk-KZ"/>
        </w:rPr>
        <w:t xml:space="preserve">қа </w:t>
      </w:r>
      <w:r>
        <w:rPr>
          <w:color w:val="auto"/>
          <w:sz w:val="28"/>
          <w:szCs w:val="28"/>
        </w:rPr>
        <w:t>[1</w:t>
      </w:r>
      <w:r>
        <w:rPr>
          <w:rFonts w:hint="default"/>
          <w:color w:val="auto"/>
          <w:sz w:val="28"/>
          <w:szCs w:val="28"/>
          <w:lang w:val="en-US"/>
        </w:rPr>
        <w:t>57</w:t>
      </w:r>
      <w:r>
        <w:rPr>
          <w:color w:val="auto"/>
          <w:sz w:val="28"/>
          <w:szCs w:val="28"/>
        </w:rPr>
        <w:t>] және механикалық беріктік</w:t>
      </w:r>
      <w:r>
        <w:rPr>
          <w:color w:val="auto"/>
          <w:sz w:val="28"/>
          <w:szCs w:val="28"/>
          <w:lang w:val="kk-KZ"/>
        </w:rPr>
        <w:t>ке</w:t>
      </w:r>
      <w:r>
        <w:rPr>
          <w:color w:val="auto"/>
          <w:sz w:val="28"/>
          <w:szCs w:val="28"/>
        </w:rPr>
        <w:t xml:space="preserve"> </w:t>
      </w:r>
      <w:r>
        <w:rPr>
          <w:color w:val="auto"/>
          <w:sz w:val="28"/>
          <w:szCs w:val="28"/>
          <w:lang w:val="kk-KZ"/>
        </w:rPr>
        <w:t>ие</w:t>
      </w:r>
      <w:r>
        <w:rPr>
          <w:color w:val="auto"/>
          <w:sz w:val="28"/>
          <w:szCs w:val="28"/>
        </w:rPr>
        <w:t xml:space="preserve">, бұл оларды қайта пайдалануға және ұзақ мерзімді қолдануға </w:t>
      </w:r>
      <w:r>
        <w:rPr>
          <w:color w:val="auto"/>
          <w:sz w:val="28"/>
          <w:szCs w:val="28"/>
          <w:lang w:val="kk-KZ"/>
        </w:rPr>
        <w:t>тиімді</w:t>
      </w:r>
      <w:r>
        <w:rPr>
          <w:color w:val="auto"/>
          <w:sz w:val="28"/>
          <w:szCs w:val="28"/>
        </w:rPr>
        <w:t xml:space="preserve"> етеді. Алайда, минералдық тасымалдағыштар биодеградацияланбайды, қоректік элементтер бермейді және </w:t>
      </w:r>
      <w:r>
        <w:rPr>
          <w:color w:val="auto"/>
          <w:sz w:val="28"/>
          <w:szCs w:val="28"/>
          <w:lang w:val="kk-KZ"/>
        </w:rPr>
        <w:t xml:space="preserve">олардың құны </w:t>
      </w:r>
      <w:r>
        <w:rPr>
          <w:color w:val="auto"/>
          <w:sz w:val="28"/>
          <w:szCs w:val="28"/>
        </w:rPr>
        <w:t xml:space="preserve">салыстырмалы </w:t>
      </w:r>
      <w:r>
        <w:rPr>
          <w:color w:val="auto"/>
          <w:sz w:val="28"/>
          <w:szCs w:val="28"/>
          <w:lang w:val="kk-KZ"/>
        </w:rPr>
        <w:t xml:space="preserve">жоғары </w:t>
      </w:r>
      <w:r>
        <w:rPr>
          <w:color w:val="auto"/>
          <w:sz w:val="28"/>
          <w:szCs w:val="28"/>
        </w:rPr>
        <w:t>[1</w:t>
      </w:r>
      <w:r>
        <w:rPr>
          <w:rFonts w:hint="default"/>
          <w:color w:val="auto"/>
          <w:sz w:val="28"/>
          <w:szCs w:val="28"/>
          <w:lang w:val="en-US"/>
        </w:rPr>
        <w:t>52, 153</w:t>
      </w:r>
      <w:r>
        <w:rPr>
          <w:color w:val="auto"/>
          <w:sz w:val="28"/>
          <w:szCs w:val="28"/>
        </w:rPr>
        <w:t xml:space="preserve">]. </w:t>
      </w:r>
    </w:p>
    <w:p w14:paraId="4A6397F9">
      <w:pPr>
        <w:pStyle w:val="35"/>
        <w:spacing w:beforeAutospacing="0" w:afterAutospacing="0"/>
        <w:ind w:firstLine="709"/>
        <w:jc w:val="both"/>
        <w:rPr>
          <w:color w:val="auto"/>
          <w:sz w:val="28"/>
          <w:szCs w:val="28"/>
        </w:rPr>
      </w:pPr>
      <w:r>
        <w:rPr>
          <w:color w:val="auto"/>
          <w:sz w:val="28"/>
          <w:szCs w:val="28"/>
          <w:lang w:val="kk-KZ"/>
        </w:rPr>
        <w:t>Органикалық тасымалдауыштар мысалы, қ</w:t>
      </w:r>
      <w:r>
        <w:rPr>
          <w:color w:val="auto"/>
          <w:sz w:val="28"/>
          <w:szCs w:val="28"/>
        </w:rPr>
        <w:t xml:space="preserve">арақұмық пен күріш қауыздары көпфункционалды биологиялық артықшылықтармен </w:t>
      </w:r>
      <w:r>
        <w:rPr>
          <w:color w:val="auto"/>
          <w:sz w:val="28"/>
          <w:szCs w:val="28"/>
          <w:lang w:val="kk-KZ"/>
        </w:rPr>
        <w:t>ерекшелінеді</w:t>
      </w:r>
      <w:r>
        <w:rPr>
          <w:color w:val="auto"/>
          <w:sz w:val="28"/>
          <w:szCs w:val="28"/>
        </w:rPr>
        <w:t>: жоғары иммобилизация тиімділігі, жасуша тығыздығы, ЖМӨ деструкциясы [1</w:t>
      </w:r>
      <w:r>
        <w:rPr>
          <w:rFonts w:hint="default"/>
          <w:color w:val="auto"/>
          <w:sz w:val="28"/>
          <w:szCs w:val="28"/>
          <w:lang w:val="en-US"/>
        </w:rPr>
        <w:t>31</w:t>
      </w:r>
      <w:r>
        <w:rPr>
          <w:color w:val="auto"/>
          <w:sz w:val="28"/>
          <w:szCs w:val="28"/>
        </w:rPr>
        <w:t xml:space="preserve">]. </w:t>
      </w:r>
      <w:r>
        <w:rPr>
          <w:color w:val="auto"/>
          <w:sz w:val="28"/>
          <w:szCs w:val="28"/>
          <w:lang w:val="kk-KZ"/>
        </w:rPr>
        <w:t>Олардың тағы бір м</w:t>
      </w:r>
      <w:r>
        <w:rPr>
          <w:color w:val="auto"/>
          <w:sz w:val="28"/>
          <w:szCs w:val="28"/>
        </w:rPr>
        <w:t>аңызды артықшылы</w:t>
      </w:r>
      <w:r>
        <w:rPr>
          <w:color w:val="auto"/>
          <w:sz w:val="28"/>
          <w:szCs w:val="28"/>
          <w:lang w:val="kk-KZ"/>
        </w:rPr>
        <w:t xml:space="preserve">ғы - </w:t>
      </w:r>
      <w:r>
        <w:rPr>
          <w:color w:val="auto"/>
          <w:sz w:val="28"/>
          <w:szCs w:val="28"/>
        </w:rPr>
        <w:t>антиоксиданттық қорғау (рутин 15</w:t>
      </w:r>
      <w:r>
        <w:rPr>
          <w:rFonts w:hint="default"/>
          <w:color w:val="auto"/>
          <w:sz w:val="28"/>
          <w:szCs w:val="28"/>
          <w:lang w:val="ru-RU"/>
        </w:rPr>
        <w:t>,0</w:t>
      </w:r>
      <w:r>
        <w:rPr>
          <w:color w:val="auto"/>
          <w:sz w:val="28"/>
          <w:szCs w:val="28"/>
        </w:rPr>
        <w:t>-28</w:t>
      </w:r>
      <w:r>
        <w:rPr>
          <w:rFonts w:hint="default"/>
          <w:color w:val="auto"/>
          <w:sz w:val="28"/>
          <w:szCs w:val="28"/>
          <w:lang w:val="ru-RU"/>
        </w:rPr>
        <w:t>,</w:t>
      </w:r>
      <w:r>
        <w:rPr>
          <w:color w:val="auto"/>
          <w:sz w:val="28"/>
          <w:szCs w:val="28"/>
        </w:rPr>
        <w:t>8 мг/100г)</w:t>
      </w:r>
      <w:r>
        <w:rPr>
          <w:color w:val="auto"/>
          <w:sz w:val="28"/>
          <w:szCs w:val="28"/>
          <w:lang w:val="kk-KZ"/>
        </w:rPr>
        <w:t xml:space="preserve"> </w:t>
      </w:r>
      <w:r>
        <w:rPr>
          <w:color w:val="auto"/>
          <w:sz w:val="28"/>
          <w:szCs w:val="28"/>
        </w:rPr>
        <w:t>[1</w:t>
      </w:r>
      <w:r>
        <w:rPr>
          <w:color w:val="auto"/>
          <w:sz w:val="28"/>
          <w:szCs w:val="28"/>
          <w:lang w:val="kk-KZ"/>
        </w:rPr>
        <w:t>6</w:t>
      </w:r>
      <w:r>
        <w:rPr>
          <w:rFonts w:hint="default"/>
          <w:color w:val="auto"/>
          <w:sz w:val="28"/>
          <w:szCs w:val="28"/>
          <w:lang w:val="en-US"/>
        </w:rPr>
        <w:t>3</w:t>
      </w:r>
      <w:r>
        <w:rPr>
          <w:color w:val="auto"/>
          <w:sz w:val="28"/>
          <w:szCs w:val="28"/>
        </w:rPr>
        <w:t>], қоректік қолдау (белок 3</w:t>
      </w:r>
      <w:r>
        <w:rPr>
          <w:rFonts w:hint="default"/>
          <w:color w:val="auto"/>
          <w:sz w:val="28"/>
          <w:szCs w:val="28"/>
          <w:lang w:val="ru-RU"/>
        </w:rPr>
        <w:t>,0</w:t>
      </w:r>
      <w:r>
        <w:rPr>
          <w:color w:val="auto"/>
          <w:sz w:val="28"/>
          <w:szCs w:val="28"/>
        </w:rPr>
        <w:t>-7</w:t>
      </w:r>
      <w:r>
        <w:rPr>
          <w:rFonts w:hint="default"/>
          <w:color w:val="auto"/>
          <w:sz w:val="28"/>
          <w:szCs w:val="28"/>
          <w:lang w:val="ru-RU"/>
        </w:rPr>
        <w:t>,0</w:t>
      </w:r>
      <w:r>
        <w:rPr>
          <w:color w:val="auto"/>
          <w:sz w:val="28"/>
          <w:szCs w:val="28"/>
        </w:rPr>
        <w:t>%)</w:t>
      </w:r>
      <w:r>
        <w:rPr>
          <w:color w:val="auto"/>
          <w:sz w:val="28"/>
          <w:szCs w:val="28"/>
          <w:lang w:val="kk-KZ"/>
        </w:rPr>
        <w:t xml:space="preserve"> </w:t>
      </w:r>
      <w:r>
        <w:rPr>
          <w:color w:val="auto"/>
          <w:sz w:val="28"/>
          <w:szCs w:val="28"/>
        </w:rPr>
        <w:t>[</w:t>
      </w:r>
      <w:r>
        <w:rPr>
          <w:rFonts w:hint="default"/>
          <w:color w:val="auto"/>
          <w:sz w:val="28"/>
          <w:szCs w:val="28"/>
          <w:lang w:val="en-US"/>
        </w:rPr>
        <w:t>160</w:t>
      </w:r>
      <w:r>
        <w:rPr>
          <w:color w:val="auto"/>
          <w:sz w:val="28"/>
          <w:szCs w:val="28"/>
        </w:rPr>
        <w:t xml:space="preserve">], жоғары ылғал сақтау (55% </w:t>
      </w:r>
      <w:r>
        <w:rPr>
          <w:color w:val="auto"/>
          <w:sz w:val="28"/>
          <w:szCs w:val="28"/>
          <w:lang w:val="kk-KZ"/>
        </w:rPr>
        <w:t>салыстырмалы</w:t>
      </w:r>
      <w:r>
        <w:rPr>
          <w:color w:val="auto"/>
          <w:sz w:val="28"/>
          <w:szCs w:val="28"/>
        </w:rPr>
        <w:t xml:space="preserve"> 38%), ферменттік белсенділікті арттыру (каталаза +68%, липаза +80%) [</w:t>
      </w:r>
      <w:r>
        <w:rPr>
          <w:rFonts w:hint="default"/>
          <w:color w:val="auto"/>
          <w:sz w:val="28"/>
          <w:szCs w:val="28"/>
          <w:lang w:val="en-US"/>
        </w:rPr>
        <w:t>131</w:t>
      </w:r>
      <w:r>
        <w:rPr>
          <w:color w:val="auto"/>
          <w:sz w:val="28"/>
          <w:szCs w:val="28"/>
        </w:rPr>
        <w:t xml:space="preserve">]. </w:t>
      </w:r>
    </w:p>
    <w:p w14:paraId="32A4CFF4">
      <w:pPr>
        <w:pStyle w:val="35"/>
        <w:spacing w:beforeAutospacing="0" w:afterAutospacing="0"/>
        <w:ind w:firstLine="709"/>
        <w:jc w:val="both"/>
        <w:rPr>
          <w:color w:val="auto"/>
          <w:sz w:val="28"/>
          <w:szCs w:val="28"/>
        </w:rPr>
      </w:pPr>
      <w:r>
        <w:rPr>
          <w:color w:val="auto"/>
          <w:sz w:val="28"/>
          <w:szCs w:val="28"/>
        </w:rPr>
        <w:t>Экономикалық тиімділік, толық биодеградация</w:t>
      </w:r>
      <w:r>
        <w:rPr>
          <w:color w:val="auto"/>
          <w:sz w:val="28"/>
          <w:szCs w:val="28"/>
          <w:lang w:val="kk-KZ"/>
        </w:rPr>
        <w:t>, сондай-ақ</w:t>
      </w:r>
      <w:r>
        <w:rPr>
          <w:color w:val="auto"/>
          <w:sz w:val="28"/>
          <w:szCs w:val="28"/>
        </w:rPr>
        <w:t xml:space="preserve"> топырақ құрылымын жақсарту</w:t>
      </w:r>
      <w:r>
        <w:rPr>
          <w:color w:val="auto"/>
          <w:sz w:val="28"/>
          <w:szCs w:val="28"/>
          <w:lang w:val="kk-KZ"/>
        </w:rPr>
        <w:t>ы</w:t>
      </w:r>
      <w:r>
        <w:rPr>
          <w:color w:val="auto"/>
          <w:sz w:val="28"/>
          <w:szCs w:val="28"/>
        </w:rPr>
        <w:t xml:space="preserve"> агроқалдықтарды Қазақстан жағдайларына оңтайлы етеді. Осы себептер</w:t>
      </w:r>
      <w:r>
        <w:rPr>
          <w:color w:val="auto"/>
          <w:sz w:val="28"/>
          <w:szCs w:val="28"/>
          <w:lang w:val="kk-KZ"/>
        </w:rPr>
        <w:t>ге байланысты,</w:t>
      </w:r>
      <w:r>
        <w:rPr>
          <w:color w:val="auto"/>
          <w:sz w:val="28"/>
          <w:szCs w:val="28"/>
        </w:rPr>
        <w:t xml:space="preserve"> әрі қарай барлық биоремедиациялық эксперименттерде органикалық тасымалда</w:t>
      </w:r>
      <w:r>
        <w:rPr>
          <w:color w:val="auto"/>
          <w:sz w:val="28"/>
          <w:szCs w:val="28"/>
          <w:lang w:val="kk-KZ"/>
        </w:rPr>
        <w:t>уыштар</w:t>
      </w:r>
      <w:r>
        <w:rPr>
          <w:color w:val="auto"/>
          <w:sz w:val="28"/>
          <w:szCs w:val="28"/>
        </w:rPr>
        <w:t xml:space="preserve"> - қарақұмық және күріш қауыздары қолданылды, ал минералдық тасымалдағыштар тек бастапқы салыстырмалы сипаттама үшін зерттелді.</w:t>
      </w:r>
    </w:p>
    <w:p w14:paraId="42440F43">
      <w:pPr>
        <w:pStyle w:val="35"/>
        <w:spacing w:beforeAutospacing="0" w:afterAutospacing="0"/>
        <w:ind w:firstLine="709"/>
        <w:jc w:val="both"/>
        <w:rPr>
          <w:color w:val="auto"/>
          <w:sz w:val="28"/>
          <w:szCs w:val="28"/>
        </w:rPr>
      </w:pPr>
    </w:p>
    <w:p w14:paraId="3B4567A8">
      <w:pPr>
        <w:pStyle w:val="35"/>
        <w:spacing w:beforeAutospacing="0" w:afterAutospacing="0"/>
        <w:ind w:firstLine="709"/>
        <w:jc w:val="both"/>
        <w:rPr>
          <w:color w:val="auto"/>
          <w:sz w:val="28"/>
          <w:szCs w:val="28"/>
        </w:rPr>
      </w:pPr>
    </w:p>
    <w:p w14:paraId="0A98CD7C">
      <w:pPr>
        <w:pStyle w:val="35"/>
        <w:spacing w:beforeAutospacing="0" w:afterAutospacing="0"/>
        <w:ind w:firstLine="709"/>
        <w:jc w:val="both"/>
        <w:rPr>
          <w:color w:val="auto"/>
          <w:sz w:val="28"/>
          <w:szCs w:val="28"/>
        </w:rPr>
      </w:pPr>
    </w:p>
    <w:p w14:paraId="32782F69">
      <w:pPr>
        <w:pStyle w:val="35"/>
        <w:spacing w:beforeAutospacing="0" w:afterAutospacing="0"/>
        <w:ind w:firstLine="709"/>
        <w:jc w:val="both"/>
        <w:rPr>
          <w:b/>
          <w:bCs/>
          <w:color w:val="auto"/>
          <w:sz w:val="28"/>
          <w:szCs w:val="28"/>
          <w:lang w:val="kk-KZ"/>
        </w:rPr>
      </w:pPr>
      <w:r>
        <w:rPr>
          <w:b/>
          <w:bCs/>
          <w:color w:val="auto"/>
          <w:sz w:val="28"/>
          <w:szCs w:val="28"/>
          <w:lang w:val="ru-RU"/>
        </w:rPr>
        <w:t>3</w:t>
      </w:r>
      <w:r>
        <w:rPr>
          <w:rFonts w:hint="default"/>
          <w:b/>
          <w:bCs/>
          <w:color w:val="auto"/>
          <w:sz w:val="28"/>
          <w:szCs w:val="28"/>
          <w:lang w:val="kk-KZ"/>
        </w:rPr>
        <w:t>.</w:t>
      </w:r>
      <w:r>
        <w:rPr>
          <w:b/>
          <w:bCs/>
          <w:color w:val="auto"/>
          <w:sz w:val="28"/>
          <w:szCs w:val="28"/>
          <w:lang w:val="ru-RU"/>
        </w:rPr>
        <w:t>2</w:t>
      </w:r>
      <w:r>
        <w:rPr>
          <w:rFonts w:hint="default"/>
          <w:b/>
          <w:bCs/>
          <w:color w:val="auto"/>
          <w:sz w:val="28"/>
          <w:szCs w:val="28"/>
          <w:lang w:val="kk-KZ"/>
        </w:rPr>
        <w:t>.</w:t>
      </w:r>
      <w:r>
        <w:rPr>
          <w:b/>
          <w:bCs/>
          <w:color w:val="auto"/>
          <w:sz w:val="28"/>
          <w:szCs w:val="28"/>
        </w:rPr>
        <w:t xml:space="preserve"> Иммобилизация процесінің тиімділігі</w:t>
      </w:r>
      <w:r>
        <w:rPr>
          <w:b/>
          <w:bCs/>
          <w:color w:val="auto"/>
          <w:sz w:val="28"/>
          <w:szCs w:val="28"/>
          <w:lang w:val="kk-KZ"/>
        </w:rPr>
        <w:t>н зерттеу</w:t>
      </w:r>
    </w:p>
    <w:p w14:paraId="1861BE2D">
      <w:pPr>
        <w:pStyle w:val="35"/>
        <w:spacing w:beforeAutospacing="0" w:afterAutospacing="0"/>
        <w:ind w:firstLine="709"/>
        <w:jc w:val="both"/>
        <w:rPr>
          <w:color w:val="auto"/>
          <w:sz w:val="28"/>
          <w:szCs w:val="28"/>
        </w:rPr>
      </w:pPr>
      <w:r>
        <w:rPr>
          <w:color w:val="auto"/>
          <w:sz w:val="28"/>
          <w:szCs w:val="28"/>
        </w:rPr>
        <w:t>Қарақұмық қауызына иммобилизацияланған жасушалар ең жоғары тіршілік етуді көрсетті - орташа 7</w:t>
      </w:r>
      <w:r>
        <w:rPr>
          <w:rFonts w:hint="default"/>
          <w:color w:val="auto"/>
          <w:sz w:val="28"/>
          <w:szCs w:val="28"/>
          <w:lang w:val="ru-RU"/>
        </w:rPr>
        <w:t>,</w:t>
      </w:r>
      <w:r>
        <w:rPr>
          <w:color w:val="auto"/>
          <w:sz w:val="28"/>
          <w:szCs w:val="28"/>
        </w:rPr>
        <w:t>4</w:t>
      </w:r>
      <w:r>
        <w:rPr>
          <w:color w:val="auto"/>
          <w:sz w:val="28"/>
          <w:szCs w:val="28"/>
          <w:highlight w:val="none"/>
          <w:u w:val="single"/>
        </w:rPr>
        <w:t>+</w:t>
      </w:r>
      <w:r>
        <w:rPr>
          <w:color w:val="auto"/>
          <w:sz w:val="28"/>
          <w:szCs w:val="28"/>
          <w:highlight w:val="none"/>
        </w:rPr>
        <w:t>0,08 lg КТБ/г, бұл бос жасушалардан (4</w:t>
      </w:r>
      <w:r>
        <w:rPr>
          <w:rFonts w:hint="default"/>
          <w:color w:val="auto"/>
          <w:sz w:val="28"/>
          <w:szCs w:val="28"/>
          <w:highlight w:val="none"/>
          <w:lang w:val="ru-RU"/>
        </w:rPr>
        <w:t>,</w:t>
      </w:r>
      <w:r>
        <w:rPr>
          <w:color w:val="auto"/>
          <w:sz w:val="28"/>
          <w:szCs w:val="28"/>
          <w:highlight w:val="none"/>
        </w:rPr>
        <w:t xml:space="preserve">9 </w:t>
      </w:r>
      <w:r>
        <w:rPr>
          <w:color w:val="auto"/>
          <w:sz w:val="28"/>
          <w:szCs w:val="28"/>
          <w:highlight w:val="none"/>
          <w:u w:val="single"/>
        </w:rPr>
        <w:t>+</w:t>
      </w:r>
      <w:r>
        <w:rPr>
          <w:color w:val="auto"/>
          <w:sz w:val="28"/>
          <w:szCs w:val="28"/>
          <w:highlight w:val="none"/>
        </w:rPr>
        <w:t>0,10 lg КТБ/г) 2</w:t>
      </w:r>
      <w:r>
        <w:rPr>
          <w:rFonts w:hint="default"/>
          <w:color w:val="auto"/>
          <w:sz w:val="28"/>
          <w:szCs w:val="28"/>
          <w:highlight w:val="none"/>
          <w:lang w:val="ru-RU"/>
        </w:rPr>
        <w:t>,</w:t>
      </w:r>
      <w:r>
        <w:rPr>
          <w:color w:val="auto"/>
          <w:sz w:val="28"/>
          <w:szCs w:val="28"/>
          <w:highlight w:val="none"/>
        </w:rPr>
        <w:t>5</w:t>
      </w:r>
      <w:r>
        <w:rPr>
          <w:color w:val="auto"/>
          <w:sz w:val="28"/>
          <w:szCs w:val="28"/>
          <w:highlight w:val="none"/>
          <w:u w:val="single"/>
        </w:rPr>
        <w:t>+</w:t>
      </w:r>
      <w:r>
        <w:rPr>
          <w:color w:val="auto"/>
          <w:sz w:val="28"/>
          <w:szCs w:val="28"/>
          <w:highlight w:val="none"/>
        </w:rPr>
        <w:t>0,14  lg бірлікк</w:t>
      </w:r>
      <w:r>
        <w:rPr>
          <w:color w:val="auto"/>
          <w:sz w:val="28"/>
          <w:szCs w:val="28"/>
        </w:rPr>
        <w:t>е (яғни ~316 есе) жоғары [1</w:t>
      </w:r>
      <w:r>
        <w:rPr>
          <w:rFonts w:hint="default"/>
          <w:color w:val="auto"/>
          <w:sz w:val="28"/>
          <w:szCs w:val="28"/>
          <w:lang w:val="en-US"/>
        </w:rPr>
        <w:t>31</w:t>
      </w:r>
      <w:r>
        <w:rPr>
          <w:color w:val="auto"/>
          <w:sz w:val="28"/>
          <w:szCs w:val="28"/>
        </w:rPr>
        <w:t>]. Күріш қауызы</w:t>
      </w:r>
      <w:r>
        <w:rPr>
          <w:color w:val="auto"/>
          <w:sz w:val="28"/>
          <w:szCs w:val="28"/>
          <w:lang w:val="kk-KZ"/>
        </w:rPr>
        <w:t>на иммобилизацияланған жасушалар</w:t>
      </w:r>
      <w:r>
        <w:rPr>
          <w:color w:val="auto"/>
          <w:sz w:val="28"/>
          <w:szCs w:val="28"/>
        </w:rPr>
        <w:t xml:space="preserve"> орташа </w:t>
      </w:r>
      <w:r>
        <w:rPr>
          <w:color w:val="auto"/>
          <w:sz w:val="28"/>
          <w:szCs w:val="28"/>
          <w:lang w:val="kk-KZ"/>
        </w:rPr>
        <w:t xml:space="preserve">денгейдегі </w:t>
      </w:r>
      <w:r>
        <w:rPr>
          <w:color w:val="auto"/>
          <w:sz w:val="28"/>
          <w:szCs w:val="28"/>
        </w:rPr>
        <w:t>нәтиже</w:t>
      </w:r>
      <w:r>
        <w:rPr>
          <w:color w:val="auto"/>
          <w:sz w:val="28"/>
          <w:szCs w:val="28"/>
          <w:lang w:val="kk-KZ"/>
        </w:rPr>
        <w:t>лерді</w:t>
      </w:r>
      <w:r>
        <w:rPr>
          <w:color w:val="auto"/>
          <w:sz w:val="28"/>
          <w:szCs w:val="28"/>
        </w:rPr>
        <w:t xml:space="preserve"> көрсетті - 6</w:t>
      </w:r>
      <w:r>
        <w:rPr>
          <w:rFonts w:hint="default"/>
          <w:color w:val="auto"/>
          <w:sz w:val="28"/>
          <w:szCs w:val="28"/>
          <w:lang w:val="ru-RU"/>
        </w:rPr>
        <w:t>,</w:t>
      </w:r>
      <w:r>
        <w:rPr>
          <w:color w:val="auto"/>
          <w:sz w:val="28"/>
          <w:szCs w:val="28"/>
        </w:rPr>
        <w:t xml:space="preserve">6 </w:t>
      </w:r>
      <w:r>
        <w:rPr>
          <w:color w:val="auto"/>
          <w:sz w:val="28"/>
          <w:szCs w:val="28"/>
          <w:u w:val="single"/>
        </w:rPr>
        <w:t>+</w:t>
      </w:r>
      <w:r>
        <w:rPr>
          <w:color w:val="auto"/>
          <w:sz w:val="28"/>
          <w:szCs w:val="28"/>
        </w:rPr>
        <w:t>0,12</w:t>
      </w:r>
      <w:r>
        <w:rPr>
          <w:color w:val="auto"/>
          <w:sz w:val="28"/>
          <w:szCs w:val="28"/>
          <w:highlight w:val="none"/>
        </w:rPr>
        <w:t xml:space="preserve"> lg К</w:t>
      </w:r>
      <w:r>
        <w:rPr>
          <w:color w:val="auto"/>
          <w:sz w:val="28"/>
          <w:szCs w:val="28"/>
        </w:rPr>
        <w:t>ТБ/г, бұл әлі де бос жасушалардан 1</w:t>
      </w:r>
      <w:r>
        <w:rPr>
          <w:rFonts w:hint="default"/>
          <w:color w:val="auto"/>
          <w:sz w:val="28"/>
          <w:szCs w:val="28"/>
          <w:lang w:val="ru-RU"/>
        </w:rPr>
        <w:t>,</w:t>
      </w:r>
      <w:r>
        <w:rPr>
          <w:color w:val="auto"/>
          <w:sz w:val="28"/>
          <w:szCs w:val="28"/>
        </w:rPr>
        <w:t>7</w:t>
      </w:r>
      <w:r>
        <w:rPr>
          <w:color w:val="auto"/>
          <w:sz w:val="28"/>
          <w:szCs w:val="28"/>
          <w:u w:val="single"/>
        </w:rPr>
        <w:t>+</w:t>
      </w:r>
      <w:r>
        <w:rPr>
          <w:color w:val="auto"/>
          <w:sz w:val="28"/>
          <w:szCs w:val="28"/>
        </w:rPr>
        <w:t>0</w:t>
      </w:r>
      <w:r>
        <w:rPr>
          <w:rFonts w:hint="default"/>
          <w:color w:val="auto"/>
          <w:sz w:val="28"/>
          <w:szCs w:val="28"/>
          <w:lang w:val="ru-RU"/>
        </w:rPr>
        <w:t>,</w:t>
      </w:r>
      <w:r>
        <w:rPr>
          <w:color w:val="auto"/>
          <w:sz w:val="28"/>
          <w:szCs w:val="28"/>
          <w:highlight w:val="none"/>
        </w:rPr>
        <w:t>18</w:t>
      </w:r>
      <w:r>
        <w:rPr>
          <w:rFonts w:hint="default"/>
          <w:color w:val="auto"/>
          <w:sz w:val="28"/>
          <w:szCs w:val="28"/>
          <w:highlight w:val="none"/>
          <w:lang w:val="ru-RU"/>
        </w:rPr>
        <w:t xml:space="preserve"> </w:t>
      </w:r>
      <w:r>
        <w:rPr>
          <w:color w:val="auto"/>
          <w:sz w:val="28"/>
          <w:szCs w:val="28"/>
          <w:highlight w:val="none"/>
        </w:rPr>
        <w:t xml:space="preserve">lg бірлікке (яғни ~50 есе) </w:t>
      </w:r>
      <w:r>
        <w:rPr>
          <w:color w:val="auto"/>
          <w:sz w:val="28"/>
          <w:szCs w:val="28"/>
          <w:highlight w:val="none"/>
          <w:lang w:val="kk-KZ"/>
        </w:rPr>
        <w:t>сәйкес келеді</w:t>
      </w:r>
      <w:r>
        <w:rPr>
          <w:color w:val="auto"/>
          <w:sz w:val="28"/>
          <w:szCs w:val="28"/>
          <w:highlight w:val="none"/>
        </w:rPr>
        <w:t xml:space="preserve">. </w:t>
      </w:r>
      <w:r>
        <w:rPr>
          <w:color w:val="auto"/>
          <w:sz w:val="28"/>
          <w:szCs w:val="28"/>
          <w:highlight w:val="none"/>
          <w:lang w:val="kk-KZ"/>
        </w:rPr>
        <w:t>Алынған айырмашылықтар</w:t>
      </w:r>
      <w:r>
        <w:rPr>
          <w:color w:val="auto"/>
          <w:sz w:val="28"/>
          <w:szCs w:val="28"/>
        </w:rPr>
        <w:t xml:space="preserve"> иммобилизация</w:t>
      </w:r>
      <w:r>
        <w:rPr>
          <w:color w:val="auto"/>
          <w:sz w:val="28"/>
          <w:szCs w:val="28"/>
          <w:lang w:val="kk-KZ"/>
        </w:rPr>
        <w:t>лау әдісінің</w:t>
      </w:r>
      <w:r>
        <w:rPr>
          <w:color w:val="auto"/>
          <w:sz w:val="28"/>
          <w:szCs w:val="28"/>
        </w:rPr>
        <w:t xml:space="preserve"> жасушаларды </w:t>
      </w:r>
      <w:r>
        <w:rPr>
          <w:color w:val="auto"/>
          <w:sz w:val="28"/>
          <w:szCs w:val="28"/>
          <w:lang w:val="kk-KZ"/>
        </w:rPr>
        <w:t>қоршаған ортаның қолайсыз факторларынан қорғауда және олардың тіршілік қабілетін сақтауда айтарлықтай</w:t>
      </w:r>
      <w:r>
        <w:rPr>
          <w:color w:val="auto"/>
          <w:sz w:val="28"/>
          <w:szCs w:val="28"/>
        </w:rPr>
        <w:t xml:space="preserve"> артықшылы</w:t>
      </w:r>
      <w:r>
        <w:rPr>
          <w:color w:val="auto"/>
          <w:sz w:val="28"/>
          <w:szCs w:val="28"/>
          <w:lang w:val="kk-KZ"/>
        </w:rPr>
        <w:t>ққа ие екенін кө</w:t>
      </w:r>
      <w:r>
        <w:rPr>
          <w:color w:val="auto"/>
          <w:sz w:val="28"/>
          <w:szCs w:val="28"/>
        </w:rPr>
        <w:t>рсетеді.</w:t>
      </w:r>
    </w:p>
    <w:p w14:paraId="7D3852BB">
      <w:pPr>
        <w:pStyle w:val="35"/>
        <w:spacing w:beforeAutospacing="0" w:afterAutospacing="0"/>
        <w:ind w:firstLine="709"/>
        <w:jc w:val="both"/>
        <w:rPr>
          <w:color w:val="auto"/>
          <w:sz w:val="28"/>
          <w:szCs w:val="28"/>
          <w:highlight w:val="yellow"/>
        </w:rPr>
      </w:pPr>
    </w:p>
    <w:p w14:paraId="4DA39955">
      <w:pPr>
        <w:pStyle w:val="35"/>
        <w:spacing w:beforeAutospacing="0" w:afterAutospacing="0"/>
        <w:ind w:firstLine="709"/>
        <w:jc w:val="both"/>
        <w:rPr>
          <w:color w:val="auto"/>
          <w:sz w:val="28"/>
          <w:szCs w:val="28"/>
        </w:rPr>
      </w:pPr>
      <w:r>
        <w:rPr>
          <w:color w:val="auto"/>
          <w:lang w:val="ru-RU" w:eastAsia="ru-RU"/>
        </w:rPr>
        <w:drawing>
          <wp:inline distT="0" distB="0" distL="114300" distR="114300">
            <wp:extent cx="4947920" cy="2880360"/>
            <wp:effectExtent l="0" t="0" r="5080" b="15240"/>
            <wp:docPr id="7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DF44D54">
      <w:pPr>
        <w:pStyle w:val="35"/>
        <w:spacing w:beforeAutospacing="0" w:afterAutospacing="0"/>
        <w:ind w:firstLine="709"/>
        <w:jc w:val="both"/>
        <w:rPr>
          <w:color w:val="auto"/>
          <w:sz w:val="28"/>
          <w:szCs w:val="28"/>
          <w:highlight w:val="yellow"/>
        </w:rPr>
      </w:pPr>
    </w:p>
    <w:p w14:paraId="6B6E2AC3">
      <w:pPr>
        <w:pStyle w:val="35"/>
        <w:spacing w:beforeAutospacing="0" w:afterAutospacing="0"/>
        <w:ind w:firstLine="709"/>
        <w:jc w:val="both"/>
        <w:rPr>
          <w:color w:val="auto"/>
          <w:sz w:val="28"/>
          <w:szCs w:val="28"/>
        </w:rPr>
      </w:pPr>
      <w:r>
        <w:rPr>
          <w:color w:val="auto"/>
          <w:sz w:val="28"/>
          <w:szCs w:val="28"/>
        </w:rPr>
        <w:t xml:space="preserve">Сурет 11 - Әртүрлі тасымалдағыштарда иммобилизациядан кейін тірі микроорганизмдер санының салыстырмалы сипаттамасы. Қате жолақтары стандартты ауытқуды көрсетеді (n = 5). Бағандар үстіндегі әртүрлі әріптер статистикалық маңызды айырмашылықтарды көрсетеді (p &lt; </w:t>
      </w:r>
      <w:r>
        <w:rPr>
          <w:color w:val="auto"/>
          <w:sz w:val="28"/>
          <w:szCs w:val="28"/>
          <w:lang w:val="ru-RU"/>
        </w:rPr>
        <w:t>0,</w:t>
      </w:r>
      <w:r>
        <w:rPr>
          <w:color w:val="auto"/>
          <w:sz w:val="28"/>
          <w:szCs w:val="28"/>
        </w:rPr>
        <w:t>05, Tukey HSD сынағы). PCA = қоректік агар, 3M Petrifilm = жылдам есептеу әдісі.</w:t>
      </w:r>
    </w:p>
    <w:p w14:paraId="6A9EDC51">
      <w:pPr>
        <w:pStyle w:val="35"/>
        <w:spacing w:beforeAutospacing="0" w:afterAutospacing="0"/>
        <w:ind w:firstLine="709"/>
        <w:jc w:val="both"/>
        <w:rPr>
          <w:rFonts w:ascii="SimSun" w:hAnsi="SimSun" w:cs="SimSun"/>
          <w:color w:val="auto"/>
          <w:highlight w:val="yellow"/>
        </w:rPr>
      </w:pPr>
    </w:p>
    <w:p w14:paraId="0A6B5A61">
      <w:pPr>
        <w:pStyle w:val="35"/>
        <w:spacing w:beforeAutospacing="0" w:afterAutospacing="0"/>
        <w:ind w:firstLine="709"/>
        <w:jc w:val="both"/>
        <w:rPr>
          <w:color w:val="auto"/>
          <w:sz w:val="28"/>
          <w:szCs w:val="28"/>
          <w:lang w:val="kk-KZ"/>
        </w:rPr>
      </w:pPr>
      <w:r>
        <w:rPr>
          <w:color w:val="auto"/>
          <w:sz w:val="28"/>
          <w:szCs w:val="28"/>
        </w:rPr>
        <w:t xml:space="preserve">Сканирлеуші электронды микроскопия (СЭМ) </w:t>
      </w:r>
      <w:r>
        <w:rPr>
          <w:color w:val="auto"/>
          <w:sz w:val="28"/>
          <w:szCs w:val="28"/>
          <w:lang w:val="kk-KZ"/>
        </w:rPr>
        <w:t>тасымалдаушылардың</w:t>
      </w:r>
      <w:r>
        <w:rPr>
          <w:color w:val="auto"/>
          <w:sz w:val="28"/>
          <w:szCs w:val="28"/>
        </w:rPr>
        <w:t xml:space="preserve"> бетінің морфологиясы және микроорганизмдердің адгезиясы 12 c</w:t>
      </w:r>
      <w:r>
        <w:rPr>
          <w:color w:val="auto"/>
          <w:sz w:val="28"/>
          <w:szCs w:val="28"/>
          <w:lang w:val="kk-KZ"/>
        </w:rPr>
        <w:t>уретте көрсетілгендей анық</w:t>
      </w:r>
      <w:r>
        <w:rPr>
          <w:color w:val="auto"/>
          <w:sz w:val="28"/>
          <w:szCs w:val="28"/>
        </w:rPr>
        <w:t xml:space="preserve"> визуализациялауға мүмкіндік берді</w:t>
      </w:r>
      <w:r>
        <w:rPr>
          <w:color w:val="auto"/>
          <w:sz w:val="28"/>
          <w:szCs w:val="28"/>
          <w:lang w:val="kk-KZ"/>
        </w:rPr>
        <w:t>.</w:t>
      </w:r>
    </w:p>
    <w:p w14:paraId="0F264F26">
      <w:pPr>
        <w:rPr>
          <w:color w:val="auto"/>
          <w:sz w:val="28"/>
          <w:szCs w:val="28"/>
          <w:highlight w:val="yellow"/>
          <w:lang w:val="kk-KZ"/>
        </w:rPr>
      </w:pPr>
      <w:r>
        <w:rPr>
          <w:color w:val="auto"/>
          <w:sz w:val="28"/>
          <w:szCs w:val="28"/>
          <w:lang w:val="kk-KZ"/>
        </w:rPr>
        <w:br w:type="page"/>
      </w:r>
    </w:p>
    <w:tbl>
      <w:tblPr>
        <w:tblStyle w:val="3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65"/>
        <w:gridCol w:w="4777"/>
      </w:tblGrid>
      <w:tr w14:paraId="5F6A3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457" w:type="dxa"/>
          </w:tcPr>
          <w:p w14:paraId="2E67D699">
            <w:pPr>
              <w:pStyle w:val="35"/>
              <w:widowControl w:val="0"/>
              <w:tabs>
                <w:tab w:val="center" w:pos="3686"/>
                <w:tab w:val="right" w:pos="7371"/>
              </w:tabs>
              <w:spacing w:beforeAutospacing="0" w:afterAutospacing="0"/>
              <w:ind w:firstLine="709"/>
              <w:jc w:val="both"/>
              <w:rPr>
                <w:color w:val="auto"/>
                <w:sz w:val="28"/>
                <w:szCs w:val="28"/>
                <w:lang w:val="en-GB"/>
              </w:rPr>
            </w:pPr>
            <w:r>
              <w:rPr>
                <w:color w:val="auto"/>
                <w:sz w:val="28"/>
                <w:szCs w:val="28"/>
                <w:lang w:val="en-GB"/>
              </w:rPr>
              <w:t>a)</w:t>
            </w:r>
          </w:p>
          <w:p w14:paraId="6FFA12D9">
            <w:pPr>
              <w:pStyle w:val="35"/>
              <w:widowControl w:val="0"/>
              <w:tabs>
                <w:tab w:val="center" w:pos="3686"/>
                <w:tab w:val="right" w:pos="7371"/>
              </w:tabs>
              <w:spacing w:beforeAutospacing="0" w:afterAutospacing="0"/>
              <w:ind w:firstLine="709"/>
              <w:jc w:val="both"/>
              <w:rPr>
                <w:color w:val="auto"/>
                <w:sz w:val="28"/>
                <w:szCs w:val="28"/>
                <w:lang w:val="en-GB"/>
              </w:rPr>
            </w:pPr>
          </w:p>
        </w:tc>
        <w:tc>
          <w:tcPr>
            <w:tcW w:w="4777" w:type="dxa"/>
          </w:tcPr>
          <w:p w14:paraId="600B6B62">
            <w:pPr>
              <w:pStyle w:val="35"/>
              <w:widowControl w:val="0"/>
              <w:tabs>
                <w:tab w:val="center" w:pos="3686"/>
                <w:tab w:val="right" w:pos="7371"/>
              </w:tabs>
              <w:spacing w:beforeAutospacing="0" w:afterAutospacing="0"/>
              <w:ind w:firstLine="709"/>
              <w:jc w:val="both"/>
              <w:rPr>
                <w:color w:val="auto"/>
                <w:sz w:val="28"/>
                <w:szCs w:val="28"/>
                <w:lang w:val="en-GB"/>
              </w:rPr>
            </w:pPr>
            <w:r>
              <w:rPr>
                <w:color w:val="auto"/>
                <w:sz w:val="28"/>
                <w:szCs w:val="28"/>
                <w:lang w:val="kk-KZ"/>
              </w:rPr>
              <w:t>ә</w:t>
            </w:r>
            <w:r>
              <w:rPr>
                <w:color w:val="auto"/>
                <w:sz w:val="28"/>
                <w:szCs w:val="28"/>
                <w:lang w:val="en-GB"/>
              </w:rPr>
              <w:t>)</w:t>
            </w:r>
          </w:p>
        </w:tc>
      </w:tr>
      <w:tr w14:paraId="32762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457" w:type="dxa"/>
          </w:tcPr>
          <w:p w14:paraId="71B82516">
            <w:pPr>
              <w:pStyle w:val="35"/>
              <w:widowControl w:val="0"/>
              <w:tabs>
                <w:tab w:val="center" w:pos="3686"/>
                <w:tab w:val="right" w:pos="7371"/>
              </w:tabs>
              <w:spacing w:beforeAutospacing="0" w:afterAutospacing="0"/>
              <w:ind w:firstLine="709"/>
              <w:jc w:val="both"/>
              <w:rPr>
                <w:color w:val="auto"/>
                <w:sz w:val="28"/>
                <w:szCs w:val="28"/>
                <w:lang w:val="ru-RU"/>
              </w:rPr>
            </w:pPr>
            <w:r>
              <w:rPr>
                <w:color w:val="auto"/>
                <w:sz w:val="28"/>
                <w:szCs w:val="28"/>
                <w:lang w:val="ru-RU" w:eastAsia="ru-RU"/>
              </w:rPr>
              <w:drawing>
                <wp:inline distT="0" distB="0" distL="114300" distR="114300">
                  <wp:extent cx="2428240" cy="1786890"/>
                  <wp:effectExtent l="0" t="0" r="10160" b="11430"/>
                  <wp:docPr id="4" name="Изображение 4" descr="Fig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 4" descr="Fig2.1"/>
                          <pic:cNvPicPr>
                            <a:picLocks noChangeAspect="1"/>
                          </pic:cNvPicPr>
                        </pic:nvPicPr>
                        <pic:blipFill>
                          <a:blip r:embed="rId24"/>
                          <a:stretch>
                            <a:fillRect/>
                          </a:stretch>
                        </pic:blipFill>
                        <pic:spPr>
                          <a:xfrm>
                            <a:off x="0" y="0"/>
                            <a:ext cx="2428240" cy="1786890"/>
                          </a:xfrm>
                          <a:prstGeom prst="rect">
                            <a:avLst/>
                          </a:prstGeom>
                        </pic:spPr>
                      </pic:pic>
                    </a:graphicData>
                  </a:graphic>
                </wp:inline>
              </w:drawing>
            </w:r>
          </w:p>
        </w:tc>
        <w:tc>
          <w:tcPr>
            <w:tcW w:w="4777" w:type="dxa"/>
          </w:tcPr>
          <w:p w14:paraId="6530888D">
            <w:pPr>
              <w:pStyle w:val="35"/>
              <w:widowControl w:val="0"/>
              <w:tabs>
                <w:tab w:val="center" w:pos="3686"/>
                <w:tab w:val="right" w:pos="7371"/>
              </w:tabs>
              <w:spacing w:beforeAutospacing="0" w:afterAutospacing="0"/>
              <w:ind w:firstLine="709"/>
              <w:jc w:val="both"/>
              <w:rPr>
                <w:color w:val="auto"/>
                <w:sz w:val="28"/>
                <w:szCs w:val="28"/>
                <w:lang w:val="ru-RU"/>
              </w:rPr>
            </w:pPr>
            <w:r>
              <w:rPr>
                <w:color w:val="auto"/>
                <w:sz w:val="28"/>
                <w:szCs w:val="28"/>
                <w:lang w:val="ru-RU" w:eastAsia="ru-RU"/>
              </w:rPr>
              <w:drawing>
                <wp:inline distT="0" distB="0" distL="114300" distR="114300">
                  <wp:extent cx="2294890" cy="1873250"/>
                  <wp:effectExtent l="0" t="0" r="6350" b="1270"/>
                  <wp:docPr id="61" name="Изображение 61" descr="Fig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Изображение 61" descr="Fig2.2"/>
                          <pic:cNvPicPr>
                            <a:picLocks noChangeAspect="1"/>
                          </pic:cNvPicPr>
                        </pic:nvPicPr>
                        <pic:blipFill>
                          <a:blip r:embed="rId25"/>
                          <a:stretch>
                            <a:fillRect/>
                          </a:stretch>
                        </pic:blipFill>
                        <pic:spPr>
                          <a:xfrm>
                            <a:off x="0" y="0"/>
                            <a:ext cx="2294890" cy="1873250"/>
                          </a:xfrm>
                          <a:prstGeom prst="rect">
                            <a:avLst/>
                          </a:prstGeom>
                        </pic:spPr>
                      </pic:pic>
                    </a:graphicData>
                  </a:graphic>
                </wp:inline>
              </w:drawing>
            </w:r>
          </w:p>
        </w:tc>
      </w:tr>
      <w:tr w14:paraId="64767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457" w:type="dxa"/>
          </w:tcPr>
          <w:p w14:paraId="58AB9FBC">
            <w:pPr>
              <w:pStyle w:val="35"/>
              <w:widowControl w:val="0"/>
              <w:tabs>
                <w:tab w:val="center" w:pos="3686"/>
                <w:tab w:val="right" w:pos="7371"/>
              </w:tabs>
              <w:spacing w:beforeAutospacing="0" w:afterAutospacing="0"/>
              <w:ind w:firstLine="709"/>
              <w:jc w:val="both"/>
              <w:rPr>
                <w:color w:val="auto"/>
                <w:sz w:val="28"/>
                <w:szCs w:val="28"/>
                <w:lang w:val="en-GB"/>
              </w:rPr>
            </w:pPr>
            <w:r>
              <w:rPr>
                <w:color w:val="auto"/>
                <w:sz w:val="28"/>
                <w:szCs w:val="28"/>
                <w:lang w:val="ru-RU" w:eastAsia="ru-RU"/>
              </w:rPr>
              <w:drawing>
                <wp:anchor distT="0" distB="0" distL="114300" distR="114300" simplePos="0" relativeHeight="251662336" behindDoc="0" locked="0" layoutInCell="1" allowOverlap="1">
                  <wp:simplePos x="0" y="0"/>
                  <wp:positionH relativeFrom="column">
                    <wp:posOffset>365760</wp:posOffset>
                  </wp:positionH>
                  <wp:positionV relativeFrom="paragraph">
                    <wp:posOffset>115570</wp:posOffset>
                  </wp:positionV>
                  <wp:extent cx="2500630" cy="1927225"/>
                  <wp:effectExtent l="0" t="0" r="13970" b="8255"/>
                  <wp:wrapSquare wrapText="bothSides"/>
                  <wp:docPr id="62" name="Изображение 62" descr="Fig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Изображение 62" descr="Fig2.2"/>
                          <pic:cNvPicPr>
                            <a:picLocks noChangeAspect="1"/>
                          </pic:cNvPicPr>
                        </pic:nvPicPr>
                        <pic:blipFill>
                          <a:blip r:embed="rId26"/>
                          <a:stretch>
                            <a:fillRect/>
                          </a:stretch>
                        </pic:blipFill>
                        <pic:spPr>
                          <a:xfrm>
                            <a:off x="0" y="0"/>
                            <a:ext cx="2500630" cy="1927225"/>
                          </a:xfrm>
                          <a:prstGeom prst="rect">
                            <a:avLst/>
                          </a:prstGeom>
                        </pic:spPr>
                      </pic:pic>
                    </a:graphicData>
                  </a:graphic>
                </wp:anchor>
              </w:drawing>
            </w:r>
            <w:r>
              <w:rPr>
                <w:color w:val="auto"/>
                <w:sz w:val="28"/>
                <w:szCs w:val="28"/>
                <w:lang w:val="kk-KZ"/>
              </w:rPr>
              <w:t>б</w:t>
            </w:r>
            <w:r>
              <w:rPr>
                <w:color w:val="auto"/>
                <w:sz w:val="28"/>
                <w:szCs w:val="28"/>
                <w:lang w:val="en-GB"/>
              </w:rPr>
              <w:t>)</w:t>
            </w:r>
          </w:p>
        </w:tc>
        <w:tc>
          <w:tcPr>
            <w:tcW w:w="4777" w:type="dxa"/>
          </w:tcPr>
          <w:p w14:paraId="29E176D3">
            <w:pPr>
              <w:pStyle w:val="35"/>
              <w:widowControl w:val="0"/>
              <w:tabs>
                <w:tab w:val="center" w:pos="3686"/>
                <w:tab w:val="right" w:pos="7371"/>
              </w:tabs>
              <w:spacing w:beforeAutospacing="0" w:afterAutospacing="0"/>
              <w:ind w:firstLine="709"/>
              <w:jc w:val="both"/>
              <w:rPr>
                <w:color w:val="auto"/>
                <w:sz w:val="28"/>
                <w:szCs w:val="28"/>
                <w:lang w:val="en-GB"/>
              </w:rPr>
            </w:pPr>
          </w:p>
        </w:tc>
      </w:tr>
      <w:tr w14:paraId="14275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457" w:type="dxa"/>
          </w:tcPr>
          <w:p w14:paraId="41F00B42">
            <w:pPr>
              <w:pStyle w:val="35"/>
              <w:widowControl w:val="0"/>
              <w:tabs>
                <w:tab w:val="center" w:pos="3686"/>
                <w:tab w:val="right" w:pos="7371"/>
              </w:tabs>
              <w:spacing w:beforeAutospacing="0" w:afterAutospacing="0"/>
              <w:ind w:firstLine="709"/>
              <w:jc w:val="both"/>
              <w:rPr>
                <w:color w:val="auto"/>
                <w:sz w:val="28"/>
                <w:szCs w:val="28"/>
                <w:lang w:val="ru-RU"/>
              </w:rPr>
            </w:pPr>
          </w:p>
        </w:tc>
        <w:tc>
          <w:tcPr>
            <w:tcW w:w="4777" w:type="dxa"/>
          </w:tcPr>
          <w:p w14:paraId="401ED42B">
            <w:pPr>
              <w:pStyle w:val="35"/>
              <w:widowControl w:val="0"/>
              <w:tabs>
                <w:tab w:val="center" w:pos="3686"/>
                <w:tab w:val="right" w:pos="7371"/>
              </w:tabs>
              <w:spacing w:beforeAutospacing="0" w:afterAutospacing="0"/>
              <w:jc w:val="both"/>
              <w:rPr>
                <w:color w:val="auto"/>
                <w:sz w:val="28"/>
                <w:szCs w:val="28"/>
                <w:lang w:val="en-GB"/>
              </w:rPr>
            </w:pPr>
          </w:p>
        </w:tc>
      </w:tr>
    </w:tbl>
    <w:p w14:paraId="3DD38707">
      <w:pPr>
        <w:pStyle w:val="35"/>
        <w:spacing w:beforeAutospacing="0" w:afterAutospacing="0"/>
        <w:ind w:firstLine="709"/>
        <w:jc w:val="center"/>
        <w:rPr>
          <w:rStyle w:val="19"/>
          <w:b w:val="0"/>
          <w:bCs w:val="0"/>
          <w:color w:val="auto"/>
          <w:highlight w:val="yellow"/>
        </w:rPr>
      </w:pPr>
    </w:p>
    <w:p w14:paraId="57D595AF">
      <w:pPr>
        <w:pStyle w:val="35"/>
        <w:spacing w:beforeAutospacing="0" w:afterAutospacing="0"/>
        <w:ind w:firstLine="709"/>
        <w:jc w:val="both"/>
        <w:rPr>
          <w:color w:val="auto"/>
          <w:sz w:val="28"/>
          <w:szCs w:val="28"/>
        </w:rPr>
      </w:pPr>
      <w:r>
        <w:rPr>
          <w:rStyle w:val="19"/>
          <w:b w:val="0"/>
          <w:bCs w:val="0"/>
          <w:color w:val="auto"/>
          <w:sz w:val="28"/>
          <w:szCs w:val="28"/>
        </w:rPr>
        <w:t>Сурет 12</w:t>
      </w:r>
      <w:r>
        <w:rPr>
          <w:color w:val="auto"/>
          <w:sz w:val="28"/>
          <w:szCs w:val="28"/>
        </w:rPr>
        <w:t xml:space="preserve"> - Қарақұмық қауызының СЭМ сипаттамасы: </w:t>
      </w:r>
      <w:r>
        <w:rPr>
          <w:rStyle w:val="19"/>
          <w:b w:val="0"/>
          <w:bCs w:val="0"/>
          <w:color w:val="auto"/>
          <w:sz w:val="28"/>
          <w:szCs w:val="28"/>
        </w:rPr>
        <w:t>(а)</w:t>
      </w:r>
      <w:r>
        <w:rPr>
          <w:color w:val="auto"/>
          <w:sz w:val="28"/>
          <w:szCs w:val="28"/>
        </w:rPr>
        <w:t xml:space="preserve"> Табиғи кеуекті құрылым, жоғары бет ауданын көрсетеді (масштаб: 20 мкм); </w:t>
      </w:r>
      <w:r>
        <w:rPr>
          <w:rStyle w:val="19"/>
          <w:b w:val="0"/>
          <w:bCs w:val="0"/>
          <w:color w:val="auto"/>
          <w:sz w:val="28"/>
          <w:szCs w:val="28"/>
        </w:rPr>
        <w:t>(б)</w:t>
      </w:r>
      <w:r>
        <w:rPr>
          <w:color w:val="auto"/>
          <w:sz w:val="28"/>
          <w:szCs w:val="28"/>
        </w:rPr>
        <w:t xml:space="preserve"> Жоғары үлкейту, жасуша ұсталуына қолайлы өзара байланысты микрокеуектілікті ашады (масштаб: 2 мкм); </w:t>
      </w:r>
      <w:r>
        <w:rPr>
          <w:rStyle w:val="19"/>
          <w:b w:val="0"/>
          <w:bCs w:val="0"/>
          <w:color w:val="auto"/>
          <w:sz w:val="28"/>
          <w:szCs w:val="28"/>
        </w:rPr>
        <w:t>(с)</w:t>
      </w:r>
      <w:r>
        <w:rPr>
          <w:color w:val="auto"/>
          <w:sz w:val="28"/>
          <w:szCs w:val="28"/>
        </w:rPr>
        <w:t xml:space="preserve"> Сәтті бактериялық иммобилизация, жасуша адгезиясы және биофильм түзілуін көрсетеді (көрсеткілер бактериялық жасушаларды көрсетеді, масштаб: 2 мкм)</w:t>
      </w:r>
    </w:p>
    <w:p w14:paraId="0691AD89">
      <w:pPr>
        <w:pStyle w:val="35"/>
        <w:spacing w:beforeAutospacing="0" w:afterAutospacing="0"/>
        <w:ind w:firstLine="709"/>
        <w:jc w:val="both"/>
        <w:rPr>
          <w:color w:val="auto"/>
          <w:sz w:val="28"/>
          <w:szCs w:val="28"/>
          <w:highlight w:val="yellow"/>
        </w:rPr>
      </w:pPr>
    </w:p>
    <w:p w14:paraId="77CB76F8">
      <w:pPr>
        <w:pStyle w:val="35"/>
        <w:spacing w:beforeAutospacing="0" w:afterAutospacing="0"/>
        <w:ind w:firstLine="709"/>
        <w:jc w:val="both"/>
        <w:rPr>
          <w:color w:val="auto"/>
          <w:sz w:val="28"/>
          <w:szCs w:val="28"/>
        </w:rPr>
      </w:pPr>
      <w:r>
        <w:rPr>
          <w:color w:val="auto"/>
          <w:sz w:val="28"/>
          <w:szCs w:val="28"/>
          <w:highlight w:val="none"/>
        </w:rPr>
        <w:t xml:space="preserve"> Қарақұмық қауызы жоғары жасуша тығыздығын - (3</w:t>
      </w:r>
      <w:r>
        <w:rPr>
          <w:rFonts w:hint="default"/>
          <w:color w:val="auto"/>
          <w:sz w:val="28"/>
          <w:szCs w:val="28"/>
          <w:highlight w:val="none"/>
          <w:lang w:val="ru-RU"/>
        </w:rPr>
        <w:t>,</w:t>
      </w:r>
      <w:r>
        <w:rPr>
          <w:color w:val="auto"/>
          <w:sz w:val="28"/>
          <w:szCs w:val="28"/>
          <w:highlight w:val="none"/>
        </w:rPr>
        <w:t>2±0</w:t>
      </w:r>
      <w:r>
        <w:rPr>
          <w:rFonts w:hint="default"/>
          <w:color w:val="auto"/>
          <w:sz w:val="28"/>
          <w:szCs w:val="28"/>
          <w:highlight w:val="none"/>
          <w:lang w:val="ru-RU"/>
        </w:rPr>
        <w:t>,</w:t>
      </w:r>
      <w:r>
        <w:rPr>
          <w:color w:val="auto"/>
          <w:sz w:val="28"/>
          <w:szCs w:val="28"/>
          <w:highlight w:val="none"/>
        </w:rPr>
        <w:t>4)×10⁶ клетка/см² - және</w:t>
      </w:r>
      <w:r>
        <w:rPr>
          <w:color w:val="auto"/>
          <w:sz w:val="28"/>
          <w:szCs w:val="28"/>
          <w:highlight w:val="none"/>
          <w:lang w:val="kk-KZ"/>
        </w:rPr>
        <w:t xml:space="preserve"> бетінің</w:t>
      </w:r>
      <w:r>
        <w:rPr>
          <w:color w:val="auto"/>
          <w:sz w:val="28"/>
          <w:szCs w:val="28"/>
          <w:highlight w:val="none"/>
        </w:rPr>
        <w:t xml:space="preserve"> (42±5)% </w:t>
      </w:r>
      <w:r>
        <w:rPr>
          <w:color w:val="auto"/>
          <w:sz w:val="28"/>
          <w:szCs w:val="28"/>
          <w:highlight w:val="none"/>
          <w:lang w:val="kk-KZ"/>
        </w:rPr>
        <w:t>жабылуын қамтамасыз етті</w:t>
      </w:r>
      <w:r>
        <w:rPr>
          <w:color w:val="auto"/>
          <w:sz w:val="28"/>
          <w:szCs w:val="28"/>
          <w:highlight w:val="none"/>
        </w:rPr>
        <w:t>, бұл сәтті колонизацияны</w:t>
      </w:r>
      <w:r>
        <w:rPr>
          <w:color w:val="auto"/>
          <w:sz w:val="28"/>
          <w:szCs w:val="28"/>
          <w:highlight w:val="none"/>
          <w:lang w:val="kk-KZ"/>
        </w:rPr>
        <w:t xml:space="preserve">ң </w:t>
      </w:r>
      <w:r>
        <w:rPr>
          <w:color w:val="auto"/>
          <w:sz w:val="28"/>
          <w:szCs w:val="28"/>
          <w:lang w:val="kk-KZ"/>
        </w:rPr>
        <w:t>нақты дәлелі болып табылады</w:t>
      </w:r>
      <w:r>
        <w:rPr>
          <w:color w:val="auto"/>
          <w:sz w:val="28"/>
          <w:szCs w:val="28"/>
        </w:rPr>
        <w:t>. Тығыз, кластерлік адгезия үлгісі лигноцеллюлозалық субстраттарда биофильм түзілуінің алдыңғы есептерімен сәйкес келеді [16</w:t>
      </w:r>
      <w:r>
        <w:rPr>
          <w:rFonts w:hint="default"/>
          <w:color w:val="auto"/>
          <w:sz w:val="28"/>
          <w:szCs w:val="28"/>
          <w:lang w:val="en-US"/>
        </w:rPr>
        <w:t>3</w:t>
      </w:r>
      <w:r>
        <w:rPr>
          <w:color w:val="auto"/>
          <w:sz w:val="28"/>
          <w:szCs w:val="28"/>
        </w:rPr>
        <w:t>, 1</w:t>
      </w:r>
      <w:r>
        <w:rPr>
          <w:rFonts w:hint="default"/>
          <w:color w:val="auto"/>
          <w:sz w:val="28"/>
          <w:szCs w:val="28"/>
          <w:lang w:val="en-US"/>
        </w:rPr>
        <w:t>61</w:t>
      </w:r>
      <w:r>
        <w:rPr>
          <w:color w:val="auto"/>
          <w:sz w:val="28"/>
          <w:szCs w:val="28"/>
        </w:rPr>
        <w:t>], және бұл табиғи материалдар микробтық тұрақтылық үшін қолайлы микроортаны қамтамасыз ете алатынын растайды. Күріш қауызы біршама төмен жасуша тығыздығын көрсетті - (2</w:t>
      </w:r>
      <w:r>
        <w:rPr>
          <w:rFonts w:hint="default"/>
          <w:color w:val="auto"/>
          <w:sz w:val="28"/>
          <w:szCs w:val="28"/>
          <w:lang w:val="ru-RU"/>
        </w:rPr>
        <w:t>,</w:t>
      </w:r>
      <w:r>
        <w:rPr>
          <w:color w:val="auto"/>
          <w:sz w:val="28"/>
          <w:szCs w:val="28"/>
        </w:rPr>
        <w:t>4±0</w:t>
      </w:r>
      <w:r>
        <w:rPr>
          <w:rFonts w:hint="default"/>
          <w:color w:val="auto"/>
          <w:sz w:val="28"/>
          <w:szCs w:val="28"/>
          <w:lang w:val="ru-RU"/>
        </w:rPr>
        <w:t>,</w:t>
      </w:r>
      <w:r>
        <w:rPr>
          <w:color w:val="auto"/>
          <w:sz w:val="28"/>
          <w:szCs w:val="28"/>
        </w:rPr>
        <w:t>3)×10⁶ клетка/см² және (35±4)% бет жабу, бірақ бұл мәндер де биоремедиация үшін жеткілікті [</w:t>
      </w:r>
      <w:r>
        <w:rPr>
          <w:color w:val="auto"/>
          <w:sz w:val="28"/>
          <w:szCs w:val="28"/>
          <w:lang w:val="en-GB"/>
        </w:rPr>
        <w:t>1</w:t>
      </w:r>
      <w:r>
        <w:rPr>
          <w:rFonts w:hint="default"/>
          <w:color w:val="auto"/>
          <w:sz w:val="28"/>
          <w:szCs w:val="28"/>
          <w:lang w:val="en-US"/>
        </w:rPr>
        <w:t>31</w:t>
      </w:r>
      <w:r>
        <w:rPr>
          <w:color w:val="auto"/>
          <w:sz w:val="28"/>
          <w:szCs w:val="28"/>
        </w:rPr>
        <w:t>].</w:t>
      </w:r>
    </w:p>
    <w:p w14:paraId="58E5351C">
      <w:pPr>
        <w:tabs>
          <w:tab w:val="left" w:pos="993"/>
          <w:tab w:val="left" w:pos="1134"/>
        </w:tabs>
        <w:spacing w:after="0"/>
        <w:ind w:firstLine="709"/>
        <w:rPr>
          <w:bCs/>
          <w:color w:val="auto"/>
          <w:szCs w:val="28"/>
          <w:lang w:val="kk-KZ"/>
        </w:rPr>
      </w:pPr>
      <w:r>
        <w:rPr>
          <w:color w:val="auto"/>
          <w:szCs w:val="28"/>
          <w:lang w:val="kk-KZ" w:eastAsia="zh-CN"/>
        </w:rPr>
        <w:tab/>
      </w:r>
      <w:r>
        <w:rPr>
          <w:color w:val="auto"/>
          <w:szCs w:val="28"/>
          <w:lang w:val="kk-KZ" w:eastAsia="zh-CN"/>
        </w:rPr>
        <w:t>Органикалық тасымалдағыштарға жасушалардың табысты адсорбциясы мен жоғары тіршілік етуі бірнеше факторлармен түсіндіріледі [1</w:t>
      </w:r>
      <w:r>
        <w:rPr>
          <w:rFonts w:hint="default"/>
          <w:color w:val="auto"/>
          <w:szCs w:val="28"/>
          <w:lang w:val="en-US" w:eastAsia="zh-CN"/>
        </w:rPr>
        <w:t>31</w:t>
      </w:r>
      <w:r>
        <w:rPr>
          <w:color w:val="auto"/>
          <w:szCs w:val="28"/>
          <w:lang w:val="kk-KZ" w:eastAsia="zh-CN"/>
        </w:rPr>
        <w:t>]. Біріншіден, целлюлозалық талшықтардың торлы құрылымы жасушаларды механикалық қорғауды қамтамасыз етеді (кеуек өлшемі: қарақұмық – 5–50 мкм, күріш – 3–20 мкм). Екіншіден, гидрофильді бет (гидроксил және фенол топтары) жасушалық адгезияны күшейтеді. Үшіншіден, қоректік элементтер (белок 3</w:t>
      </w:r>
      <w:r>
        <w:rPr>
          <w:rFonts w:hint="default"/>
          <w:color w:val="auto"/>
          <w:szCs w:val="28"/>
          <w:lang w:val="ru-RU" w:eastAsia="zh-CN"/>
        </w:rPr>
        <w:t>,0</w:t>
      </w:r>
      <w:r>
        <w:rPr>
          <w:color w:val="auto"/>
          <w:szCs w:val="28"/>
          <w:lang w:val="kk-KZ" w:eastAsia="zh-CN"/>
        </w:rPr>
        <w:t>–7</w:t>
      </w:r>
      <w:r>
        <w:rPr>
          <w:rFonts w:hint="default"/>
          <w:color w:val="auto"/>
          <w:szCs w:val="28"/>
          <w:lang w:val="ru-RU" w:eastAsia="zh-CN"/>
        </w:rPr>
        <w:t>,0</w:t>
      </w:r>
      <w:r>
        <w:rPr>
          <w:color w:val="auto"/>
          <w:szCs w:val="28"/>
          <w:lang w:val="kk-KZ" w:eastAsia="zh-CN"/>
        </w:rPr>
        <w:t> %, витаминдер) ұзақ мерзімді тіршілік қабілетін қолдайды, ал антиоксиданттық қорғау (рутин 15–29 мг/100 г) тотығу стрессінен қорғайды. Сканирлеуші электронды микроскопия (СЭМ) суреттері микроорганизмдердің микроколонияларын және экстрацеллюлярлық полимерлік матрица түзілуін анықтады, бұл зрелі биофильмнің қалыптасуын және тұрақты иммобилизацияны көрсетті.</w:t>
      </w:r>
      <w:r>
        <w:rPr>
          <w:bCs/>
          <w:color w:val="auto"/>
          <w:szCs w:val="28"/>
          <w:lang w:val="kk-KZ"/>
        </w:rPr>
        <w:tab/>
      </w:r>
    </w:p>
    <w:p w14:paraId="6D9C89F3">
      <w:pPr>
        <w:tabs>
          <w:tab w:val="left" w:pos="993"/>
          <w:tab w:val="left" w:pos="1134"/>
        </w:tabs>
        <w:spacing w:after="0"/>
        <w:ind w:firstLine="709"/>
        <w:rPr>
          <w:bCs/>
          <w:color w:val="auto"/>
          <w:szCs w:val="28"/>
          <w:lang w:val="kk-KZ"/>
        </w:rPr>
      </w:pPr>
      <w:r>
        <w:rPr>
          <w:bCs/>
          <w:color w:val="auto"/>
          <w:szCs w:val="28"/>
          <w:lang w:val="kk-KZ"/>
        </w:rPr>
        <w:t>Осылайша, сканирлеуші электронды микроскопия (СЭМ) тасымалдаушылардың бетінің морфологиясы мен микробтық иммобилизацияның табыстылығын растады. Қарақұмық қауызы үлкен кеуектермен (5-50 мкм) және жоғары клеткалық тығыздықпен (</w:t>
      </w:r>
      <w:r>
        <w:rPr>
          <w:bCs/>
          <w:color w:val="auto"/>
          <w:szCs w:val="28"/>
          <w:lang w:val="ru-RU"/>
        </w:rPr>
        <w:t>3,</w:t>
      </w:r>
      <w:r>
        <w:rPr>
          <w:bCs/>
          <w:color w:val="auto"/>
          <w:szCs w:val="28"/>
          <w:lang w:val="kk-KZ"/>
        </w:rPr>
        <w:t>2×10⁶ клетка/см², беттің 42% жабылуы) сипатталды, бұл стандартты жағдайларда жылдам колонизацияға және жоғары метаболикалық белсенділікке қолайлы [1</w:t>
      </w:r>
      <w:r>
        <w:rPr>
          <w:rFonts w:hint="default"/>
          <w:bCs/>
          <w:color w:val="auto"/>
          <w:szCs w:val="28"/>
          <w:lang w:val="kk-KZ"/>
        </w:rPr>
        <w:t>31</w:t>
      </w:r>
      <w:r>
        <w:rPr>
          <w:bCs/>
          <w:color w:val="auto"/>
          <w:szCs w:val="28"/>
          <w:lang w:val="kk-KZ"/>
        </w:rPr>
        <w:t>]. Күріш қауызы кремний қабатымен және кіші кеуектермен (3-20 мкм) ерекшеленді, бұл төмен клеткалық тығыздыққа әкелді (2</w:t>
      </w:r>
      <w:r>
        <w:rPr>
          <w:rFonts w:hint="default"/>
          <w:bCs/>
          <w:color w:val="auto"/>
          <w:szCs w:val="28"/>
          <w:lang w:val="ru-RU"/>
        </w:rPr>
        <w:t>,</w:t>
      </w:r>
      <w:r>
        <w:rPr>
          <w:bCs/>
          <w:color w:val="auto"/>
          <w:szCs w:val="28"/>
          <w:lang w:val="kk-KZ"/>
        </w:rPr>
        <w:t>4×10⁶ клетка/см², беттің 35% жабылуы), бірақ механикалық беріктік пен экстремалды жағдайларға төзімділікті қамтамасыз етті [</w:t>
      </w:r>
      <w:r>
        <w:rPr>
          <w:rFonts w:hint="default"/>
          <w:bCs/>
          <w:color w:val="auto"/>
          <w:szCs w:val="28"/>
          <w:lang w:val="kk-KZ"/>
        </w:rPr>
        <w:t>131</w:t>
      </w:r>
      <w:r>
        <w:rPr>
          <w:bCs/>
          <w:color w:val="auto"/>
          <w:szCs w:val="28"/>
          <w:lang w:val="kk-KZ"/>
        </w:rPr>
        <w:t>]. СЭМ нәтижелері құрылымдық айырмашылықтардың иммобилизация тиімділігіне (қарақұмық 92</w:t>
      </w:r>
      <w:r>
        <w:rPr>
          <w:rFonts w:hint="default"/>
          <w:bCs/>
          <w:color w:val="auto"/>
          <w:szCs w:val="28"/>
          <w:lang w:val="ru-RU"/>
        </w:rPr>
        <w:t>,</w:t>
      </w:r>
      <w:r>
        <w:rPr>
          <w:bCs/>
          <w:color w:val="auto"/>
          <w:szCs w:val="28"/>
          <w:lang w:val="kk-KZ"/>
        </w:rPr>
        <w:t>3%, күріш 87</w:t>
      </w:r>
      <w:r>
        <w:rPr>
          <w:rFonts w:hint="default"/>
          <w:bCs/>
          <w:color w:val="auto"/>
          <w:szCs w:val="28"/>
          <w:lang w:val="ru-RU"/>
        </w:rPr>
        <w:t>,</w:t>
      </w:r>
      <w:r>
        <w:rPr>
          <w:bCs/>
          <w:color w:val="auto"/>
          <w:szCs w:val="28"/>
          <w:lang w:val="kk-KZ"/>
        </w:rPr>
        <w:t>6%) және әр түрлі жағдайларда биоремедиация нәтижелілігіне тікелей әсерін растады.</w:t>
      </w:r>
    </w:p>
    <w:p w14:paraId="4D5649F9">
      <w:pPr>
        <w:tabs>
          <w:tab w:val="left" w:pos="993"/>
          <w:tab w:val="left" w:pos="1134"/>
        </w:tabs>
        <w:spacing w:after="0"/>
        <w:ind w:firstLine="709"/>
        <w:rPr>
          <w:bCs/>
          <w:color w:val="auto"/>
          <w:szCs w:val="28"/>
          <w:lang w:val="kk-KZ"/>
        </w:rPr>
      </w:pPr>
    </w:p>
    <w:p w14:paraId="762D5D83">
      <w:pPr>
        <w:spacing w:after="0"/>
        <w:ind w:firstLine="709"/>
        <w:rPr>
          <w:b/>
          <w:color w:val="auto"/>
          <w:szCs w:val="28"/>
          <w:lang w:val="kk-KZ"/>
        </w:rPr>
      </w:pPr>
      <w:r>
        <w:rPr>
          <w:b/>
          <w:color w:val="auto"/>
          <w:szCs w:val="28"/>
          <w:lang w:val="ru-RU"/>
        </w:rPr>
        <w:t>3</w:t>
      </w:r>
      <w:r>
        <w:rPr>
          <w:rFonts w:hint="default"/>
          <w:b/>
          <w:color w:val="auto"/>
          <w:szCs w:val="28"/>
          <w:lang w:val="kk-KZ"/>
        </w:rPr>
        <w:t>.</w:t>
      </w:r>
      <w:r>
        <w:rPr>
          <w:b/>
          <w:color w:val="auto"/>
          <w:szCs w:val="28"/>
          <w:lang w:val="ru-RU"/>
        </w:rPr>
        <w:t>3</w:t>
      </w:r>
      <w:r>
        <w:rPr>
          <w:b/>
          <w:color w:val="auto"/>
          <w:szCs w:val="28"/>
          <w:lang w:val="kk-KZ"/>
        </w:rPr>
        <w:t xml:space="preserve"> Стандартты жағдайларда биоремедиация процессін зерттеу </w:t>
      </w:r>
    </w:p>
    <w:p w14:paraId="51537237">
      <w:pPr>
        <w:spacing w:after="0"/>
        <w:ind w:firstLine="709"/>
        <w:rPr>
          <w:b/>
          <w:color w:val="auto"/>
          <w:szCs w:val="28"/>
          <w:lang w:val="kk-KZ"/>
        </w:rPr>
      </w:pPr>
    </w:p>
    <w:p w14:paraId="02953F2C">
      <w:pPr>
        <w:spacing w:after="0"/>
        <w:ind w:firstLine="709"/>
        <w:rPr>
          <w:b/>
          <w:color w:val="auto"/>
          <w:szCs w:val="28"/>
          <w:lang w:val="kk-KZ"/>
        </w:rPr>
      </w:pPr>
      <w:r>
        <w:rPr>
          <w:b/>
          <w:color w:val="auto"/>
          <w:szCs w:val="28"/>
          <w:lang w:val="ru-RU"/>
        </w:rPr>
        <w:t>3</w:t>
      </w:r>
      <w:r>
        <w:rPr>
          <w:rFonts w:hint="default"/>
          <w:b/>
          <w:color w:val="auto"/>
          <w:szCs w:val="28"/>
          <w:lang w:val="kk-KZ"/>
        </w:rPr>
        <w:t>.</w:t>
      </w:r>
      <w:r>
        <w:rPr>
          <w:b/>
          <w:color w:val="auto"/>
          <w:szCs w:val="28"/>
          <w:lang w:val="ru-RU"/>
        </w:rPr>
        <w:t>3</w:t>
      </w:r>
      <w:r>
        <w:rPr>
          <w:rFonts w:hint="default"/>
          <w:b/>
          <w:color w:val="auto"/>
          <w:szCs w:val="28"/>
          <w:lang w:val="kk-KZ"/>
        </w:rPr>
        <w:t>.</w:t>
      </w:r>
      <w:r>
        <w:rPr>
          <w:b/>
          <w:color w:val="auto"/>
          <w:szCs w:val="28"/>
          <w:lang w:val="kk-KZ"/>
        </w:rPr>
        <w:t>1</w:t>
      </w:r>
      <w:r>
        <w:rPr>
          <w:rFonts w:hint="default"/>
          <w:b/>
          <w:color w:val="auto"/>
          <w:szCs w:val="28"/>
          <w:lang w:val="ru-RU"/>
        </w:rPr>
        <w:t xml:space="preserve"> </w:t>
      </w:r>
      <w:r>
        <w:rPr>
          <w:b/>
          <w:color w:val="auto"/>
          <w:szCs w:val="28"/>
          <w:lang w:val="kk-KZ"/>
        </w:rPr>
        <w:t>Жалпы мұнай өнімдерінің концентрациясы динамикасын зерттеу</w:t>
      </w:r>
    </w:p>
    <w:p w14:paraId="2CAB7B9B">
      <w:pPr>
        <w:spacing w:after="0"/>
        <w:ind w:firstLine="709"/>
        <w:rPr>
          <w:bCs/>
          <w:color w:val="auto"/>
          <w:szCs w:val="28"/>
          <w:lang w:val="kk-KZ"/>
        </w:rPr>
      </w:pPr>
      <w:r>
        <w:rPr>
          <w:bCs/>
          <w:color w:val="auto"/>
          <w:szCs w:val="28"/>
          <w:lang w:val="kk-KZ"/>
        </w:rPr>
        <w:t>Иммобилизацияланған консорциумның мұнай көмірсутектерін деструкциялау қабілетін бағалау үшін модельдік топырақ микрокосмдарында 45 күндік эксперимент жүргізілді. Экспериментте Қаражанбас кен орнының шикі мұнайымен 1% (w/w) деңгейінде ластанған топырақ қолданылды, бұл Батыс Қазақстанның нақты далалық жағдайларына сәйкес келеді [</w:t>
      </w:r>
      <w:r>
        <w:rPr>
          <w:rFonts w:hint="default"/>
          <w:bCs/>
          <w:color w:val="auto"/>
          <w:szCs w:val="28"/>
          <w:lang w:val="kk-KZ"/>
        </w:rPr>
        <w:t>54,</w:t>
      </w:r>
      <w:r>
        <w:rPr>
          <w:bCs/>
          <w:color w:val="auto"/>
          <w:szCs w:val="28"/>
          <w:lang w:val="kk-KZ"/>
        </w:rPr>
        <w:t>13</w:t>
      </w:r>
      <w:r>
        <w:rPr>
          <w:rFonts w:hint="default"/>
          <w:bCs/>
          <w:color w:val="auto"/>
          <w:szCs w:val="28"/>
          <w:lang w:val="kk-KZ"/>
        </w:rPr>
        <w:t>1</w:t>
      </w:r>
      <w:r>
        <w:rPr>
          <w:bCs/>
          <w:color w:val="auto"/>
          <w:szCs w:val="28"/>
          <w:lang w:val="kk-KZ"/>
        </w:rPr>
        <w:t>].</w:t>
      </w:r>
    </w:p>
    <w:p w14:paraId="6E03AA1A">
      <w:pPr>
        <w:spacing w:after="0"/>
        <w:ind w:firstLine="709"/>
        <w:rPr>
          <w:bCs/>
          <w:color w:val="auto"/>
          <w:szCs w:val="28"/>
          <w:lang w:val="kk-KZ"/>
        </w:rPr>
      </w:pPr>
      <w:r>
        <w:rPr>
          <w:bCs/>
          <w:color w:val="auto"/>
          <w:szCs w:val="28"/>
          <w:lang w:val="kk-KZ"/>
        </w:rPr>
        <w:t xml:space="preserve">Эксперименттік дизайн алты нұсқаны қамтыды, әрқайсысында бес тәуелсіз қайталану (n=5): </w:t>
      </w:r>
    </w:p>
    <w:p w14:paraId="36228B09">
      <w:pPr>
        <w:spacing w:after="0"/>
        <w:ind w:firstLine="709"/>
        <w:rPr>
          <w:bCs/>
          <w:color w:val="auto"/>
          <w:szCs w:val="28"/>
          <w:lang w:val="kk-KZ"/>
        </w:rPr>
      </w:pPr>
      <w:r>
        <w:rPr>
          <w:bCs/>
          <w:color w:val="auto"/>
          <w:szCs w:val="28"/>
          <w:lang w:val="kk-KZ"/>
        </w:rPr>
        <w:t xml:space="preserve">- Бақылау (Б) - микробиологиялық өңдеусіз ластанған топырақ; </w:t>
      </w:r>
      <w:r>
        <w:rPr>
          <w:bCs/>
          <w:color w:val="auto"/>
          <w:szCs w:val="28"/>
          <w:lang w:val="kk-KZ"/>
        </w:rPr>
        <w:tab/>
      </w:r>
    </w:p>
    <w:p w14:paraId="750D5867">
      <w:pPr>
        <w:spacing w:after="0"/>
        <w:ind w:firstLine="709"/>
        <w:rPr>
          <w:bCs/>
          <w:color w:val="auto"/>
          <w:szCs w:val="28"/>
          <w:lang w:val="kk-KZ"/>
        </w:rPr>
      </w:pPr>
      <w:r>
        <w:rPr>
          <w:bCs/>
          <w:color w:val="auto"/>
          <w:szCs w:val="28"/>
          <w:lang w:val="kk-KZ"/>
        </w:rPr>
        <w:t xml:space="preserve">-Абиоттық бақылау (АБ) - автоклавталған ластанған топырақ; </w:t>
      </w:r>
      <w:r>
        <w:rPr>
          <w:bCs/>
          <w:color w:val="auto"/>
          <w:szCs w:val="28"/>
          <w:lang w:val="kk-KZ"/>
        </w:rPr>
        <w:tab/>
      </w:r>
    </w:p>
    <w:p w14:paraId="475D6445">
      <w:pPr>
        <w:spacing w:after="0"/>
        <w:ind w:firstLine="709"/>
        <w:rPr>
          <w:bCs/>
          <w:color w:val="auto"/>
          <w:szCs w:val="28"/>
          <w:lang w:val="kk-KZ"/>
        </w:rPr>
      </w:pPr>
      <w:r>
        <w:rPr>
          <w:bCs/>
          <w:color w:val="auto"/>
          <w:szCs w:val="28"/>
          <w:lang w:val="kk-KZ"/>
        </w:rPr>
        <w:t>-Тасымалдаушы бақылауы (ТБ) - ластанған топырақ + стерильденген тасымалдаушы;</w:t>
      </w:r>
    </w:p>
    <w:p w14:paraId="1D590FE3">
      <w:pPr>
        <w:spacing w:after="0"/>
        <w:ind w:firstLine="709"/>
        <w:rPr>
          <w:bCs/>
          <w:color w:val="auto"/>
          <w:szCs w:val="28"/>
          <w:lang w:val="kk-KZ"/>
        </w:rPr>
      </w:pPr>
      <w:r>
        <w:rPr>
          <w:bCs/>
          <w:color w:val="auto"/>
          <w:szCs w:val="28"/>
          <w:lang w:val="kk-KZ"/>
        </w:rPr>
        <w:t xml:space="preserve"> Бос клеткалар (БК) - ластанған топырақ + бос бактериялық суспензия (~10⁸ КТБ/мл); </w:t>
      </w:r>
    </w:p>
    <w:p w14:paraId="0E8A833E">
      <w:pPr>
        <w:spacing w:after="0"/>
        <w:ind w:firstLine="709"/>
        <w:rPr>
          <w:bCs/>
          <w:color w:val="auto"/>
          <w:szCs w:val="28"/>
          <w:lang w:val="kk-KZ"/>
        </w:rPr>
      </w:pPr>
      <w:r>
        <w:rPr>
          <w:bCs/>
          <w:color w:val="auto"/>
          <w:szCs w:val="28"/>
          <w:lang w:val="kk-KZ"/>
        </w:rPr>
        <w:t xml:space="preserve">Қарақұмық қауызы (ҚҚ) - ластанған топырақ + қарақұмық қауызына иммобилизацияланған консорциум; </w:t>
      </w:r>
    </w:p>
    <w:p w14:paraId="185957EC">
      <w:pPr>
        <w:spacing w:after="0"/>
        <w:ind w:firstLine="709"/>
        <w:rPr>
          <w:bCs/>
          <w:color w:val="auto"/>
          <w:szCs w:val="28"/>
          <w:lang w:val="kk-KZ"/>
        </w:rPr>
      </w:pPr>
      <w:r>
        <w:rPr>
          <w:bCs/>
          <w:color w:val="auto"/>
          <w:szCs w:val="28"/>
          <w:lang w:val="kk-KZ"/>
        </w:rPr>
        <w:t>Күріш қауызы (КҚ) - ластанған топырақ + күріш қауызына иммобилизацияланған консорциум.</w:t>
      </w:r>
    </w:p>
    <w:p w14:paraId="1E4A96E9">
      <w:pPr>
        <w:spacing w:after="0"/>
        <w:ind w:firstLine="709"/>
        <w:rPr>
          <w:bCs/>
          <w:color w:val="auto"/>
          <w:szCs w:val="28"/>
          <w:lang w:val="kk-KZ"/>
        </w:rPr>
      </w:pPr>
      <w:r>
        <w:rPr>
          <w:bCs/>
          <w:color w:val="auto"/>
          <w:szCs w:val="28"/>
          <w:lang w:val="kk-KZ"/>
        </w:rPr>
        <w:t>Инкубация шарттары оңтайлы болды: температура (25-28)°C, салыстырмалы ауа ылғалдылығы (60-70)%, топырақ ылғалдылығы су ұстау қабілетінің (60-70)%. Үлгілер 0, 15, 30 және 45 күндерде алынды [1</w:t>
      </w:r>
      <w:r>
        <w:rPr>
          <w:rFonts w:hint="default"/>
          <w:bCs/>
          <w:color w:val="auto"/>
          <w:szCs w:val="28"/>
          <w:lang w:val="kk-KZ"/>
        </w:rPr>
        <w:t>31</w:t>
      </w:r>
      <w:r>
        <w:rPr>
          <w:bCs/>
          <w:color w:val="auto"/>
          <w:szCs w:val="28"/>
          <w:lang w:val="kk-KZ"/>
        </w:rPr>
        <w:t>].</w:t>
      </w:r>
    </w:p>
    <w:p w14:paraId="14D04B46">
      <w:pPr>
        <w:spacing w:after="0"/>
        <w:ind w:firstLine="709"/>
        <w:rPr>
          <w:bCs/>
          <w:color w:val="auto"/>
          <w:szCs w:val="28"/>
          <w:lang w:val="kk-KZ"/>
        </w:rPr>
      </w:pPr>
      <w:r>
        <w:rPr>
          <w:bCs/>
          <w:color w:val="auto"/>
          <w:szCs w:val="28"/>
          <w:lang w:val="kk-KZ"/>
        </w:rPr>
        <w:t>45 күндік биоремедиация процесінде ЖМӨ концентрациясының айтарлықтай төмендеуі байқалды (Сурет 13, [1</w:t>
      </w:r>
      <w:r>
        <w:rPr>
          <w:rFonts w:hint="default"/>
          <w:bCs/>
          <w:color w:val="auto"/>
          <w:szCs w:val="28"/>
          <w:lang w:val="kk-KZ"/>
        </w:rPr>
        <w:t>44</w:t>
      </w:r>
      <w:r>
        <w:rPr>
          <w:bCs/>
          <w:color w:val="auto"/>
          <w:szCs w:val="28"/>
          <w:lang w:val="kk-KZ"/>
        </w:rPr>
        <w:t>]). Бастапқы ластану деңгейі барлық нұсқаларда 10000±500 мг/кг болды. Нәтижелер 11 кестеде және 13 суретте көрсетілген.</w:t>
      </w:r>
    </w:p>
    <w:p w14:paraId="29C92E77">
      <w:pPr>
        <w:spacing w:after="0"/>
        <w:ind w:firstLine="709"/>
        <w:rPr>
          <w:bCs/>
          <w:color w:val="auto"/>
          <w:szCs w:val="28"/>
          <w:lang w:val="kk-KZ"/>
        </w:rPr>
      </w:pPr>
    </w:p>
    <w:p w14:paraId="29B4F3DC">
      <w:pPr>
        <w:spacing w:after="0"/>
        <w:ind w:firstLine="709"/>
        <w:rPr>
          <w:bCs/>
          <w:color w:val="auto"/>
          <w:szCs w:val="28"/>
          <w:highlight w:val="yellow"/>
          <w:lang w:val="kk-KZ"/>
        </w:rPr>
      </w:pPr>
      <w:r>
        <w:rPr>
          <w:color w:val="auto"/>
          <w:highlight w:val="none"/>
        </w:rPr>
        <w:drawing>
          <wp:inline distT="0" distB="0" distL="114300" distR="114300">
            <wp:extent cx="5452110" cy="2895600"/>
            <wp:effectExtent l="4445" t="4445" r="14605" b="10795"/>
            <wp:docPr id="7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3DB8A5A">
      <w:pPr>
        <w:spacing w:after="0"/>
        <w:ind w:firstLine="709"/>
        <w:rPr>
          <w:bCs/>
          <w:color w:val="auto"/>
          <w:szCs w:val="28"/>
          <w:highlight w:val="yellow"/>
          <w:lang w:val="kk-KZ"/>
        </w:rPr>
      </w:pPr>
    </w:p>
    <w:p w14:paraId="2A55E365">
      <w:pPr>
        <w:spacing w:after="0"/>
        <w:ind w:firstLine="709"/>
        <w:rPr>
          <w:bCs/>
          <w:color w:val="auto"/>
          <w:szCs w:val="28"/>
          <w:lang w:val="kk-KZ"/>
        </w:rPr>
      </w:pPr>
      <w:r>
        <w:rPr>
          <w:rStyle w:val="19"/>
          <w:b w:val="0"/>
          <w:bCs w:val="0"/>
          <w:color w:val="auto"/>
          <w:szCs w:val="28"/>
          <w:lang w:val="kk-KZ"/>
        </w:rPr>
        <w:t>Сурет 13</w:t>
      </w:r>
      <w:r>
        <w:rPr>
          <w:color w:val="auto"/>
          <w:szCs w:val="28"/>
          <w:lang w:val="kk-KZ"/>
        </w:rPr>
        <w:t xml:space="preserve"> – ЖМӨ деструкциясының уақыт бойынша динамикасы (бастапқы мұнай массасының %-ы) [1</w:t>
      </w:r>
      <w:r>
        <w:rPr>
          <w:rFonts w:hint="default"/>
          <w:color w:val="auto"/>
          <w:szCs w:val="28"/>
          <w:lang w:val="kk-KZ"/>
        </w:rPr>
        <w:t>31</w:t>
      </w:r>
      <w:r>
        <w:rPr>
          <w:color w:val="auto"/>
          <w:szCs w:val="28"/>
          <w:lang w:val="kk-KZ"/>
        </w:rPr>
        <w:t xml:space="preserve">]. Қате жолақтары стандартты ауытқуды көрсетеді (n=5). 45 күндегі әріптер өңдеулер арасындағы статистикалық маңызды айырмашылықтарды көрсетеді (p &lt; </w:t>
      </w:r>
      <w:r>
        <w:rPr>
          <w:color w:val="auto"/>
          <w:szCs w:val="28"/>
          <w:lang w:val="ru-RU"/>
        </w:rPr>
        <w:t>0,</w:t>
      </w:r>
      <w:r>
        <w:rPr>
          <w:color w:val="auto"/>
          <w:szCs w:val="28"/>
          <w:lang w:val="kk-KZ"/>
        </w:rPr>
        <w:t>05, Tukey HSD сынағы). Б = бақылау, AБ = абиоттық бақылау, ТБ = тасымалдаушы бақылауы, БК = бос клеткалар, ҚК иммобилизация = қарақұмық қауызына иммобилизацияланған, КҚ иммобилизация = күріш қауызына иммобилизацияланған</w:t>
      </w:r>
    </w:p>
    <w:p w14:paraId="02F050D4">
      <w:pPr>
        <w:spacing w:after="0"/>
        <w:ind w:firstLine="709"/>
        <w:jc w:val="center"/>
        <w:rPr>
          <w:rStyle w:val="19"/>
          <w:color w:val="auto"/>
          <w:szCs w:val="28"/>
          <w:highlight w:val="yellow"/>
          <w:lang w:val="kk-KZ"/>
        </w:rPr>
      </w:pPr>
    </w:p>
    <w:p w14:paraId="4D262F3E">
      <w:pPr>
        <w:spacing w:after="0"/>
        <w:rPr>
          <w:color w:val="auto"/>
          <w:szCs w:val="28"/>
          <w:lang w:val="kk-KZ"/>
        </w:rPr>
      </w:pPr>
      <w:r>
        <w:rPr>
          <w:rStyle w:val="19"/>
          <w:b w:val="0"/>
          <w:bCs w:val="0"/>
          <w:color w:val="auto"/>
          <w:szCs w:val="28"/>
          <w:lang w:val="kk-KZ"/>
        </w:rPr>
        <w:t>Кесте 1</w:t>
      </w:r>
      <w:r>
        <w:rPr>
          <w:rStyle w:val="19"/>
          <w:b w:val="0"/>
          <w:bCs w:val="0"/>
          <w:color w:val="auto"/>
          <w:szCs w:val="28"/>
        </w:rPr>
        <w:t>1</w:t>
      </w:r>
      <w:r>
        <w:rPr>
          <w:color w:val="auto"/>
          <w:szCs w:val="28"/>
          <w:lang w:val="kk-KZ"/>
        </w:rPr>
        <w:t xml:space="preserve"> – ЖМӨ концентрациясының динамикасы және деструкция тиімділігі </w:t>
      </w:r>
      <w:r>
        <w:rPr>
          <w:rFonts w:hint="default"/>
          <w:color w:val="auto"/>
          <w:szCs w:val="28"/>
          <w:lang w:val="ru-RU"/>
        </w:rPr>
        <w:t>(</w:t>
      </w:r>
      <w:r>
        <w:rPr>
          <w:color w:val="auto"/>
          <w:szCs w:val="28"/>
          <w:lang w:val="kk-KZ"/>
        </w:rPr>
        <w:t>Қосымша</w:t>
      </w:r>
      <w:r>
        <w:rPr>
          <w:rFonts w:hint="default"/>
          <w:color w:val="auto"/>
          <w:szCs w:val="28"/>
          <w:lang w:val="kk-KZ"/>
        </w:rPr>
        <w:t xml:space="preserve"> Ә</w:t>
      </w:r>
      <w:r>
        <w:rPr>
          <w:rFonts w:hint="default"/>
          <w:color w:val="auto"/>
          <w:szCs w:val="28"/>
          <w:lang w:val="ru-RU"/>
        </w:rPr>
        <w:t>)</w:t>
      </w:r>
      <w:r>
        <w:rPr>
          <w:color w:val="auto"/>
          <w:szCs w:val="28"/>
          <w:lang w:val="kk-KZ"/>
        </w:rPr>
        <w:t xml:space="preserve">. </w:t>
      </w:r>
    </w:p>
    <w:p w14:paraId="4286BB5C">
      <w:pPr>
        <w:spacing w:after="0"/>
        <w:ind w:firstLine="709"/>
        <w:jc w:val="center"/>
        <w:rPr>
          <w:color w:val="auto"/>
          <w:szCs w:val="28"/>
          <w:lang w:val="kk-KZ"/>
        </w:rPr>
      </w:pPr>
    </w:p>
    <w:tbl>
      <w:tblPr>
        <w:tblStyle w:val="38"/>
        <w:tblW w:w="91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9"/>
        <w:gridCol w:w="1160"/>
        <w:gridCol w:w="1253"/>
        <w:gridCol w:w="1253"/>
        <w:gridCol w:w="1294"/>
        <w:gridCol w:w="1266"/>
        <w:gridCol w:w="1440"/>
      </w:tblGrid>
      <w:tr w14:paraId="61AB9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99" w:type="dxa"/>
          </w:tcPr>
          <w:p w14:paraId="23F1E645">
            <w:pPr>
              <w:widowControl w:val="0"/>
              <w:jc w:val="center"/>
              <w:rPr>
                <w:color w:val="auto"/>
                <w:sz w:val="24"/>
                <w:szCs w:val="24"/>
              </w:rPr>
            </w:pPr>
            <w:r>
              <w:rPr>
                <w:color w:val="auto"/>
                <w:sz w:val="24"/>
                <w:szCs w:val="24"/>
                <w:lang w:val="en-US" w:eastAsia="zh-CN" w:bidi="ar"/>
              </w:rPr>
              <w:t>Нұсқа</w:t>
            </w:r>
          </w:p>
        </w:tc>
        <w:tc>
          <w:tcPr>
            <w:tcW w:w="1160" w:type="dxa"/>
          </w:tcPr>
          <w:p w14:paraId="64A10206">
            <w:pPr>
              <w:widowControl w:val="0"/>
              <w:jc w:val="center"/>
              <w:rPr>
                <w:color w:val="auto"/>
                <w:sz w:val="24"/>
                <w:szCs w:val="24"/>
              </w:rPr>
            </w:pPr>
            <w:r>
              <w:rPr>
                <w:color w:val="auto"/>
                <w:sz w:val="24"/>
                <w:szCs w:val="24"/>
                <w:lang w:val="en-US" w:eastAsia="zh-CN" w:bidi="ar"/>
              </w:rPr>
              <w:t>0 күн</w:t>
            </w:r>
            <w:r>
              <w:rPr>
                <w:color w:val="auto"/>
                <w:sz w:val="24"/>
                <w:szCs w:val="24"/>
                <w:lang w:val="en-US" w:eastAsia="zh-CN" w:bidi="ar"/>
              </w:rPr>
              <w:br w:type="textWrapping"/>
            </w:r>
            <w:r>
              <w:rPr>
                <w:color w:val="auto"/>
                <w:sz w:val="24"/>
                <w:szCs w:val="24"/>
                <w:lang w:val="en-US" w:eastAsia="zh-CN" w:bidi="ar"/>
              </w:rPr>
              <w:t>мг/кг</w:t>
            </w:r>
          </w:p>
        </w:tc>
        <w:tc>
          <w:tcPr>
            <w:tcW w:w="1253" w:type="dxa"/>
          </w:tcPr>
          <w:p w14:paraId="04C2EE97">
            <w:pPr>
              <w:widowControl w:val="0"/>
              <w:jc w:val="center"/>
              <w:rPr>
                <w:color w:val="auto"/>
                <w:sz w:val="24"/>
                <w:szCs w:val="24"/>
              </w:rPr>
            </w:pPr>
            <w:r>
              <w:rPr>
                <w:color w:val="auto"/>
                <w:sz w:val="24"/>
                <w:szCs w:val="24"/>
                <w:lang w:val="en-US" w:eastAsia="zh-CN" w:bidi="ar"/>
              </w:rPr>
              <w:t>15 күн</w:t>
            </w:r>
            <w:r>
              <w:rPr>
                <w:color w:val="auto"/>
                <w:sz w:val="24"/>
                <w:szCs w:val="24"/>
                <w:lang w:val="en-US" w:eastAsia="zh-CN" w:bidi="ar"/>
              </w:rPr>
              <w:br w:type="textWrapping"/>
            </w:r>
            <w:r>
              <w:rPr>
                <w:color w:val="auto"/>
                <w:sz w:val="24"/>
                <w:szCs w:val="24"/>
                <w:lang w:val="en-US" w:eastAsia="zh-CN" w:bidi="ar"/>
              </w:rPr>
              <w:t>мг/кг</w:t>
            </w:r>
          </w:p>
        </w:tc>
        <w:tc>
          <w:tcPr>
            <w:tcW w:w="1253" w:type="dxa"/>
          </w:tcPr>
          <w:p w14:paraId="3E7BD742">
            <w:pPr>
              <w:widowControl w:val="0"/>
              <w:jc w:val="center"/>
              <w:rPr>
                <w:color w:val="auto"/>
                <w:sz w:val="24"/>
                <w:szCs w:val="24"/>
              </w:rPr>
            </w:pPr>
            <w:r>
              <w:rPr>
                <w:color w:val="auto"/>
                <w:sz w:val="24"/>
                <w:szCs w:val="24"/>
                <w:lang w:val="en-US" w:eastAsia="zh-CN" w:bidi="ar"/>
              </w:rPr>
              <w:t>30 күн</w:t>
            </w:r>
            <w:r>
              <w:rPr>
                <w:color w:val="auto"/>
                <w:sz w:val="24"/>
                <w:szCs w:val="24"/>
                <w:lang w:val="en-US" w:eastAsia="zh-CN" w:bidi="ar"/>
              </w:rPr>
              <w:br w:type="textWrapping"/>
            </w:r>
            <w:r>
              <w:rPr>
                <w:color w:val="auto"/>
                <w:sz w:val="24"/>
                <w:szCs w:val="24"/>
                <w:lang w:val="en-US" w:eastAsia="zh-CN" w:bidi="ar"/>
              </w:rPr>
              <w:t>мг/кг</w:t>
            </w:r>
          </w:p>
        </w:tc>
        <w:tc>
          <w:tcPr>
            <w:tcW w:w="1294" w:type="dxa"/>
          </w:tcPr>
          <w:p w14:paraId="4D4709FE">
            <w:pPr>
              <w:widowControl w:val="0"/>
              <w:jc w:val="center"/>
              <w:rPr>
                <w:color w:val="auto"/>
                <w:sz w:val="24"/>
                <w:szCs w:val="24"/>
              </w:rPr>
            </w:pPr>
            <w:r>
              <w:rPr>
                <w:color w:val="auto"/>
                <w:sz w:val="24"/>
                <w:szCs w:val="24"/>
                <w:lang w:val="en-US" w:eastAsia="zh-CN" w:bidi="ar"/>
              </w:rPr>
              <w:t>45 күн</w:t>
            </w:r>
            <w:r>
              <w:rPr>
                <w:color w:val="auto"/>
                <w:sz w:val="24"/>
                <w:szCs w:val="24"/>
                <w:lang w:val="en-US" w:eastAsia="zh-CN" w:bidi="ar"/>
              </w:rPr>
              <w:br w:type="textWrapping"/>
            </w:r>
            <w:r>
              <w:rPr>
                <w:color w:val="auto"/>
                <w:sz w:val="24"/>
                <w:szCs w:val="24"/>
                <w:lang w:val="en-US" w:eastAsia="zh-CN" w:bidi="ar"/>
              </w:rPr>
              <w:t>мг/кг</w:t>
            </w:r>
          </w:p>
        </w:tc>
        <w:tc>
          <w:tcPr>
            <w:tcW w:w="1266" w:type="dxa"/>
          </w:tcPr>
          <w:p w14:paraId="75D46752">
            <w:pPr>
              <w:widowControl w:val="0"/>
              <w:jc w:val="center"/>
              <w:rPr>
                <w:color w:val="auto"/>
                <w:sz w:val="24"/>
                <w:szCs w:val="24"/>
              </w:rPr>
            </w:pPr>
            <w:r>
              <w:rPr>
                <w:color w:val="auto"/>
                <w:sz w:val="24"/>
                <w:szCs w:val="24"/>
                <w:lang w:val="en-US" w:eastAsia="zh-CN" w:bidi="ar"/>
              </w:rPr>
              <w:t>Деструк</w:t>
            </w:r>
            <w:r>
              <w:rPr>
                <w:color w:val="auto"/>
                <w:sz w:val="24"/>
                <w:szCs w:val="24"/>
                <w:lang w:eastAsia="zh-CN" w:bidi="ar"/>
              </w:rPr>
              <w:t>-</w:t>
            </w:r>
            <w:r>
              <w:rPr>
                <w:color w:val="auto"/>
                <w:sz w:val="24"/>
                <w:szCs w:val="24"/>
                <w:lang w:val="en-US" w:eastAsia="zh-CN" w:bidi="ar"/>
              </w:rPr>
              <w:t>ция</w:t>
            </w:r>
            <w:r>
              <w:rPr>
                <w:color w:val="auto"/>
                <w:sz w:val="24"/>
                <w:szCs w:val="24"/>
                <w:lang w:val="en-US" w:eastAsia="zh-CN" w:bidi="ar"/>
              </w:rPr>
              <w:br w:type="textWrapping"/>
            </w:r>
            <w:r>
              <w:rPr>
                <w:color w:val="auto"/>
                <w:sz w:val="24"/>
                <w:szCs w:val="24"/>
                <w:lang w:val="en-US" w:eastAsia="zh-CN" w:bidi="ar"/>
              </w:rPr>
              <w:t>%</w:t>
            </w:r>
          </w:p>
        </w:tc>
        <w:tc>
          <w:tcPr>
            <w:tcW w:w="1440" w:type="dxa"/>
          </w:tcPr>
          <w:p w14:paraId="6985D6F0">
            <w:pPr>
              <w:widowControl w:val="0"/>
              <w:jc w:val="center"/>
              <w:rPr>
                <w:color w:val="auto"/>
                <w:sz w:val="24"/>
                <w:szCs w:val="24"/>
              </w:rPr>
            </w:pPr>
            <w:r>
              <w:rPr>
                <w:color w:val="auto"/>
                <w:sz w:val="24"/>
                <w:szCs w:val="24"/>
                <w:lang w:val="en-US" w:eastAsia="zh-CN" w:bidi="ar"/>
              </w:rPr>
              <w:t>Статист. топ*</w:t>
            </w:r>
          </w:p>
        </w:tc>
      </w:tr>
      <w:tr w14:paraId="512DF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99" w:type="dxa"/>
          </w:tcPr>
          <w:p w14:paraId="79EB87E3">
            <w:pPr>
              <w:widowControl w:val="0"/>
              <w:jc w:val="center"/>
              <w:rPr>
                <w:color w:val="auto"/>
                <w:sz w:val="24"/>
                <w:szCs w:val="24"/>
              </w:rPr>
            </w:pPr>
            <w:r>
              <w:rPr>
                <w:color w:val="auto"/>
                <w:sz w:val="24"/>
                <w:szCs w:val="24"/>
                <w:lang w:val="en-US" w:eastAsia="zh-CN" w:bidi="ar"/>
              </w:rPr>
              <w:t>Бақылау (Б)</w:t>
            </w:r>
          </w:p>
        </w:tc>
        <w:tc>
          <w:tcPr>
            <w:tcW w:w="1160" w:type="dxa"/>
          </w:tcPr>
          <w:p w14:paraId="097E394F">
            <w:pPr>
              <w:widowControl w:val="0"/>
              <w:jc w:val="center"/>
              <w:rPr>
                <w:color w:val="auto"/>
                <w:sz w:val="24"/>
                <w:szCs w:val="24"/>
              </w:rPr>
            </w:pPr>
            <w:r>
              <w:rPr>
                <w:color w:val="auto"/>
                <w:sz w:val="24"/>
                <w:szCs w:val="24"/>
                <w:lang w:eastAsia="zh-CN" w:bidi="ar"/>
              </w:rPr>
              <w:t>9250</w:t>
            </w:r>
          </w:p>
        </w:tc>
        <w:tc>
          <w:tcPr>
            <w:tcW w:w="1253" w:type="dxa"/>
          </w:tcPr>
          <w:p w14:paraId="084BEAAD">
            <w:pPr>
              <w:widowControl w:val="0"/>
              <w:jc w:val="center"/>
              <w:rPr>
                <w:color w:val="auto"/>
                <w:sz w:val="24"/>
                <w:szCs w:val="24"/>
              </w:rPr>
            </w:pPr>
            <w:r>
              <w:rPr>
                <w:color w:val="auto"/>
                <w:sz w:val="24"/>
                <w:szCs w:val="24"/>
                <w:lang w:val="en-US" w:eastAsia="zh-CN" w:bidi="ar"/>
              </w:rPr>
              <w:t>9200±450</w:t>
            </w:r>
          </w:p>
        </w:tc>
        <w:tc>
          <w:tcPr>
            <w:tcW w:w="1253" w:type="dxa"/>
          </w:tcPr>
          <w:p w14:paraId="159F2BFB">
            <w:pPr>
              <w:widowControl w:val="0"/>
              <w:jc w:val="center"/>
              <w:rPr>
                <w:color w:val="auto"/>
                <w:sz w:val="24"/>
                <w:szCs w:val="24"/>
              </w:rPr>
            </w:pPr>
            <w:r>
              <w:rPr>
                <w:color w:val="auto"/>
                <w:sz w:val="24"/>
                <w:szCs w:val="24"/>
                <w:lang w:val="en-US" w:eastAsia="zh-CN" w:bidi="ar"/>
              </w:rPr>
              <w:t>9100±420</w:t>
            </w:r>
          </w:p>
        </w:tc>
        <w:tc>
          <w:tcPr>
            <w:tcW w:w="1294" w:type="dxa"/>
          </w:tcPr>
          <w:p w14:paraId="7377A5BB">
            <w:pPr>
              <w:widowControl w:val="0"/>
              <w:jc w:val="center"/>
              <w:rPr>
                <w:color w:val="auto"/>
                <w:sz w:val="24"/>
                <w:szCs w:val="24"/>
              </w:rPr>
            </w:pPr>
            <w:r>
              <w:rPr>
                <w:color w:val="auto"/>
                <w:sz w:val="24"/>
                <w:szCs w:val="24"/>
                <w:lang w:val="en-US" w:eastAsia="zh-CN" w:bidi="ar"/>
              </w:rPr>
              <w:t>8712±400</w:t>
            </w:r>
          </w:p>
        </w:tc>
        <w:tc>
          <w:tcPr>
            <w:tcW w:w="1266" w:type="dxa"/>
          </w:tcPr>
          <w:p w14:paraId="27489E75">
            <w:pPr>
              <w:widowControl w:val="0"/>
              <w:jc w:val="center"/>
              <w:rPr>
                <w:color w:val="auto"/>
                <w:sz w:val="24"/>
                <w:szCs w:val="24"/>
              </w:rPr>
            </w:pPr>
            <w:r>
              <w:rPr>
                <w:color w:val="auto"/>
                <w:sz w:val="24"/>
                <w:szCs w:val="24"/>
                <w:lang w:val="en-US" w:eastAsia="zh-CN" w:bidi="ar"/>
              </w:rPr>
              <w:t>5.8±</w:t>
            </w:r>
            <w:r>
              <w:rPr>
                <w:color w:val="auto"/>
                <w:sz w:val="24"/>
                <w:szCs w:val="24"/>
                <w:lang w:val="ru-RU" w:eastAsia="zh-CN" w:bidi="ar"/>
              </w:rPr>
              <w:t>2,</w:t>
            </w:r>
            <w:r>
              <w:rPr>
                <w:color w:val="auto"/>
                <w:sz w:val="24"/>
                <w:szCs w:val="24"/>
                <w:lang w:val="en-US" w:eastAsia="zh-CN" w:bidi="ar"/>
              </w:rPr>
              <w:t>1ᵈ</w:t>
            </w:r>
          </w:p>
        </w:tc>
        <w:tc>
          <w:tcPr>
            <w:tcW w:w="1440" w:type="dxa"/>
          </w:tcPr>
          <w:p w14:paraId="3F931A19">
            <w:pPr>
              <w:widowControl w:val="0"/>
              <w:jc w:val="center"/>
              <w:rPr>
                <w:color w:val="auto"/>
                <w:sz w:val="24"/>
                <w:szCs w:val="24"/>
              </w:rPr>
            </w:pPr>
            <w:r>
              <w:rPr>
                <w:color w:val="auto"/>
                <w:sz w:val="24"/>
                <w:szCs w:val="24"/>
                <w:lang w:val="en-US" w:eastAsia="zh-CN" w:bidi="ar"/>
              </w:rPr>
              <w:t>d</w:t>
            </w:r>
          </w:p>
        </w:tc>
      </w:tr>
      <w:tr w14:paraId="4A1E3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99" w:type="dxa"/>
          </w:tcPr>
          <w:p w14:paraId="59536C36">
            <w:pPr>
              <w:widowControl w:val="0"/>
              <w:jc w:val="center"/>
              <w:rPr>
                <w:color w:val="auto"/>
                <w:sz w:val="24"/>
                <w:szCs w:val="24"/>
              </w:rPr>
            </w:pPr>
            <w:r>
              <w:rPr>
                <w:color w:val="auto"/>
                <w:sz w:val="24"/>
                <w:szCs w:val="24"/>
                <w:lang w:val="en-US" w:eastAsia="zh-CN" w:bidi="ar"/>
              </w:rPr>
              <w:t>Абиоттық бақылау (АБ)</w:t>
            </w:r>
          </w:p>
        </w:tc>
        <w:tc>
          <w:tcPr>
            <w:tcW w:w="1160" w:type="dxa"/>
          </w:tcPr>
          <w:p w14:paraId="05EC21B4">
            <w:pPr>
              <w:widowControl w:val="0"/>
              <w:jc w:val="center"/>
              <w:rPr>
                <w:color w:val="auto"/>
                <w:sz w:val="24"/>
                <w:szCs w:val="24"/>
              </w:rPr>
            </w:pPr>
            <w:r>
              <w:rPr>
                <w:color w:val="auto"/>
                <w:sz w:val="24"/>
                <w:szCs w:val="24"/>
                <w:lang w:eastAsia="zh-CN" w:bidi="ar"/>
              </w:rPr>
              <w:t>9250</w:t>
            </w:r>
          </w:p>
        </w:tc>
        <w:tc>
          <w:tcPr>
            <w:tcW w:w="1253" w:type="dxa"/>
          </w:tcPr>
          <w:p w14:paraId="4C9DE439">
            <w:pPr>
              <w:widowControl w:val="0"/>
              <w:jc w:val="center"/>
              <w:rPr>
                <w:color w:val="auto"/>
                <w:sz w:val="24"/>
                <w:szCs w:val="24"/>
              </w:rPr>
            </w:pPr>
            <w:r>
              <w:rPr>
                <w:color w:val="auto"/>
                <w:sz w:val="24"/>
                <w:szCs w:val="24"/>
                <w:lang w:val="en-US" w:eastAsia="zh-CN" w:bidi="ar"/>
              </w:rPr>
              <w:t>9150±480</w:t>
            </w:r>
          </w:p>
        </w:tc>
        <w:tc>
          <w:tcPr>
            <w:tcW w:w="1253" w:type="dxa"/>
          </w:tcPr>
          <w:p w14:paraId="36965D97">
            <w:pPr>
              <w:widowControl w:val="0"/>
              <w:jc w:val="center"/>
              <w:rPr>
                <w:color w:val="auto"/>
                <w:sz w:val="24"/>
                <w:szCs w:val="24"/>
              </w:rPr>
            </w:pPr>
            <w:r>
              <w:rPr>
                <w:color w:val="auto"/>
                <w:sz w:val="24"/>
                <w:szCs w:val="24"/>
                <w:lang w:val="en-US" w:eastAsia="zh-CN" w:bidi="ar"/>
              </w:rPr>
              <w:t>9050±460</w:t>
            </w:r>
          </w:p>
        </w:tc>
        <w:tc>
          <w:tcPr>
            <w:tcW w:w="1294" w:type="dxa"/>
          </w:tcPr>
          <w:p w14:paraId="79D62A4A">
            <w:pPr>
              <w:widowControl w:val="0"/>
              <w:jc w:val="center"/>
              <w:rPr>
                <w:color w:val="auto"/>
                <w:sz w:val="24"/>
                <w:szCs w:val="24"/>
              </w:rPr>
            </w:pPr>
            <w:r>
              <w:rPr>
                <w:color w:val="auto"/>
                <w:sz w:val="24"/>
                <w:szCs w:val="24"/>
                <w:lang w:val="en-US" w:eastAsia="zh-CN" w:bidi="ar"/>
              </w:rPr>
              <w:t>9053±450</w:t>
            </w:r>
          </w:p>
        </w:tc>
        <w:tc>
          <w:tcPr>
            <w:tcW w:w="1266" w:type="dxa"/>
          </w:tcPr>
          <w:p w14:paraId="13A8261C">
            <w:pPr>
              <w:widowControl w:val="0"/>
              <w:jc w:val="center"/>
              <w:rPr>
                <w:color w:val="auto"/>
                <w:sz w:val="24"/>
                <w:szCs w:val="24"/>
              </w:rPr>
            </w:pPr>
            <w:r>
              <w:rPr>
                <w:color w:val="auto"/>
                <w:sz w:val="24"/>
                <w:szCs w:val="24"/>
                <w:lang w:val="ru-RU" w:eastAsia="zh-CN" w:bidi="ar"/>
              </w:rPr>
              <w:t>2,</w:t>
            </w:r>
            <w:r>
              <w:rPr>
                <w:color w:val="auto"/>
                <w:sz w:val="24"/>
                <w:szCs w:val="24"/>
                <w:lang w:val="en-US" w:eastAsia="zh-CN" w:bidi="ar"/>
              </w:rPr>
              <w:t>1±1.5ᵈ</w:t>
            </w:r>
          </w:p>
        </w:tc>
        <w:tc>
          <w:tcPr>
            <w:tcW w:w="1440" w:type="dxa"/>
          </w:tcPr>
          <w:p w14:paraId="4449E60A">
            <w:pPr>
              <w:widowControl w:val="0"/>
              <w:jc w:val="center"/>
              <w:rPr>
                <w:color w:val="auto"/>
                <w:sz w:val="24"/>
                <w:szCs w:val="24"/>
              </w:rPr>
            </w:pPr>
            <w:r>
              <w:rPr>
                <w:color w:val="auto"/>
                <w:sz w:val="24"/>
                <w:szCs w:val="24"/>
                <w:lang w:val="en-US" w:eastAsia="zh-CN" w:bidi="ar"/>
              </w:rPr>
              <w:t>d</w:t>
            </w:r>
          </w:p>
        </w:tc>
      </w:tr>
    </w:tbl>
    <w:p w14:paraId="2418AFEC">
      <w:pPr>
        <w:rPr>
          <w:color w:val="auto"/>
        </w:rPr>
      </w:pPr>
      <w:r>
        <w:rPr>
          <w:color w:val="auto"/>
        </w:rPr>
        <w:br w:type="page"/>
      </w:r>
    </w:p>
    <w:p w14:paraId="6566AC12">
      <w:pPr>
        <w:keepNext w:val="0"/>
        <w:keepLines w:val="0"/>
        <w:pageBreakBefore w:val="0"/>
        <w:kinsoku/>
        <w:wordWrap/>
        <w:overflowPunct/>
        <w:topLinePunct w:val="0"/>
        <w:autoSpaceDE/>
        <w:autoSpaceDN/>
        <w:bidi w:val="0"/>
        <w:adjustRightInd/>
        <w:snapToGrid/>
        <w:spacing w:after="0"/>
        <w:textAlignment w:val="auto"/>
        <w:rPr>
          <w:rFonts w:hint="default"/>
          <w:color w:val="auto"/>
          <w:lang w:val="kk-KZ"/>
        </w:rPr>
      </w:pPr>
      <w:r>
        <w:rPr>
          <w:rFonts w:hint="default"/>
          <w:color w:val="auto"/>
          <w:lang w:val="kk-KZ"/>
        </w:rPr>
        <w:t>К</w:t>
      </w:r>
      <w:r>
        <w:rPr>
          <w:rFonts w:hint="default"/>
          <w:color w:val="auto"/>
          <w:lang w:val="ru-RU"/>
        </w:rPr>
        <w:t>ес</w:t>
      </w:r>
      <w:r>
        <w:rPr>
          <w:rFonts w:hint="default"/>
          <w:color w:val="auto"/>
          <w:lang w:val="kk-KZ"/>
        </w:rPr>
        <w:t>те 11 жалғасы</w:t>
      </w:r>
    </w:p>
    <w:tbl>
      <w:tblPr>
        <w:tblStyle w:val="38"/>
        <w:tblW w:w="91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9"/>
        <w:gridCol w:w="1160"/>
        <w:gridCol w:w="1253"/>
        <w:gridCol w:w="1253"/>
        <w:gridCol w:w="1294"/>
        <w:gridCol w:w="1266"/>
        <w:gridCol w:w="1440"/>
      </w:tblGrid>
      <w:tr w14:paraId="2CC37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99" w:type="dxa"/>
          </w:tcPr>
          <w:p w14:paraId="6717CD77">
            <w:pPr>
              <w:keepNext w:val="0"/>
              <w:keepLines w:val="0"/>
              <w:pageBreakBefore w:val="0"/>
              <w:widowControl w:val="0"/>
              <w:kinsoku/>
              <w:wordWrap/>
              <w:overflowPunct/>
              <w:topLinePunct w:val="0"/>
              <w:autoSpaceDE/>
              <w:autoSpaceDN/>
              <w:bidi w:val="0"/>
              <w:adjustRightInd/>
              <w:snapToGrid/>
              <w:spacing w:after="0"/>
              <w:jc w:val="center"/>
              <w:textAlignment w:val="auto"/>
              <w:rPr>
                <w:color w:val="auto"/>
                <w:sz w:val="24"/>
                <w:szCs w:val="24"/>
              </w:rPr>
            </w:pPr>
            <w:r>
              <w:rPr>
                <w:color w:val="auto"/>
                <w:sz w:val="24"/>
                <w:szCs w:val="24"/>
                <w:lang w:val="en-US" w:eastAsia="zh-CN" w:bidi="ar"/>
              </w:rPr>
              <w:t>Тасымалда</w:t>
            </w:r>
            <w:r>
              <w:rPr>
                <w:color w:val="auto"/>
                <w:sz w:val="24"/>
                <w:szCs w:val="24"/>
                <w:lang w:eastAsia="zh-CN" w:bidi="ar"/>
              </w:rPr>
              <w:t>-</w:t>
            </w:r>
            <w:r>
              <w:rPr>
                <w:color w:val="auto"/>
                <w:sz w:val="24"/>
                <w:szCs w:val="24"/>
                <w:lang w:val="en-US" w:eastAsia="zh-CN" w:bidi="ar"/>
              </w:rPr>
              <w:t>ғыш бақылауы (ТБ)</w:t>
            </w:r>
          </w:p>
        </w:tc>
        <w:tc>
          <w:tcPr>
            <w:tcW w:w="1160" w:type="dxa"/>
          </w:tcPr>
          <w:p w14:paraId="29C4B68E">
            <w:pPr>
              <w:keepNext w:val="0"/>
              <w:keepLines w:val="0"/>
              <w:pageBreakBefore w:val="0"/>
              <w:widowControl w:val="0"/>
              <w:kinsoku/>
              <w:wordWrap/>
              <w:overflowPunct/>
              <w:topLinePunct w:val="0"/>
              <w:autoSpaceDE/>
              <w:autoSpaceDN/>
              <w:bidi w:val="0"/>
              <w:adjustRightInd/>
              <w:snapToGrid/>
              <w:spacing w:after="0"/>
              <w:jc w:val="center"/>
              <w:textAlignment w:val="auto"/>
              <w:rPr>
                <w:color w:val="auto"/>
                <w:sz w:val="24"/>
                <w:szCs w:val="24"/>
              </w:rPr>
            </w:pPr>
            <w:r>
              <w:rPr>
                <w:color w:val="auto"/>
                <w:sz w:val="24"/>
                <w:szCs w:val="24"/>
                <w:lang w:eastAsia="zh-CN" w:bidi="ar"/>
              </w:rPr>
              <w:t>9250</w:t>
            </w:r>
          </w:p>
        </w:tc>
        <w:tc>
          <w:tcPr>
            <w:tcW w:w="1253" w:type="dxa"/>
          </w:tcPr>
          <w:p w14:paraId="394FDCDA">
            <w:pPr>
              <w:keepNext w:val="0"/>
              <w:keepLines w:val="0"/>
              <w:pageBreakBefore w:val="0"/>
              <w:widowControl w:val="0"/>
              <w:kinsoku/>
              <w:wordWrap/>
              <w:overflowPunct/>
              <w:topLinePunct w:val="0"/>
              <w:autoSpaceDE/>
              <w:autoSpaceDN/>
              <w:bidi w:val="0"/>
              <w:adjustRightInd/>
              <w:snapToGrid/>
              <w:spacing w:after="0"/>
              <w:jc w:val="center"/>
              <w:textAlignment w:val="auto"/>
              <w:rPr>
                <w:color w:val="auto"/>
                <w:sz w:val="24"/>
                <w:szCs w:val="24"/>
              </w:rPr>
            </w:pPr>
            <w:r>
              <w:rPr>
                <w:color w:val="auto"/>
                <w:sz w:val="24"/>
                <w:szCs w:val="24"/>
                <w:lang w:val="en-US" w:eastAsia="zh-CN" w:bidi="ar"/>
              </w:rPr>
              <w:t>9000±380</w:t>
            </w:r>
          </w:p>
        </w:tc>
        <w:tc>
          <w:tcPr>
            <w:tcW w:w="1253" w:type="dxa"/>
          </w:tcPr>
          <w:p w14:paraId="3119181B">
            <w:pPr>
              <w:keepNext w:val="0"/>
              <w:keepLines w:val="0"/>
              <w:pageBreakBefore w:val="0"/>
              <w:widowControl w:val="0"/>
              <w:kinsoku/>
              <w:wordWrap/>
              <w:overflowPunct/>
              <w:topLinePunct w:val="0"/>
              <w:autoSpaceDE/>
              <w:autoSpaceDN/>
              <w:bidi w:val="0"/>
              <w:adjustRightInd/>
              <w:snapToGrid/>
              <w:spacing w:after="0"/>
              <w:jc w:val="center"/>
              <w:textAlignment w:val="auto"/>
              <w:rPr>
                <w:color w:val="auto"/>
                <w:sz w:val="24"/>
                <w:szCs w:val="24"/>
              </w:rPr>
            </w:pPr>
            <w:r>
              <w:rPr>
                <w:color w:val="auto"/>
                <w:sz w:val="24"/>
                <w:szCs w:val="24"/>
                <w:lang w:val="en-US" w:eastAsia="zh-CN" w:bidi="ar"/>
              </w:rPr>
              <w:t>8500±350</w:t>
            </w:r>
          </w:p>
        </w:tc>
        <w:tc>
          <w:tcPr>
            <w:tcW w:w="1294" w:type="dxa"/>
          </w:tcPr>
          <w:p w14:paraId="2BB969D8">
            <w:pPr>
              <w:keepNext w:val="0"/>
              <w:keepLines w:val="0"/>
              <w:pageBreakBefore w:val="0"/>
              <w:widowControl w:val="0"/>
              <w:kinsoku/>
              <w:wordWrap/>
              <w:overflowPunct/>
              <w:topLinePunct w:val="0"/>
              <w:autoSpaceDE/>
              <w:autoSpaceDN/>
              <w:bidi w:val="0"/>
              <w:adjustRightInd/>
              <w:snapToGrid/>
              <w:spacing w:after="0"/>
              <w:jc w:val="center"/>
              <w:textAlignment w:val="auto"/>
              <w:rPr>
                <w:color w:val="auto"/>
                <w:sz w:val="24"/>
                <w:szCs w:val="24"/>
              </w:rPr>
            </w:pPr>
            <w:r>
              <w:rPr>
                <w:color w:val="auto"/>
                <w:sz w:val="24"/>
                <w:szCs w:val="24"/>
                <w:lang w:val="en-US" w:eastAsia="zh-CN" w:bidi="ar"/>
              </w:rPr>
              <w:t>8091±340</w:t>
            </w:r>
          </w:p>
        </w:tc>
        <w:tc>
          <w:tcPr>
            <w:tcW w:w="1266" w:type="dxa"/>
          </w:tcPr>
          <w:p w14:paraId="160232EE">
            <w:pPr>
              <w:keepNext w:val="0"/>
              <w:keepLines w:val="0"/>
              <w:pageBreakBefore w:val="0"/>
              <w:widowControl w:val="0"/>
              <w:kinsoku/>
              <w:wordWrap/>
              <w:overflowPunct/>
              <w:topLinePunct w:val="0"/>
              <w:autoSpaceDE/>
              <w:autoSpaceDN/>
              <w:bidi w:val="0"/>
              <w:adjustRightInd/>
              <w:snapToGrid/>
              <w:spacing w:after="0"/>
              <w:jc w:val="center"/>
              <w:textAlignment w:val="auto"/>
              <w:rPr>
                <w:color w:val="auto"/>
                <w:sz w:val="24"/>
                <w:szCs w:val="24"/>
              </w:rPr>
            </w:pPr>
            <w:r>
              <w:rPr>
                <w:color w:val="auto"/>
                <w:sz w:val="24"/>
                <w:szCs w:val="24"/>
                <w:lang w:val="en-US" w:eastAsia="zh-CN" w:bidi="ar"/>
              </w:rPr>
              <w:t>1</w:t>
            </w:r>
            <w:r>
              <w:rPr>
                <w:color w:val="auto"/>
                <w:sz w:val="24"/>
                <w:szCs w:val="24"/>
                <w:lang w:val="ru-RU" w:eastAsia="zh-CN" w:bidi="ar"/>
              </w:rPr>
              <w:t>2,</w:t>
            </w:r>
            <w:r>
              <w:rPr>
                <w:color w:val="auto"/>
                <w:sz w:val="24"/>
                <w:szCs w:val="24"/>
                <w:lang w:val="en-US" w:eastAsia="zh-CN" w:bidi="ar"/>
              </w:rPr>
              <w:t>5±</w:t>
            </w:r>
            <w:r>
              <w:rPr>
                <w:color w:val="auto"/>
                <w:sz w:val="24"/>
                <w:szCs w:val="24"/>
                <w:lang w:val="ru-RU" w:eastAsia="zh-CN" w:bidi="ar"/>
              </w:rPr>
              <w:t>3,</w:t>
            </w:r>
            <w:r>
              <w:rPr>
                <w:color w:val="auto"/>
                <w:sz w:val="24"/>
                <w:szCs w:val="24"/>
                <w:lang w:val="en-US" w:eastAsia="zh-CN" w:bidi="ar"/>
              </w:rPr>
              <w:t>2ᶜ</w:t>
            </w:r>
          </w:p>
        </w:tc>
        <w:tc>
          <w:tcPr>
            <w:tcW w:w="1440" w:type="dxa"/>
          </w:tcPr>
          <w:p w14:paraId="03CCEA2E">
            <w:pPr>
              <w:keepNext w:val="0"/>
              <w:keepLines w:val="0"/>
              <w:pageBreakBefore w:val="0"/>
              <w:widowControl w:val="0"/>
              <w:kinsoku/>
              <w:wordWrap/>
              <w:overflowPunct/>
              <w:topLinePunct w:val="0"/>
              <w:autoSpaceDE/>
              <w:autoSpaceDN/>
              <w:bidi w:val="0"/>
              <w:adjustRightInd/>
              <w:snapToGrid/>
              <w:spacing w:after="0"/>
              <w:jc w:val="center"/>
              <w:textAlignment w:val="auto"/>
              <w:rPr>
                <w:color w:val="auto"/>
                <w:sz w:val="24"/>
                <w:szCs w:val="24"/>
              </w:rPr>
            </w:pPr>
            <w:r>
              <w:rPr>
                <w:color w:val="auto"/>
                <w:sz w:val="24"/>
                <w:szCs w:val="24"/>
                <w:lang w:val="en-US" w:eastAsia="zh-CN" w:bidi="ar"/>
              </w:rPr>
              <w:t>c</w:t>
            </w:r>
          </w:p>
        </w:tc>
      </w:tr>
      <w:tr w14:paraId="0F511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99" w:type="dxa"/>
          </w:tcPr>
          <w:p w14:paraId="14013EB0">
            <w:pPr>
              <w:widowControl w:val="0"/>
              <w:jc w:val="center"/>
              <w:rPr>
                <w:color w:val="auto"/>
                <w:sz w:val="24"/>
                <w:szCs w:val="24"/>
                <w:lang w:val="kk-KZ"/>
              </w:rPr>
            </w:pPr>
            <w:r>
              <w:rPr>
                <w:color w:val="auto"/>
                <w:sz w:val="24"/>
                <w:szCs w:val="24"/>
                <w:lang w:eastAsia="zh-CN" w:bidi="ar"/>
              </w:rPr>
              <w:t>Бос клеткалар ба</w:t>
            </w:r>
            <w:r>
              <w:rPr>
                <w:color w:val="auto"/>
                <w:sz w:val="24"/>
                <w:szCs w:val="24"/>
                <w:lang w:val="kk-KZ" w:eastAsia="zh-CN" w:bidi="ar"/>
              </w:rPr>
              <w:t>қылауы</w:t>
            </w:r>
          </w:p>
        </w:tc>
        <w:tc>
          <w:tcPr>
            <w:tcW w:w="1160" w:type="dxa"/>
          </w:tcPr>
          <w:p w14:paraId="3924A837">
            <w:pPr>
              <w:widowControl w:val="0"/>
              <w:jc w:val="center"/>
              <w:rPr>
                <w:color w:val="auto"/>
                <w:sz w:val="24"/>
                <w:szCs w:val="24"/>
              </w:rPr>
            </w:pPr>
            <w:r>
              <w:rPr>
                <w:color w:val="auto"/>
                <w:sz w:val="24"/>
                <w:szCs w:val="24"/>
                <w:lang w:val="en-US" w:eastAsia="zh-CN" w:bidi="ar"/>
              </w:rPr>
              <w:t>9250</w:t>
            </w:r>
          </w:p>
        </w:tc>
        <w:tc>
          <w:tcPr>
            <w:tcW w:w="1253" w:type="dxa"/>
          </w:tcPr>
          <w:p w14:paraId="0D849705">
            <w:pPr>
              <w:widowControl w:val="0"/>
              <w:jc w:val="center"/>
              <w:rPr>
                <w:color w:val="auto"/>
                <w:sz w:val="24"/>
                <w:szCs w:val="24"/>
              </w:rPr>
            </w:pPr>
            <w:r>
              <w:rPr>
                <w:color w:val="auto"/>
                <w:sz w:val="24"/>
                <w:szCs w:val="24"/>
                <w:lang w:val="en-US" w:eastAsia="zh-CN" w:bidi="ar"/>
              </w:rPr>
              <w:t>7200±380</w:t>
            </w:r>
          </w:p>
        </w:tc>
        <w:tc>
          <w:tcPr>
            <w:tcW w:w="1253" w:type="dxa"/>
          </w:tcPr>
          <w:p w14:paraId="039ABCE7">
            <w:pPr>
              <w:widowControl w:val="0"/>
              <w:jc w:val="center"/>
              <w:rPr>
                <w:color w:val="auto"/>
                <w:sz w:val="24"/>
                <w:szCs w:val="24"/>
              </w:rPr>
            </w:pPr>
            <w:r>
              <w:rPr>
                <w:color w:val="auto"/>
                <w:sz w:val="24"/>
                <w:szCs w:val="24"/>
                <w:lang w:val="en-US" w:eastAsia="zh-CN" w:bidi="ar"/>
              </w:rPr>
              <w:t>6000±340</w:t>
            </w:r>
          </w:p>
        </w:tc>
        <w:tc>
          <w:tcPr>
            <w:tcW w:w="1294" w:type="dxa"/>
          </w:tcPr>
          <w:p w14:paraId="766A0D04">
            <w:pPr>
              <w:widowControl w:val="0"/>
              <w:jc w:val="center"/>
              <w:rPr>
                <w:color w:val="auto"/>
                <w:sz w:val="24"/>
                <w:szCs w:val="24"/>
              </w:rPr>
            </w:pPr>
            <w:r>
              <w:rPr>
                <w:rStyle w:val="19"/>
                <w:b w:val="0"/>
                <w:bCs w:val="0"/>
                <w:color w:val="auto"/>
                <w:sz w:val="24"/>
                <w:szCs w:val="24"/>
                <w:lang w:val="en-US" w:eastAsia="zh-CN" w:bidi="ar"/>
              </w:rPr>
              <w:t>5703±420</w:t>
            </w:r>
          </w:p>
        </w:tc>
        <w:tc>
          <w:tcPr>
            <w:tcW w:w="1266" w:type="dxa"/>
          </w:tcPr>
          <w:p w14:paraId="38C977E9">
            <w:pPr>
              <w:widowControl w:val="0"/>
              <w:jc w:val="center"/>
              <w:rPr>
                <w:color w:val="auto"/>
                <w:sz w:val="24"/>
                <w:szCs w:val="24"/>
              </w:rPr>
            </w:pPr>
            <w:r>
              <w:rPr>
                <w:rStyle w:val="19"/>
                <w:b w:val="0"/>
                <w:bCs w:val="0"/>
                <w:color w:val="auto"/>
                <w:sz w:val="24"/>
                <w:szCs w:val="24"/>
                <w:lang w:val="en-US" w:eastAsia="zh-CN" w:bidi="ar"/>
              </w:rPr>
              <w:t>3</w:t>
            </w:r>
            <w:r>
              <w:rPr>
                <w:rStyle w:val="19"/>
                <w:b w:val="0"/>
                <w:bCs w:val="0"/>
                <w:color w:val="auto"/>
                <w:sz w:val="24"/>
                <w:szCs w:val="24"/>
                <w:lang w:val="ru-RU" w:eastAsia="zh-CN" w:bidi="ar"/>
              </w:rPr>
              <w:t>8,</w:t>
            </w:r>
            <w:r>
              <w:rPr>
                <w:rStyle w:val="19"/>
                <w:b w:val="0"/>
                <w:bCs w:val="0"/>
                <w:color w:val="auto"/>
                <w:sz w:val="24"/>
                <w:szCs w:val="24"/>
                <w:lang w:val="en-US" w:eastAsia="zh-CN" w:bidi="ar"/>
              </w:rPr>
              <w:t>3±5.8ᵇ</w:t>
            </w:r>
          </w:p>
        </w:tc>
        <w:tc>
          <w:tcPr>
            <w:tcW w:w="1440" w:type="dxa"/>
          </w:tcPr>
          <w:p w14:paraId="13524183">
            <w:pPr>
              <w:widowControl w:val="0"/>
              <w:jc w:val="center"/>
              <w:rPr>
                <w:color w:val="auto"/>
                <w:sz w:val="24"/>
                <w:szCs w:val="24"/>
              </w:rPr>
            </w:pPr>
            <w:r>
              <w:rPr>
                <w:color w:val="auto"/>
                <w:sz w:val="24"/>
                <w:szCs w:val="24"/>
                <w:lang w:val="en-US" w:eastAsia="zh-CN" w:bidi="ar"/>
              </w:rPr>
              <w:t>b</w:t>
            </w:r>
          </w:p>
        </w:tc>
      </w:tr>
      <w:tr w14:paraId="323C4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99" w:type="dxa"/>
          </w:tcPr>
          <w:p w14:paraId="37B74DCB">
            <w:pPr>
              <w:widowControl w:val="0"/>
              <w:jc w:val="center"/>
              <w:rPr>
                <w:color w:val="auto"/>
                <w:sz w:val="24"/>
                <w:szCs w:val="24"/>
              </w:rPr>
            </w:pPr>
            <w:r>
              <w:rPr>
                <w:color w:val="auto"/>
                <w:sz w:val="24"/>
                <w:szCs w:val="24"/>
                <w:lang w:val="en-US" w:eastAsia="zh-CN" w:bidi="ar"/>
              </w:rPr>
              <w:t>Қарақұмық қауызы (ҚҚ)</w:t>
            </w:r>
          </w:p>
        </w:tc>
        <w:tc>
          <w:tcPr>
            <w:tcW w:w="1160" w:type="dxa"/>
          </w:tcPr>
          <w:p w14:paraId="530B3836">
            <w:pPr>
              <w:widowControl w:val="0"/>
              <w:jc w:val="center"/>
              <w:rPr>
                <w:color w:val="auto"/>
                <w:sz w:val="24"/>
                <w:szCs w:val="24"/>
              </w:rPr>
            </w:pPr>
            <w:r>
              <w:rPr>
                <w:color w:val="auto"/>
                <w:sz w:val="24"/>
                <w:szCs w:val="24"/>
                <w:lang w:val="en-US" w:eastAsia="zh-CN" w:bidi="ar"/>
              </w:rPr>
              <w:t>9250</w:t>
            </w:r>
          </w:p>
        </w:tc>
        <w:tc>
          <w:tcPr>
            <w:tcW w:w="1253" w:type="dxa"/>
          </w:tcPr>
          <w:p w14:paraId="1A827ACE">
            <w:pPr>
              <w:widowControl w:val="0"/>
              <w:jc w:val="center"/>
              <w:rPr>
                <w:color w:val="auto"/>
                <w:sz w:val="24"/>
                <w:szCs w:val="24"/>
              </w:rPr>
            </w:pPr>
            <w:r>
              <w:rPr>
                <w:color w:val="auto"/>
                <w:sz w:val="24"/>
                <w:szCs w:val="24"/>
                <w:lang w:val="en-US" w:eastAsia="zh-CN" w:bidi="ar"/>
              </w:rPr>
              <w:t>6600±320</w:t>
            </w:r>
          </w:p>
        </w:tc>
        <w:tc>
          <w:tcPr>
            <w:tcW w:w="1253" w:type="dxa"/>
          </w:tcPr>
          <w:p w14:paraId="273A7000">
            <w:pPr>
              <w:widowControl w:val="0"/>
              <w:jc w:val="center"/>
              <w:rPr>
                <w:color w:val="auto"/>
                <w:sz w:val="24"/>
                <w:szCs w:val="24"/>
              </w:rPr>
            </w:pPr>
            <w:r>
              <w:rPr>
                <w:color w:val="auto"/>
                <w:sz w:val="24"/>
                <w:szCs w:val="24"/>
                <w:lang w:val="en-US" w:eastAsia="zh-CN" w:bidi="ar"/>
              </w:rPr>
              <w:t>4900±280</w:t>
            </w:r>
          </w:p>
        </w:tc>
        <w:tc>
          <w:tcPr>
            <w:tcW w:w="1294" w:type="dxa"/>
          </w:tcPr>
          <w:p w14:paraId="765CD2E5">
            <w:pPr>
              <w:widowControl w:val="0"/>
              <w:jc w:val="center"/>
              <w:rPr>
                <w:color w:val="auto"/>
                <w:sz w:val="24"/>
                <w:szCs w:val="24"/>
              </w:rPr>
            </w:pPr>
            <w:r>
              <w:rPr>
                <w:color w:val="auto"/>
                <w:sz w:val="24"/>
                <w:szCs w:val="24"/>
                <w:lang w:val="en-US" w:eastAsia="zh-CN" w:bidi="ar"/>
              </w:rPr>
              <w:t>3840±250</w:t>
            </w:r>
          </w:p>
        </w:tc>
        <w:tc>
          <w:tcPr>
            <w:tcW w:w="1266" w:type="dxa"/>
          </w:tcPr>
          <w:p w14:paraId="7A844C94">
            <w:pPr>
              <w:widowControl w:val="0"/>
              <w:jc w:val="center"/>
              <w:rPr>
                <w:color w:val="auto"/>
                <w:sz w:val="24"/>
                <w:szCs w:val="24"/>
              </w:rPr>
            </w:pPr>
            <w:r>
              <w:rPr>
                <w:color w:val="auto"/>
                <w:sz w:val="24"/>
                <w:szCs w:val="24"/>
                <w:lang w:val="en-US" w:eastAsia="zh-CN" w:bidi="ar"/>
              </w:rPr>
              <w:t>5</w:t>
            </w:r>
            <w:r>
              <w:rPr>
                <w:color w:val="auto"/>
                <w:sz w:val="24"/>
                <w:szCs w:val="24"/>
                <w:lang w:val="ru-RU" w:eastAsia="zh-CN" w:bidi="ar"/>
              </w:rPr>
              <w:t>8,</w:t>
            </w:r>
            <w:r>
              <w:rPr>
                <w:color w:val="auto"/>
                <w:sz w:val="24"/>
                <w:szCs w:val="24"/>
                <w:lang w:val="en-US" w:eastAsia="zh-CN" w:bidi="ar"/>
              </w:rPr>
              <w:t>5±</w:t>
            </w:r>
            <w:r>
              <w:rPr>
                <w:color w:val="auto"/>
                <w:sz w:val="24"/>
                <w:szCs w:val="24"/>
                <w:lang w:val="ru-RU" w:eastAsia="zh-CN" w:bidi="ar"/>
              </w:rPr>
              <w:t>3,</w:t>
            </w:r>
            <w:r>
              <w:rPr>
                <w:color w:val="auto"/>
                <w:sz w:val="24"/>
                <w:szCs w:val="24"/>
                <w:lang w:val="en-US" w:eastAsia="zh-CN" w:bidi="ar"/>
              </w:rPr>
              <w:t>7ᵃ</w:t>
            </w:r>
          </w:p>
        </w:tc>
        <w:tc>
          <w:tcPr>
            <w:tcW w:w="1440" w:type="dxa"/>
          </w:tcPr>
          <w:p w14:paraId="21DFF5B4">
            <w:pPr>
              <w:widowControl w:val="0"/>
              <w:jc w:val="center"/>
              <w:rPr>
                <w:color w:val="auto"/>
                <w:sz w:val="24"/>
                <w:szCs w:val="24"/>
              </w:rPr>
            </w:pPr>
            <w:r>
              <w:rPr>
                <w:color w:val="auto"/>
                <w:sz w:val="24"/>
                <w:szCs w:val="24"/>
                <w:lang w:val="en-US" w:eastAsia="zh-CN" w:bidi="ar"/>
              </w:rPr>
              <w:t>a</w:t>
            </w:r>
          </w:p>
        </w:tc>
      </w:tr>
      <w:tr w14:paraId="7FB31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99" w:type="dxa"/>
          </w:tcPr>
          <w:p w14:paraId="2ABC66F1">
            <w:pPr>
              <w:widowControl w:val="0"/>
              <w:jc w:val="center"/>
              <w:rPr>
                <w:color w:val="auto"/>
                <w:sz w:val="24"/>
                <w:szCs w:val="24"/>
              </w:rPr>
            </w:pPr>
            <w:r>
              <w:rPr>
                <w:color w:val="auto"/>
                <w:sz w:val="24"/>
                <w:szCs w:val="24"/>
                <w:lang w:val="en-US" w:eastAsia="zh-CN" w:bidi="ar"/>
              </w:rPr>
              <w:t>Күріш қауызы (КҚ)</w:t>
            </w:r>
          </w:p>
        </w:tc>
        <w:tc>
          <w:tcPr>
            <w:tcW w:w="1160" w:type="dxa"/>
          </w:tcPr>
          <w:p w14:paraId="05A83567">
            <w:pPr>
              <w:widowControl w:val="0"/>
              <w:jc w:val="center"/>
              <w:rPr>
                <w:color w:val="auto"/>
                <w:sz w:val="24"/>
                <w:szCs w:val="24"/>
              </w:rPr>
            </w:pPr>
            <w:r>
              <w:rPr>
                <w:color w:val="auto"/>
                <w:sz w:val="24"/>
                <w:szCs w:val="24"/>
                <w:lang w:val="en-US" w:eastAsia="zh-CN" w:bidi="ar"/>
              </w:rPr>
              <w:t>9250</w:t>
            </w:r>
          </w:p>
        </w:tc>
        <w:tc>
          <w:tcPr>
            <w:tcW w:w="1253" w:type="dxa"/>
          </w:tcPr>
          <w:p w14:paraId="52CCE247">
            <w:pPr>
              <w:widowControl w:val="0"/>
              <w:jc w:val="center"/>
              <w:rPr>
                <w:color w:val="auto"/>
                <w:sz w:val="24"/>
                <w:szCs w:val="24"/>
              </w:rPr>
            </w:pPr>
            <w:r>
              <w:rPr>
                <w:color w:val="auto"/>
                <w:sz w:val="24"/>
                <w:szCs w:val="24"/>
                <w:lang w:val="en-US" w:eastAsia="zh-CN" w:bidi="ar"/>
              </w:rPr>
              <w:t>7000±350</w:t>
            </w:r>
          </w:p>
        </w:tc>
        <w:tc>
          <w:tcPr>
            <w:tcW w:w="1253" w:type="dxa"/>
          </w:tcPr>
          <w:p w14:paraId="4204F939">
            <w:pPr>
              <w:widowControl w:val="0"/>
              <w:jc w:val="center"/>
              <w:rPr>
                <w:color w:val="auto"/>
                <w:sz w:val="24"/>
                <w:szCs w:val="24"/>
              </w:rPr>
            </w:pPr>
            <w:r>
              <w:rPr>
                <w:color w:val="auto"/>
                <w:sz w:val="24"/>
                <w:szCs w:val="24"/>
                <w:lang w:val="en-US" w:eastAsia="zh-CN" w:bidi="ar"/>
              </w:rPr>
              <w:t>5300±310</w:t>
            </w:r>
          </w:p>
        </w:tc>
        <w:tc>
          <w:tcPr>
            <w:tcW w:w="1294" w:type="dxa"/>
          </w:tcPr>
          <w:p w14:paraId="08CA7FA0">
            <w:pPr>
              <w:widowControl w:val="0"/>
              <w:jc w:val="center"/>
              <w:rPr>
                <w:color w:val="auto"/>
                <w:sz w:val="24"/>
                <w:szCs w:val="24"/>
              </w:rPr>
            </w:pPr>
            <w:r>
              <w:rPr>
                <w:color w:val="auto"/>
                <w:sz w:val="24"/>
                <w:szCs w:val="24"/>
                <w:lang w:val="en-US" w:eastAsia="zh-CN" w:bidi="ar"/>
              </w:rPr>
              <w:t>4428±290</w:t>
            </w:r>
          </w:p>
        </w:tc>
        <w:tc>
          <w:tcPr>
            <w:tcW w:w="1266" w:type="dxa"/>
          </w:tcPr>
          <w:p w14:paraId="19188303">
            <w:pPr>
              <w:widowControl w:val="0"/>
              <w:jc w:val="center"/>
              <w:rPr>
                <w:color w:val="auto"/>
                <w:sz w:val="24"/>
                <w:szCs w:val="24"/>
              </w:rPr>
            </w:pPr>
            <w:r>
              <w:rPr>
                <w:color w:val="auto"/>
                <w:sz w:val="24"/>
                <w:szCs w:val="24"/>
                <w:lang w:val="en-US" w:eastAsia="zh-CN" w:bidi="ar"/>
              </w:rPr>
              <w:t>5</w:t>
            </w:r>
            <w:r>
              <w:rPr>
                <w:color w:val="auto"/>
                <w:sz w:val="24"/>
                <w:szCs w:val="24"/>
                <w:lang w:val="ru-RU" w:eastAsia="zh-CN" w:bidi="ar"/>
              </w:rPr>
              <w:t>2,</w:t>
            </w:r>
            <w:r>
              <w:rPr>
                <w:color w:val="auto"/>
                <w:sz w:val="24"/>
                <w:szCs w:val="24"/>
                <w:lang w:val="en-US" w:eastAsia="zh-CN" w:bidi="ar"/>
              </w:rPr>
              <w:t>1±</w:t>
            </w:r>
            <w:r>
              <w:rPr>
                <w:color w:val="auto"/>
                <w:sz w:val="24"/>
                <w:szCs w:val="24"/>
                <w:lang w:val="ru-RU" w:eastAsia="zh-CN" w:bidi="ar"/>
              </w:rPr>
              <w:t>4,</w:t>
            </w:r>
            <w:r>
              <w:rPr>
                <w:color w:val="auto"/>
                <w:sz w:val="24"/>
                <w:szCs w:val="24"/>
                <w:lang w:val="en-US" w:eastAsia="zh-CN" w:bidi="ar"/>
              </w:rPr>
              <w:t>2ᵃ</w:t>
            </w:r>
          </w:p>
        </w:tc>
        <w:tc>
          <w:tcPr>
            <w:tcW w:w="1440" w:type="dxa"/>
          </w:tcPr>
          <w:p w14:paraId="0BB6D670">
            <w:pPr>
              <w:widowControl w:val="0"/>
              <w:jc w:val="center"/>
              <w:rPr>
                <w:color w:val="auto"/>
                <w:sz w:val="24"/>
                <w:szCs w:val="24"/>
              </w:rPr>
            </w:pPr>
            <w:r>
              <w:rPr>
                <w:color w:val="auto"/>
                <w:sz w:val="24"/>
                <w:szCs w:val="24"/>
                <w:lang w:val="en-US" w:eastAsia="zh-CN" w:bidi="ar"/>
              </w:rPr>
              <w:t>a</w:t>
            </w:r>
          </w:p>
        </w:tc>
      </w:tr>
    </w:tbl>
    <w:p w14:paraId="2D944E4A">
      <w:pPr>
        <w:spacing w:after="0"/>
        <w:ind w:firstLine="709"/>
        <w:jc w:val="center"/>
        <w:rPr>
          <w:bCs/>
          <w:color w:val="auto"/>
          <w:szCs w:val="28"/>
          <w:highlight w:val="yellow"/>
          <w:lang w:val="kk-KZ"/>
        </w:rPr>
      </w:pPr>
    </w:p>
    <w:p w14:paraId="4A50129A">
      <w:pPr>
        <w:pStyle w:val="35"/>
        <w:spacing w:beforeAutospacing="0" w:afterAutospacing="0"/>
        <w:ind w:firstLine="709"/>
        <w:jc w:val="both"/>
        <w:rPr>
          <w:rStyle w:val="19"/>
          <w:b w:val="0"/>
          <w:bCs w:val="0"/>
          <w:color w:val="auto"/>
          <w:sz w:val="28"/>
          <w:szCs w:val="28"/>
          <w:highlight w:val="none"/>
          <w:lang w:val="kk-KZ"/>
        </w:rPr>
      </w:pPr>
      <w:r>
        <w:rPr>
          <w:rStyle w:val="19"/>
          <w:b w:val="0"/>
          <w:bCs w:val="0"/>
          <w:color w:val="auto"/>
          <w:sz w:val="28"/>
          <w:szCs w:val="28"/>
          <w:lang w:val="kk-KZ"/>
        </w:rPr>
        <w:t>Қарақұмық қауызына иммобилизацияланған консорциум ең жоғары деструкция тиімділігін көрсетті, 45 күн ішінде 58</w:t>
      </w:r>
      <w:r>
        <w:rPr>
          <w:rStyle w:val="19"/>
          <w:rFonts w:hint="default"/>
          <w:b w:val="0"/>
          <w:bCs w:val="0"/>
          <w:color w:val="auto"/>
          <w:sz w:val="28"/>
          <w:szCs w:val="28"/>
          <w:lang w:val="ru-RU"/>
        </w:rPr>
        <w:t>,</w:t>
      </w:r>
      <w:r>
        <w:rPr>
          <w:rStyle w:val="19"/>
          <w:b w:val="0"/>
          <w:bCs w:val="0"/>
          <w:color w:val="auto"/>
          <w:sz w:val="28"/>
          <w:szCs w:val="28"/>
          <w:lang w:val="kk-KZ"/>
        </w:rPr>
        <w:t>5±3</w:t>
      </w:r>
      <w:r>
        <w:rPr>
          <w:rStyle w:val="19"/>
          <w:rFonts w:hint="default"/>
          <w:b w:val="0"/>
          <w:bCs w:val="0"/>
          <w:color w:val="auto"/>
          <w:sz w:val="28"/>
          <w:szCs w:val="28"/>
          <w:lang w:val="ru-RU"/>
        </w:rPr>
        <w:t>,</w:t>
      </w:r>
      <w:r>
        <w:rPr>
          <w:rStyle w:val="19"/>
          <w:b w:val="0"/>
          <w:bCs w:val="0"/>
          <w:color w:val="auto"/>
          <w:sz w:val="28"/>
          <w:szCs w:val="28"/>
          <w:lang w:val="kk-KZ"/>
        </w:rPr>
        <w:t>7% ЖМӨ-нің ыдырауына қол жеткізіліп, қалдық мұнай концентрац</w:t>
      </w:r>
      <w:r>
        <w:rPr>
          <w:rStyle w:val="19"/>
          <w:b w:val="0"/>
          <w:bCs w:val="0"/>
          <w:color w:val="auto"/>
          <w:sz w:val="28"/>
          <w:szCs w:val="28"/>
          <w:highlight w:val="none"/>
          <w:lang w:val="kk-KZ"/>
        </w:rPr>
        <w:t>иясы 9250 мг/кг-дан 3840 мг/кг-ға дейін төмендеді [1</w:t>
      </w:r>
      <w:r>
        <w:rPr>
          <w:rStyle w:val="19"/>
          <w:rFonts w:hint="default"/>
          <w:b w:val="0"/>
          <w:bCs w:val="0"/>
          <w:color w:val="auto"/>
          <w:sz w:val="28"/>
          <w:szCs w:val="28"/>
          <w:highlight w:val="none"/>
          <w:lang w:val="kk-KZ"/>
        </w:rPr>
        <w:t>31</w:t>
      </w:r>
      <w:r>
        <w:rPr>
          <w:rStyle w:val="19"/>
          <w:b w:val="0"/>
          <w:bCs w:val="0"/>
          <w:color w:val="auto"/>
          <w:sz w:val="28"/>
          <w:szCs w:val="28"/>
          <w:highlight w:val="none"/>
          <w:lang w:val="kk-KZ"/>
        </w:rPr>
        <w:t xml:space="preserve">]. </w:t>
      </w:r>
    </w:p>
    <w:p w14:paraId="6BF82CE4">
      <w:pPr>
        <w:pStyle w:val="35"/>
        <w:spacing w:beforeAutospacing="0" w:afterAutospacing="0"/>
        <w:ind w:firstLine="709"/>
        <w:jc w:val="both"/>
        <w:rPr>
          <w:rStyle w:val="19"/>
          <w:b w:val="0"/>
          <w:bCs w:val="0"/>
          <w:color w:val="auto"/>
          <w:sz w:val="28"/>
          <w:szCs w:val="28"/>
          <w:lang w:val="kk-KZ"/>
        </w:rPr>
      </w:pPr>
      <w:r>
        <w:rPr>
          <w:rStyle w:val="19"/>
          <w:b w:val="0"/>
          <w:bCs w:val="0"/>
          <w:color w:val="auto"/>
          <w:sz w:val="28"/>
          <w:szCs w:val="28"/>
          <w:lang w:val="kk-KZ"/>
        </w:rPr>
        <w:t>Күріш қауызына иммобилизацияланған консорциум деструкция тиімділігі бойынша екінші орында бұл жағдайда қалдық мұнай концентрациясы - 52</w:t>
      </w:r>
      <w:r>
        <w:rPr>
          <w:rStyle w:val="19"/>
          <w:rFonts w:hint="default"/>
          <w:b w:val="0"/>
          <w:bCs w:val="0"/>
          <w:color w:val="auto"/>
          <w:sz w:val="28"/>
          <w:szCs w:val="28"/>
          <w:lang w:val="ru-RU"/>
        </w:rPr>
        <w:t>,</w:t>
      </w:r>
      <w:r>
        <w:rPr>
          <w:rStyle w:val="19"/>
          <w:b w:val="0"/>
          <w:bCs w:val="0"/>
          <w:color w:val="auto"/>
          <w:sz w:val="28"/>
          <w:szCs w:val="28"/>
          <w:lang w:val="kk-KZ"/>
        </w:rPr>
        <w:t>1±4</w:t>
      </w:r>
      <w:r>
        <w:rPr>
          <w:rStyle w:val="19"/>
          <w:rFonts w:hint="default"/>
          <w:b w:val="0"/>
          <w:bCs w:val="0"/>
          <w:color w:val="auto"/>
          <w:sz w:val="28"/>
          <w:szCs w:val="28"/>
          <w:lang w:val="ru-RU"/>
        </w:rPr>
        <w:t>,</w:t>
      </w:r>
      <w:r>
        <w:rPr>
          <w:rStyle w:val="19"/>
          <w:b w:val="0"/>
          <w:bCs w:val="0"/>
          <w:color w:val="auto"/>
          <w:sz w:val="28"/>
          <w:szCs w:val="28"/>
          <w:lang w:val="kk-KZ"/>
        </w:rPr>
        <w:t>2% (қалдық 4428 мг/кг). Бұл нәтиже де бос жасушалардан 36% жоғары болды.</w:t>
      </w:r>
    </w:p>
    <w:p w14:paraId="1C8F7848">
      <w:pPr>
        <w:pStyle w:val="35"/>
        <w:spacing w:beforeAutospacing="0" w:afterAutospacing="0"/>
        <w:ind w:firstLine="709"/>
        <w:jc w:val="both"/>
        <w:rPr>
          <w:rStyle w:val="19"/>
          <w:b w:val="0"/>
          <w:bCs w:val="0"/>
          <w:color w:val="auto"/>
          <w:sz w:val="28"/>
          <w:szCs w:val="28"/>
          <w:lang w:val="kk-KZ"/>
        </w:rPr>
      </w:pPr>
      <w:r>
        <w:rPr>
          <w:rStyle w:val="19"/>
          <w:b w:val="0"/>
          <w:bCs w:val="0"/>
          <w:color w:val="auto"/>
          <w:sz w:val="28"/>
          <w:szCs w:val="28"/>
          <w:lang w:val="kk-KZ"/>
        </w:rPr>
        <w:t>ЖМӨ-нің минималды төмендеуі бақылау нұсқаларында байқалды: стандартты бақылауда  5</w:t>
      </w:r>
      <w:r>
        <w:rPr>
          <w:rStyle w:val="19"/>
          <w:rFonts w:hint="default"/>
          <w:b w:val="0"/>
          <w:bCs w:val="0"/>
          <w:color w:val="auto"/>
          <w:sz w:val="28"/>
          <w:szCs w:val="28"/>
          <w:lang w:val="ru-RU"/>
        </w:rPr>
        <w:t>,</w:t>
      </w:r>
      <w:r>
        <w:rPr>
          <w:rStyle w:val="19"/>
          <w:b w:val="0"/>
          <w:bCs w:val="0"/>
          <w:color w:val="auto"/>
          <w:sz w:val="28"/>
          <w:szCs w:val="28"/>
          <w:lang w:val="kk-KZ"/>
        </w:rPr>
        <w:t>8±2</w:t>
      </w:r>
      <w:r>
        <w:rPr>
          <w:rStyle w:val="19"/>
          <w:rFonts w:hint="default"/>
          <w:b w:val="0"/>
          <w:bCs w:val="0"/>
          <w:color w:val="auto"/>
          <w:sz w:val="28"/>
          <w:szCs w:val="28"/>
          <w:lang w:val="ru-RU"/>
        </w:rPr>
        <w:t>,</w:t>
      </w:r>
      <w:r>
        <w:rPr>
          <w:rStyle w:val="19"/>
          <w:b w:val="0"/>
          <w:bCs w:val="0"/>
          <w:color w:val="auto"/>
          <w:sz w:val="28"/>
          <w:szCs w:val="28"/>
          <w:lang w:val="kk-KZ"/>
        </w:rPr>
        <w:t>1% (қалдық 8712 мг/кг) ғана тіркелді. Тасымалдаушы бақылауында 12,5 ± 3,2 % (қалдық 8091 мг/кг) төмендеу байқалды, бұл мұнай көмірсутектерінің физикалық адсорбциясы нәтижесінде жойылған үлесін көрсетеді.</w:t>
      </w:r>
    </w:p>
    <w:p w14:paraId="72AEA312">
      <w:pPr>
        <w:pStyle w:val="35"/>
        <w:spacing w:beforeAutospacing="0" w:afterAutospacing="0"/>
        <w:ind w:firstLine="709"/>
        <w:jc w:val="both"/>
        <w:rPr>
          <w:rStyle w:val="19"/>
          <w:b w:val="0"/>
          <w:bCs w:val="0"/>
          <w:color w:val="auto"/>
          <w:sz w:val="28"/>
          <w:szCs w:val="28"/>
          <w:highlight w:val="yellow"/>
          <w:lang w:val="kk-KZ"/>
        </w:rPr>
      </w:pPr>
    </w:p>
    <w:p w14:paraId="1A89D3A8">
      <w:pPr>
        <w:spacing w:after="0"/>
        <w:ind w:firstLine="709"/>
        <w:rPr>
          <w:b/>
          <w:bCs/>
          <w:color w:val="auto"/>
          <w:lang w:val="kk-KZ"/>
        </w:rPr>
      </w:pPr>
      <w:r>
        <w:rPr>
          <w:b/>
          <w:bCs/>
          <w:color w:val="auto"/>
          <w:lang w:val="ru-RU"/>
        </w:rPr>
        <w:t>3</w:t>
      </w:r>
      <w:r>
        <w:rPr>
          <w:rFonts w:hint="default"/>
          <w:b/>
          <w:bCs/>
          <w:color w:val="auto"/>
          <w:lang w:val="kk-KZ"/>
        </w:rPr>
        <w:t>.</w:t>
      </w:r>
      <w:r>
        <w:rPr>
          <w:b/>
          <w:bCs/>
          <w:color w:val="auto"/>
          <w:lang w:val="ru-RU"/>
        </w:rPr>
        <w:t>3</w:t>
      </w:r>
      <w:r>
        <w:rPr>
          <w:rFonts w:hint="default"/>
          <w:b/>
          <w:bCs/>
          <w:color w:val="auto"/>
          <w:lang w:val="kk-KZ"/>
        </w:rPr>
        <w:t>.</w:t>
      </w:r>
      <w:r>
        <w:rPr>
          <w:b/>
          <w:bCs/>
          <w:color w:val="auto"/>
          <w:lang w:val="ru-RU"/>
        </w:rPr>
        <w:t>2</w:t>
      </w:r>
      <w:r>
        <w:rPr>
          <w:rFonts w:hint="default"/>
          <w:b/>
          <w:bCs/>
          <w:color w:val="auto"/>
          <w:lang w:val="ru-RU"/>
        </w:rPr>
        <w:t xml:space="preserve"> </w:t>
      </w:r>
      <w:r>
        <w:rPr>
          <w:b/>
          <w:bCs/>
          <w:color w:val="auto"/>
          <w:lang w:val="kk-KZ"/>
        </w:rPr>
        <w:t>Мұнай көмірсутектері биодеструкциясының кинетикасын зерттеу</w:t>
      </w:r>
    </w:p>
    <w:p w14:paraId="1107D397">
      <w:pPr>
        <w:spacing w:after="0"/>
        <w:ind w:firstLine="709"/>
        <w:rPr>
          <w:color w:val="auto"/>
          <w:szCs w:val="28"/>
          <w:lang w:val="kk-KZ"/>
        </w:rPr>
      </w:pPr>
      <w:r>
        <w:rPr>
          <w:color w:val="auto"/>
          <w:szCs w:val="28"/>
          <w:lang w:val="kk-KZ"/>
        </w:rPr>
        <w:t>ЖМӨ биодеградациясы барлық өңдеулер бойынша бірінші ретті кинетикаға сәйкес келді, деструкция жылдамдығы қалған субстрат концентрациясына пропорционал болды :</w:t>
      </w:r>
    </w:p>
    <w:p w14:paraId="7E839FE8">
      <w:pPr>
        <w:spacing w:after="0"/>
        <w:ind w:firstLine="709"/>
        <w:rPr>
          <w:color w:val="auto"/>
          <w:szCs w:val="28"/>
          <w:lang w:val="kk-KZ"/>
        </w:rPr>
      </w:pPr>
    </w:p>
    <w:p w14:paraId="1E7454ED">
      <w:pPr>
        <w:pStyle w:val="20"/>
        <w:spacing w:after="0"/>
        <w:ind w:firstLine="709"/>
        <w:jc w:val="center"/>
        <w:rPr>
          <w:rFonts w:hint="default" w:ascii="Times New Roman" w:hAnsi="Cambria Math" w:cs="Cambria Math"/>
          <w:color w:val="auto"/>
          <w:sz w:val="28"/>
          <w:szCs w:val="28"/>
          <w:lang w:val="kk-KZ"/>
        </w:rPr>
      </w:pPr>
      <w:r>
        <w:rPr>
          <w:rFonts w:ascii="Times New Roman" w:hAnsi="Cambria Math"/>
          <w:color w:val="auto"/>
          <w:sz w:val="28"/>
          <w:szCs w:val="28"/>
          <w:lang w:val="kk-KZ"/>
        </w:rPr>
        <w:t xml:space="preserve">                                          </w:t>
      </w:r>
      <m:oMath>
        <m:r>
          <m:rPr/>
          <w:rPr>
            <w:rFonts w:ascii="Cambria Math" w:hAnsi="Cambria Math"/>
            <w:color w:val="auto"/>
            <w:sz w:val="28"/>
            <w:szCs w:val="28"/>
            <w:lang w:val="kk-KZ"/>
          </w:rPr>
          <m:t>C</m:t>
        </m:r>
        <m:r>
          <m:rPr>
            <m:sty m:val="p"/>
          </m:rPr>
          <w:rPr>
            <w:rFonts w:ascii="Cambria Math" w:hAnsi="Cambria Math"/>
            <w:color w:val="auto"/>
            <w:sz w:val="28"/>
            <w:szCs w:val="28"/>
            <w:lang w:val="kk-KZ"/>
          </w:rPr>
          <m:t>(</m:t>
        </m:r>
        <m:r>
          <m:rPr/>
          <w:rPr>
            <w:rFonts w:ascii="Cambria Math" w:hAnsi="Cambria Math"/>
            <w:color w:val="auto"/>
            <w:sz w:val="28"/>
            <w:szCs w:val="28"/>
            <w:lang w:val="kk-KZ"/>
          </w:rPr>
          <m:t>t</m:t>
        </m:r>
        <m:r>
          <m:rPr>
            <m:sty m:val="p"/>
          </m:rPr>
          <w:rPr>
            <w:rFonts w:ascii="Cambria Math" w:hAnsi="Cambria Math"/>
            <w:color w:val="auto"/>
            <w:sz w:val="28"/>
            <w:szCs w:val="28"/>
            <w:lang w:val="kk-KZ"/>
          </w:rPr>
          <m:t xml:space="preserve">) = </m:t>
        </m:r>
        <m:sSub>
          <m:sSubPr>
            <m:ctrlPr>
              <w:rPr>
                <w:rFonts w:ascii="Cambria Math" w:hAnsi="Cambria Math"/>
                <w:color w:val="auto"/>
                <w:sz w:val="28"/>
                <w:szCs w:val="28"/>
                <w:lang w:val="en-GB"/>
              </w:rPr>
            </m:ctrlPr>
          </m:sSubPr>
          <m:e>
            <m:r>
              <m:rPr/>
              <w:rPr>
                <w:rFonts w:ascii="Cambria Math" w:hAnsi="Cambria Math"/>
                <w:color w:val="auto"/>
                <w:sz w:val="28"/>
                <w:szCs w:val="28"/>
                <w:lang w:val="kk-KZ"/>
              </w:rPr>
              <m:t>C</m:t>
            </m:r>
            <m:ctrlPr>
              <w:rPr>
                <w:rFonts w:ascii="Cambria Math" w:hAnsi="Cambria Math"/>
                <w:color w:val="auto"/>
                <w:sz w:val="28"/>
                <w:szCs w:val="28"/>
                <w:lang w:val="en-GB"/>
              </w:rPr>
            </m:ctrlPr>
          </m:e>
          <m:sub>
            <m:r>
              <m:rPr>
                <m:sty m:val="p"/>
              </m:rPr>
              <w:rPr>
                <w:rFonts w:ascii="Cambria Math" w:hAnsi="Cambria Math"/>
                <w:color w:val="auto"/>
                <w:sz w:val="28"/>
                <w:szCs w:val="28"/>
                <w:lang w:val="kk-KZ"/>
              </w:rPr>
              <m:t>0</m:t>
            </m:r>
            <m:ctrlPr>
              <w:rPr>
                <w:rFonts w:ascii="Cambria Math" w:hAnsi="Cambria Math"/>
                <w:color w:val="auto"/>
                <w:sz w:val="28"/>
                <w:szCs w:val="28"/>
                <w:lang w:val="en-GB"/>
              </w:rPr>
            </m:ctrlPr>
          </m:sub>
        </m:sSub>
        <m:r>
          <m:rPr>
            <m:sty m:val="p"/>
          </m:rPr>
          <w:rPr>
            <w:rFonts w:ascii="Cambria Math" w:hAnsi="Cambria Math" w:cs="Cambria Math"/>
            <w:color w:val="auto"/>
            <w:sz w:val="28"/>
            <w:szCs w:val="28"/>
            <w:lang w:val="kk-KZ"/>
          </w:rPr>
          <m:t>·</m:t>
        </m:r>
        <m:sSup>
          <m:sSupPr>
            <m:ctrlPr>
              <w:rPr>
                <w:rFonts w:ascii="Cambria Math" w:hAnsi="Cambria Math" w:cs="Cambria Math"/>
                <w:color w:val="auto"/>
                <w:sz w:val="28"/>
                <w:szCs w:val="28"/>
                <w:lang w:val="en-GB"/>
              </w:rPr>
            </m:ctrlPr>
          </m:sSupPr>
          <m:e>
            <m:r>
              <m:rPr>
                <m:sty m:val="p"/>
              </m:rPr>
              <w:rPr>
                <w:rFonts w:ascii="Cambria Math" w:hAnsi="Cambria Math" w:cs="Cambria Math"/>
                <w:color w:val="auto"/>
                <w:sz w:val="28"/>
                <w:szCs w:val="28"/>
                <w:lang w:val="kk-KZ"/>
              </w:rPr>
              <m:t>e</m:t>
            </m:r>
            <m:ctrlPr>
              <w:rPr>
                <w:rFonts w:ascii="Cambria Math" w:hAnsi="Cambria Math" w:cs="Cambria Math"/>
                <w:color w:val="auto"/>
                <w:sz w:val="28"/>
                <w:szCs w:val="28"/>
                <w:lang w:val="en-GB"/>
              </w:rPr>
            </m:ctrlPr>
          </m:e>
          <m:sup>
            <m:r>
              <m:rPr>
                <m:sty m:val="p"/>
              </m:rPr>
              <w:rPr>
                <w:rFonts w:ascii="Cambria Math" w:hAnsi="Cambria Math" w:cs="Cambria Math"/>
                <w:color w:val="auto"/>
                <w:sz w:val="28"/>
                <w:szCs w:val="28"/>
                <w:lang w:val="kk-KZ"/>
              </w:rPr>
              <m:t>−</m:t>
            </m:r>
            <m:r>
              <m:rPr/>
              <w:rPr>
                <w:rFonts w:ascii="Cambria Math" w:hAnsi="Cambria Math" w:cs="Cambria Math"/>
                <w:color w:val="auto"/>
                <w:sz w:val="28"/>
                <w:szCs w:val="28"/>
                <w:lang w:val="kk-KZ"/>
              </w:rPr>
              <m:t>kt</m:t>
            </m:r>
            <m:r>
              <m:rPr>
                <m:sty m:val="p"/>
              </m:rPr>
              <w:rPr>
                <w:rFonts w:ascii="Cambria Math" w:hAnsi="Cambria Math" w:cs="Cambria Math"/>
                <w:color w:val="auto"/>
                <w:sz w:val="28"/>
                <w:szCs w:val="28"/>
                <w:lang w:val="kk-KZ"/>
              </w:rPr>
              <m:t xml:space="preserve"> </m:t>
            </m:r>
            <m:ctrlPr>
              <w:rPr>
                <w:rFonts w:ascii="Cambria Math" w:hAnsi="Cambria Math" w:cs="Cambria Math"/>
                <w:color w:val="auto"/>
                <w:sz w:val="28"/>
                <w:szCs w:val="28"/>
                <w:lang w:val="en-GB"/>
              </w:rPr>
            </m:ctrlPr>
          </m:sup>
        </m:sSup>
      </m:oMath>
      <w:r>
        <w:rPr>
          <w:rFonts w:ascii="Times New Roman" w:hAnsi="Cambria Math" w:cs="Cambria Math"/>
          <w:color w:val="auto"/>
          <w:sz w:val="28"/>
          <w:szCs w:val="28"/>
          <w:lang w:val="kk-KZ"/>
        </w:rPr>
        <w:t xml:space="preserve">                      </w:t>
      </w:r>
      <w:r>
        <w:rPr>
          <w:rFonts w:ascii="Times New Roman" w:hAnsi="Cambria Math" w:cs="Cambria Math"/>
          <w:color w:val="auto"/>
          <w:sz w:val="28"/>
          <w:szCs w:val="28"/>
          <w:lang w:val="kk-KZ"/>
        </w:rPr>
        <w:tab/>
      </w:r>
      <w:r>
        <w:rPr>
          <w:rFonts w:ascii="Times New Roman" w:hAnsi="Cambria Math" w:cs="Cambria Math"/>
          <w:color w:val="auto"/>
          <w:sz w:val="28"/>
          <w:szCs w:val="28"/>
          <w:lang w:val="kk-KZ"/>
        </w:rPr>
        <w:tab/>
      </w:r>
      <w:r>
        <w:rPr>
          <w:rFonts w:ascii="Times New Roman" w:hAnsi="Cambria Math" w:cs="Cambria Math"/>
          <w:color w:val="auto"/>
          <w:sz w:val="28"/>
          <w:szCs w:val="28"/>
          <w:lang w:val="kk-KZ"/>
        </w:rPr>
        <w:tab/>
      </w:r>
      <w:r>
        <w:rPr>
          <w:rFonts w:hint="default" w:ascii="Times New Roman" w:hAnsi="Cambria Math" w:cs="Cambria Math"/>
          <w:color w:val="auto"/>
          <w:sz w:val="28"/>
          <w:szCs w:val="28"/>
          <w:lang w:val="kk-KZ"/>
        </w:rPr>
        <w:t xml:space="preserve">     (3)</w:t>
      </w:r>
    </w:p>
    <w:p w14:paraId="60C97EBF">
      <w:pPr>
        <w:pStyle w:val="20"/>
        <w:spacing w:after="0"/>
        <w:ind w:firstLine="709"/>
        <w:jc w:val="center"/>
        <w:rPr>
          <w:rFonts w:hint="default" w:ascii="Times New Roman" w:hAnsi="Cambria Math" w:cs="Cambria Math"/>
          <w:color w:val="auto"/>
          <w:sz w:val="28"/>
          <w:szCs w:val="28"/>
          <w:lang w:val="kk-KZ"/>
        </w:rPr>
      </w:pPr>
    </w:p>
    <w:p w14:paraId="1453EF06">
      <w:pPr>
        <w:pStyle w:val="35"/>
        <w:spacing w:beforeAutospacing="0" w:afterAutospacing="0"/>
        <w:ind w:firstLine="709"/>
        <w:jc w:val="both"/>
        <w:rPr>
          <w:color w:val="auto"/>
          <w:sz w:val="28"/>
          <w:szCs w:val="28"/>
          <w:lang w:val="kk-KZ"/>
        </w:rPr>
      </w:pPr>
      <w:r>
        <w:rPr>
          <w:color w:val="auto"/>
          <w:sz w:val="28"/>
          <w:szCs w:val="28"/>
          <w:lang w:val="kk-KZ"/>
        </w:rPr>
        <w:t>мұндағы: C(t) – t уақытындағы ЖМӨ концентрациясы (мг/кг), C₀ – бастапқы концентрация (мг/кг), k – деструкция жылдамдығының константасы (күн⁻¹), t – уақыт (күн).</w:t>
      </w:r>
    </w:p>
    <w:p w14:paraId="789D0209">
      <w:pPr>
        <w:pStyle w:val="35"/>
        <w:spacing w:beforeAutospacing="0" w:afterAutospacing="0"/>
        <w:ind w:firstLine="709"/>
        <w:jc w:val="both"/>
        <w:rPr>
          <w:color w:val="auto"/>
          <w:sz w:val="28"/>
          <w:szCs w:val="28"/>
          <w:lang w:val="ru-RU"/>
        </w:rPr>
      </w:pPr>
      <w:r>
        <w:rPr>
          <w:color w:val="auto"/>
          <w:sz w:val="28"/>
          <w:szCs w:val="28"/>
          <w:lang w:val="kk-KZ"/>
        </w:rPr>
        <w:t>Кинетикалық м</w:t>
      </w:r>
      <w:r>
        <w:rPr>
          <w:color w:val="auto"/>
          <w:sz w:val="28"/>
          <w:szCs w:val="28"/>
          <w:lang w:val="ru-RU"/>
        </w:rPr>
        <w:t xml:space="preserve">одель параметрлері сызықты емес регрессия әдісімен анықталды. </w:t>
      </w:r>
      <w:r>
        <w:rPr>
          <w:color w:val="auto"/>
          <w:sz w:val="28"/>
          <w:szCs w:val="28"/>
          <w:lang w:val="kk-KZ"/>
        </w:rPr>
        <w:t xml:space="preserve">ЖМӨ-нің жартылай ыдырау мерзімі </w:t>
      </w:r>
      <w:r>
        <w:rPr>
          <w:color w:val="auto"/>
          <w:sz w:val="28"/>
          <w:szCs w:val="28"/>
        </w:rPr>
        <w:t>t</w:t>
      </w:r>
      <w:r>
        <w:rPr>
          <w:color w:val="auto"/>
          <w:sz w:val="28"/>
          <w:szCs w:val="28"/>
          <w:lang w:val="ru-RU"/>
        </w:rPr>
        <w:t xml:space="preserve">₁/₂ = </w:t>
      </w:r>
      <w:r>
        <w:rPr>
          <w:color w:val="auto"/>
          <w:sz w:val="28"/>
          <w:szCs w:val="28"/>
        </w:rPr>
        <w:t>ln</w:t>
      </w:r>
      <w:r>
        <w:rPr>
          <w:color w:val="auto"/>
          <w:sz w:val="28"/>
          <w:szCs w:val="28"/>
          <w:lang w:val="ru-RU"/>
        </w:rPr>
        <w:t>(2)·</w:t>
      </w:r>
      <w:r>
        <w:rPr>
          <w:color w:val="auto"/>
          <w:sz w:val="28"/>
          <w:szCs w:val="28"/>
        </w:rPr>
        <w:t>k</w:t>
      </w:r>
      <w:r>
        <w:rPr>
          <w:color w:val="auto"/>
          <w:sz w:val="28"/>
          <w:szCs w:val="28"/>
          <w:lang w:val="ru-RU"/>
        </w:rPr>
        <w:t xml:space="preserve">⁻¹ формуласы бойынша есептелді </w:t>
      </w:r>
      <w:r>
        <w:rPr>
          <w:rStyle w:val="19"/>
          <w:b w:val="0"/>
          <w:bCs w:val="0"/>
          <w:color w:val="auto"/>
          <w:sz w:val="28"/>
          <w:szCs w:val="28"/>
          <w:lang w:val="ru-RU"/>
        </w:rPr>
        <w:t>[</w:t>
      </w:r>
      <w:r>
        <w:rPr>
          <w:rStyle w:val="19"/>
          <w:b w:val="0"/>
          <w:bCs w:val="0"/>
          <w:color w:val="auto"/>
          <w:sz w:val="28"/>
          <w:szCs w:val="28"/>
          <w:lang w:val="kk-KZ"/>
        </w:rPr>
        <w:t>1</w:t>
      </w:r>
      <w:r>
        <w:rPr>
          <w:rStyle w:val="19"/>
          <w:rFonts w:hint="default"/>
          <w:b w:val="0"/>
          <w:bCs w:val="0"/>
          <w:color w:val="auto"/>
          <w:sz w:val="28"/>
          <w:szCs w:val="28"/>
          <w:lang w:val="kk-KZ"/>
        </w:rPr>
        <w:t>31,</w:t>
      </w:r>
      <w:r>
        <w:rPr>
          <w:rStyle w:val="19"/>
          <w:b w:val="0"/>
          <w:bCs w:val="0"/>
          <w:color w:val="auto"/>
          <w:sz w:val="28"/>
          <w:szCs w:val="28"/>
          <w:lang w:val="ru-RU"/>
        </w:rPr>
        <w:t>]</w:t>
      </w:r>
      <w:r>
        <w:rPr>
          <w:color w:val="auto"/>
          <w:sz w:val="28"/>
          <w:szCs w:val="28"/>
          <w:lang w:val="ru-RU"/>
        </w:rPr>
        <w:t>.</w:t>
      </w:r>
    </w:p>
    <w:p w14:paraId="346FF689">
      <w:pPr>
        <w:pStyle w:val="35"/>
        <w:spacing w:beforeAutospacing="0" w:afterAutospacing="0"/>
        <w:ind w:firstLine="709"/>
        <w:jc w:val="both"/>
        <w:rPr>
          <w:color w:val="auto"/>
          <w:sz w:val="28"/>
          <w:szCs w:val="28"/>
          <w:lang w:val="ru-RU"/>
        </w:rPr>
      </w:pPr>
    </w:p>
    <w:p w14:paraId="47EB4B25">
      <w:pPr>
        <w:spacing w:after="0"/>
        <w:rPr>
          <w:color w:val="auto"/>
          <w:szCs w:val="28"/>
        </w:rPr>
      </w:pPr>
      <w:r>
        <w:rPr>
          <w:rStyle w:val="19"/>
          <w:b w:val="0"/>
          <w:bCs w:val="0"/>
          <w:color w:val="auto"/>
          <w:szCs w:val="28"/>
        </w:rPr>
        <w:t>Кесте 1</w:t>
      </w:r>
      <w:r>
        <w:rPr>
          <w:rStyle w:val="19"/>
          <w:b w:val="0"/>
          <w:bCs w:val="0"/>
          <w:color w:val="auto"/>
          <w:szCs w:val="28"/>
          <w:lang w:val="kk-KZ"/>
        </w:rPr>
        <w:t>2</w:t>
      </w:r>
      <w:r>
        <w:rPr>
          <w:color w:val="auto"/>
          <w:szCs w:val="28"/>
        </w:rPr>
        <w:t xml:space="preserve"> – Бірінші ретті ЖМӨ деструкциясының кинетикалық параметрлері [</w:t>
      </w:r>
      <w:r>
        <w:rPr>
          <w:color w:val="auto"/>
          <w:szCs w:val="28"/>
          <w:lang w:val="kk-KZ"/>
        </w:rPr>
        <w:t>1</w:t>
      </w:r>
      <w:r>
        <w:rPr>
          <w:rFonts w:hint="default"/>
          <w:color w:val="auto"/>
          <w:szCs w:val="28"/>
          <w:lang w:val="kk-KZ"/>
        </w:rPr>
        <w:t>31</w:t>
      </w:r>
      <w:r>
        <w:rPr>
          <w:color w:val="auto"/>
          <w:szCs w:val="28"/>
        </w:rPr>
        <w:t xml:space="preserve">]. </w:t>
      </w:r>
    </w:p>
    <w:p w14:paraId="0EF1AA8B">
      <w:pPr>
        <w:spacing w:after="0"/>
        <w:ind w:firstLine="709"/>
        <w:jc w:val="center"/>
        <w:rPr>
          <w:color w:val="auto"/>
          <w:szCs w:val="28"/>
          <w:highlight w:val="yellow"/>
        </w:rPr>
      </w:pP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4"/>
        <w:gridCol w:w="2076"/>
        <w:gridCol w:w="1601"/>
        <w:gridCol w:w="1864"/>
        <w:gridCol w:w="1861"/>
      </w:tblGrid>
      <w:tr w14:paraId="2032B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54" w:type="dxa"/>
            <w:vAlign w:val="center"/>
          </w:tcPr>
          <w:p w14:paraId="41A154CA">
            <w:pPr>
              <w:widowControl w:val="0"/>
              <w:spacing w:after="0"/>
              <w:jc w:val="center"/>
              <w:rPr>
                <w:color w:val="auto"/>
                <w:sz w:val="24"/>
                <w:szCs w:val="24"/>
              </w:rPr>
            </w:pPr>
          </w:p>
          <w:p w14:paraId="1763F42B">
            <w:pPr>
              <w:widowControl w:val="0"/>
              <w:spacing w:after="0"/>
              <w:jc w:val="center"/>
              <w:rPr>
                <w:color w:val="auto"/>
                <w:sz w:val="24"/>
                <w:szCs w:val="24"/>
              </w:rPr>
            </w:pPr>
          </w:p>
        </w:tc>
        <w:tc>
          <w:tcPr>
            <w:tcW w:w="2076" w:type="dxa"/>
            <w:vAlign w:val="center"/>
          </w:tcPr>
          <w:p w14:paraId="69CB511A">
            <w:pPr>
              <w:widowControl w:val="0"/>
              <w:spacing w:after="0"/>
              <w:jc w:val="center"/>
              <w:rPr>
                <w:color w:val="auto"/>
                <w:sz w:val="24"/>
                <w:szCs w:val="24"/>
              </w:rPr>
            </w:pPr>
            <w:r>
              <w:rPr>
                <w:color w:val="auto"/>
                <w:sz w:val="24"/>
                <w:szCs w:val="24"/>
                <w:lang w:val="en-US" w:eastAsia="zh-CN" w:bidi="ar"/>
              </w:rPr>
              <w:t>Жылдамдық константасы</w:t>
            </w:r>
            <w:r>
              <w:rPr>
                <w:color w:val="auto"/>
                <w:sz w:val="24"/>
                <w:szCs w:val="24"/>
                <w:lang w:val="en-US" w:eastAsia="zh-CN" w:bidi="ar"/>
              </w:rPr>
              <w:br w:type="textWrapping"/>
            </w:r>
            <w:r>
              <w:rPr>
                <w:color w:val="auto"/>
                <w:sz w:val="24"/>
                <w:szCs w:val="24"/>
                <w:lang w:val="en-US" w:eastAsia="zh-CN" w:bidi="ar"/>
              </w:rPr>
              <w:t>k, күн⁻¹</w:t>
            </w:r>
          </w:p>
        </w:tc>
        <w:tc>
          <w:tcPr>
            <w:tcW w:w="1601" w:type="dxa"/>
            <w:vAlign w:val="center"/>
          </w:tcPr>
          <w:p w14:paraId="1973755D">
            <w:pPr>
              <w:widowControl w:val="0"/>
              <w:spacing w:after="0"/>
              <w:jc w:val="center"/>
              <w:rPr>
                <w:color w:val="auto"/>
                <w:sz w:val="24"/>
                <w:szCs w:val="24"/>
              </w:rPr>
            </w:pPr>
            <w:r>
              <w:rPr>
                <w:color w:val="auto"/>
                <w:sz w:val="24"/>
                <w:szCs w:val="24"/>
                <w:lang w:val="en-US" w:eastAsia="zh-CN" w:bidi="ar"/>
              </w:rPr>
              <w:t>R²</w:t>
            </w:r>
          </w:p>
        </w:tc>
        <w:tc>
          <w:tcPr>
            <w:tcW w:w="1864" w:type="dxa"/>
            <w:vAlign w:val="center"/>
          </w:tcPr>
          <w:p w14:paraId="634DA21E">
            <w:pPr>
              <w:widowControl w:val="0"/>
              <w:spacing w:after="0"/>
              <w:jc w:val="center"/>
              <w:rPr>
                <w:color w:val="auto"/>
                <w:sz w:val="24"/>
                <w:szCs w:val="24"/>
              </w:rPr>
            </w:pPr>
            <w:r>
              <w:rPr>
                <w:color w:val="auto"/>
                <w:sz w:val="24"/>
                <w:szCs w:val="24"/>
                <w:lang w:val="en-US" w:eastAsia="zh-CN" w:bidi="ar"/>
              </w:rPr>
              <w:t>Жартылай ыдырау</w:t>
            </w:r>
            <w:r>
              <w:rPr>
                <w:color w:val="auto"/>
                <w:sz w:val="24"/>
                <w:szCs w:val="24"/>
                <w:lang w:val="en-US" w:eastAsia="zh-CN" w:bidi="ar"/>
              </w:rPr>
              <w:br w:type="textWrapping"/>
            </w:r>
            <w:r>
              <w:rPr>
                <w:color w:val="auto"/>
                <w:sz w:val="24"/>
                <w:szCs w:val="24"/>
                <w:lang w:val="en-US" w:eastAsia="zh-CN" w:bidi="ar"/>
              </w:rPr>
              <w:t>t₁/₂, күн</w:t>
            </w:r>
          </w:p>
        </w:tc>
        <w:tc>
          <w:tcPr>
            <w:tcW w:w="1861" w:type="dxa"/>
            <w:vAlign w:val="center"/>
          </w:tcPr>
          <w:p w14:paraId="4F925FB1">
            <w:pPr>
              <w:widowControl w:val="0"/>
              <w:spacing w:after="0"/>
              <w:jc w:val="center"/>
              <w:rPr>
                <w:color w:val="auto"/>
                <w:sz w:val="24"/>
                <w:szCs w:val="24"/>
              </w:rPr>
            </w:pPr>
            <w:r>
              <w:rPr>
                <w:color w:val="auto"/>
                <w:sz w:val="24"/>
                <w:szCs w:val="24"/>
                <w:lang w:val="en-US" w:eastAsia="zh-CN" w:bidi="ar"/>
              </w:rPr>
              <w:t>Статист. топ*</w:t>
            </w:r>
          </w:p>
        </w:tc>
      </w:tr>
      <w:tr w14:paraId="12DF6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54" w:type="dxa"/>
          </w:tcPr>
          <w:p w14:paraId="47AB957A">
            <w:pPr>
              <w:widowControl w:val="0"/>
              <w:spacing w:after="0"/>
              <w:jc w:val="center"/>
              <w:rPr>
                <w:color w:val="auto"/>
                <w:sz w:val="24"/>
                <w:szCs w:val="24"/>
              </w:rPr>
            </w:pPr>
            <w:r>
              <w:rPr>
                <w:color w:val="auto"/>
                <w:sz w:val="24"/>
                <w:szCs w:val="24"/>
                <w:lang w:val="en-US" w:eastAsia="zh-CN" w:bidi="ar"/>
              </w:rPr>
              <w:t>Бақылау (Б)</w:t>
            </w:r>
          </w:p>
        </w:tc>
        <w:tc>
          <w:tcPr>
            <w:tcW w:w="2076" w:type="dxa"/>
            <w:vAlign w:val="center"/>
          </w:tcPr>
          <w:p w14:paraId="26269993">
            <w:pPr>
              <w:widowControl w:val="0"/>
              <w:spacing w:after="0"/>
              <w:jc w:val="center"/>
              <w:rPr>
                <w:color w:val="auto"/>
                <w:sz w:val="24"/>
                <w:szCs w:val="24"/>
              </w:rPr>
            </w:pPr>
            <w:r>
              <w:rPr>
                <w:color w:val="auto"/>
                <w:sz w:val="24"/>
                <w:szCs w:val="24"/>
                <w:lang w:val="ru-RU" w:eastAsia="zh-CN" w:bidi="ar"/>
              </w:rPr>
              <w:t>0,</w:t>
            </w:r>
            <w:r>
              <w:rPr>
                <w:color w:val="auto"/>
                <w:sz w:val="24"/>
                <w:szCs w:val="24"/>
                <w:lang w:val="en-US" w:eastAsia="zh-CN" w:bidi="ar"/>
              </w:rPr>
              <w:t>0018±</w:t>
            </w:r>
            <w:r>
              <w:rPr>
                <w:color w:val="auto"/>
                <w:sz w:val="24"/>
                <w:szCs w:val="24"/>
                <w:lang w:val="ru-RU" w:eastAsia="zh-CN" w:bidi="ar"/>
              </w:rPr>
              <w:t>0,</w:t>
            </w:r>
            <w:r>
              <w:rPr>
                <w:color w:val="auto"/>
                <w:sz w:val="24"/>
                <w:szCs w:val="24"/>
                <w:lang w:val="en-US" w:eastAsia="zh-CN" w:bidi="ar"/>
              </w:rPr>
              <w:t>0004</w:t>
            </w:r>
          </w:p>
        </w:tc>
        <w:tc>
          <w:tcPr>
            <w:tcW w:w="1601" w:type="dxa"/>
            <w:vAlign w:val="center"/>
          </w:tcPr>
          <w:p w14:paraId="61D4827E">
            <w:pPr>
              <w:widowControl w:val="0"/>
              <w:spacing w:after="0"/>
              <w:jc w:val="center"/>
              <w:rPr>
                <w:color w:val="auto"/>
                <w:sz w:val="24"/>
                <w:szCs w:val="24"/>
              </w:rPr>
            </w:pPr>
            <w:r>
              <w:rPr>
                <w:color w:val="auto"/>
                <w:sz w:val="24"/>
                <w:szCs w:val="24"/>
                <w:lang w:val="ru-RU" w:eastAsia="zh-CN" w:bidi="ar"/>
              </w:rPr>
              <w:t>0,</w:t>
            </w:r>
            <w:r>
              <w:rPr>
                <w:color w:val="auto"/>
                <w:sz w:val="24"/>
                <w:szCs w:val="24"/>
                <w:lang w:val="en-US" w:eastAsia="zh-CN" w:bidi="ar"/>
              </w:rPr>
              <w:t>943</w:t>
            </w:r>
          </w:p>
        </w:tc>
        <w:tc>
          <w:tcPr>
            <w:tcW w:w="1864" w:type="dxa"/>
            <w:vAlign w:val="center"/>
          </w:tcPr>
          <w:p w14:paraId="4CC61AE6">
            <w:pPr>
              <w:widowControl w:val="0"/>
              <w:spacing w:after="0"/>
              <w:jc w:val="center"/>
              <w:rPr>
                <w:color w:val="auto"/>
                <w:sz w:val="24"/>
                <w:szCs w:val="24"/>
              </w:rPr>
            </w:pPr>
            <w:r>
              <w:rPr>
                <w:color w:val="auto"/>
                <w:sz w:val="24"/>
                <w:szCs w:val="24"/>
                <w:lang w:val="en-US" w:eastAsia="zh-CN" w:bidi="ar"/>
              </w:rPr>
              <w:t>385±85ᵈ</w:t>
            </w:r>
          </w:p>
        </w:tc>
        <w:tc>
          <w:tcPr>
            <w:tcW w:w="1861" w:type="dxa"/>
            <w:vAlign w:val="center"/>
          </w:tcPr>
          <w:p w14:paraId="094BA083">
            <w:pPr>
              <w:widowControl w:val="0"/>
              <w:spacing w:after="0"/>
              <w:jc w:val="center"/>
              <w:rPr>
                <w:color w:val="auto"/>
                <w:sz w:val="24"/>
                <w:szCs w:val="24"/>
              </w:rPr>
            </w:pPr>
            <w:r>
              <w:rPr>
                <w:color w:val="auto"/>
                <w:sz w:val="24"/>
                <w:szCs w:val="24"/>
                <w:lang w:val="en-US" w:eastAsia="zh-CN" w:bidi="ar"/>
              </w:rPr>
              <w:t>d</w:t>
            </w:r>
          </w:p>
        </w:tc>
      </w:tr>
      <w:tr w14:paraId="2D480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54" w:type="dxa"/>
          </w:tcPr>
          <w:p w14:paraId="62D57006">
            <w:pPr>
              <w:widowControl w:val="0"/>
              <w:spacing w:after="0"/>
              <w:jc w:val="center"/>
              <w:rPr>
                <w:color w:val="auto"/>
                <w:sz w:val="24"/>
                <w:szCs w:val="24"/>
              </w:rPr>
            </w:pPr>
            <w:r>
              <w:rPr>
                <w:color w:val="auto"/>
                <w:sz w:val="24"/>
                <w:szCs w:val="24"/>
                <w:lang w:val="en-US" w:eastAsia="zh-CN" w:bidi="ar"/>
              </w:rPr>
              <w:t>Абиоттық бақылау (АБ)</w:t>
            </w:r>
          </w:p>
        </w:tc>
        <w:tc>
          <w:tcPr>
            <w:tcW w:w="2076" w:type="dxa"/>
            <w:vAlign w:val="center"/>
          </w:tcPr>
          <w:p w14:paraId="6B953A64">
            <w:pPr>
              <w:widowControl w:val="0"/>
              <w:spacing w:after="0"/>
              <w:jc w:val="center"/>
              <w:rPr>
                <w:color w:val="auto"/>
                <w:sz w:val="24"/>
                <w:szCs w:val="24"/>
              </w:rPr>
            </w:pPr>
            <w:r>
              <w:rPr>
                <w:color w:val="auto"/>
                <w:sz w:val="24"/>
                <w:szCs w:val="24"/>
                <w:lang w:val="ru-RU" w:eastAsia="zh-CN" w:bidi="ar"/>
              </w:rPr>
              <w:t>0,</w:t>
            </w:r>
            <w:r>
              <w:rPr>
                <w:color w:val="auto"/>
                <w:sz w:val="24"/>
                <w:szCs w:val="24"/>
                <w:lang w:val="en-US" w:eastAsia="zh-CN" w:bidi="ar"/>
              </w:rPr>
              <w:t>0012±</w:t>
            </w:r>
            <w:r>
              <w:rPr>
                <w:color w:val="auto"/>
                <w:sz w:val="24"/>
                <w:szCs w:val="24"/>
                <w:lang w:val="ru-RU" w:eastAsia="zh-CN" w:bidi="ar"/>
              </w:rPr>
              <w:t>0,</w:t>
            </w:r>
            <w:r>
              <w:rPr>
                <w:color w:val="auto"/>
                <w:sz w:val="24"/>
                <w:szCs w:val="24"/>
                <w:lang w:val="en-US" w:eastAsia="zh-CN" w:bidi="ar"/>
              </w:rPr>
              <w:t>0003</w:t>
            </w:r>
          </w:p>
        </w:tc>
        <w:tc>
          <w:tcPr>
            <w:tcW w:w="1601" w:type="dxa"/>
            <w:vAlign w:val="center"/>
          </w:tcPr>
          <w:p w14:paraId="506CC928">
            <w:pPr>
              <w:widowControl w:val="0"/>
              <w:spacing w:after="0"/>
              <w:jc w:val="center"/>
              <w:rPr>
                <w:color w:val="auto"/>
                <w:sz w:val="24"/>
                <w:szCs w:val="24"/>
              </w:rPr>
            </w:pPr>
            <w:r>
              <w:rPr>
                <w:color w:val="auto"/>
                <w:sz w:val="24"/>
                <w:szCs w:val="24"/>
                <w:lang w:val="ru-RU" w:eastAsia="zh-CN" w:bidi="ar"/>
              </w:rPr>
              <w:t>0,</w:t>
            </w:r>
            <w:r>
              <w:rPr>
                <w:color w:val="auto"/>
                <w:sz w:val="24"/>
                <w:szCs w:val="24"/>
                <w:lang w:val="en-US" w:eastAsia="zh-CN" w:bidi="ar"/>
              </w:rPr>
              <w:t>952</w:t>
            </w:r>
          </w:p>
        </w:tc>
        <w:tc>
          <w:tcPr>
            <w:tcW w:w="1864" w:type="dxa"/>
            <w:vAlign w:val="center"/>
          </w:tcPr>
          <w:p w14:paraId="51F62A86">
            <w:pPr>
              <w:widowControl w:val="0"/>
              <w:spacing w:after="0"/>
              <w:jc w:val="center"/>
              <w:rPr>
                <w:color w:val="auto"/>
                <w:sz w:val="24"/>
                <w:szCs w:val="24"/>
              </w:rPr>
            </w:pPr>
            <w:r>
              <w:rPr>
                <w:color w:val="auto"/>
                <w:sz w:val="24"/>
                <w:szCs w:val="24"/>
                <w:lang w:val="en-US" w:eastAsia="zh-CN" w:bidi="ar"/>
              </w:rPr>
              <w:t>578±95ᵈ</w:t>
            </w:r>
          </w:p>
        </w:tc>
        <w:tc>
          <w:tcPr>
            <w:tcW w:w="1861" w:type="dxa"/>
            <w:vAlign w:val="center"/>
          </w:tcPr>
          <w:p w14:paraId="642F15EC">
            <w:pPr>
              <w:widowControl w:val="0"/>
              <w:spacing w:after="0"/>
              <w:jc w:val="center"/>
              <w:rPr>
                <w:color w:val="auto"/>
                <w:sz w:val="24"/>
                <w:szCs w:val="24"/>
              </w:rPr>
            </w:pPr>
            <w:r>
              <w:rPr>
                <w:color w:val="auto"/>
                <w:sz w:val="24"/>
                <w:szCs w:val="24"/>
                <w:lang w:val="en-US" w:eastAsia="zh-CN" w:bidi="ar"/>
              </w:rPr>
              <w:t>d</w:t>
            </w:r>
          </w:p>
        </w:tc>
      </w:tr>
      <w:tr w14:paraId="0D879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54" w:type="dxa"/>
          </w:tcPr>
          <w:p w14:paraId="16F01088">
            <w:pPr>
              <w:widowControl w:val="0"/>
              <w:spacing w:after="0"/>
              <w:jc w:val="center"/>
              <w:rPr>
                <w:color w:val="auto"/>
                <w:sz w:val="24"/>
                <w:szCs w:val="24"/>
              </w:rPr>
            </w:pPr>
            <w:r>
              <w:rPr>
                <w:color w:val="auto"/>
                <w:sz w:val="24"/>
                <w:szCs w:val="24"/>
                <w:lang w:val="en-US" w:eastAsia="zh-CN" w:bidi="ar"/>
              </w:rPr>
              <w:t>Тасымалда</w:t>
            </w:r>
            <w:r>
              <w:rPr>
                <w:color w:val="auto"/>
                <w:sz w:val="24"/>
                <w:szCs w:val="24"/>
                <w:lang w:val="kk-KZ" w:eastAsia="zh-CN" w:bidi="ar"/>
              </w:rPr>
              <w:t>-уы</w:t>
            </w:r>
            <w:r>
              <w:rPr>
                <w:color w:val="auto"/>
                <w:sz w:val="24"/>
                <w:szCs w:val="24"/>
                <w:lang w:val="en-US" w:eastAsia="zh-CN" w:bidi="ar"/>
              </w:rPr>
              <w:t>ш бақылауы (ТБ)</w:t>
            </w:r>
          </w:p>
        </w:tc>
        <w:tc>
          <w:tcPr>
            <w:tcW w:w="2076" w:type="dxa"/>
            <w:vAlign w:val="center"/>
          </w:tcPr>
          <w:p w14:paraId="57D67778">
            <w:pPr>
              <w:widowControl w:val="0"/>
              <w:spacing w:after="0"/>
              <w:jc w:val="center"/>
              <w:rPr>
                <w:color w:val="auto"/>
                <w:sz w:val="24"/>
                <w:szCs w:val="24"/>
              </w:rPr>
            </w:pPr>
            <w:r>
              <w:rPr>
                <w:color w:val="auto"/>
                <w:sz w:val="24"/>
                <w:szCs w:val="24"/>
                <w:lang w:val="ru-RU" w:eastAsia="zh-CN" w:bidi="ar"/>
              </w:rPr>
              <w:t>0,</w:t>
            </w:r>
            <w:r>
              <w:rPr>
                <w:color w:val="auto"/>
                <w:sz w:val="24"/>
                <w:szCs w:val="24"/>
                <w:lang w:val="en-US" w:eastAsia="zh-CN" w:bidi="ar"/>
              </w:rPr>
              <w:t>0028±</w:t>
            </w:r>
            <w:r>
              <w:rPr>
                <w:color w:val="auto"/>
                <w:sz w:val="24"/>
                <w:szCs w:val="24"/>
                <w:lang w:val="ru-RU" w:eastAsia="zh-CN" w:bidi="ar"/>
              </w:rPr>
              <w:t>0,</w:t>
            </w:r>
            <w:r>
              <w:rPr>
                <w:color w:val="auto"/>
                <w:sz w:val="24"/>
                <w:szCs w:val="24"/>
                <w:lang w:val="en-US" w:eastAsia="zh-CN" w:bidi="ar"/>
              </w:rPr>
              <w:t>0005</w:t>
            </w:r>
          </w:p>
        </w:tc>
        <w:tc>
          <w:tcPr>
            <w:tcW w:w="1601" w:type="dxa"/>
            <w:vAlign w:val="center"/>
          </w:tcPr>
          <w:p w14:paraId="7DA21860">
            <w:pPr>
              <w:widowControl w:val="0"/>
              <w:spacing w:after="0"/>
              <w:jc w:val="center"/>
              <w:rPr>
                <w:color w:val="auto"/>
                <w:sz w:val="24"/>
                <w:szCs w:val="24"/>
              </w:rPr>
            </w:pPr>
            <w:r>
              <w:rPr>
                <w:color w:val="auto"/>
                <w:sz w:val="24"/>
                <w:szCs w:val="24"/>
                <w:lang w:val="ru-RU" w:eastAsia="zh-CN" w:bidi="ar"/>
              </w:rPr>
              <w:t>0,</w:t>
            </w:r>
            <w:r>
              <w:rPr>
                <w:color w:val="auto"/>
                <w:sz w:val="24"/>
                <w:szCs w:val="24"/>
                <w:lang w:val="en-US" w:eastAsia="zh-CN" w:bidi="ar"/>
              </w:rPr>
              <w:t>964</w:t>
            </w:r>
          </w:p>
        </w:tc>
        <w:tc>
          <w:tcPr>
            <w:tcW w:w="1864" w:type="dxa"/>
            <w:vAlign w:val="center"/>
          </w:tcPr>
          <w:p w14:paraId="7849A2F4">
            <w:pPr>
              <w:widowControl w:val="0"/>
              <w:spacing w:after="0"/>
              <w:jc w:val="center"/>
              <w:rPr>
                <w:color w:val="auto"/>
                <w:sz w:val="24"/>
                <w:szCs w:val="24"/>
              </w:rPr>
            </w:pPr>
            <w:r>
              <w:rPr>
                <w:color w:val="auto"/>
                <w:sz w:val="24"/>
                <w:szCs w:val="24"/>
                <w:lang w:val="en-US" w:eastAsia="zh-CN" w:bidi="ar"/>
              </w:rPr>
              <w:t>247±45ᶜ</w:t>
            </w:r>
          </w:p>
        </w:tc>
        <w:tc>
          <w:tcPr>
            <w:tcW w:w="1861" w:type="dxa"/>
            <w:vAlign w:val="center"/>
          </w:tcPr>
          <w:p w14:paraId="4F133F06">
            <w:pPr>
              <w:widowControl w:val="0"/>
              <w:spacing w:after="0"/>
              <w:jc w:val="center"/>
              <w:rPr>
                <w:color w:val="auto"/>
                <w:sz w:val="24"/>
                <w:szCs w:val="24"/>
              </w:rPr>
            </w:pPr>
            <w:r>
              <w:rPr>
                <w:color w:val="auto"/>
                <w:sz w:val="24"/>
                <w:szCs w:val="24"/>
                <w:lang w:val="en-US" w:eastAsia="zh-CN" w:bidi="ar"/>
              </w:rPr>
              <w:t>c</w:t>
            </w:r>
          </w:p>
        </w:tc>
      </w:tr>
      <w:tr w14:paraId="5C4B8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54" w:type="dxa"/>
          </w:tcPr>
          <w:p w14:paraId="29B40210">
            <w:pPr>
              <w:widowControl w:val="0"/>
              <w:spacing w:after="0"/>
              <w:jc w:val="center"/>
              <w:rPr>
                <w:color w:val="auto"/>
                <w:sz w:val="24"/>
                <w:szCs w:val="24"/>
              </w:rPr>
            </w:pPr>
            <w:r>
              <w:rPr>
                <w:color w:val="auto"/>
                <w:sz w:val="24"/>
                <w:szCs w:val="24"/>
                <w:lang w:eastAsia="zh-CN" w:bidi="ar"/>
              </w:rPr>
              <w:t>Бос клеткалар ба</w:t>
            </w:r>
            <w:r>
              <w:rPr>
                <w:color w:val="auto"/>
                <w:sz w:val="24"/>
                <w:szCs w:val="24"/>
                <w:lang w:val="kk-KZ" w:eastAsia="zh-CN" w:bidi="ar"/>
              </w:rPr>
              <w:t>қылауы</w:t>
            </w:r>
          </w:p>
        </w:tc>
        <w:tc>
          <w:tcPr>
            <w:tcW w:w="2076" w:type="dxa"/>
            <w:vAlign w:val="center"/>
          </w:tcPr>
          <w:p w14:paraId="60D964A4">
            <w:pPr>
              <w:widowControl w:val="0"/>
              <w:spacing w:after="0"/>
              <w:jc w:val="center"/>
              <w:rPr>
                <w:color w:val="auto"/>
                <w:sz w:val="24"/>
                <w:szCs w:val="24"/>
              </w:rPr>
            </w:pPr>
            <w:r>
              <w:rPr>
                <w:color w:val="auto"/>
                <w:sz w:val="24"/>
                <w:szCs w:val="24"/>
                <w:lang w:val="ru-RU" w:eastAsia="zh-CN" w:bidi="ar"/>
              </w:rPr>
              <w:t>0,</w:t>
            </w:r>
            <w:r>
              <w:rPr>
                <w:color w:val="auto"/>
                <w:sz w:val="24"/>
                <w:szCs w:val="24"/>
                <w:lang w:val="en-US" w:eastAsia="zh-CN" w:bidi="ar"/>
              </w:rPr>
              <w:t>0108±</w:t>
            </w:r>
            <w:r>
              <w:rPr>
                <w:color w:val="auto"/>
                <w:sz w:val="24"/>
                <w:szCs w:val="24"/>
                <w:lang w:val="ru-RU" w:eastAsia="zh-CN" w:bidi="ar"/>
              </w:rPr>
              <w:t>0,</w:t>
            </w:r>
            <w:r>
              <w:rPr>
                <w:color w:val="auto"/>
                <w:sz w:val="24"/>
                <w:szCs w:val="24"/>
                <w:lang w:val="en-US" w:eastAsia="zh-CN" w:bidi="ar"/>
              </w:rPr>
              <w:t>0018</w:t>
            </w:r>
          </w:p>
        </w:tc>
        <w:tc>
          <w:tcPr>
            <w:tcW w:w="1601" w:type="dxa"/>
            <w:vAlign w:val="center"/>
          </w:tcPr>
          <w:p w14:paraId="1A07D24F">
            <w:pPr>
              <w:widowControl w:val="0"/>
              <w:spacing w:after="0"/>
              <w:jc w:val="center"/>
              <w:rPr>
                <w:color w:val="auto"/>
                <w:sz w:val="24"/>
                <w:szCs w:val="24"/>
              </w:rPr>
            </w:pPr>
            <w:r>
              <w:rPr>
                <w:color w:val="auto"/>
                <w:sz w:val="24"/>
                <w:szCs w:val="24"/>
                <w:lang w:val="ru-RU" w:eastAsia="zh-CN" w:bidi="ar"/>
              </w:rPr>
              <w:t>0,</w:t>
            </w:r>
            <w:r>
              <w:rPr>
                <w:color w:val="auto"/>
                <w:sz w:val="24"/>
                <w:szCs w:val="24"/>
                <w:lang w:val="en-US" w:eastAsia="zh-CN" w:bidi="ar"/>
              </w:rPr>
              <w:t>976</w:t>
            </w:r>
          </w:p>
        </w:tc>
        <w:tc>
          <w:tcPr>
            <w:tcW w:w="1864" w:type="dxa"/>
            <w:vAlign w:val="center"/>
          </w:tcPr>
          <w:p w14:paraId="359BF1A3">
            <w:pPr>
              <w:widowControl w:val="0"/>
              <w:spacing w:after="0"/>
              <w:jc w:val="center"/>
              <w:rPr>
                <w:color w:val="auto"/>
                <w:sz w:val="24"/>
                <w:szCs w:val="24"/>
              </w:rPr>
            </w:pPr>
            <w:r>
              <w:rPr>
                <w:color w:val="auto"/>
                <w:sz w:val="24"/>
                <w:szCs w:val="24"/>
                <w:lang w:val="en-US" w:eastAsia="zh-CN" w:bidi="ar"/>
              </w:rPr>
              <w:t>6</w:t>
            </w:r>
            <w:r>
              <w:rPr>
                <w:color w:val="auto"/>
                <w:sz w:val="24"/>
                <w:szCs w:val="24"/>
                <w:lang w:val="ru-RU" w:eastAsia="zh-CN" w:bidi="ar"/>
              </w:rPr>
              <w:t>4,</w:t>
            </w:r>
            <w:r>
              <w:rPr>
                <w:color w:val="auto"/>
                <w:sz w:val="24"/>
                <w:szCs w:val="24"/>
                <w:lang w:val="en-US" w:eastAsia="zh-CN" w:bidi="ar"/>
              </w:rPr>
              <w:t>2±1</w:t>
            </w:r>
            <w:r>
              <w:rPr>
                <w:color w:val="auto"/>
                <w:sz w:val="24"/>
                <w:szCs w:val="24"/>
                <w:lang w:val="ru-RU" w:eastAsia="zh-CN" w:bidi="ar"/>
              </w:rPr>
              <w:t>0,</w:t>
            </w:r>
            <w:r>
              <w:rPr>
                <w:color w:val="auto"/>
                <w:sz w:val="24"/>
                <w:szCs w:val="24"/>
                <w:lang w:val="en-US" w:eastAsia="zh-CN" w:bidi="ar"/>
              </w:rPr>
              <w:t>8ᵇ</w:t>
            </w:r>
          </w:p>
        </w:tc>
        <w:tc>
          <w:tcPr>
            <w:tcW w:w="1861" w:type="dxa"/>
            <w:vAlign w:val="center"/>
          </w:tcPr>
          <w:p w14:paraId="48971FFD">
            <w:pPr>
              <w:widowControl w:val="0"/>
              <w:spacing w:after="0"/>
              <w:jc w:val="center"/>
              <w:rPr>
                <w:color w:val="auto"/>
                <w:sz w:val="24"/>
                <w:szCs w:val="24"/>
              </w:rPr>
            </w:pPr>
            <w:r>
              <w:rPr>
                <w:color w:val="auto"/>
                <w:sz w:val="24"/>
                <w:szCs w:val="24"/>
                <w:lang w:val="en-US" w:eastAsia="zh-CN" w:bidi="ar"/>
              </w:rPr>
              <w:t>b</w:t>
            </w:r>
          </w:p>
        </w:tc>
      </w:tr>
      <w:tr w14:paraId="1E50E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54" w:type="dxa"/>
          </w:tcPr>
          <w:p w14:paraId="343518B3">
            <w:pPr>
              <w:widowControl w:val="0"/>
              <w:spacing w:after="0"/>
              <w:jc w:val="center"/>
              <w:rPr>
                <w:color w:val="auto"/>
                <w:sz w:val="24"/>
                <w:szCs w:val="24"/>
              </w:rPr>
            </w:pPr>
            <w:r>
              <w:rPr>
                <w:color w:val="auto"/>
                <w:sz w:val="24"/>
                <w:szCs w:val="24"/>
                <w:lang w:val="en-US" w:eastAsia="zh-CN" w:bidi="ar"/>
              </w:rPr>
              <w:t>Қарақұмық қауызы (ҚҚ)</w:t>
            </w:r>
          </w:p>
        </w:tc>
        <w:tc>
          <w:tcPr>
            <w:tcW w:w="2076" w:type="dxa"/>
            <w:vAlign w:val="center"/>
          </w:tcPr>
          <w:p w14:paraId="05F5E188">
            <w:pPr>
              <w:widowControl w:val="0"/>
              <w:spacing w:after="0"/>
              <w:jc w:val="center"/>
              <w:rPr>
                <w:color w:val="auto"/>
                <w:sz w:val="24"/>
                <w:szCs w:val="24"/>
              </w:rPr>
            </w:pPr>
            <w:r>
              <w:rPr>
                <w:color w:val="auto"/>
                <w:sz w:val="24"/>
                <w:szCs w:val="24"/>
                <w:lang w:val="ru-RU" w:eastAsia="zh-CN" w:bidi="ar"/>
              </w:rPr>
              <w:t>0,</w:t>
            </w:r>
            <w:r>
              <w:rPr>
                <w:color w:val="auto"/>
                <w:sz w:val="24"/>
                <w:szCs w:val="24"/>
                <w:lang w:val="en-US" w:eastAsia="zh-CN" w:bidi="ar"/>
              </w:rPr>
              <w:t>0187±</w:t>
            </w:r>
            <w:r>
              <w:rPr>
                <w:color w:val="auto"/>
                <w:sz w:val="24"/>
                <w:szCs w:val="24"/>
                <w:lang w:val="ru-RU" w:eastAsia="zh-CN" w:bidi="ar"/>
              </w:rPr>
              <w:t>0,</w:t>
            </w:r>
            <w:r>
              <w:rPr>
                <w:color w:val="auto"/>
                <w:sz w:val="24"/>
                <w:szCs w:val="24"/>
                <w:lang w:val="en-US" w:eastAsia="zh-CN" w:bidi="ar"/>
              </w:rPr>
              <w:t>0032</w:t>
            </w:r>
          </w:p>
        </w:tc>
        <w:tc>
          <w:tcPr>
            <w:tcW w:w="1601" w:type="dxa"/>
            <w:vAlign w:val="center"/>
          </w:tcPr>
          <w:p w14:paraId="666F3475">
            <w:pPr>
              <w:widowControl w:val="0"/>
              <w:spacing w:after="0"/>
              <w:jc w:val="center"/>
              <w:rPr>
                <w:color w:val="auto"/>
                <w:sz w:val="24"/>
                <w:szCs w:val="24"/>
              </w:rPr>
            </w:pPr>
            <w:r>
              <w:rPr>
                <w:color w:val="auto"/>
                <w:sz w:val="24"/>
                <w:szCs w:val="24"/>
                <w:lang w:val="ru-RU" w:eastAsia="zh-CN" w:bidi="ar"/>
              </w:rPr>
              <w:t>0,</w:t>
            </w:r>
            <w:r>
              <w:rPr>
                <w:color w:val="auto"/>
                <w:sz w:val="24"/>
                <w:szCs w:val="24"/>
                <w:lang w:val="en-US" w:eastAsia="zh-CN" w:bidi="ar"/>
              </w:rPr>
              <w:t>987</w:t>
            </w:r>
          </w:p>
        </w:tc>
        <w:tc>
          <w:tcPr>
            <w:tcW w:w="1864" w:type="dxa"/>
            <w:vAlign w:val="center"/>
          </w:tcPr>
          <w:p w14:paraId="3678AB4F">
            <w:pPr>
              <w:widowControl w:val="0"/>
              <w:spacing w:after="0"/>
              <w:jc w:val="center"/>
              <w:rPr>
                <w:color w:val="auto"/>
                <w:sz w:val="24"/>
                <w:szCs w:val="24"/>
              </w:rPr>
            </w:pPr>
            <w:r>
              <w:rPr>
                <w:color w:val="auto"/>
                <w:sz w:val="24"/>
                <w:szCs w:val="24"/>
                <w:lang w:val="en-US" w:eastAsia="zh-CN" w:bidi="ar"/>
              </w:rPr>
              <w:t>3</w:t>
            </w:r>
            <w:r>
              <w:rPr>
                <w:color w:val="auto"/>
                <w:sz w:val="24"/>
                <w:szCs w:val="24"/>
                <w:lang w:val="ru-RU" w:eastAsia="zh-CN" w:bidi="ar"/>
              </w:rPr>
              <w:t>7,</w:t>
            </w:r>
            <w:r>
              <w:rPr>
                <w:color w:val="auto"/>
                <w:sz w:val="24"/>
                <w:szCs w:val="24"/>
                <w:lang w:val="en-US" w:eastAsia="zh-CN" w:bidi="ar"/>
              </w:rPr>
              <w:t>1±6.4ᵃ</w:t>
            </w:r>
          </w:p>
        </w:tc>
        <w:tc>
          <w:tcPr>
            <w:tcW w:w="1861" w:type="dxa"/>
            <w:vAlign w:val="center"/>
          </w:tcPr>
          <w:p w14:paraId="54F29FD0">
            <w:pPr>
              <w:widowControl w:val="0"/>
              <w:spacing w:after="0"/>
              <w:jc w:val="center"/>
              <w:rPr>
                <w:color w:val="auto"/>
                <w:sz w:val="24"/>
                <w:szCs w:val="24"/>
              </w:rPr>
            </w:pPr>
            <w:r>
              <w:rPr>
                <w:color w:val="auto"/>
                <w:sz w:val="24"/>
                <w:szCs w:val="24"/>
                <w:lang w:val="en-US" w:eastAsia="zh-CN" w:bidi="ar"/>
              </w:rPr>
              <w:t>a</w:t>
            </w:r>
          </w:p>
        </w:tc>
      </w:tr>
      <w:tr w14:paraId="520BA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54" w:type="dxa"/>
          </w:tcPr>
          <w:p w14:paraId="1B2EDA59">
            <w:pPr>
              <w:widowControl w:val="0"/>
              <w:spacing w:after="0"/>
              <w:jc w:val="center"/>
              <w:rPr>
                <w:color w:val="auto"/>
                <w:sz w:val="24"/>
                <w:szCs w:val="24"/>
              </w:rPr>
            </w:pPr>
            <w:r>
              <w:rPr>
                <w:color w:val="auto"/>
                <w:sz w:val="24"/>
                <w:szCs w:val="24"/>
                <w:lang w:val="en-US" w:eastAsia="zh-CN" w:bidi="ar"/>
              </w:rPr>
              <w:t>Күріш қауызы (КҚ)</w:t>
            </w:r>
          </w:p>
        </w:tc>
        <w:tc>
          <w:tcPr>
            <w:tcW w:w="2076" w:type="dxa"/>
            <w:vAlign w:val="center"/>
          </w:tcPr>
          <w:p w14:paraId="298EA24B">
            <w:pPr>
              <w:widowControl w:val="0"/>
              <w:spacing w:after="0"/>
              <w:jc w:val="center"/>
              <w:rPr>
                <w:color w:val="auto"/>
                <w:sz w:val="24"/>
                <w:szCs w:val="24"/>
              </w:rPr>
            </w:pPr>
            <w:r>
              <w:rPr>
                <w:color w:val="auto"/>
                <w:sz w:val="24"/>
                <w:szCs w:val="24"/>
                <w:lang w:val="ru-RU" w:eastAsia="zh-CN" w:bidi="ar"/>
              </w:rPr>
              <w:t>0,</w:t>
            </w:r>
            <w:r>
              <w:rPr>
                <w:color w:val="auto"/>
                <w:sz w:val="24"/>
                <w:szCs w:val="24"/>
                <w:lang w:val="en-US" w:eastAsia="zh-CN" w:bidi="ar"/>
              </w:rPr>
              <w:t>0162±</w:t>
            </w:r>
            <w:r>
              <w:rPr>
                <w:color w:val="auto"/>
                <w:sz w:val="24"/>
                <w:szCs w:val="24"/>
                <w:lang w:val="ru-RU" w:eastAsia="zh-CN" w:bidi="ar"/>
              </w:rPr>
              <w:t>0,</w:t>
            </w:r>
            <w:r>
              <w:rPr>
                <w:color w:val="auto"/>
                <w:sz w:val="24"/>
                <w:szCs w:val="24"/>
                <w:lang w:val="en-US" w:eastAsia="zh-CN" w:bidi="ar"/>
              </w:rPr>
              <w:t>0027</w:t>
            </w:r>
          </w:p>
        </w:tc>
        <w:tc>
          <w:tcPr>
            <w:tcW w:w="1601" w:type="dxa"/>
            <w:vAlign w:val="center"/>
          </w:tcPr>
          <w:p w14:paraId="64E9C295">
            <w:pPr>
              <w:widowControl w:val="0"/>
              <w:spacing w:after="0"/>
              <w:jc w:val="center"/>
              <w:rPr>
                <w:color w:val="auto"/>
                <w:sz w:val="24"/>
                <w:szCs w:val="24"/>
              </w:rPr>
            </w:pPr>
            <w:r>
              <w:rPr>
                <w:color w:val="auto"/>
                <w:sz w:val="24"/>
                <w:szCs w:val="24"/>
                <w:lang w:val="ru-RU" w:eastAsia="zh-CN" w:bidi="ar"/>
              </w:rPr>
              <w:t>0,</w:t>
            </w:r>
            <w:r>
              <w:rPr>
                <w:color w:val="auto"/>
                <w:sz w:val="24"/>
                <w:szCs w:val="24"/>
                <w:lang w:val="en-US" w:eastAsia="zh-CN" w:bidi="ar"/>
              </w:rPr>
              <w:t>981</w:t>
            </w:r>
          </w:p>
        </w:tc>
        <w:tc>
          <w:tcPr>
            <w:tcW w:w="1864" w:type="dxa"/>
            <w:vAlign w:val="center"/>
          </w:tcPr>
          <w:p w14:paraId="25B3B415">
            <w:pPr>
              <w:widowControl w:val="0"/>
              <w:spacing w:after="0"/>
              <w:jc w:val="center"/>
              <w:rPr>
                <w:color w:val="auto"/>
                <w:sz w:val="24"/>
                <w:szCs w:val="24"/>
              </w:rPr>
            </w:pPr>
            <w:r>
              <w:rPr>
                <w:color w:val="auto"/>
                <w:sz w:val="24"/>
                <w:szCs w:val="24"/>
                <w:lang w:val="en-US" w:eastAsia="zh-CN" w:bidi="ar"/>
              </w:rPr>
              <w:t>4</w:t>
            </w:r>
            <w:r>
              <w:rPr>
                <w:color w:val="auto"/>
                <w:sz w:val="24"/>
                <w:szCs w:val="24"/>
                <w:lang w:val="ru-RU" w:eastAsia="zh-CN" w:bidi="ar"/>
              </w:rPr>
              <w:t>2,</w:t>
            </w:r>
            <w:r>
              <w:rPr>
                <w:color w:val="auto"/>
                <w:sz w:val="24"/>
                <w:szCs w:val="24"/>
                <w:lang w:val="en-US" w:eastAsia="zh-CN" w:bidi="ar"/>
              </w:rPr>
              <w:t>8±</w:t>
            </w:r>
            <w:r>
              <w:rPr>
                <w:color w:val="auto"/>
                <w:sz w:val="24"/>
                <w:szCs w:val="24"/>
                <w:lang w:val="ru-RU" w:eastAsia="zh-CN" w:bidi="ar"/>
              </w:rPr>
              <w:t>7,</w:t>
            </w:r>
            <w:r>
              <w:rPr>
                <w:color w:val="auto"/>
                <w:sz w:val="24"/>
                <w:szCs w:val="24"/>
                <w:lang w:val="en-US" w:eastAsia="zh-CN" w:bidi="ar"/>
              </w:rPr>
              <w:t>1ᵃ</w:t>
            </w:r>
          </w:p>
        </w:tc>
        <w:tc>
          <w:tcPr>
            <w:tcW w:w="1861" w:type="dxa"/>
            <w:vAlign w:val="center"/>
          </w:tcPr>
          <w:p w14:paraId="5553EC99">
            <w:pPr>
              <w:widowControl w:val="0"/>
              <w:spacing w:after="0"/>
              <w:jc w:val="center"/>
              <w:rPr>
                <w:color w:val="auto"/>
                <w:sz w:val="24"/>
                <w:szCs w:val="24"/>
              </w:rPr>
            </w:pPr>
            <w:r>
              <w:rPr>
                <w:color w:val="auto"/>
                <w:sz w:val="24"/>
                <w:szCs w:val="24"/>
                <w:lang w:val="en-US" w:eastAsia="zh-CN" w:bidi="ar"/>
              </w:rPr>
              <w:t>a</w:t>
            </w:r>
          </w:p>
        </w:tc>
      </w:tr>
    </w:tbl>
    <w:p w14:paraId="252D4DA8">
      <w:pPr>
        <w:pStyle w:val="35"/>
        <w:spacing w:beforeAutospacing="0" w:afterAutospacing="0"/>
        <w:ind w:firstLine="709"/>
        <w:jc w:val="both"/>
        <w:rPr>
          <w:color w:val="auto"/>
        </w:rPr>
      </w:pPr>
    </w:p>
    <w:p w14:paraId="76252F23">
      <w:pPr>
        <w:pStyle w:val="35"/>
        <w:spacing w:beforeAutospacing="0" w:afterAutospacing="0"/>
        <w:ind w:firstLine="709"/>
        <w:jc w:val="both"/>
        <w:rPr>
          <w:color w:val="auto"/>
          <w:sz w:val="28"/>
          <w:szCs w:val="28"/>
        </w:rPr>
      </w:pPr>
      <w:r>
        <w:rPr>
          <w:color w:val="auto"/>
          <w:sz w:val="28"/>
          <w:szCs w:val="28"/>
          <w:lang w:val="kk-KZ"/>
        </w:rPr>
        <w:t>Ескертпе</w:t>
      </w:r>
      <w:r>
        <w:rPr>
          <w:rFonts w:hint="default"/>
          <w:color w:val="auto"/>
          <w:sz w:val="28"/>
          <w:szCs w:val="28"/>
          <w:lang w:val="kk-KZ"/>
        </w:rPr>
        <w:t xml:space="preserve"> - </w:t>
      </w:r>
      <w:r>
        <w:rPr>
          <w:color w:val="auto"/>
          <w:sz w:val="28"/>
          <w:szCs w:val="28"/>
        </w:rPr>
        <w:t xml:space="preserve">Әртүрлі әріптер статистикалық маңызды айырмашылықтарды көрсетеді (p &lt; </w:t>
      </w:r>
      <w:r>
        <w:rPr>
          <w:color w:val="auto"/>
          <w:sz w:val="28"/>
          <w:szCs w:val="28"/>
          <w:lang w:val="ru-RU"/>
        </w:rPr>
        <w:t>0,</w:t>
      </w:r>
      <w:r>
        <w:rPr>
          <w:color w:val="auto"/>
          <w:sz w:val="28"/>
          <w:szCs w:val="28"/>
        </w:rPr>
        <w:t xml:space="preserve">05, Tukey HSD сынағы). Жылдамдық константалары 4 уақыт нүктесінің деректері негізінде сызықты емес регрессия талдауымен анықталды (n=5). Константалар арасындағы айырмашылықтар статистикалық маңызды (p &lt; </w:t>
      </w:r>
      <w:r>
        <w:rPr>
          <w:color w:val="auto"/>
          <w:sz w:val="28"/>
          <w:szCs w:val="28"/>
          <w:lang w:val="ru-RU"/>
        </w:rPr>
        <w:t>0,</w:t>
      </w:r>
      <w:r>
        <w:rPr>
          <w:color w:val="auto"/>
          <w:sz w:val="28"/>
          <w:szCs w:val="28"/>
        </w:rPr>
        <w:t>001).</w:t>
      </w:r>
    </w:p>
    <w:p w14:paraId="147D30BF">
      <w:pPr>
        <w:pStyle w:val="35"/>
        <w:spacing w:beforeAutospacing="0" w:afterAutospacing="0"/>
        <w:ind w:firstLine="709"/>
        <w:jc w:val="both"/>
        <w:rPr>
          <w:color w:val="auto"/>
          <w:sz w:val="28"/>
          <w:szCs w:val="28"/>
          <w:highlight w:val="yellow"/>
        </w:rPr>
      </w:pPr>
    </w:p>
    <w:p w14:paraId="0771DD7A">
      <w:pPr>
        <w:pStyle w:val="35"/>
        <w:spacing w:beforeAutospacing="0" w:afterAutospacing="0"/>
        <w:ind w:firstLine="709"/>
        <w:jc w:val="both"/>
        <w:rPr>
          <w:color w:val="auto"/>
          <w:sz w:val="28"/>
          <w:szCs w:val="28"/>
          <w:lang w:val="kk-KZ"/>
        </w:rPr>
      </w:pPr>
      <w:r>
        <w:rPr>
          <w:color w:val="auto"/>
          <w:sz w:val="28"/>
          <w:szCs w:val="28"/>
        </w:rPr>
        <w:t>Қарақұмық қауызы</w:t>
      </w:r>
      <w:r>
        <w:rPr>
          <w:color w:val="auto"/>
          <w:sz w:val="28"/>
          <w:szCs w:val="28"/>
          <w:lang w:val="kk-KZ"/>
        </w:rPr>
        <w:t>на иммобилизацияланған консорциум</w:t>
      </w:r>
      <w:r>
        <w:rPr>
          <w:color w:val="auto"/>
          <w:sz w:val="28"/>
          <w:szCs w:val="28"/>
        </w:rPr>
        <w:t xml:space="preserve"> ең жоғары деструкция жылдамдық константасын көрсетті: k=0</w:t>
      </w:r>
      <w:r>
        <w:rPr>
          <w:rFonts w:hint="default"/>
          <w:color w:val="auto"/>
          <w:sz w:val="28"/>
          <w:szCs w:val="28"/>
          <w:lang w:val="ru-RU"/>
        </w:rPr>
        <w:t>,</w:t>
      </w:r>
      <w:r>
        <w:rPr>
          <w:color w:val="auto"/>
          <w:sz w:val="28"/>
          <w:szCs w:val="28"/>
        </w:rPr>
        <w:t>0187±0</w:t>
      </w:r>
      <w:r>
        <w:rPr>
          <w:rFonts w:hint="default"/>
          <w:color w:val="auto"/>
          <w:sz w:val="28"/>
          <w:szCs w:val="28"/>
          <w:lang w:val="ru-RU"/>
        </w:rPr>
        <w:t>,</w:t>
      </w:r>
      <w:r>
        <w:rPr>
          <w:color w:val="auto"/>
          <w:sz w:val="28"/>
          <w:szCs w:val="28"/>
        </w:rPr>
        <w:t>0032 күн⁻¹</w:t>
      </w:r>
      <w:r>
        <w:rPr>
          <w:color w:val="auto"/>
          <w:sz w:val="28"/>
          <w:szCs w:val="28"/>
          <w:lang w:val="kk-KZ"/>
        </w:rPr>
        <w:t>. Бұл мән бос жасушаларға тән көрсеткіштен (k=0</w:t>
      </w:r>
      <w:r>
        <w:rPr>
          <w:rFonts w:hint="default"/>
          <w:color w:val="auto"/>
          <w:sz w:val="28"/>
          <w:szCs w:val="28"/>
          <w:lang w:val="ru-RU"/>
        </w:rPr>
        <w:t>,</w:t>
      </w:r>
      <w:r>
        <w:rPr>
          <w:color w:val="auto"/>
          <w:sz w:val="28"/>
          <w:szCs w:val="28"/>
          <w:lang w:val="kk-KZ"/>
        </w:rPr>
        <w:t>0108 күн⁻¹) 73% жоғары болып, тасымалдаушы-негізделген иммобилизацияның айтарлықтай артықшылығын көрсетеді [1</w:t>
      </w:r>
      <w:r>
        <w:rPr>
          <w:rFonts w:hint="default"/>
          <w:color w:val="auto"/>
          <w:sz w:val="28"/>
          <w:szCs w:val="28"/>
          <w:lang w:val="kk-KZ"/>
        </w:rPr>
        <w:t>31</w:t>
      </w:r>
      <w:r>
        <w:rPr>
          <w:color w:val="auto"/>
          <w:sz w:val="28"/>
          <w:szCs w:val="28"/>
          <w:lang w:val="kk-KZ"/>
        </w:rPr>
        <w:t>]. Күріш қауызы үшін деструкцияжылдамдық констансасы k=</w:t>
      </w:r>
      <w:r>
        <w:rPr>
          <w:color w:val="auto"/>
          <w:sz w:val="28"/>
          <w:szCs w:val="28"/>
          <w:lang w:val="ru-RU"/>
        </w:rPr>
        <w:t>0,</w:t>
      </w:r>
      <w:r>
        <w:rPr>
          <w:color w:val="auto"/>
          <w:sz w:val="28"/>
          <w:szCs w:val="28"/>
          <w:lang w:val="kk-KZ"/>
        </w:rPr>
        <w:t>0162 күн⁻¹ құрап, бос жасушалармен салыстырғанда 50% жоғары болды.</w:t>
      </w:r>
    </w:p>
    <w:p w14:paraId="62820677">
      <w:pPr>
        <w:pStyle w:val="35"/>
        <w:spacing w:beforeAutospacing="0" w:afterAutospacing="0"/>
        <w:ind w:firstLine="709"/>
        <w:jc w:val="both"/>
        <w:rPr>
          <w:color w:val="auto"/>
          <w:sz w:val="28"/>
          <w:szCs w:val="28"/>
          <w:lang w:val="kk-KZ"/>
        </w:rPr>
      </w:pPr>
      <w:r>
        <w:rPr>
          <w:color w:val="auto"/>
          <w:sz w:val="28"/>
          <w:szCs w:val="28"/>
          <w:lang w:val="kk-KZ"/>
        </w:rPr>
        <w:t xml:space="preserve">Барлық биотикалық өңдеулер үшін модельдер жоғары сәйкестік көрсетті (R² &gt; </w:t>
      </w:r>
      <w:r>
        <w:rPr>
          <w:color w:val="auto"/>
          <w:sz w:val="28"/>
          <w:szCs w:val="28"/>
          <w:lang w:val="ru-RU"/>
        </w:rPr>
        <w:t>0,</w:t>
      </w:r>
      <w:r>
        <w:rPr>
          <w:color w:val="auto"/>
          <w:sz w:val="28"/>
          <w:szCs w:val="28"/>
          <w:lang w:val="kk-KZ"/>
        </w:rPr>
        <w:t>95), бұл бірінші ретті кинетиканың зерттелген жүйелер үшін адекватты сипаттама екенін растайды</w:t>
      </w:r>
      <w:r>
        <w:rPr>
          <w:rFonts w:hint="default"/>
          <w:color w:val="auto"/>
          <w:sz w:val="28"/>
          <w:szCs w:val="28"/>
          <w:lang w:val="kk-KZ"/>
        </w:rPr>
        <w:t xml:space="preserve"> </w:t>
      </w:r>
      <w:r>
        <w:rPr>
          <w:color w:val="auto"/>
          <w:sz w:val="28"/>
          <w:szCs w:val="28"/>
          <w:lang w:val="kk-KZ"/>
        </w:rPr>
        <w:t>[1</w:t>
      </w:r>
      <w:r>
        <w:rPr>
          <w:rFonts w:hint="default"/>
          <w:color w:val="auto"/>
          <w:sz w:val="28"/>
          <w:szCs w:val="28"/>
          <w:lang w:val="kk-KZ"/>
        </w:rPr>
        <w:t>65</w:t>
      </w:r>
      <w:r>
        <w:rPr>
          <w:color w:val="auto"/>
          <w:sz w:val="28"/>
          <w:szCs w:val="28"/>
          <w:lang w:val="kk-KZ"/>
        </w:rPr>
        <w:t>]. Ал бақылау нұсқаларында R² мәндерінің төмендеуі (~0</w:t>
      </w:r>
      <w:r>
        <w:rPr>
          <w:rFonts w:hint="default"/>
          <w:color w:val="auto"/>
          <w:sz w:val="28"/>
          <w:szCs w:val="28"/>
          <w:lang w:val="ru-RU"/>
        </w:rPr>
        <w:t>,</w:t>
      </w:r>
      <w:r>
        <w:rPr>
          <w:color w:val="auto"/>
          <w:sz w:val="28"/>
          <w:szCs w:val="28"/>
          <w:lang w:val="kk-KZ"/>
        </w:rPr>
        <w:t>94-0</w:t>
      </w:r>
      <w:r>
        <w:rPr>
          <w:rFonts w:hint="default"/>
          <w:color w:val="auto"/>
          <w:sz w:val="28"/>
          <w:szCs w:val="28"/>
          <w:lang w:val="ru-RU"/>
        </w:rPr>
        <w:t>,</w:t>
      </w:r>
      <w:r>
        <w:rPr>
          <w:color w:val="auto"/>
          <w:sz w:val="28"/>
          <w:szCs w:val="28"/>
          <w:lang w:val="kk-KZ"/>
        </w:rPr>
        <w:t>95) деструкция процесінің баяулығын және жоғары вариабельдігін көрсетеді.</w:t>
      </w:r>
    </w:p>
    <w:p w14:paraId="1414E328">
      <w:pPr>
        <w:pStyle w:val="35"/>
        <w:spacing w:beforeAutospacing="0" w:afterAutospacing="0"/>
        <w:ind w:firstLine="709"/>
        <w:jc w:val="both"/>
        <w:rPr>
          <w:color w:val="auto"/>
          <w:sz w:val="28"/>
          <w:szCs w:val="28"/>
          <w:lang w:val="kk-KZ"/>
        </w:rPr>
      </w:pPr>
      <w:r>
        <w:rPr>
          <w:color w:val="auto"/>
          <w:sz w:val="28"/>
          <w:szCs w:val="28"/>
          <w:lang w:val="kk-KZ"/>
        </w:rPr>
        <w:t>Жартылай ыдырау мерзімдері (t₁/₂) биоремедиацияның практикалық қолданылуын бағалауда маңызды параметр болып табылады. Қарақұмық қауызы үшін t₁/₂ = 37</w:t>
      </w:r>
      <w:r>
        <w:rPr>
          <w:rFonts w:hint="default"/>
          <w:color w:val="auto"/>
          <w:sz w:val="28"/>
          <w:szCs w:val="28"/>
          <w:lang w:val="ru-RU"/>
        </w:rPr>
        <w:t>,</w:t>
      </w:r>
      <w:r>
        <w:rPr>
          <w:color w:val="auto"/>
          <w:sz w:val="28"/>
          <w:szCs w:val="28"/>
          <w:lang w:val="kk-KZ"/>
        </w:rPr>
        <w:t>1±6</w:t>
      </w:r>
      <w:r>
        <w:rPr>
          <w:rFonts w:hint="default"/>
          <w:color w:val="auto"/>
          <w:sz w:val="28"/>
          <w:szCs w:val="28"/>
          <w:lang w:val="ru-RU"/>
        </w:rPr>
        <w:t>,</w:t>
      </w:r>
      <w:r>
        <w:rPr>
          <w:color w:val="auto"/>
          <w:sz w:val="28"/>
          <w:szCs w:val="28"/>
          <w:lang w:val="kk-KZ"/>
        </w:rPr>
        <w:t>4 күн, күріш қауызы үшін 42</w:t>
      </w:r>
      <w:r>
        <w:rPr>
          <w:rFonts w:hint="default"/>
          <w:color w:val="auto"/>
          <w:sz w:val="28"/>
          <w:szCs w:val="28"/>
          <w:lang w:val="ru-RU"/>
        </w:rPr>
        <w:t>,</w:t>
      </w:r>
      <w:r>
        <w:rPr>
          <w:color w:val="auto"/>
          <w:sz w:val="28"/>
          <w:szCs w:val="28"/>
          <w:lang w:val="kk-KZ"/>
        </w:rPr>
        <w:t>8±7</w:t>
      </w:r>
      <w:r>
        <w:rPr>
          <w:rFonts w:hint="default"/>
          <w:color w:val="auto"/>
          <w:sz w:val="28"/>
          <w:szCs w:val="28"/>
          <w:lang w:val="ru-RU"/>
        </w:rPr>
        <w:t>,</w:t>
      </w:r>
      <w:r>
        <w:rPr>
          <w:color w:val="auto"/>
          <w:sz w:val="28"/>
          <w:szCs w:val="28"/>
          <w:lang w:val="kk-KZ"/>
        </w:rPr>
        <w:t>1 күн, бос жасушалар үшін 64</w:t>
      </w:r>
      <w:r>
        <w:rPr>
          <w:rFonts w:hint="default"/>
          <w:color w:val="auto"/>
          <w:sz w:val="28"/>
          <w:szCs w:val="28"/>
          <w:lang w:val="ru-RU"/>
        </w:rPr>
        <w:t>,</w:t>
      </w:r>
      <w:r>
        <w:rPr>
          <w:color w:val="auto"/>
          <w:sz w:val="28"/>
          <w:szCs w:val="28"/>
          <w:lang w:val="kk-KZ"/>
        </w:rPr>
        <w:t>2±10</w:t>
      </w:r>
      <w:r>
        <w:rPr>
          <w:rFonts w:hint="default"/>
          <w:color w:val="auto"/>
          <w:sz w:val="28"/>
          <w:szCs w:val="28"/>
          <w:lang w:val="ru-RU"/>
        </w:rPr>
        <w:t>,</w:t>
      </w:r>
      <w:r>
        <w:rPr>
          <w:color w:val="auto"/>
          <w:sz w:val="28"/>
          <w:szCs w:val="28"/>
          <w:lang w:val="kk-KZ"/>
        </w:rPr>
        <w:t>8 күн құрады [</w:t>
      </w:r>
      <w:r>
        <w:rPr>
          <w:rFonts w:hint="default"/>
          <w:color w:val="auto"/>
          <w:sz w:val="28"/>
          <w:szCs w:val="28"/>
          <w:lang w:val="kk-KZ"/>
        </w:rPr>
        <w:t>131</w:t>
      </w:r>
      <w:r>
        <w:rPr>
          <w:color w:val="auto"/>
          <w:sz w:val="28"/>
          <w:szCs w:val="28"/>
          <w:lang w:val="kk-KZ"/>
        </w:rPr>
        <w:t>]. Бұл деректер иммобилизацияланған жүйелердің биоремедиация процесінің 40-42% қысқартатынын көрсетеді. Практикалық бағалау бойынша, ЖМӨ-нің 95% деструкциясына жету үшін қажетті уақыт (~</w:t>
      </w:r>
      <w:r>
        <w:rPr>
          <w:color w:val="auto"/>
          <w:sz w:val="28"/>
          <w:szCs w:val="28"/>
          <w:lang w:val="ru-RU"/>
        </w:rPr>
        <w:t>4,</w:t>
      </w:r>
      <w:r>
        <w:rPr>
          <w:color w:val="auto"/>
          <w:sz w:val="28"/>
          <w:szCs w:val="28"/>
          <w:lang w:val="kk-KZ"/>
        </w:rPr>
        <w:t>3 × t₁/₂): қарақұмық қауызы үшін 160 күн, күріш қауызы үшін 184 күн, бос жасушалар үшін 276 күн.</w:t>
      </w:r>
    </w:p>
    <w:p w14:paraId="32FCD9A3">
      <w:pPr>
        <w:pStyle w:val="35"/>
        <w:spacing w:beforeAutospacing="0" w:afterAutospacing="0"/>
        <w:ind w:firstLine="709"/>
        <w:jc w:val="both"/>
        <w:rPr>
          <w:color w:val="auto"/>
          <w:sz w:val="28"/>
          <w:szCs w:val="28"/>
          <w:lang w:val="kk-KZ"/>
        </w:rPr>
      </w:pPr>
      <w:r>
        <w:rPr>
          <w:color w:val="auto"/>
          <w:sz w:val="28"/>
          <w:szCs w:val="28"/>
          <w:lang w:val="kk-KZ"/>
        </w:rPr>
        <w:t>Алынған кинетикалық параметрлер лигноцеллюлозалық тасымалдағыштар қолданылған зерттеулермен салыстырмалы. Мысалы, Zhang et al. [</w:t>
      </w:r>
      <w:r>
        <w:rPr>
          <w:rFonts w:hint="default"/>
          <w:color w:val="auto"/>
          <w:sz w:val="28"/>
          <w:szCs w:val="28"/>
          <w:lang w:val="kk-KZ"/>
        </w:rPr>
        <w:t>96</w:t>
      </w:r>
      <w:r>
        <w:rPr>
          <w:color w:val="auto"/>
          <w:sz w:val="28"/>
          <w:szCs w:val="28"/>
          <w:lang w:val="kk-KZ"/>
        </w:rPr>
        <w:t>] биочар-иммобилизацияланған жүйелер үшін k=0</w:t>
      </w:r>
      <w:r>
        <w:rPr>
          <w:rFonts w:hint="default"/>
          <w:color w:val="auto"/>
          <w:sz w:val="28"/>
          <w:szCs w:val="28"/>
          <w:lang w:val="ru-RU"/>
        </w:rPr>
        <w:t>,</w:t>
      </w:r>
      <w:r>
        <w:rPr>
          <w:color w:val="auto"/>
          <w:sz w:val="28"/>
          <w:szCs w:val="28"/>
          <w:lang w:val="kk-KZ"/>
        </w:rPr>
        <w:t>015-0</w:t>
      </w:r>
      <w:r>
        <w:rPr>
          <w:rFonts w:hint="default"/>
          <w:color w:val="auto"/>
          <w:sz w:val="28"/>
          <w:szCs w:val="28"/>
          <w:lang w:val="ru-RU"/>
        </w:rPr>
        <w:t>,</w:t>
      </w:r>
      <w:r>
        <w:rPr>
          <w:color w:val="auto"/>
          <w:sz w:val="28"/>
          <w:szCs w:val="28"/>
          <w:lang w:val="kk-KZ"/>
        </w:rPr>
        <w:t>019 күн⁻¹ хабарлады, ал лигноцеллюлозалық носительдерді қолдану туралы басқа зерттеулер [76, 79, 97] k=0,012-0,016 күн⁻¹ диапазонын көрсетті. Біздің нәтижелеріміз (k=0,0162-0,0187 күн⁻¹) осы диапазонның жоғарғы шегінде орналасқан, бұл қарақұмық және күріш қауыздарының жоғары тиімділігін растайды [131, 142].</w:t>
      </w:r>
    </w:p>
    <w:p w14:paraId="4ABE4DC8">
      <w:pPr>
        <w:pStyle w:val="35"/>
        <w:spacing w:beforeAutospacing="0" w:afterAutospacing="0"/>
        <w:ind w:firstLine="709"/>
        <w:jc w:val="both"/>
        <w:rPr>
          <w:color w:val="auto"/>
          <w:sz w:val="28"/>
          <w:szCs w:val="28"/>
          <w:lang w:val="kk-KZ"/>
        </w:rPr>
      </w:pPr>
    </w:p>
    <w:p w14:paraId="6BEF2BE7">
      <w:pPr>
        <w:pStyle w:val="35"/>
        <w:spacing w:beforeAutospacing="0" w:afterAutospacing="0"/>
        <w:ind w:firstLine="709"/>
        <w:rPr>
          <w:b/>
          <w:bCs/>
          <w:color w:val="auto"/>
          <w:sz w:val="32"/>
          <w:szCs w:val="32"/>
          <w:lang w:val="kk-KZ"/>
        </w:rPr>
      </w:pPr>
      <w:r>
        <w:rPr>
          <w:b/>
          <w:bCs/>
          <w:color w:val="auto"/>
          <w:sz w:val="28"/>
          <w:szCs w:val="28"/>
          <w:lang w:val="ru-RU"/>
        </w:rPr>
        <w:t>3</w:t>
      </w:r>
      <w:r>
        <w:rPr>
          <w:rFonts w:hint="default"/>
          <w:b/>
          <w:bCs/>
          <w:color w:val="auto"/>
          <w:sz w:val="28"/>
          <w:szCs w:val="28"/>
          <w:lang w:val="kk-KZ"/>
        </w:rPr>
        <w:t>.</w:t>
      </w:r>
      <w:r>
        <w:rPr>
          <w:b/>
          <w:bCs/>
          <w:color w:val="auto"/>
          <w:sz w:val="28"/>
          <w:szCs w:val="28"/>
          <w:lang w:val="ru-RU"/>
        </w:rPr>
        <w:t>3</w:t>
      </w:r>
      <w:r>
        <w:rPr>
          <w:rFonts w:hint="default"/>
          <w:b/>
          <w:bCs/>
          <w:color w:val="auto"/>
          <w:sz w:val="28"/>
          <w:szCs w:val="28"/>
          <w:lang w:val="kk-KZ"/>
        </w:rPr>
        <w:t>.</w:t>
      </w:r>
      <w:r>
        <w:rPr>
          <w:b/>
          <w:bCs/>
          <w:color w:val="auto"/>
          <w:sz w:val="28"/>
          <w:szCs w:val="28"/>
          <w:lang w:val="ru-RU"/>
        </w:rPr>
        <w:t>3</w:t>
      </w:r>
      <w:r>
        <w:rPr>
          <w:rFonts w:hint="default"/>
          <w:b/>
          <w:bCs/>
          <w:color w:val="auto"/>
          <w:sz w:val="28"/>
          <w:szCs w:val="28"/>
          <w:lang w:val="ru-RU"/>
        </w:rPr>
        <w:t xml:space="preserve"> </w:t>
      </w:r>
      <w:r>
        <w:rPr>
          <w:b/>
          <w:bCs/>
          <w:color w:val="auto"/>
          <w:sz w:val="28"/>
          <w:szCs w:val="28"/>
          <w:lang w:val="kk-KZ"/>
        </w:rPr>
        <w:t>Көмірсутектердің фракциялық талдауын зерттеу</w:t>
      </w:r>
    </w:p>
    <w:p w14:paraId="0B58BF92">
      <w:pPr>
        <w:pStyle w:val="35"/>
        <w:spacing w:beforeAutospacing="0" w:afterAutospacing="0"/>
        <w:ind w:firstLine="709"/>
        <w:jc w:val="both"/>
        <w:rPr>
          <w:color w:val="auto"/>
          <w:sz w:val="28"/>
          <w:szCs w:val="28"/>
          <w:lang w:val="kk-KZ"/>
        </w:rPr>
      </w:pPr>
      <w:r>
        <w:rPr>
          <w:color w:val="auto"/>
          <w:sz w:val="28"/>
          <w:szCs w:val="28"/>
          <w:lang w:val="kk-KZ"/>
        </w:rPr>
        <w:t>Көмірсутектердің селективті деструкциясын бағалау үшін әртүрлі мұнай фракцияларының ыдырау тиімділігі Фурье түрлендірулі инфрақызыл (FTIR) спектрометриясымен талданды. Талдау барысында келесі сипаттамалық жұтылу жолақтары пайдаланылды: БТЭК фракциялары үшін (3030-3100) см⁻¹ аймағы (ароматты C-H байланыстары), алкандар үшін (2850-2960) см⁻¹ (алифатты C-H байланыстары), сондай-ақ полициклді ароматты көмірсутектер (ПАК) үшін 1600 және 1500 см⁻¹ жолақтары (ароматты C=C байланыстары).</w:t>
      </w:r>
    </w:p>
    <w:p w14:paraId="1F50A451">
      <w:pPr>
        <w:pStyle w:val="35"/>
        <w:spacing w:beforeAutospacing="0" w:afterAutospacing="0"/>
        <w:ind w:firstLine="709"/>
        <w:jc w:val="both"/>
        <w:rPr>
          <w:color w:val="auto"/>
          <w:sz w:val="28"/>
          <w:szCs w:val="28"/>
          <w:lang w:val="kk-KZ"/>
        </w:rPr>
      </w:pPr>
      <w:r>
        <w:rPr>
          <w:color w:val="auto"/>
          <w:sz w:val="28"/>
          <w:szCs w:val="28"/>
          <w:lang w:val="kk-KZ"/>
        </w:rPr>
        <w:t xml:space="preserve">Қарақұмық қауызына иммобилизацияланған консорциумның 45 күндік инкубациядан кейін алынған деструкция спектрлері </w:t>
      </w:r>
      <w:r>
        <w:rPr>
          <w:color w:val="auto"/>
          <w:sz w:val="28"/>
          <w:szCs w:val="28"/>
          <w:lang w:val="ru-RU"/>
        </w:rPr>
        <w:t>с</w:t>
      </w:r>
      <w:r>
        <w:rPr>
          <w:color w:val="auto"/>
          <w:sz w:val="28"/>
          <w:szCs w:val="28"/>
          <w:lang w:val="kk-KZ"/>
        </w:rPr>
        <w:t>урет 1</w:t>
      </w:r>
      <w:r>
        <w:rPr>
          <w:rFonts w:hint="default"/>
          <w:color w:val="auto"/>
          <w:sz w:val="28"/>
          <w:szCs w:val="28"/>
          <w:lang w:val="ru-RU"/>
        </w:rPr>
        <w:t>4</w:t>
      </w:r>
      <w:r>
        <w:rPr>
          <w:color w:val="auto"/>
          <w:sz w:val="28"/>
          <w:szCs w:val="28"/>
          <w:lang w:val="kk-KZ"/>
        </w:rPr>
        <w:t>-де көрсетілген [1</w:t>
      </w:r>
      <w:r>
        <w:rPr>
          <w:rFonts w:hint="default"/>
          <w:color w:val="auto"/>
          <w:sz w:val="28"/>
          <w:szCs w:val="28"/>
          <w:lang w:val="kk-KZ"/>
        </w:rPr>
        <w:t>31</w:t>
      </w:r>
      <w:r>
        <w:rPr>
          <w:color w:val="auto"/>
          <w:sz w:val="28"/>
          <w:szCs w:val="28"/>
          <w:lang w:val="kk-KZ"/>
        </w:rPr>
        <w:t>].</w:t>
      </w:r>
    </w:p>
    <w:p w14:paraId="4BCCC0FC">
      <w:pPr>
        <w:pStyle w:val="35"/>
        <w:spacing w:beforeAutospacing="0" w:afterAutospacing="0"/>
        <w:ind w:firstLine="709"/>
        <w:jc w:val="both"/>
        <w:rPr>
          <w:color w:val="auto"/>
          <w:sz w:val="28"/>
          <w:szCs w:val="28"/>
          <w:lang w:val="kk-KZ"/>
        </w:rPr>
      </w:pPr>
    </w:p>
    <w:p w14:paraId="26810AE8">
      <w:pPr>
        <w:pStyle w:val="35"/>
        <w:spacing w:beforeAutospacing="0" w:afterAutospacing="0"/>
        <w:ind w:firstLine="709"/>
        <w:jc w:val="center"/>
        <w:rPr>
          <w:color w:val="auto"/>
        </w:rPr>
      </w:pPr>
      <w:r>
        <w:rPr>
          <w:color w:val="auto"/>
          <w:lang w:val="ru-RU" w:eastAsia="ru-RU"/>
        </w:rPr>
        <w:drawing>
          <wp:inline distT="0" distB="0" distL="114300" distR="114300">
            <wp:extent cx="5199380" cy="3260725"/>
            <wp:effectExtent l="4445" t="4445" r="8255" b="11430"/>
            <wp:docPr id="7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00D17A2F">
      <w:pPr>
        <w:pStyle w:val="35"/>
        <w:spacing w:beforeAutospacing="0" w:afterAutospacing="0"/>
        <w:ind w:firstLine="709"/>
        <w:jc w:val="center"/>
        <w:rPr>
          <w:color w:val="auto"/>
        </w:rPr>
      </w:pPr>
    </w:p>
    <w:p w14:paraId="7CAA1EA0">
      <w:pPr>
        <w:pStyle w:val="35"/>
        <w:spacing w:beforeAutospacing="0" w:afterAutospacing="0"/>
        <w:ind w:firstLine="709"/>
        <w:jc w:val="both"/>
        <w:rPr>
          <w:color w:val="auto"/>
          <w:sz w:val="28"/>
          <w:szCs w:val="28"/>
        </w:rPr>
      </w:pPr>
      <w:r>
        <w:rPr>
          <w:color w:val="auto"/>
          <w:sz w:val="28"/>
          <w:szCs w:val="28"/>
        </w:rPr>
        <w:t>Сурет 1</w:t>
      </w:r>
      <w:r>
        <w:rPr>
          <w:color w:val="auto"/>
          <w:sz w:val="28"/>
          <w:szCs w:val="28"/>
          <w:lang w:val="en-GB"/>
        </w:rPr>
        <w:t>4</w:t>
      </w:r>
      <w:r>
        <w:rPr>
          <w:color w:val="auto"/>
          <w:sz w:val="28"/>
          <w:szCs w:val="28"/>
        </w:rPr>
        <w:t xml:space="preserve"> – Қарақұмық қауызына иммобилизацияланған бактериялармен әртүрлі көмірсутек фракцияларының деструкция тиімділігі 45 күннен кейін. Қате жолақтары стандартты ауытқуды көрсетеді (n=5). Бағандар үстіндегі әртүрлі әріптер көмірсутек фракциялары арасындағы статистикалық маңызды айырмашылықтарды көрсетеді (p &lt; </w:t>
      </w:r>
      <w:r>
        <w:rPr>
          <w:color w:val="auto"/>
          <w:sz w:val="28"/>
          <w:szCs w:val="28"/>
          <w:lang w:val="ru-RU"/>
        </w:rPr>
        <w:t>0,</w:t>
      </w:r>
      <w:r>
        <w:rPr>
          <w:color w:val="auto"/>
          <w:sz w:val="28"/>
          <w:szCs w:val="28"/>
        </w:rPr>
        <w:t>05, Tukey HSD сынағы). БТЭК - бензол, толуол, этилбензол, ксилолдар; ПАК - полициклді ароматты көмірсутектер.</w:t>
      </w:r>
    </w:p>
    <w:p w14:paraId="163AB784">
      <w:pPr>
        <w:pStyle w:val="35"/>
        <w:spacing w:beforeAutospacing="0" w:afterAutospacing="0"/>
        <w:ind w:firstLine="709"/>
        <w:jc w:val="both"/>
        <w:rPr>
          <w:color w:val="auto"/>
          <w:sz w:val="28"/>
          <w:szCs w:val="28"/>
          <w:highlight w:val="yellow"/>
        </w:rPr>
      </w:pPr>
    </w:p>
    <w:p w14:paraId="00048DA8">
      <w:pPr>
        <w:pStyle w:val="35"/>
        <w:spacing w:beforeAutospacing="0" w:afterAutospacing="0"/>
        <w:jc w:val="center"/>
        <w:rPr>
          <w:color w:val="auto"/>
        </w:rPr>
      </w:pPr>
      <w:r>
        <w:rPr>
          <w:color w:val="auto"/>
          <w:lang w:val="ru-RU" w:eastAsia="ru-RU"/>
        </w:rPr>
        <w:drawing>
          <wp:inline distT="0" distB="0" distL="114300" distR="114300">
            <wp:extent cx="5748020" cy="3663950"/>
            <wp:effectExtent l="0" t="0" r="12700" b="8890"/>
            <wp:docPr id="76" name="Изображение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Изображение 5" descr="IMG_256"/>
                    <pic:cNvPicPr>
                      <a:picLocks noChangeAspect="1"/>
                    </pic:cNvPicPr>
                  </pic:nvPicPr>
                  <pic:blipFill>
                    <a:blip r:embed="rId29"/>
                    <a:srcRect l="1937" t="7106" r="33"/>
                    <a:stretch>
                      <a:fillRect/>
                    </a:stretch>
                  </pic:blipFill>
                  <pic:spPr>
                    <a:xfrm>
                      <a:off x="0" y="0"/>
                      <a:ext cx="5748020" cy="3663950"/>
                    </a:xfrm>
                    <a:prstGeom prst="rect">
                      <a:avLst/>
                    </a:prstGeom>
                    <a:noFill/>
                    <a:ln w="9525">
                      <a:noFill/>
                    </a:ln>
                  </pic:spPr>
                </pic:pic>
              </a:graphicData>
            </a:graphic>
          </wp:inline>
        </w:drawing>
      </w:r>
    </w:p>
    <w:p w14:paraId="08253906">
      <w:pPr>
        <w:pStyle w:val="35"/>
        <w:spacing w:beforeAutospacing="0" w:afterAutospacing="0"/>
        <w:jc w:val="center"/>
        <w:rPr>
          <w:color w:val="auto"/>
          <w:lang w:val="ru-RU"/>
        </w:rPr>
      </w:pPr>
    </w:p>
    <w:p w14:paraId="184A62BE">
      <w:pPr>
        <w:pStyle w:val="35"/>
        <w:spacing w:beforeAutospacing="0" w:afterAutospacing="0"/>
        <w:ind w:firstLine="709"/>
        <w:jc w:val="both"/>
        <w:rPr>
          <w:color w:val="auto"/>
          <w:sz w:val="28"/>
          <w:szCs w:val="28"/>
          <w:lang w:val="ru-RU"/>
        </w:rPr>
      </w:pPr>
      <w:r>
        <w:rPr>
          <w:color w:val="auto"/>
          <w:sz w:val="28"/>
          <w:szCs w:val="28"/>
          <w:lang w:val="ru-RU"/>
        </w:rPr>
        <w:t xml:space="preserve"> Сурет 15 – Қаражанбас мұнайымен ластанған топырақтың </w:t>
      </w:r>
      <w:r>
        <w:rPr>
          <w:color w:val="auto"/>
          <w:sz w:val="28"/>
          <w:szCs w:val="28"/>
        </w:rPr>
        <w:t>FTIR</w:t>
      </w:r>
      <w:r>
        <w:rPr>
          <w:color w:val="auto"/>
          <w:sz w:val="28"/>
          <w:szCs w:val="28"/>
          <w:lang w:val="ru-RU"/>
        </w:rPr>
        <w:t xml:space="preserve"> спектрлері</w:t>
      </w:r>
    </w:p>
    <w:p w14:paraId="458AE14A">
      <w:pPr>
        <w:pStyle w:val="35"/>
        <w:spacing w:beforeAutospacing="0" w:afterAutospacing="0"/>
        <w:ind w:firstLine="709"/>
        <w:jc w:val="both"/>
        <w:rPr>
          <w:color w:val="auto"/>
          <w:sz w:val="28"/>
          <w:szCs w:val="28"/>
          <w:lang w:val="ru-RU"/>
        </w:rPr>
      </w:pPr>
    </w:p>
    <w:p w14:paraId="14BECAE0">
      <w:pPr>
        <w:pStyle w:val="35"/>
        <w:spacing w:beforeAutospacing="0" w:afterAutospacing="0"/>
        <w:ind w:firstLine="709"/>
        <w:jc w:val="both"/>
        <w:rPr>
          <w:color w:val="auto"/>
          <w:sz w:val="28"/>
          <w:szCs w:val="28"/>
          <w:lang w:val="kk-KZ"/>
        </w:rPr>
      </w:pPr>
      <w:r>
        <w:rPr>
          <w:color w:val="auto"/>
          <w:sz w:val="28"/>
          <w:szCs w:val="28"/>
          <w:lang w:val="ru-RU"/>
        </w:rPr>
        <w:t>Көк сызық</w:t>
      </w:r>
      <w:r>
        <w:rPr>
          <w:color w:val="auto"/>
          <w:sz w:val="28"/>
          <w:szCs w:val="28"/>
          <w:lang w:val="kk-KZ"/>
        </w:rPr>
        <w:t xml:space="preserve"> </w:t>
      </w:r>
      <w:r>
        <w:rPr>
          <w:color w:val="auto"/>
          <w:sz w:val="28"/>
          <w:szCs w:val="28"/>
          <w:lang w:val="ru-RU"/>
        </w:rPr>
        <w:t>бастапқы үлгі</w:t>
      </w:r>
      <w:r>
        <w:rPr>
          <w:color w:val="auto"/>
          <w:sz w:val="28"/>
          <w:szCs w:val="28"/>
          <w:lang w:val="kk-KZ"/>
        </w:rPr>
        <w:t>ні</w:t>
      </w:r>
      <w:r>
        <w:rPr>
          <w:color w:val="auto"/>
          <w:sz w:val="28"/>
          <w:szCs w:val="28"/>
          <w:lang w:val="ru-RU"/>
        </w:rPr>
        <w:t xml:space="preserve"> (0 күн); қызыл сызық қарақұмық қауызына иммобилизацияланған бактериялық консорциуммен (</w:t>
      </w:r>
      <w:r>
        <w:rPr>
          <w:i/>
          <w:iCs/>
          <w:color w:val="auto"/>
          <w:sz w:val="28"/>
          <w:szCs w:val="28"/>
        </w:rPr>
        <w:t>Rhodococcus</w:t>
      </w:r>
      <w:r>
        <w:rPr>
          <w:i/>
          <w:iCs/>
          <w:color w:val="auto"/>
          <w:sz w:val="28"/>
          <w:szCs w:val="28"/>
          <w:lang w:val="ru-RU"/>
        </w:rPr>
        <w:t xml:space="preserve"> </w:t>
      </w:r>
      <w:r>
        <w:rPr>
          <w:i/>
          <w:iCs/>
          <w:color w:val="auto"/>
          <w:sz w:val="28"/>
          <w:szCs w:val="28"/>
        </w:rPr>
        <w:t>erythreus</w:t>
      </w:r>
      <w:r>
        <w:rPr>
          <w:i/>
          <w:iCs/>
          <w:color w:val="auto"/>
          <w:sz w:val="28"/>
          <w:szCs w:val="28"/>
          <w:lang w:val="ru-RU"/>
        </w:rPr>
        <w:t xml:space="preserve"> </w:t>
      </w:r>
      <w:r>
        <w:rPr>
          <w:i/>
          <w:iCs/>
          <w:color w:val="auto"/>
          <w:sz w:val="28"/>
          <w:szCs w:val="28"/>
        </w:rPr>
        <w:t>AT</w:t>
      </w:r>
      <w:r>
        <w:rPr>
          <w:i/>
          <w:iCs/>
          <w:color w:val="auto"/>
          <w:sz w:val="28"/>
          <w:szCs w:val="28"/>
          <w:lang w:val="ru-RU"/>
        </w:rPr>
        <w:t xml:space="preserve">7 + </w:t>
      </w:r>
      <w:r>
        <w:rPr>
          <w:i/>
          <w:iCs/>
          <w:color w:val="auto"/>
          <w:sz w:val="28"/>
          <w:szCs w:val="28"/>
        </w:rPr>
        <w:t>Dietzia</w:t>
      </w:r>
      <w:r>
        <w:rPr>
          <w:i/>
          <w:iCs/>
          <w:color w:val="auto"/>
          <w:sz w:val="28"/>
          <w:szCs w:val="28"/>
          <w:lang w:val="ru-RU"/>
        </w:rPr>
        <w:t xml:space="preserve"> </w:t>
      </w:r>
      <w:r>
        <w:rPr>
          <w:i/>
          <w:iCs/>
          <w:color w:val="auto"/>
          <w:sz w:val="28"/>
          <w:szCs w:val="28"/>
        </w:rPr>
        <w:t>maris</w:t>
      </w:r>
      <w:r>
        <w:rPr>
          <w:i/>
          <w:iCs/>
          <w:color w:val="auto"/>
          <w:sz w:val="28"/>
          <w:szCs w:val="28"/>
          <w:lang w:val="ru-RU"/>
        </w:rPr>
        <w:t xml:space="preserve"> 22</w:t>
      </w:r>
      <w:r>
        <w:rPr>
          <w:i/>
          <w:iCs/>
          <w:color w:val="auto"/>
          <w:sz w:val="28"/>
          <w:szCs w:val="28"/>
        </w:rPr>
        <w:t>K</w:t>
      </w:r>
      <w:r>
        <w:rPr>
          <w:color w:val="auto"/>
          <w:sz w:val="28"/>
          <w:szCs w:val="28"/>
          <w:lang w:val="ru-RU"/>
        </w:rPr>
        <w:t>) 45 күн</w:t>
      </w:r>
      <w:r>
        <w:rPr>
          <w:color w:val="auto"/>
          <w:sz w:val="28"/>
          <w:szCs w:val="28"/>
          <w:lang w:val="kk-KZ"/>
        </w:rPr>
        <w:t xml:space="preserve"> </w:t>
      </w:r>
      <w:r>
        <w:rPr>
          <w:color w:val="auto"/>
          <w:sz w:val="28"/>
          <w:szCs w:val="28"/>
          <w:lang w:val="ru-RU"/>
        </w:rPr>
        <w:t xml:space="preserve">биоремедиациядан  </w:t>
      </w:r>
      <w:r>
        <w:rPr>
          <w:color w:val="auto"/>
          <w:sz w:val="28"/>
          <w:szCs w:val="28"/>
          <w:lang w:val="kk-KZ"/>
        </w:rPr>
        <w:t>кейінгі үлгіні сипаттамайды</w:t>
      </w:r>
      <w:r>
        <w:rPr>
          <w:color w:val="auto"/>
          <w:sz w:val="28"/>
          <w:szCs w:val="28"/>
          <w:lang w:val="ru-RU"/>
        </w:rPr>
        <w:t xml:space="preserve">. Сұр аймақтар </w:t>
      </w:r>
      <w:r>
        <w:rPr>
          <w:color w:val="auto"/>
          <w:sz w:val="28"/>
          <w:szCs w:val="28"/>
        </w:rPr>
        <w:t>FTIR</w:t>
      </w:r>
      <w:r>
        <w:rPr>
          <w:color w:val="auto"/>
          <w:sz w:val="28"/>
          <w:szCs w:val="28"/>
          <w:lang w:val="kk-KZ"/>
        </w:rPr>
        <w:t xml:space="preserve"> спектірлеріндегі </w:t>
      </w:r>
      <w:r>
        <w:rPr>
          <w:color w:val="auto"/>
          <w:sz w:val="28"/>
          <w:szCs w:val="28"/>
          <w:lang w:val="ru-RU"/>
        </w:rPr>
        <w:t xml:space="preserve">негізгі диагностикалық </w:t>
      </w:r>
      <w:r>
        <w:rPr>
          <w:color w:val="auto"/>
          <w:sz w:val="28"/>
          <w:szCs w:val="28"/>
          <w:lang w:val="kk-KZ"/>
        </w:rPr>
        <w:t xml:space="preserve">жұтылу </w:t>
      </w:r>
      <w:r>
        <w:rPr>
          <w:color w:val="auto"/>
          <w:sz w:val="28"/>
          <w:szCs w:val="28"/>
          <w:lang w:val="ru-RU"/>
        </w:rPr>
        <w:t>жолақтары</w:t>
      </w:r>
      <w:r>
        <w:rPr>
          <w:color w:val="auto"/>
          <w:sz w:val="28"/>
          <w:szCs w:val="28"/>
          <w:lang w:val="kk-KZ"/>
        </w:rPr>
        <w:t>н көрсетеді:</w:t>
      </w:r>
      <w:r>
        <w:rPr>
          <w:color w:val="auto"/>
          <w:sz w:val="28"/>
          <w:szCs w:val="28"/>
          <w:lang w:val="ru-RU"/>
        </w:rPr>
        <w:t xml:space="preserve">  БТЭК фракциясы</w:t>
      </w:r>
      <w:r>
        <w:rPr>
          <w:color w:val="auto"/>
          <w:sz w:val="28"/>
          <w:szCs w:val="28"/>
          <w:lang w:val="kk-KZ"/>
        </w:rPr>
        <w:t xml:space="preserve"> үшін</w:t>
      </w:r>
      <w:r>
        <w:rPr>
          <w:color w:val="auto"/>
          <w:sz w:val="28"/>
          <w:szCs w:val="28"/>
          <w:lang w:val="ru-RU"/>
        </w:rPr>
        <w:t xml:space="preserve"> 3030-3100 см⁻¹ </w:t>
      </w:r>
      <w:r>
        <w:rPr>
          <w:color w:val="auto"/>
          <w:sz w:val="28"/>
          <w:szCs w:val="28"/>
          <w:lang w:val="kk-KZ"/>
        </w:rPr>
        <w:t>(</w:t>
      </w:r>
      <w:r>
        <w:rPr>
          <w:color w:val="auto"/>
          <w:sz w:val="28"/>
          <w:szCs w:val="28"/>
          <w:lang w:val="ru-RU"/>
        </w:rPr>
        <w:t xml:space="preserve">ароматты </w:t>
      </w:r>
      <w:r>
        <w:rPr>
          <w:color w:val="auto"/>
          <w:sz w:val="28"/>
          <w:szCs w:val="28"/>
        </w:rPr>
        <w:t>C</w:t>
      </w:r>
      <w:r>
        <w:rPr>
          <w:color w:val="auto"/>
          <w:sz w:val="28"/>
          <w:szCs w:val="28"/>
          <w:lang w:val="ru-RU"/>
        </w:rPr>
        <w:t>-</w:t>
      </w:r>
      <w:r>
        <w:rPr>
          <w:color w:val="auto"/>
          <w:sz w:val="28"/>
          <w:szCs w:val="28"/>
        </w:rPr>
        <w:t>H</w:t>
      </w:r>
      <w:r>
        <w:rPr>
          <w:color w:val="auto"/>
          <w:sz w:val="28"/>
          <w:szCs w:val="28"/>
          <w:lang w:val="kk-KZ"/>
        </w:rPr>
        <w:t xml:space="preserve"> байланыстары</w:t>
      </w:r>
      <w:r>
        <w:rPr>
          <w:color w:val="auto"/>
          <w:sz w:val="28"/>
          <w:szCs w:val="28"/>
          <w:lang w:val="ru-RU"/>
        </w:rPr>
        <w:t>) – 90±5% деструкция; алифатты көмірсутектер</w:t>
      </w:r>
      <w:r>
        <w:rPr>
          <w:color w:val="auto"/>
          <w:sz w:val="28"/>
          <w:szCs w:val="28"/>
          <w:lang w:val="kk-KZ"/>
        </w:rPr>
        <w:t xml:space="preserve"> үшін</w:t>
      </w:r>
      <w:r>
        <w:rPr>
          <w:color w:val="auto"/>
          <w:sz w:val="28"/>
          <w:szCs w:val="28"/>
          <w:lang w:val="ru-RU"/>
        </w:rPr>
        <w:t xml:space="preserve"> 2850-2960 см⁻¹</w:t>
      </w:r>
      <w:r>
        <w:rPr>
          <w:color w:val="auto"/>
          <w:sz w:val="28"/>
          <w:szCs w:val="28"/>
          <w:lang w:val="kk-KZ"/>
        </w:rPr>
        <w:t xml:space="preserve"> (</w:t>
      </w:r>
      <w:r>
        <w:rPr>
          <w:color w:val="auto"/>
          <w:sz w:val="28"/>
          <w:szCs w:val="28"/>
        </w:rPr>
        <w:t>C</w:t>
      </w:r>
      <w:r>
        <w:rPr>
          <w:color w:val="auto"/>
          <w:sz w:val="28"/>
          <w:szCs w:val="28"/>
          <w:lang w:val="ru-RU"/>
        </w:rPr>
        <w:t>-</w:t>
      </w:r>
      <w:r>
        <w:rPr>
          <w:color w:val="auto"/>
          <w:sz w:val="28"/>
          <w:szCs w:val="28"/>
        </w:rPr>
        <w:t>H</w:t>
      </w:r>
      <w:r>
        <w:rPr>
          <w:color w:val="auto"/>
          <w:sz w:val="28"/>
          <w:szCs w:val="28"/>
          <w:lang w:val="ru-RU"/>
        </w:rPr>
        <w:t xml:space="preserve"> валенттік</w:t>
      </w:r>
      <w:r>
        <w:rPr>
          <w:color w:val="auto"/>
          <w:sz w:val="28"/>
          <w:szCs w:val="28"/>
          <w:lang w:val="kk-KZ"/>
        </w:rPr>
        <w:t xml:space="preserve"> тербелістері</w:t>
      </w:r>
      <w:r>
        <w:rPr>
          <w:color w:val="auto"/>
          <w:sz w:val="28"/>
          <w:szCs w:val="28"/>
          <w:lang w:val="ru-RU"/>
        </w:rPr>
        <w:t>) – 75-85% деструкция; полиароматты көмірсутектер</w:t>
      </w:r>
      <w:r>
        <w:rPr>
          <w:color w:val="auto"/>
          <w:sz w:val="28"/>
          <w:szCs w:val="28"/>
          <w:lang w:val="kk-KZ"/>
        </w:rPr>
        <w:t xml:space="preserve"> (ПАК)</w:t>
      </w:r>
      <w:r>
        <w:rPr>
          <w:color w:val="auto"/>
          <w:sz w:val="28"/>
          <w:szCs w:val="28"/>
          <w:lang w:val="ru-RU"/>
        </w:rPr>
        <w:t xml:space="preserve"> </w:t>
      </w:r>
      <w:r>
        <w:rPr>
          <w:color w:val="auto"/>
          <w:sz w:val="28"/>
          <w:szCs w:val="28"/>
          <w:lang w:val="kk-KZ"/>
        </w:rPr>
        <w:t xml:space="preserve">үшін </w:t>
      </w:r>
      <w:r>
        <w:rPr>
          <w:color w:val="auto"/>
          <w:sz w:val="28"/>
          <w:szCs w:val="28"/>
          <w:lang w:val="ru-RU"/>
        </w:rPr>
        <w:t>1500-1600 см⁻¹</w:t>
      </w:r>
      <w:r>
        <w:rPr>
          <w:color w:val="auto"/>
          <w:sz w:val="28"/>
          <w:szCs w:val="28"/>
          <w:lang w:val="kk-KZ"/>
        </w:rPr>
        <w:t xml:space="preserve"> (</w:t>
      </w:r>
      <w:r>
        <w:rPr>
          <w:color w:val="auto"/>
          <w:sz w:val="28"/>
          <w:szCs w:val="28"/>
          <w:lang w:val="ru-RU"/>
        </w:rPr>
        <w:t xml:space="preserve">ароматты </w:t>
      </w:r>
      <w:r>
        <w:rPr>
          <w:color w:val="auto"/>
          <w:sz w:val="28"/>
          <w:szCs w:val="28"/>
        </w:rPr>
        <w:t>C</w:t>
      </w:r>
      <w:r>
        <w:rPr>
          <w:color w:val="auto"/>
          <w:sz w:val="28"/>
          <w:szCs w:val="28"/>
          <w:lang w:val="ru-RU"/>
        </w:rPr>
        <w:t>=</w:t>
      </w:r>
      <w:r>
        <w:rPr>
          <w:color w:val="auto"/>
          <w:sz w:val="28"/>
          <w:szCs w:val="28"/>
        </w:rPr>
        <w:t>C</w:t>
      </w:r>
      <w:r>
        <w:rPr>
          <w:color w:val="auto"/>
          <w:sz w:val="28"/>
          <w:szCs w:val="28"/>
          <w:lang w:val="kk-KZ"/>
        </w:rPr>
        <w:t xml:space="preserve"> байланыстары</w:t>
      </w:r>
      <w:r>
        <w:rPr>
          <w:color w:val="auto"/>
          <w:sz w:val="28"/>
          <w:szCs w:val="28"/>
          <w:lang w:val="ru-RU"/>
        </w:rPr>
        <w:t xml:space="preserve">) – 72±8% деструкция. </w:t>
      </w:r>
      <w:r>
        <w:rPr>
          <w:color w:val="auto"/>
          <w:sz w:val="28"/>
          <w:szCs w:val="28"/>
          <w:lang w:val="kk-KZ"/>
        </w:rPr>
        <w:t xml:space="preserve">Сонымен қатар, </w:t>
      </w:r>
      <w:r>
        <w:rPr>
          <w:color w:val="auto"/>
          <w:sz w:val="28"/>
          <w:szCs w:val="28"/>
          <w:lang w:val="ru-RU"/>
        </w:rPr>
        <w:t>1700-1750 см⁻¹ аймағында карбонил топтарының (</w:t>
      </w:r>
      <w:r>
        <w:rPr>
          <w:color w:val="auto"/>
          <w:sz w:val="28"/>
          <w:szCs w:val="28"/>
        </w:rPr>
        <w:t>C</w:t>
      </w:r>
      <w:r>
        <w:rPr>
          <w:color w:val="auto"/>
          <w:sz w:val="28"/>
          <w:szCs w:val="28"/>
          <w:lang w:val="ru-RU"/>
        </w:rPr>
        <w:t>=</w:t>
      </w:r>
      <w:r>
        <w:rPr>
          <w:color w:val="auto"/>
          <w:sz w:val="28"/>
          <w:szCs w:val="28"/>
        </w:rPr>
        <w:t>O</w:t>
      </w:r>
      <w:r>
        <w:rPr>
          <w:color w:val="auto"/>
          <w:sz w:val="28"/>
          <w:szCs w:val="28"/>
          <w:lang w:val="ru-RU"/>
        </w:rPr>
        <w:t>) пайда болуы тотығу арқылы биодеградация</w:t>
      </w:r>
      <w:r>
        <w:rPr>
          <w:color w:val="auto"/>
          <w:sz w:val="28"/>
          <w:szCs w:val="28"/>
          <w:lang w:val="kk-KZ"/>
        </w:rPr>
        <w:t xml:space="preserve"> процестерінің жүріп жатқанын дәлелдейді.</w:t>
      </w:r>
      <w:r>
        <w:rPr>
          <w:color w:val="auto"/>
          <w:sz w:val="28"/>
          <w:szCs w:val="28"/>
          <w:lang w:val="ru-RU"/>
        </w:rPr>
        <w:t xml:space="preserve"> </w:t>
      </w:r>
      <w:r>
        <w:rPr>
          <w:color w:val="auto"/>
          <w:sz w:val="28"/>
          <w:szCs w:val="28"/>
          <w:lang w:val="kk-KZ"/>
        </w:rPr>
        <w:tab/>
      </w:r>
    </w:p>
    <w:p w14:paraId="2DD918F7">
      <w:pPr>
        <w:pStyle w:val="35"/>
        <w:spacing w:beforeAutospacing="0" w:afterAutospacing="0"/>
        <w:ind w:firstLine="709"/>
        <w:jc w:val="both"/>
        <w:rPr>
          <w:color w:val="auto"/>
          <w:sz w:val="28"/>
          <w:szCs w:val="28"/>
          <w:lang w:val="kk-KZ"/>
        </w:rPr>
      </w:pPr>
      <w:r>
        <w:rPr>
          <w:color w:val="auto"/>
          <w:sz w:val="28"/>
          <w:szCs w:val="28"/>
          <w:lang w:val="kk-KZ"/>
        </w:rPr>
        <w:t>Алынған нәтижелер көмірсутектердің селективті деструкция үлгісін көрсетті: ең жоғары ыдырау денгейі БТЭК қосылыстарында байқалды (90±5%), одан кейін қысқа тізбекті алкандарда (C₁₀-C₂₀, 85±5%), орташа тізбекті алкандарда (C₂₁-C₃₀, 75±5%), және 2-3 сақиналы ПАК (72±8%) тіркелді [142]. Ең төмен деструкция ұзын тізбекті алкандарда (C₃₁-C₄₀, 50±8%) және ауыр ПАК-терде (4+ сақиналар, 38±8%) байқалды.</w:t>
      </w:r>
    </w:p>
    <w:p w14:paraId="4DB4090D">
      <w:pPr>
        <w:pStyle w:val="35"/>
        <w:spacing w:beforeAutospacing="0" w:afterAutospacing="0"/>
        <w:ind w:firstLine="709"/>
        <w:jc w:val="both"/>
        <w:rPr>
          <w:color w:val="auto"/>
          <w:sz w:val="28"/>
          <w:szCs w:val="28"/>
          <w:lang w:val="kk-KZ"/>
        </w:rPr>
      </w:pPr>
      <w:r>
        <w:rPr>
          <w:color w:val="auto"/>
          <w:sz w:val="28"/>
          <w:szCs w:val="28"/>
          <w:lang w:val="kk-KZ"/>
        </w:rPr>
        <w:t>Бұл селективтілік көмірсутектердің биожетімділігі мен токсикологиялық қасиеттерімен түсіндіріледі. БТЭК және қысқа тізбекті алкандар салыстырмалы түрде төмен молекулалық массаға және жоғары суда ерігіштікке ие, бұл олардың микробтық жасушаларға қол жетімділігін арттырады [</w:t>
      </w:r>
      <w:r>
        <w:rPr>
          <w:rFonts w:hint="default"/>
          <w:color w:val="auto"/>
          <w:sz w:val="28"/>
          <w:szCs w:val="28"/>
          <w:lang w:val="kk-KZ"/>
        </w:rPr>
        <w:t>45,50</w:t>
      </w:r>
      <w:r>
        <w:rPr>
          <w:color w:val="auto"/>
          <w:sz w:val="28"/>
          <w:szCs w:val="28"/>
          <w:lang w:val="kk-KZ"/>
        </w:rPr>
        <w:t xml:space="preserve">]. Ұзын тізбекті алкандар мен ауыр ПАК-тер төмен ерігіштігі (&lt; </w:t>
      </w:r>
      <w:r>
        <w:rPr>
          <w:color w:val="auto"/>
          <w:sz w:val="28"/>
          <w:szCs w:val="28"/>
          <w:lang w:val="ru-RU"/>
        </w:rPr>
        <w:t>0,</w:t>
      </w:r>
      <w:r>
        <w:rPr>
          <w:color w:val="auto"/>
          <w:sz w:val="28"/>
          <w:szCs w:val="28"/>
          <w:lang w:val="kk-KZ"/>
        </w:rPr>
        <w:t>001 мг/л 4+ сақиналы ПАК үшін) және жоғары гидрофобтылыққа байланысты баяу деградацияланады [</w:t>
      </w:r>
      <w:r>
        <w:rPr>
          <w:rFonts w:hint="default"/>
          <w:color w:val="auto"/>
          <w:sz w:val="28"/>
          <w:szCs w:val="28"/>
          <w:lang w:val="kk-KZ"/>
        </w:rPr>
        <w:t>23,73</w:t>
      </w:r>
      <w:r>
        <w:rPr>
          <w:color w:val="auto"/>
          <w:sz w:val="28"/>
          <w:szCs w:val="28"/>
          <w:lang w:val="kk-KZ"/>
        </w:rPr>
        <w:t>].</w:t>
      </w:r>
    </w:p>
    <w:p w14:paraId="7E7ADCC8">
      <w:pPr>
        <w:pStyle w:val="35"/>
        <w:spacing w:beforeAutospacing="0" w:afterAutospacing="0"/>
        <w:ind w:firstLine="709"/>
        <w:jc w:val="both"/>
        <w:rPr>
          <w:color w:val="auto"/>
          <w:sz w:val="28"/>
          <w:szCs w:val="28"/>
          <w:lang w:val="kk-KZ"/>
        </w:rPr>
      </w:pPr>
      <w:r>
        <w:rPr>
          <w:color w:val="auto"/>
          <w:sz w:val="28"/>
          <w:szCs w:val="28"/>
          <w:lang w:val="kk-KZ"/>
        </w:rPr>
        <w:t>Қаражанбас мұнайының күрделі құрамы (24</w:t>
      </w:r>
      <w:r>
        <w:rPr>
          <w:rFonts w:hint="default"/>
          <w:color w:val="auto"/>
          <w:sz w:val="28"/>
          <w:szCs w:val="28"/>
          <w:lang w:val="ru-RU"/>
        </w:rPr>
        <w:t>,</w:t>
      </w:r>
      <w:r>
        <w:rPr>
          <w:color w:val="auto"/>
          <w:sz w:val="28"/>
          <w:szCs w:val="28"/>
          <w:lang w:val="kk-KZ"/>
        </w:rPr>
        <w:t>5% шайырлар, 2</w:t>
      </w:r>
      <w:r>
        <w:rPr>
          <w:rFonts w:hint="default"/>
          <w:color w:val="auto"/>
          <w:sz w:val="28"/>
          <w:szCs w:val="28"/>
          <w:lang w:val="ru-RU"/>
        </w:rPr>
        <w:t>,</w:t>
      </w:r>
      <w:r>
        <w:rPr>
          <w:color w:val="auto"/>
          <w:sz w:val="28"/>
          <w:szCs w:val="28"/>
          <w:lang w:val="kk-KZ"/>
        </w:rPr>
        <w:t>1% күкірт, 19</w:t>
      </w:r>
      <w:r>
        <w:rPr>
          <w:rFonts w:hint="default"/>
          <w:color w:val="auto"/>
          <w:sz w:val="28"/>
          <w:szCs w:val="28"/>
          <w:lang w:val="ru-RU"/>
        </w:rPr>
        <w:t>,</w:t>
      </w:r>
      <w:r>
        <w:rPr>
          <w:color w:val="auto"/>
          <w:sz w:val="28"/>
          <w:szCs w:val="28"/>
          <w:lang w:val="kk-KZ"/>
        </w:rPr>
        <w:t>7% қалдық &gt;500°C) [13] қосымша метаболиттік қиындықтар тудырады. Жоғары шайырлар құрамы гетероатомды қосылыстарды (N, S, O) қамтиды, олар деструкцияға төзімді және микроорганизмдерге токсикалық әсер етуі мүмкін. Дегенмен, консорциум барлық негізгі фракцияларда маңызды деструкцияға жетті, бұл оның Қазақстанның ауыр, күкіртті мұнайларын өңдеуге бейімділігін көрсетеді.</w:t>
      </w:r>
    </w:p>
    <w:p w14:paraId="6AEDE9C4">
      <w:pPr>
        <w:pStyle w:val="35"/>
        <w:spacing w:beforeAutospacing="0" w:afterAutospacing="0"/>
        <w:ind w:firstLine="709"/>
        <w:jc w:val="both"/>
        <w:rPr>
          <w:color w:val="auto"/>
          <w:sz w:val="28"/>
          <w:szCs w:val="28"/>
          <w:lang w:val="kk-KZ"/>
        </w:rPr>
      </w:pPr>
      <w:r>
        <w:rPr>
          <w:color w:val="auto"/>
          <w:sz w:val="28"/>
          <w:szCs w:val="28"/>
          <w:lang w:val="kk-KZ"/>
        </w:rPr>
        <w:t>FTIR спектрлерінің деректері биодеградация барысында күрделі химиялық өзгерістерді растады: ароматты жолақтардың (3030-3100 см⁻¹, 1600 см⁻¹) айтарлықтай төмендеуі, алифатты жолақтардың (2850-2960 см⁻¹) орташа төмендеуі, және тотыққан функционалдық топтардың (карбонил C=O 1700-1750 см⁻¹, карбоксил O-H 2500-3300 см⁻¹) пайда болуы [1</w:t>
      </w:r>
      <w:r>
        <w:rPr>
          <w:rFonts w:hint="default"/>
          <w:color w:val="auto"/>
          <w:sz w:val="28"/>
          <w:szCs w:val="28"/>
          <w:lang w:val="kk-KZ"/>
        </w:rPr>
        <w:t>31</w:t>
      </w:r>
      <w:r>
        <w:rPr>
          <w:color w:val="auto"/>
          <w:sz w:val="28"/>
          <w:szCs w:val="28"/>
          <w:lang w:val="kk-KZ"/>
        </w:rPr>
        <w:t>]. Бұл өзгерістер тотығу аралық өнімдердің түзілуін және көмірсутектердің минерализацияға қарай ыдырауын көрсетеді [</w:t>
      </w:r>
      <w:r>
        <w:rPr>
          <w:rFonts w:hint="default"/>
          <w:color w:val="auto"/>
          <w:sz w:val="28"/>
          <w:szCs w:val="28"/>
          <w:lang w:val="kk-KZ"/>
        </w:rPr>
        <w:t>147</w:t>
      </w:r>
      <w:r>
        <w:rPr>
          <w:color w:val="auto"/>
          <w:sz w:val="28"/>
          <w:szCs w:val="28"/>
          <w:lang w:val="kk-KZ"/>
        </w:rPr>
        <w:t>].</w:t>
      </w:r>
    </w:p>
    <w:p w14:paraId="11CD1869">
      <w:pPr>
        <w:pStyle w:val="35"/>
        <w:spacing w:beforeAutospacing="0" w:afterAutospacing="0"/>
        <w:ind w:firstLine="709"/>
        <w:jc w:val="both"/>
        <w:rPr>
          <w:color w:val="auto"/>
          <w:sz w:val="28"/>
          <w:szCs w:val="28"/>
          <w:lang w:val="kk-KZ"/>
        </w:rPr>
      </w:pPr>
    </w:p>
    <w:p w14:paraId="2EF0EE8F">
      <w:pPr>
        <w:spacing w:after="0"/>
        <w:ind w:firstLine="709"/>
        <w:rPr>
          <w:b/>
          <w:bCs/>
          <w:color w:val="auto"/>
          <w:szCs w:val="28"/>
          <w:lang w:val="kk-KZ"/>
        </w:rPr>
      </w:pPr>
      <w:r>
        <w:rPr>
          <w:b/>
          <w:bCs/>
          <w:color w:val="auto"/>
          <w:szCs w:val="28"/>
          <w:lang w:val="ru-RU"/>
        </w:rPr>
        <w:t>3</w:t>
      </w:r>
      <w:r>
        <w:rPr>
          <w:rFonts w:hint="default"/>
          <w:b/>
          <w:bCs/>
          <w:color w:val="auto"/>
          <w:szCs w:val="28"/>
          <w:lang w:val="kk-KZ"/>
        </w:rPr>
        <w:t>.</w:t>
      </w:r>
      <w:r>
        <w:rPr>
          <w:b/>
          <w:bCs/>
          <w:color w:val="auto"/>
          <w:szCs w:val="28"/>
          <w:lang w:val="ru-RU"/>
        </w:rPr>
        <w:t>3</w:t>
      </w:r>
      <w:r>
        <w:rPr>
          <w:rFonts w:hint="default"/>
          <w:b/>
          <w:bCs/>
          <w:color w:val="auto"/>
          <w:szCs w:val="28"/>
          <w:lang w:val="kk-KZ"/>
        </w:rPr>
        <w:t>.</w:t>
      </w:r>
      <w:r>
        <w:rPr>
          <w:b/>
          <w:bCs/>
          <w:color w:val="auto"/>
          <w:szCs w:val="28"/>
          <w:lang w:val="ru-RU"/>
        </w:rPr>
        <w:t>4</w:t>
      </w:r>
      <w:r>
        <w:rPr>
          <w:rFonts w:hint="default"/>
          <w:b/>
          <w:bCs/>
          <w:color w:val="auto"/>
          <w:szCs w:val="28"/>
          <w:lang w:val="ru-RU"/>
        </w:rPr>
        <w:t xml:space="preserve"> </w:t>
      </w:r>
      <w:r>
        <w:rPr>
          <w:b/>
          <w:bCs/>
          <w:color w:val="auto"/>
          <w:szCs w:val="28"/>
          <w:lang w:val="kk-KZ"/>
        </w:rPr>
        <w:t>Микробтық белсенділіктің динамикасын зерттеу</w:t>
      </w:r>
    </w:p>
    <w:p w14:paraId="53C4E653">
      <w:pPr>
        <w:pStyle w:val="35"/>
        <w:spacing w:beforeAutospacing="0" w:afterAutospacing="0"/>
        <w:ind w:firstLine="709"/>
        <w:jc w:val="both"/>
        <w:rPr>
          <w:color w:val="auto"/>
          <w:sz w:val="28"/>
          <w:szCs w:val="28"/>
          <w:lang w:val="kk-KZ"/>
        </w:rPr>
      </w:pPr>
      <w:r>
        <w:rPr>
          <w:color w:val="auto"/>
          <w:sz w:val="28"/>
          <w:szCs w:val="28"/>
          <w:lang w:val="kk-KZ"/>
        </w:rPr>
        <w:t>Көмірсутектерді тотықтыратын бактериялардың санының динамикасы ЖМӨ деструкциясын бағалаумен параллель бақыланды. Бастапқы бактериялық саны инокуляцияланған өңдеулерде ~10⁸ КТБ/г топырақ болды [1</w:t>
      </w:r>
      <w:r>
        <w:rPr>
          <w:rFonts w:hint="default"/>
          <w:color w:val="auto"/>
          <w:sz w:val="28"/>
          <w:szCs w:val="28"/>
          <w:lang w:val="kk-KZ"/>
        </w:rPr>
        <w:t>31</w:t>
      </w:r>
      <w:r>
        <w:rPr>
          <w:color w:val="auto"/>
          <w:sz w:val="28"/>
          <w:szCs w:val="28"/>
          <w:lang w:val="kk-KZ"/>
        </w:rPr>
        <w:t>].</w:t>
      </w:r>
    </w:p>
    <w:p w14:paraId="6A39A593">
      <w:pPr>
        <w:pStyle w:val="35"/>
        <w:spacing w:beforeAutospacing="0" w:afterAutospacing="0"/>
        <w:ind w:firstLine="709"/>
        <w:jc w:val="both"/>
        <w:rPr>
          <w:color w:val="auto"/>
          <w:sz w:val="28"/>
          <w:szCs w:val="28"/>
          <w:lang w:val="kk-KZ"/>
        </w:rPr>
      </w:pPr>
    </w:p>
    <w:p w14:paraId="7DBC2C1F">
      <w:pPr>
        <w:pStyle w:val="35"/>
        <w:spacing w:beforeAutospacing="0" w:afterAutospacing="0"/>
        <w:jc w:val="both"/>
        <w:rPr>
          <w:color w:val="auto"/>
          <w:sz w:val="28"/>
          <w:szCs w:val="28"/>
          <w:lang w:val="kk-KZ"/>
        </w:rPr>
      </w:pPr>
      <w:r>
        <w:rPr>
          <w:rStyle w:val="19"/>
          <w:b w:val="0"/>
          <w:bCs w:val="0"/>
          <w:color w:val="auto"/>
          <w:sz w:val="28"/>
          <w:szCs w:val="28"/>
          <w:lang w:val="kk-KZ"/>
        </w:rPr>
        <w:t>Кесте 13</w:t>
      </w:r>
      <w:r>
        <w:rPr>
          <w:color w:val="auto"/>
          <w:sz w:val="28"/>
          <w:szCs w:val="28"/>
          <w:lang w:val="kk-KZ"/>
        </w:rPr>
        <w:t xml:space="preserve"> – Көмірсутектерді тотықтыратын бактериялардың динамикасы </w:t>
      </w:r>
      <w:r>
        <w:rPr>
          <w:rFonts w:hint="default"/>
          <w:color w:val="auto"/>
          <w:sz w:val="28"/>
          <w:szCs w:val="28"/>
          <w:lang w:val="kk-KZ"/>
        </w:rPr>
        <w:t xml:space="preserve"> </w:t>
      </w:r>
      <w:r>
        <w:rPr>
          <w:color w:val="auto"/>
          <w:sz w:val="28"/>
          <w:szCs w:val="28"/>
          <w:lang w:val="kk-KZ"/>
        </w:rPr>
        <w:t>(×10</w:t>
      </w:r>
      <w:r>
        <w:rPr>
          <w:rFonts w:hint="default"/>
          <w:color w:val="auto"/>
          <w:sz w:val="28"/>
          <w:szCs w:val="28"/>
          <w:vertAlign w:val="superscript"/>
          <w:lang w:val="kk-KZ"/>
        </w:rPr>
        <w:t>8</w:t>
      </w:r>
      <w:r>
        <w:rPr>
          <w:color w:val="auto"/>
          <w:sz w:val="28"/>
          <w:szCs w:val="28"/>
          <w:lang w:val="kk-KZ"/>
        </w:rPr>
        <w:t xml:space="preserve"> КТБ/г топырақ)</w:t>
      </w:r>
    </w:p>
    <w:p w14:paraId="01604E4E">
      <w:pPr>
        <w:pStyle w:val="35"/>
        <w:spacing w:beforeAutospacing="0" w:afterAutospacing="0"/>
        <w:jc w:val="both"/>
        <w:rPr>
          <w:color w:val="auto"/>
          <w:sz w:val="28"/>
          <w:szCs w:val="28"/>
          <w:lang w:val="kk-KZ"/>
        </w:rPr>
      </w:pP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1"/>
        <w:gridCol w:w="1871"/>
        <w:gridCol w:w="1871"/>
        <w:gridCol w:w="1871"/>
        <w:gridCol w:w="1872"/>
      </w:tblGrid>
      <w:tr w14:paraId="24C9A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1" w:type="dxa"/>
            <w:vAlign w:val="center"/>
          </w:tcPr>
          <w:p w14:paraId="22BA52B4">
            <w:pPr>
              <w:widowControl w:val="0"/>
              <w:rPr>
                <w:color w:val="auto"/>
                <w:sz w:val="24"/>
                <w:szCs w:val="24"/>
                <w:highlight w:val="none"/>
              </w:rPr>
            </w:pPr>
            <w:r>
              <w:rPr>
                <w:color w:val="auto"/>
                <w:sz w:val="24"/>
                <w:szCs w:val="24"/>
                <w:highlight w:val="none"/>
                <w:lang w:val="en-US" w:eastAsia="zh-CN" w:bidi="ar"/>
              </w:rPr>
              <w:t>Нұсқа</w:t>
            </w:r>
          </w:p>
        </w:tc>
        <w:tc>
          <w:tcPr>
            <w:tcW w:w="1871" w:type="dxa"/>
            <w:vAlign w:val="center"/>
          </w:tcPr>
          <w:p w14:paraId="469C0C3E">
            <w:pPr>
              <w:widowControl w:val="0"/>
              <w:rPr>
                <w:color w:val="auto"/>
                <w:sz w:val="24"/>
                <w:szCs w:val="24"/>
                <w:highlight w:val="none"/>
              </w:rPr>
            </w:pPr>
            <w:r>
              <w:rPr>
                <w:color w:val="auto"/>
                <w:sz w:val="24"/>
                <w:szCs w:val="24"/>
                <w:highlight w:val="none"/>
                <w:lang w:val="en-US" w:eastAsia="zh-CN" w:bidi="ar"/>
              </w:rPr>
              <w:t>0 күн</w:t>
            </w:r>
          </w:p>
        </w:tc>
        <w:tc>
          <w:tcPr>
            <w:tcW w:w="1871" w:type="dxa"/>
            <w:vAlign w:val="center"/>
          </w:tcPr>
          <w:p w14:paraId="6ABBA02B">
            <w:pPr>
              <w:widowControl w:val="0"/>
              <w:rPr>
                <w:color w:val="auto"/>
                <w:sz w:val="24"/>
                <w:szCs w:val="24"/>
                <w:highlight w:val="none"/>
              </w:rPr>
            </w:pPr>
            <w:r>
              <w:rPr>
                <w:color w:val="auto"/>
                <w:sz w:val="24"/>
                <w:szCs w:val="24"/>
                <w:highlight w:val="none"/>
                <w:lang w:val="en-US" w:eastAsia="zh-CN" w:bidi="ar"/>
              </w:rPr>
              <w:t>15 күн</w:t>
            </w:r>
          </w:p>
        </w:tc>
        <w:tc>
          <w:tcPr>
            <w:tcW w:w="1871" w:type="dxa"/>
            <w:vAlign w:val="center"/>
          </w:tcPr>
          <w:p w14:paraId="5AB98A3C">
            <w:pPr>
              <w:widowControl w:val="0"/>
              <w:rPr>
                <w:color w:val="auto"/>
                <w:sz w:val="24"/>
                <w:szCs w:val="24"/>
                <w:highlight w:val="none"/>
              </w:rPr>
            </w:pPr>
            <w:r>
              <w:rPr>
                <w:color w:val="auto"/>
                <w:sz w:val="24"/>
                <w:szCs w:val="24"/>
                <w:highlight w:val="none"/>
                <w:lang w:val="en-US" w:eastAsia="zh-CN" w:bidi="ar"/>
              </w:rPr>
              <w:t>30 күн</w:t>
            </w:r>
          </w:p>
        </w:tc>
        <w:tc>
          <w:tcPr>
            <w:tcW w:w="1872" w:type="dxa"/>
            <w:vAlign w:val="center"/>
          </w:tcPr>
          <w:p w14:paraId="78884A19">
            <w:pPr>
              <w:widowControl w:val="0"/>
              <w:rPr>
                <w:color w:val="auto"/>
                <w:sz w:val="24"/>
                <w:szCs w:val="24"/>
                <w:highlight w:val="none"/>
              </w:rPr>
            </w:pPr>
            <w:r>
              <w:rPr>
                <w:color w:val="auto"/>
                <w:sz w:val="24"/>
                <w:szCs w:val="24"/>
                <w:highlight w:val="none"/>
                <w:lang w:val="en-US" w:eastAsia="zh-CN" w:bidi="ar"/>
              </w:rPr>
              <w:t>45 күн</w:t>
            </w:r>
          </w:p>
        </w:tc>
      </w:tr>
      <w:tr w14:paraId="77D85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1" w:type="dxa"/>
            <w:vAlign w:val="center"/>
          </w:tcPr>
          <w:p w14:paraId="1491EF7E">
            <w:pPr>
              <w:widowControl w:val="0"/>
              <w:rPr>
                <w:color w:val="auto"/>
                <w:sz w:val="24"/>
                <w:szCs w:val="24"/>
                <w:highlight w:val="none"/>
              </w:rPr>
            </w:pPr>
            <w:r>
              <w:rPr>
                <w:color w:val="auto"/>
                <w:sz w:val="24"/>
                <w:szCs w:val="24"/>
                <w:highlight w:val="none"/>
                <w:lang w:val="en-US" w:eastAsia="zh-CN" w:bidi="ar"/>
              </w:rPr>
              <w:t>Бақылау</w:t>
            </w:r>
          </w:p>
        </w:tc>
        <w:tc>
          <w:tcPr>
            <w:tcW w:w="1871" w:type="dxa"/>
            <w:vAlign w:val="center"/>
          </w:tcPr>
          <w:p w14:paraId="1703B6D9">
            <w:pPr>
              <w:widowControl w:val="0"/>
              <w:rPr>
                <w:color w:val="auto"/>
                <w:sz w:val="24"/>
                <w:szCs w:val="24"/>
                <w:highlight w:val="none"/>
              </w:rPr>
            </w:pPr>
            <w:r>
              <w:rPr>
                <w:color w:val="auto"/>
                <w:sz w:val="24"/>
                <w:szCs w:val="24"/>
                <w:highlight w:val="none"/>
                <w:lang w:val="en-US" w:eastAsia="zh-CN" w:bidi="ar"/>
              </w:rPr>
              <w:t>0</w:t>
            </w:r>
            <w:r>
              <w:rPr>
                <w:rFonts w:hint="default"/>
                <w:color w:val="auto"/>
                <w:sz w:val="24"/>
                <w:szCs w:val="24"/>
                <w:highlight w:val="none"/>
                <w:lang w:val="ru-RU" w:eastAsia="zh-CN" w:bidi="ar"/>
              </w:rPr>
              <w:t>,</w:t>
            </w:r>
            <w:r>
              <w:rPr>
                <w:color w:val="auto"/>
                <w:sz w:val="24"/>
                <w:szCs w:val="24"/>
                <w:highlight w:val="none"/>
                <w:lang w:val="en-US" w:eastAsia="zh-CN" w:bidi="ar"/>
              </w:rPr>
              <w:t>08±0</w:t>
            </w:r>
            <w:r>
              <w:rPr>
                <w:rFonts w:hint="default"/>
                <w:color w:val="auto"/>
                <w:sz w:val="24"/>
                <w:szCs w:val="24"/>
                <w:highlight w:val="none"/>
                <w:lang w:val="ru-RU" w:eastAsia="zh-CN" w:bidi="ar"/>
              </w:rPr>
              <w:t>,</w:t>
            </w:r>
            <w:r>
              <w:rPr>
                <w:color w:val="auto"/>
                <w:sz w:val="24"/>
                <w:szCs w:val="24"/>
                <w:highlight w:val="none"/>
                <w:lang w:val="en-US" w:eastAsia="zh-CN" w:bidi="ar"/>
              </w:rPr>
              <w:t>02ᵇ</w:t>
            </w:r>
          </w:p>
        </w:tc>
        <w:tc>
          <w:tcPr>
            <w:tcW w:w="1871" w:type="dxa"/>
            <w:vAlign w:val="center"/>
          </w:tcPr>
          <w:p w14:paraId="04E831BD">
            <w:pPr>
              <w:widowControl w:val="0"/>
              <w:rPr>
                <w:color w:val="auto"/>
                <w:sz w:val="24"/>
                <w:szCs w:val="24"/>
                <w:highlight w:val="none"/>
              </w:rPr>
            </w:pPr>
            <w:r>
              <w:rPr>
                <w:color w:val="auto"/>
                <w:sz w:val="24"/>
                <w:szCs w:val="24"/>
                <w:highlight w:val="none"/>
                <w:lang w:val="ru-RU" w:eastAsia="zh-CN" w:bidi="ar"/>
              </w:rPr>
              <w:t>0,</w:t>
            </w:r>
            <w:r>
              <w:rPr>
                <w:color w:val="auto"/>
                <w:sz w:val="24"/>
                <w:szCs w:val="24"/>
                <w:highlight w:val="none"/>
                <w:lang w:val="en-US" w:eastAsia="zh-CN" w:bidi="ar"/>
              </w:rPr>
              <w:t>11±</w:t>
            </w:r>
            <w:r>
              <w:rPr>
                <w:color w:val="auto"/>
                <w:sz w:val="24"/>
                <w:szCs w:val="24"/>
                <w:highlight w:val="none"/>
                <w:lang w:val="ru-RU" w:eastAsia="zh-CN" w:bidi="ar"/>
              </w:rPr>
              <w:t>0,</w:t>
            </w:r>
            <w:r>
              <w:rPr>
                <w:color w:val="auto"/>
                <w:sz w:val="24"/>
                <w:szCs w:val="24"/>
                <w:highlight w:val="none"/>
                <w:lang w:val="en-US" w:eastAsia="zh-CN" w:bidi="ar"/>
              </w:rPr>
              <w:t>03ᶜ</w:t>
            </w:r>
          </w:p>
        </w:tc>
        <w:tc>
          <w:tcPr>
            <w:tcW w:w="1871" w:type="dxa"/>
            <w:vAlign w:val="center"/>
          </w:tcPr>
          <w:p w14:paraId="623B7487">
            <w:pPr>
              <w:widowControl w:val="0"/>
              <w:rPr>
                <w:color w:val="auto"/>
                <w:sz w:val="24"/>
                <w:szCs w:val="24"/>
                <w:highlight w:val="none"/>
              </w:rPr>
            </w:pPr>
            <w:r>
              <w:rPr>
                <w:color w:val="auto"/>
                <w:sz w:val="24"/>
                <w:szCs w:val="24"/>
                <w:highlight w:val="none"/>
                <w:lang w:val="ru-RU" w:eastAsia="zh-CN" w:bidi="ar"/>
              </w:rPr>
              <w:t>0,</w:t>
            </w:r>
            <w:r>
              <w:rPr>
                <w:color w:val="auto"/>
                <w:sz w:val="24"/>
                <w:szCs w:val="24"/>
                <w:highlight w:val="none"/>
                <w:lang w:val="en-US" w:eastAsia="zh-CN" w:bidi="ar"/>
              </w:rPr>
              <w:t>14±</w:t>
            </w:r>
            <w:r>
              <w:rPr>
                <w:color w:val="auto"/>
                <w:sz w:val="24"/>
                <w:szCs w:val="24"/>
                <w:highlight w:val="none"/>
                <w:lang w:val="ru-RU" w:eastAsia="zh-CN" w:bidi="ar"/>
              </w:rPr>
              <w:t>0,</w:t>
            </w:r>
            <w:r>
              <w:rPr>
                <w:color w:val="auto"/>
                <w:sz w:val="24"/>
                <w:szCs w:val="24"/>
                <w:highlight w:val="none"/>
                <w:lang w:val="en-US" w:eastAsia="zh-CN" w:bidi="ar"/>
              </w:rPr>
              <w:t>04ᶜ</w:t>
            </w:r>
          </w:p>
        </w:tc>
        <w:tc>
          <w:tcPr>
            <w:tcW w:w="1872" w:type="dxa"/>
            <w:vAlign w:val="center"/>
          </w:tcPr>
          <w:p w14:paraId="00EA0BF1">
            <w:pPr>
              <w:widowControl w:val="0"/>
              <w:rPr>
                <w:color w:val="auto"/>
                <w:sz w:val="24"/>
                <w:szCs w:val="24"/>
                <w:highlight w:val="none"/>
              </w:rPr>
            </w:pPr>
            <w:r>
              <w:rPr>
                <w:color w:val="auto"/>
                <w:sz w:val="24"/>
                <w:szCs w:val="24"/>
                <w:highlight w:val="none"/>
                <w:lang w:val="ru-RU" w:eastAsia="zh-CN" w:bidi="ar"/>
              </w:rPr>
              <w:t>0,</w:t>
            </w:r>
            <w:r>
              <w:rPr>
                <w:color w:val="auto"/>
                <w:sz w:val="24"/>
                <w:szCs w:val="24"/>
                <w:highlight w:val="none"/>
                <w:lang w:val="en-US" w:eastAsia="zh-CN" w:bidi="ar"/>
              </w:rPr>
              <w:t>17±</w:t>
            </w:r>
            <w:r>
              <w:rPr>
                <w:color w:val="auto"/>
                <w:sz w:val="24"/>
                <w:szCs w:val="24"/>
                <w:highlight w:val="none"/>
                <w:lang w:val="ru-RU" w:eastAsia="zh-CN" w:bidi="ar"/>
              </w:rPr>
              <w:t>0,</w:t>
            </w:r>
            <w:r>
              <w:rPr>
                <w:color w:val="auto"/>
                <w:sz w:val="24"/>
                <w:szCs w:val="24"/>
                <w:highlight w:val="none"/>
                <w:lang w:val="en-US" w:eastAsia="zh-CN" w:bidi="ar"/>
              </w:rPr>
              <w:t>05ᶜ</w:t>
            </w:r>
          </w:p>
        </w:tc>
      </w:tr>
      <w:tr w14:paraId="3F385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1" w:type="dxa"/>
            <w:vAlign w:val="center"/>
          </w:tcPr>
          <w:p w14:paraId="6A30DE00">
            <w:pPr>
              <w:widowControl w:val="0"/>
              <w:rPr>
                <w:color w:val="auto"/>
                <w:sz w:val="24"/>
                <w:szCs w:val="24"/>
                <w:highlight w:val="none"/>
              </w:rPr>
            </w:pPr>
            <w:r>
              <w:rPr>
                <w:color w:val="auto"/>
                <w:sz w:val="24"/>
                <w:szCs w:val="24"/>
                <w:highlight w:val="none"/>
                <w:lang w:val="en-US" w:eastAsia="zh-CN" w:bidi="ar"/>
              </w:rPr>
              <w:t>Абиоттық бақылау</w:t>
            </w:r>
          </w:p>
        </w:tc>
        <w:tc>
          <w:tcPr>
            <w:tcW w:w="1871" w:type="dxa"/>
            <w:vAlign w:val="center"/>
          </w:tcPr>
          <w:p w14:paraId="1A91B32A">
            <w:pPr>
              <w:widowControl w:val="0"/>
              <w:rPr>
                <w:color w:val="auto"/>
                <w:sz w:val="24"/>
                <w:szCs w:val="24"/>
                <w:highlight w:val="none"/>
              </w:rPr>
            </w:pPr>
            <w:r>
              <w:rPr>
                <w:color w:val="auto"/>
                <w:sz w:val="24"/>
                <w:szCs w:val="24"/>
                <w:highlight w:val="none"/>
                <w:lang w:val="en-US" w:eastAsia="zh-CN" w:bidi="ar"/>
              </w:rPr>
              <w:t>0</w:t>
            </w:r>
            <w:r>
              <w:rPr>
                <w:rFonts w:hint="default"/>
                <w:color w:val="auto"/>
                <w:sz w:val="24"/>
                <w:szCs w:val="24"/>
                <w:highlight w:val="none"/>
                <w:lang w:val="ru-RU" w:eastAsia="zh-CN" w:bidi="ar"/>
              </w:rPr>
              <w:t>,</w:t>
            </w:r>
            <w:r>
              <w:rPr>
                <w:color w:val="auto"/>
                <w:sz w:val="24"/>
                <w:szCs w:val="24"/>
                <w:highlight w:val="none"/>
                <w:lang w:val="en-US" w:eastAsia="zh-CN" w:bidi="ar"/>
              </w:rPr>
              <w:t>05±</w:t>
            </w:r>
            <w:r>
              <w:rPr>
                <w:color w:val="auto"/>
                <w:sz w:val="24"/>
                <w:szCs w:val="24"/>
                <w:highlight w:val="none"/>
                <w:lang w:val="ru-RU" w:eastAsia="zh-CN" w:bidi="ar"/>
              </w:rPr>
              <w:t>0,</w:t>
            </w:r>
            <w:r>
              <w:rPr>
                <w:color w:val="auto"/>
                <w:sz w:val="24"/>
                <w:szCs w:val="24"/>
                <w:highlight w:val="none"/>
                <w:lang w:val="en-US" w:eastAsia="zh-CN" w:bidi="ar"/>
              </w:rPr>
              <w:t>01ᵇ</w:t>
            </w:r>
          </w:p>
        </w:tc>
        <w:tc>
          <w:tcPr>
            <w:tcW w:w="1871" w:type="dxa"/>
            <w:vAlign w:val="center"/>
          </w:tcPr>
          <w:p w14:paraId="7DBBCBCD">
            <w:pPr>
              <w:widowControl w:val="0"/>
              <w:rPr>
                <w:color w:val="auto"/>
                <w:sz w:val="24"/>
                <w:szCs w:val="24"/>
                <w:highlight w:val="none"/>
              </w:rPr>
            </w:pPr>
            <w:r>
              <w:rPr>
                <w:color w:val="auto"/>
                <w:sz w:val="24"/>
                <w:szCs w:val="24"/>
                <w:highlight w:val="none"/>
                <w:lang w:val="ru-RU" w:eastAsia="zh-CN" w:bidi="ar"/>
              </w:rPr>
              <w:t>0,</w:t>
            </w:r>
            <w:r>
              <w:rPr>
                <w:color w:val="auto"/>
                <w:sz w:val="24"/>
                <w:szCs w:val="24"/>
                <w:highlight w:val="none"/>
                <w:lang w:val="en-US" w:eastAsia="zh-CN" w:bidi="ar"/>
              </w:rPr>
              <w:t>03±</w:t>
            </w:r>
            <w:r>
              <w:rPr>
                <w:color w:val="auto"/>
                <w:sz w:val="24"/>
                <w:szCs w:val="24"/>
                <w:highlight w:val="none"/>
                <w:lang w:val="ru-RU" w:eastAsia="zh-CN" w:bidi="ar"/>
              </w:rPr>
              <w:t>0,</w:t>
            </w:r>
            <w:r>
              <w:rPr>
                <w:color w:val="auto"/>
                <w:sz w:val="24"/>
                <w:szCs w:val="24"/>
                <w:highlight w:val="none"/>
                <w:lang w:val="en-US" w:eastAsia="zh-CN" w:bidi="ar"/>
              </w:rPr>
              <w:t>01ᶜ</w:t>
            </w:r>
          </w:p>
        </w:tc>
        <w:tc>
          <w:tcPr>
            <w:tcW w:w="1871" w:type="dxa"/>
            <w:vAlign w:val="center"/>
          </w:tcPr>
          <w:p w14:paraId="71FEB7DE">
            <w:pPr>
              <w:widowControl w:val="0"/>
              <w:rPr>
                <w:color w:val="auto"/>
                <w:sz w:val="24"/>
                <w:szCs w:val="24"/>
                <w:highlight w:val="none"/>
              </w:rPr>
            </w:pPr>
            <w:r>
              <w:rPr>
                <w:color w:val="auto"/>
                <w:sz w:val="24"/>
                <w:szCs w:val="24"/>
                <w:highlight w:val="none"/>
                <w:lang w:val="ru-RU" w:eastAsia="zh-CN" w:bidi="ar"/>
              </w:rPr>
              <w:t>0,</w:t>
            </w:r>
            <w:r>
              <w:rPr>
                <w:color w:val="auto"/>
                <w:sz w:val="24"/>
                <w:szCs w:val="24"/>
                <w:highlight w:val="none"/>
                <w:lang w:val="en-US" w:eastAsia="zh-CN" w:bidi="ar"/>
              </w:rPr>
              <w:t>02±</w:t>
            </w:r>
            <w:r>
              <w:rPr>
                <w:color w:val="auto"/>
                <w:sz w:val="24"/>
                <w:szCs w:val="24"/>
                <w:highlight w:val="none"/>
                <w:lang w:val="ru-RU" w:eastAsia="zh-CN" w:bidi="ar"/>
              </w:rPr>
              <w:t>0,</w:t>
            </w:r>
            <w:r>
              <w:rPr>
                <w:color w:val="auto"/>
                <w:sz w:val="24"/>
                <w:szCs w:val="24"/>
                <w:highlight w:val="none"/>
                <w:lang w:val="en-US" w:eastAsia="zh-CN" w:bidi="ar"/>
              </w:rPr>
              <w:t>01ᶜ</w:t>
            </w:r>
          </w:p>
        </w:tc>
        <w:tc>
          <w:tcPr>
            <w:tcW w:w="1872" w:type="dxa"/>
            <w:vAlign w:val="center"/>
          </w:tcPr>
          <w:p w14:paraId="767F4A8D">
            <w:pPr>
              <w:widowControl w:val="0"/>
              <w:rPr>
                <w:color w:val="auto"/>
                <w:sz w:val="24"/>
                <w:szCs w:val="24"/>
                <w:highlight w:val="none"/>
              </w:rPr>
            </w:pPr>
            <w:r>
              <w:rPr>
                <w:color w:val="auto"/>
                <w:sz w:val="24"/>
                <w:szCs w:val="24"/>
                <w:highlight w:val="none"/>
                <w:lang w:val="ru-RU" w:eastAsia="zh-CN" w:bidi="ar"/>
              </w:rPr>
              <w:t>0,</w:t>
            </w:r>
            <w:r>
              <w:rPr>
                <w:color w:val="auto"/>
                <w:sz w:val="24"/>
                <w:szCs w:val="24"/>
                <w:highlight w:val="none"/>
                <w:lang w:val="en-US" w:eastAsia="zh-CN" w:bidi="ar"/>
              </w:rPr>
              <w:t>01±</w:t>
            </w:r>
            <w:r>
              <w:rPr>
                <w:color w:val="auto"/>
                <w:sz w:val="24"/>
                <w:szCs w:val="24"/>
                <w:highlight w:val="none"/>
                <w:lang w:val="ru-RU" w:eastAsia="zh-CN" w:bidi="ar"/>
              </w:rPr>
              <w:t>0,</w:t>
            </w:r>
            <w:r>
              <w:rPr>
                <w:color w:val="auto"/>
                <w:sz w:val="24"/>
                <w:szCs w:val="24"/>
                <w:highlight w:val="none"/>
                <w:lang w:val="en-US" w:eastAsia="zh-CN" w:bidi="ar"/>
              </w:rPr>
              <w:t>01ᶜ</w:t>
            </w:r>
          </w:p>
        </w:tc>
      </w:tr>
      <w:tr w14:paraId="0E448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1" w:type="dxa"/>
            <w:vAlign w:val="center"/>
          </w:tcPr>
          <w:p w14:paraId="3DEF3107">
            <w:pPr>
              <w:widowControl w:val="0"/>
              <w:rPr>
                <w:color w:val="auto"/>
                <w:sz w:val="24"/>
                <w:szCs w:val="24"/>
                <w:highlight w:val="none"/>
              </w:rPr>
            </w:pPr>
            <w:r>
              <w:rPr>
                <w:color w:val="auto"/>
                <w:sz w:val="24"/>
                <w:szCs w:val="24"/>
                <w:highlight w:val="none"/>
                <w:lang w:val="kk-KZ" w:eastAsia="zh-CN" w:bidi="ar"/>
              </w:rPr>
              <w:t>Тасымалдаушы</w:t>
            </w:r>
            <w:r>
              <w:rPr>
                <w:color w:val="auto"/>
                <w:sz w:val="24"/>
                <w:szCs w:val="24"/>
                <w:highlight w:val="none"/>
                <w:lang w:val="en-US" w:eastAsia="zh-CN" w:bidi="ar"/>
              </w:rPr>
              <w:t xml:space="preserve"> бақылауы</w:t>
            </w:r>
          </w:p>
        </w:tc>
        <w:tc>
          <w:tcPr>
            <w:tcW w:w="1871" w:type="dxa"/>
            <w:vAlign w:val="center"/>
          </w:tcPr>
          <w:p w14:paraId="51CC3509">
            <w:pPr>
              <w:widowControl w:val="0"/>
              <w:rPr>
                <w:color w:val="auto"/>
                <w:sz w:val="24"/>
                <w:szCs w:val="24"/>
                <w:highlight w:val="none"/>
              </w:rPr>
            </w:pPr>
            <w:r>
              <w:rPr>
                <w:color w:val="auto"/>
                <w:sz w:val="24"/>
                <w:szCs w:val="24"/>
                <w:highlight w:val="none"/>
                <w:lang w:val="ru-RU" w:eastAsia="zh-CN" w:bidi="ar"/>
              </w:rPr>
              <w:t>0,</w:t>
            </w:r>
            <w:r>
              <w:rPr>
                <w:color w:val="auto"/>
                <w:sz w:val="24"/>
                <w:szCs w:val="24"/>
                <w:highlight w:val="none"/>
                <w:lang w:val="en-US" w:eastAsia="zh-CN" w:bidi="ar"/>
              </w:rPr>
              <w:t>12±</w:t>
            </w:r>
            <w:r>
              <w:rPr>
                <w:color w:val="auto"/>
                <w:sz w:val="24"/>
                <w:szCs w:val="24"/>
                <w:highlight w:val="none"/>
                <w:lang w:val="ru-RU" w:eastAsia="zh-CN" w:bidi="ar"/>
              </w:rPr>
              <w:t>0,</w:t>
            </w:r>
            <w:r>
              <w:rPr>
                <w:color w:val="auto"/>
                <w:sz w:val="24"/>
                <w:szCs w:val="24"/>
                <w:highlight w:val="none"/>
                <w:lang w:val="en-US" w:eastAsia="zh-CN" w:bidi="ar"/>
              </w:rPr>
              <w:t>03ᵇ</w:t>
            </w:r>
          </w:p>
        </w:tc>
        <w:tc>
          <w:tcPr>
            <w:tcW w:w="1871" w:type="dxa"/>
            <w:vAlign w:val="center"/>
          </w:tcPr>
          <w:p w14:paraId="719CF4C5">
            <w:pPr>
              <w:widowControl w:val="0"/>
              <w:rPr>
                <w:color w:val="auto"/>
                <w:sz w:val="24"/>
                <w:szCs w:val="24"/>
                <w:highlight w:val="none"/>
              </w:rPr>
            </w:pPr>
            <w:r>
              <w:rPr>
                <w:color w:val="auto"/>
                <w:sz w:val="24"/>
                <w:szCs w:val="24"/>
                <w:highlight w:val="none"/>
                <w:lang w:val="ru-RU" w:eastAsia="zh-CN" w:bidi="ar"/>
              </w:rPr>
              <w:t>0,</w:t>
            </w:r>
            <w:r>
              <w:rPr>
                <w:color w:val="auto"/>
                <w:sz w:val="24"/>
                <w:szCs w:val="24"/>
                <w:highlight w:val="none"/>
                <w:lang w:val="en-US" w:eastAsia="zh-CN" w:bidi="ar"/>
              </w:rPr>
              <w:t>28±</w:t>
            </w:r>
            <w:r>
              <w:rPr>
                <w:color w:val="auto"/>
                <w:sz w:val="24"/>
                <w:szCs w:val="24"/>
                <w:highlight w:val="none"/>
                <w:lang w:val="ru-RU" w:eastAsia="zh-CN" w:bidi="ar"/>
              </w:rPr>
              <w:t>0,</w:t>
            </w:r>
            <w:r>
              <w:rPr>
                <w:color w:val="auto"/>
                <w:sz w:val="24"/>
                <w:szCs w:val="24"/>
                <w:highlight w:val="none"/>
                <w:lang w:val="en-US" w:eastAsia="zh-CN" w:bidi="ar"/>
              </w:rPr>
              <w:t>05ᶜ</w:t>
            </w:r>
          </w:p>
        </w:tc>
        <w:tc>
          <w:tcPr>
            <w:tcW w:w="1871" w:type="dxa"/>
            <w:vAlign w:val="center"/>
          </w:tcPr>
          <w:p w14:paraId="5805E6E8">
            <w:pPr>
              <w:widowControl w:val="0"/>
              <w:rPr>
                <w:color w:val="auto"/>
                <w:sz w:val="24"/>
                <w:szCs w:val="24"/>
                <w:highlight w:val="none"/>
              </w:rPr>
            </w:pPr>
            <w:r>
              <w:rPr>
                <w:color w:val="auto"/>
                <w:sz w:val="24"/>
                <w:szCs w:val="24"/>
                <w:highlight w:val="none"/>
                <w:lang w:val="ru-RU" w:eastAsia="zh-CN" w:bidi="ar"/>
              </w:rPr>
              <w:t>0,</w:t>
            </w:r>
            <w:r>
              <w:rPr>
                <w:color w:val="auto"/>
                <w:sz w:val="24"/>
                <w:szCs w:val="24"/>
                <w:highlight w:val="none"/>
                <w:lang w:val="en-US" w:eastAsia="zh-CN" w:bidi="ar"/>
              </w:rPr>
              <w:t>35±</w:t>
            </w:r>
            <w:r>
              <w:rPr>
                <w:color w:val="auto"/>
                <w:sz w:val="24"/>
                <w:szCs w:val="24"/>
                <w:highlight w:val="none"/>
                <w:lang w:val="ru-RU" w:eastAsia="zh-CN" w:bidi="ar"/>
              </w:rPr>
              <w:t>0,</w:t>
            </w:r>
            <w:r>
              <w:rPr>
                <w:color w:val="auto"/>
                <w:sz w:val="24"/>
                <w:szCs w:val="24"/>
                <w:highlight w:val="none"/>
                <w:lang w:val="en-US" w:eastAsia="zh-CN" w:bidi="ar"/>
              </w:rPr>
              <w:t>08ᶜ</w:t>
            </w:r>
          </w:p>
        </w:tc>
        <w:tc>
          <w:tcPr>
            <w:tcW w:w="1872" w:type="dxa"/>
            <w:vAlign w:val="center"/>
          </w:tcPr>
          <w:p w14:paraId="6CDB12D3">
            <w:pPr>
              <w:widowControl w:val="0"/>
              <w:rPr>
                <w:color w:val="auto"/>
                <w:sz w:val="24"/>
                <w:szCs w:val="24"/>
                <w:highlight w:val="none"/>
              </w:rPr>
            </w:pPr>
            <w:r>
              <w:rPr>
                <w:color w:val="auto"/>
                <w:sz w:val="24"/>
                <w:szCs w:val="24"/>
                <w:highlight w:val="none"/>
                <w:lang w:val="ru-RU" w:eastAsia="zh-CN" w:bidi="ar"/>
              </w:rPr>
              <w:t>0,</w:t>
            </w:r>
            <w:r>
              <w:rPr>
                <w:color w:val="auto"/>
                <w:sz w:val="24"/>
                <w:szCs w:val="24"/>
                <w:highlight w:val="none"/>
                <w:lang w:val="en-US" w:eastAsia="zh-CN" w:bidi="ar"/>
              </w:rPr>
              <w:t>22±</w:t>
            </w:r>
            <w:r>
              <w:rPr>
                <w:color w:val="auto"/>
                <w:sz w:val="24"/>
                <w:szCs w:val="24"/>
                <w:highlight w:val="none"/>
                <w:lang w:val="ru-RU" w:eastAsia="zh-CN" w:bidi="ar"/>
              </w:rPr>
              <w:t>0,</w:t>
            </w:r>
            <w:r>
              <w:rPr>
                <w:color w:val="auto"/>
                <w:sz w:val="24"/>
                <w:szCs w:val="24"/>
                <w:highlight w:val="none"/>
                <w:lang w:val="en-US" w:eastAsia="zh-CN" w:bidi="ar"/>
              </w:rPr>
              <w:t>04ᶜ</w:t>
            </w:r>
          </w:p>
        </w:tc>
      </w:tr>
      <w:tr w14:paraId="09E3F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1" w:type="dxa"/>
            <w:vAlign w:val="center"/>
          </w:tcPr>
          <w:p w14:paraId="243D3565">
            <w:pPr>
              <w:widowControl w:val="0"/>
              <w:rPr>
                <w:color w:val="auto"/>
                <w:sz w:val="24"/>
                <w:szCs w:val="24"/>
                <w:highlight w:val="none"/>
              </w:rPr>
            </w:pPr>
            <w:r>
              <w:rPr>
                <w:color w:val="auto"/>
                <w:sz w:val="24"/>
                <w:szCs w:val="24"/>
                <w:highlight w:val="none"/>
                <w:lang w:eastAsia="zh-CN" w:bidi="ar"/>
              </w:rPr>
              <w:t>Б</w:t>
            </w:r>
            <w:r>
              <w:rPr>
                <w:color w:val="auto"/>
                <w:sz w:val="24"/>
                <w:szCs w:val="24"/>
                <w:highlight w:val="none"/>
                <w:lang w:val="kk-KZ" w:eastAsia="zh-CN" w:bidi="ar"/>
              </w:rPr>
              <w:t>ос</w:t>
            </w:r>
            <w:r>
              <w:rPr>
                <w:color w:val="auto"/>
                <w:sz w:val="24"/>
                <w:szCs w:val="24"/>
                <w:highlight w:val="none"/>
                <w:lang w:val="en-US" w:eastAsia="zh-CN" w:bidi="ar"/>
              </w:rPr>
              <w:t xml:space="preserve"> жасушалар</w:t>
            </w:r>
          </w:p>
        </w:tc>
        <w:tc>
          <w:tcPr>
            <w:tcW w:w="1871" w:type="dxa"/>
            <w:vAlign w:val="center"/>
          </w:tcPr>
          <w:p w14:paraId="5F615437">
            <w:pPr>
              <w:widowControl w:val="0"/>
              <w:rPr>
                <w:color w:val="auto"/>
                <w:sz w:val="24"/>
                <w:szCs w:val="24"/>
                <w:highlight w:val="none"/>
              </w:rPr>
            </w:pPr>
            <w:r>
              <w:rPr>
                <w:color w:val="auto"/>
                <w:sz w:val="24"/>
                <w:szCs w:val="24"/>
                <w:highlight w:val="none"/>
                <w:lang w:val="en-US" w:eastAsia="zh-CN" w:bidi="ar"/>
              </w:rPr>
              <w:t>1</w:t>
            </w:r>
            <w:r>
              <w:rPr>
                <w:color w:val="auto"/>
                <w:sz w:val="24"/>
                <w:szCs w:val="24"/>
                <w:highlight w:val="none"/>
                <w:lang w:val="ru-RU" w:eastAsia="zh-CN" w:bidi="ar"/>
              </w:rPr>
              <w:t>0,</w:t>
            </w:r>
            <w:r>
              <w:rPr>
                <w:color w:val="auto"/>
                <w:sz w:val="24"/>
                <w:szCs w:val="24"/>
                <w:highlight w:val="none"/>
                <w:lang w:val="en-US" w:eastAsia="zh-CN" w:bidi="ar"/>
              </w:rPr>
              <w:t>0±1.2ᵃ</w:t>
            </w:r>
          </w:p>
        </w:tc>
        <w:tc>
          <w:tcPr>
            <w:tcW w:w="1871" w:type="dxa"/>
            <w:vAlign w:val="center"/>
          </w:tcPr>
          <w:p w14:paraId="34C877DD">
            <w:pPr>
              <w:widowControl w:val="0"/>
              <w:rPr>
                <w:color w:val="auto"/>
                <w:sz w:val="24"/>
                <w:szCs w:val="24"/>
                <w:highlight w:val="none"/>
              </w:rPr>
            </w:pPr>
            <w:r>
              <w:rPr>
                <w:color w:val="auto"/>
                <w:sz w:val="24"/>
                <w:szCs w:val="24"/>
                <w:highlight w:val="none"/>
                <w:lang w:val="en-US" w:eastAsia="zh-CN" w:bidi="ar"/>
              </w:rPr>
              <w:t>18</w:t>
            </w:r>
            <w:r>
              <w:rPr>
                <w:rFonts w:hint="default"/>
                <w:color w:val="auto"/>
                <w:sz w:val="24"/>
                <w:szCs w:val="24"/>
                <w:highlight w:val="none"/>
                <w:lang w:val="ru-RU" w:eastAsia="zh-CN" w:bidi="ar"/>
              </w:rPr>
              <w:t>,</w:t>
            </w:r>
            <w:r>
              <w:rPr>
                <w:color w:val="auto"/>
                <w:sz w:val="24"/>
                <w:szCs w:val="24"/>
                <w:highlight w:val="none"/>
                <w:lang w:val="en-US" w:eastAsia="zh-CN" w:bidi="ar"/>
              </w:rPr>
              <w:t>4±2</w:t>
            </w:r>
            <w:r>
              <w:rPr>
                <w:rFonts w:hint="default"/>
                <w:color w:val="auto"/>
                <w:sz w:val="24"/>
                <w:szCs w:val="24"/>
                <w:highlight w:val="none"/>
                <w:lang w:val="ru-RU" w:eastAsia="zh-CN" w:bidi="ar"/>
              </w:rPr>
              <w:t>,</w:t>
            </w:r>
            <w:r>
              <w:rPr>
                <w:color w:val="auto"/>
                <w:sz w:val="24"/>
                <w:szCs w:val="24"/>
                <w:highlight w:val="none"/>
                <w:lang w:val="en-US" w:eastAsia="zh-CN" w:bidi="ar"/>
              </w:rPr>
              <w:t>3ᵇ</w:t>
            </w:r>
          </w:p>
        </w:tc>
        <w:tc>
          <w:tcPr>
            <w:tcW w:w="1871" w:type="dxa"/>
            <w:vAlign w:val="center"/>
          </w:tcPr>
          <w:p w14:paraId="03B96E98">
            <w:pPr>
              <w:widowControl w:val="0"/>
              <w:rPr>
                <w:color w:val="auto"/>
                <w:sz w:val="24"/>
                <w:szCs w:val="24"/>
                <w:highlight w:val="none"/>
              </w:rPr>
            </w:pPr>
            <w:r>
              <w:rPr>
                <w:color w:val="auto"/>
                <w:sz w:val="24"/>
                <w:szCs w:val="24"/>
                <w:highlight w:val="none"/>
                <w:lang w:val="en-US" w:eastAsia="zh-CN" w:bidi="ar"/>
              </w:rPr>
              <w:t>24</w:t>
            </w:r>
            <w:r>
              <w:rPr>
                <w:rFonts w:hint="default"/>
                <w:color w:val="auto"/>
                <w:sz w:val="24"/>
                <w:szCs w:val="24"/>
                <w:highlight w:val="none"/>
                <w:lang w:val="ru-RU" w:eastAsia="zh-CN" w:bidi="ar"/>
              </w:rPr>
              <w:t>,</w:t>
            </w:r>
            <w:r>
              <w:rPr>
                <w:color w:val="auto"/>
                <w:sz w:val="24"/>
                <w:szCs w:val="24"/>
                <w:highlight w:val="none"/>
                <w:lang w:val="en-US" w:eastAsia="zh-CN" w:bidi="ar"/>
              </w:rPr>
              <w:t>6±3</w:t>
            </w:r>
            <w:r>
              <w:rPr>
                <w:rFonts w:hint="default"/>
                <w:color w:val="auto"/>
                <w:sz w:val="24"/>
                <w:szCs w:val="24"/>
                <w:highlight w:val="none"/>
                <w:lang w:val="ru-RU" w:eastAsia="zh-CN" w:bidi="ar"/>
              </w:rPr>
              <w:t>,</w:t>
            </w:r>
            <w:r>
              <w:rPr>
                <w:color w:val="auto"/>
                <w:sz w:val="24"/>
                <w:szCs w:val="24"/>
                <w:highlight w:val="none"/>
                <w:lang w:val="en-US" w:eastAsia="zh-CN" w:bidi="ar"/>
              </w:rPr>
              <w:t>1ᵇ</w:t>
            </w:r>
          </w:p>
        </w:tc>
        <w:tc>
          <w:tcPr>
            <w:tcW w:w="1872" w:type="dxa"/>
            <w:vAlign w:val="center"/>
          </w:tcPr>
          <w:p w14:paraId="7B9791FF">
            <w:pPr>
              <w:widowControl w:val="0"/>
              <w:rPr>
                <w:color w:val="auto"/>
                <w:sz w:val="24"/>
                <w:szCs w:val="24"/>
                <w:highlight w:val="none"/>
              </w:rPr>
            </w:pPr>
            <w:r>
              <w:rPr>
                <w:color w:val="auto"/>
                <w:sz w:val="24"/>
                <w:szCs w:val="24"/>
                <w:highlight w:val="none"/>
                <w:lang w:val="en-US" w:eastAsia="zh-CN" w:bidi="ar"/>
              </w:rPr>
              <w:t>14</w:t>
            </w:r>
            <w:r>
              <w:rPr>
                <w:rFonts w:hint="default"/>
                <w:color w:val="auto"/>
                <w:sz w:val="24"/>
                <w:szCs w:val="24"/>
                <w:highlight w:val="none"/>
                <w:lang w:val="ru-RU" w:eastAsia="zh-CN" w:bidi="ar"/>
              </w:rPr>
              <w:t>,</w:t>
            </w:r>
            <w:r>
              <w:rPr>
                <w:color w:val="auto"/>
                <w:sz w:val="24"/>
                <w:szCs w:val="24"/>
                <w:highlight w:val="none"/>
                <w:lang w:val="en-US" w:eastAsia="zh-CN" w:bidi="ar"/>
              </w:rPr>
              <w:t>2±2</w:t>
            </w:r>
            <w:r>
              <w:rPr>
                <w:rFonts w:hint="default"/>
                <w:color w:val="auto"/>
                <w:sz w:val="24"/>
                <w:szCs w:val="24"/>
                <w:highlight w:val="none"/>
                <w:lang w:val="ru-RU" w:eastAsia="zh-CN" w:bidi="ar"/>
              </w:rPr>
              <w:t>,</w:t>
            </w:r>
            <w:r>
              <w:rPr>
                <w:color w:val="auto"/>
                <w:sz w:val="24"/>
                <w:szCs w:val="24"/>
                <w:highlight w:val="none"/>
                <w:lang w:val="en-US" w:eastAsia="zh-CN" w:bidi="ar"/>
              </w:rPr>
              <w:t>0ᵇ</w:t>
            </w:r>
          </w:p>
        </w:tc>
      </w:tr>
      <w:tr w14:paraId="0BCCC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1" w:type="dxa"/>
            <w:vAlign w:val="center"/>
          </w:tcPr>
          <w:p w14:paraId="32E78E0C">
            <w:pPr>
              <w:widowControl w:val="0"/>
              <w:rPr>
                <w:color w:val="auto"/>
                <w:sz w:val="24"/>
                <w:szCs w:val="24"/>
                <w:highlight w:val="none"/>
                <w:lang w:val="en-US" w:eastAsia="zh-CN" w:bidi="ar"/>
              </w:rPr>
            </w:pPr>
            <w:r>
              <w:rPr>
                <w:color w:val="auto"/>
                <w:sz w:val="24"/>
                <w:szCs w:val="24"/>
                <w:highlight w:val="none"/>
                <w:lang w:val="en-US" w:eastAsia="zh-CN" w:bidi="ar"/>
              </w:rPr>
              <w:t>Қарақұмық қауызы</w:t>
            </w:r>
          </w:p>
        </w:tc>
        <w:tc>
          <w:tcPr>
            <w:tcW w:w="1871" w:type="dxa"/>
            <w:vAlign w:val="center"/>
          </w:tcPr>
          <w:p w14:paraId="1D78F9FD">
            <w:pPr>
              <w:widowControl w:val="0"/>
              <w:rPr>
                <w:color w:val="auto"/>
                <w:sz w:val="24"/>
                <w:szCs w:val="24"/>
                <w:highlight w:val="none"/>
                <w:lang w:val="en-US" w:eastAsia="zh-CN" w:bidi="ar"/>
              </w:rPr>
            </w:pPr>
            <w:r>
              <w:rPr>
                <w:color w:val="auto"/>
                <w:sz w:val="24"/>
                <w:szCs w:val="24"/>
                <w:highlight w:val="none"/>
                <w:lang w:val="en-US" w:eastAsia="zh-CN" w:bidi="ar"/>
              </w:rPr>
              <w:t>1</w:t>
            </w:r>
            <w:r>
              <w:rPr>
                <w:color w:val="auto"/>
                <w:sz w:val="24"/>
                <w:szCs w:val="24"/>
                <w:highlight w:val="none"/>
                <w:lang w:val="ru-RU" w:eastAsia="zh-CN" w:bidi="ar"/>
              </w:rPr>
              <w:t>0,</w:t>
            </w:r>
            <w:r>
              <w:rPr>
                <w:color w:val="auto"/>
                <w:sz w:val="24"/>
                <w:szCs w:val="24"/>
                <w:highlight w:val="none"/>
                <w:lang w:val="en-US" w:eastAsia="zh-CN" w:bidi="ar"/>
              </w:rPr>
              <w:t>2±1</w:t>
            </w:r>
            <w:r>
              <w:rPr>
                <w:rFonts w:hint="default"/>
                <w:color w:val="auto"/>
                <w:sz w:val="24"/>
                <w:szCs w:val="24"/>
                <w:highlight w:val="none"/>
                <w:lang w:val="ru-RU" w:eastAsia="zh-CN" w:bidi="ar"/>
              </w:rPr>
              <w:t>,</w:t>
            </w:r>
            <w:r>
              <w:rPr>
                <w:color w:val="auto"/>
                <w:sz w:val="24"/>
                <w:szCs w:val="24"/>
                <w:highlight w:val="none"/>
                <w:lang w:val="en-US" w:eastAsia="zh-CN" w:bidi="ar"/>
              </w:rPr>
              <w:t>1ᵃ</w:t>
            </w:r>
          </w:p>
        </w:tc>
        <w:tc>
          <w:tcPr>
            <w:tcW w:w="1871" w:type="dxa"/>
            <w:vAlign w:val="center"/>
          </w:tcPr>
          <w:p w14:paraId="7BE8A328">
            <w:pPr>
              <w:widowControl w:val="0"/>
              <w:rPr>
                <w:color w:val="auto"/>
                <w:sz w:val="24"/>
                <w:szCs w:val="24"/>
                <w:highlight w:val="none"/>
                <w:lang w:val="en-US" w:eastAsia="zh-CN" w:bidi="ar"/>
              </w:rPr>
            </w:pPr>
            <w:r>
              <w:rPr>
                <w:color w:val="auto"/>
                <w:sz w:val="24"/>
                <w:szCs w:val="24"/>
                <w:highlight w:val="none"/>
                <w:lang w:val="en-US" w:eastAsia="zh-CN" w:bidi="ar"/>
              </w:rPr>
              <w:t>48</w:t>
            </w:r>
            <w:r>
              <w:rPr>
                <w:rFonts w:hint="default"/>
                <w:color w:val="auto"/>
                <w:sz w:val="24"/>
                <w:szCs w:val="24"/>
                <w:highlight w:val="none"/>
                <w:lang w:val="ru-RU" w:eastAsia="zh-CN" w:bidi="ar"/>
              </w:rPr>
              <w:t>,</w:t>
            </w:r>
            <w:r>
              <w:rPr>
                <w:color w:val="auto"/>
                <w:sz w:val="24"/>
                <w:szCs w:val="24"/>
                <w:highlight w:val="none"/>
                <w:lang w:val="en-US" w:eastAsia="zh-CN" w:bidi="ar"/>
              </w:rPr>
              <w:t>3±5</w:t>
            </w:r>
            <w:r>
              <w:rPr>
                <w:rFonts w:hint="default"/>
                <w:color w:val="auto"/>
                <w:sz w:val="24"/>
                <w:szCs w:val="24"/>
                <w:highlight w:val="none"/>
                <w:lang w:val="ru-RU" w:eastAsia="zh-CN" w:bidi="ar"/>
              </w:rPr>
              <w:t>,</w:t>
            </w:r>
            <w:r>
              <w:rPr>
                <w:color w:val="auto"/>
                <w:sz w:val="24"/>
                <w:szCs w:val="24"/>
                <w:highlight w:val="none"/>
                <w:lang w:val="en-US" w:eastAsia="zh-CN" w:bidi="ar"/>
              </w:rPr>
              <w:t>2ᵃ</w:t>
            </w:r>
          </w:p>
        </w:tc>
        <w:tc>
          <w:tcPr>
            <w:tcW w:w="1871" w:type="dxa"/>
            <w:vAlign w:val="center"/>
          </w:tcPr>
          <w:p w14:paraId="62A5F4B0">
            <w:pPr>
              <w:widowControl w:val="0"/>
              <w:rPr>
                <w:color w:val="auto"/>
                <w:sz w:val="24"/>
                <w:szCs w:val="24"/>
                <w:highlight w:val="none"/>
                <w:lang w:val="en-US" w:eastAsia="zh-CN" w:bidi="ar"/>
              </w:rPr>
            </w:pPr>
            <w:r>
              <w:rPr>
                <w:color w:val="auto"/>
                <w:sz w:val="24"/>
                <w:szCs w:val="24"/>
                <w:highlight w:val="none"/>
                <w:lang w:val="en-US" w:eastAsia="zh-CN" w:bidi="ar"/>
              </w:rPr>
              <w:t>76</w:t>
            </w:r>
            <w:r>
              <w:rPr>
                <w:rFonts w:hint="default"/>
                <w:color w:val="auto"/>
                <w:sz w:val="24"/>
                <w:szCs w:val="24"/>
                <w:highlight w:val="none"/>
                <w:lang w:val="ru-RU" w:eastAsia="zh-CN" w:bidi="ar"/>
              </w:rPr>
              <w:t>,</w:t>
            </w:r>
            <w:r>
              <w:rPr>
                <w:color w:val="auto"/>
                <w:sz w:val="24"/>
                <w:szCs w:val="24"/>
                <w:highlight w:val="none"/>
                <w:lang w:val="en-US" w:eastAsia="zh-CN" w:bidi="ar"/>
              </w:rPr>
              <w:t>5±7</w:t>
            </w:r>
            <w:r>
              <w:rPr>
                <w:rFonts w:hint="default"/>
                <w:color w:val="auto"/>
                <w:sz w:val="24"/>
                <w:szCs w:val="24"/>
                <w:highlight w:val="none"/>
                <w:lang w:val="ru-RU" w:eastAsia="zh-CN" w:bidi="ar"/>
              </w:rPr>
              <w:t>,</w:t>
            </w:r>
            <w:r>
              <w:rPr>
                <w:color w:val="auto"/>
                <w:sz w:val="24"/>
                <w:szCs w:val="24"/>
                <w:highlight w:val="none"/>
                <w:lang w:val="en-US" w:eastAsia="zh-CN" w:bidi="ar"/>
              </w:rPr>
              <w:t>3ᵃ</w:t>
            </w:r>
          </w:p>
        </w:tc>
        <w:tc>
          <w:tcPr>
            <w:tcW w:w="1872" w:type="dxa"/>
            <w:vAlign w:val="center"/>
          </w:tcPr>
          <w:p w14:paraId="2543ED24">
            <w:pPr>
              <w:widowControl w:val="0"/>
              <w:rPr>
                <w:color w:val="auto"/>
                <w:sz w:val="24"/>
                <w:szCs w:val="24"/>
                <w:highlight w:val="none"/>
                <w:lang w:val="en-US" w:eastAsia="zh-CN" w:bidi="ar"/>
              </w:rPr>
            </w:pPr>
            <w:r>
              <w:rPr>
                <w:color w:val="auto"/>
                <w:sz w:val="24"/>
                <w:szCs w:val="24"/>
                <w:highlight w:val="none"/>
                <w:lang w:val="en-US" w:eastAsia="zh-CN" w:bidi="ar"/>
              </w:rPr>
              <w:t>62</w:t>
            </w:r>
            <w:r>
              <w:rPr>
                <w:rFonts w:hint="default"/>
                <w:color w:val="auto"/>
                <w:sz w:val="24"/>
                <w:szCs w:val="24"/>
                <w:highlight w:val="none"/>
                <w:lang w:val="ru-RU" w:eastAsia="zh-CN" w:bidi="ar"/>
              </w:rPr>
              <w:t>,</w:t>
            </w:r>
            <w:r>
              <w:rPr>
                <w:color w:val="auto"/>
                <w:sz w:val="24"/>
                <w:szCs w:val="24"/>
                <w:highlight w:val="none"/>
                <w:lang w:val="en-US" w:eastAsia="zh-CN" w:bidi="ar"/>
              </w:rPr>
              <w:t>4±6</w:t>
            </w:r>
            <w:r>
              <w:rPr>
                <w:rFonts w:hint="default"/>
                <w:color w:val="auto"/>
                <w:sz w:val="24"/>
                <w:szCs w:val="24"/>
                <w:highlight w:val="none"/>
                <w:lang w:val="ru-RU" w:eastAsia="zh-CN" w:bidi="ar"/>
              </w:rPr>
              <w:t>,</w:t>
            </w:r>
            <w:r>
              <w:rPr>
                <w:color w:val="auto"/>
                <w:sz w:val="24"/>
                <w:szCs w:val="24"/>
                <w:highlight w:val="none"/>
                <w:lang w:val="en-US" w:eastAsia="zh-CN" w:bidi="ar"/>
              </w:rPr>
              <w:t>1ᵃ</w:t>
            </w:r>
          </w:p>
        </w:tc>
      </w:tr>
      <w:tr w14:paraId="1FFC8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1" w:type="dxa"/>
            <w:vAlign w:val="center"/>
          </w:tcPr>
          <w:p w14:paraId="1E9FDE74">
            <w:pPr>
              <w:widowControl w:val="0"/>
              <w:rPr>
                <w:color w:val="auto"/>
                <w:sz w:val="24"/>
                <w:szCs w:val="24"/>
                <w:highlight w:val="none"/>
                <w:lang w:val="en-US" w:eastAsia="zh-CN" w:bidi="ar"/>
              </w:rPr>
            </w:pPr>
            <w:r>
              <w:rPr>
                <w:color w:val="auto"/>
                <w:sz w:val="24"/>
                <w:szCs w:val="24"/>
                <w:highlight w:val="none"/>
                <w:lang w:val="en-US" w:eastAsia="zh-CN" w:bidi="ar"/>
              </w:rPr>
              <w:t>Күріш қауызы</w:t>
            </w:r>
          </w:p>
        </w:tc>
        <w:tc>
          <w:tcPr>
            <w:tcW w:w="1871" w:type="dxa"/>
            <w:vAlign w:val="center"/>
          </w:tcPr>
          <w:p w14:paraId="4F83779A">
            <w:pPr>
              <w:widowControl w:val="0"/>
              <w:rPr>
                <w:color w:val="auto"/>
                <w:sz w:val="24"/>
                <w:szCs w:val="24"/>
                <w:highlight w:val="none"/>
                <w:lang w:val="en-US" w:eastAsia="zh-CN" w:bidi="ar"/>
              </w:rPr>
            </w:pPr>
            <w:r>
              <w:rPr>
                <w:color w:val="auto"/>
                <w:sz w:val="24"/>
                <w:szCs w:val="24"/>
                <w:highlight w:val="none"/>
                <w:lang w:val="en-US" w:eastAsia="zh-CN" w:bidi="ar"/>
              </w:rPr>
              <w:t>1</w:t>
            </w:r>
            <w:r>
              <w:rPr>
                <w:color w:val="auto"/>
                <w:sz w:val="24"/>
                <w:szCs w:val="24"/>
                <w:highlight w:val="none"/>
                <w:lang w:val="ru-RU" w:eastAsia="zh-CN" w:bidi="ar"/>
              </w:rPr>
              <w:t>0,</w:t>
            </w:r>
            <w:r>
              <w:rPr>
                <w:color w:val="auto"/>
                <w:sz w:val="24"/>
                <w:szCs w:val="24"/>
                <w:highlight w:val="none"/>
                <w:lang w:val="en-US" w:eastAsia="zh-CN" w:bidi="ar"/>
              </w:rPr>
              <w:t>5±</w:t>
            </w:r>
            <w:r>
              <w:rPr>
                <w:color w:val="auto"/>
                <w:sz w:val="24"/>
                <w:szCs w:val="24"/>
                <w:highlight w:val="none"/>
                <w:lang w:val="ru-RU" w:eastAsia="zh-CN" w:bidi="ar"/>
              </w:rPr>
              <w:t>0,</w:t>
            </w:r>
            <w:r>
              <w:rPr>
                <w:color w:val="auto"/>
                <w:sz w:val="24"/>
                <w:szCs w:val="24"/>
                <w:highlight w:val="none"/>
                <w:lang w:val="en-US" w:eastAsia="zh-CN" w:bidi="ar"/>
              </w:rPr>
              <w:t>9ᵃ</w:t>
            </w:r>
          </w:p>
        </w:tc>
        <w:tc>
          <w:tcPr>
            <w:tcW w:w="1871" w:type="dxa"/>
            <w:vAlign w:val="center"/>
          </w:tcPr>
          <w:p w14:paraId="6409B192">
            <w:pPr>
              <w:widowControl w:val="0"/>
              <w:rPr>
                <w:color w:val="auto"/>
                <w:sz w:val="24"/>
                <w:szCs w:val="24"/>
                <w:highlight w:val="none"/>
                <w:lang w:val="en-US" w:eastAsia="zh-CN" w:bidi="ar"/>
              </w:rPr>
            </w:pPr>
            <w:r>
              <w:rPr>
                <w:color w:val="auto"/>
                <w:sz w:val="24"/>
                <w:szCs w:val="24"/>
                <w:highlight w:val="none"/>
                <w:lang w:val="en-US" w:eastAsia="zh-CN" w:bidi="ar"/>
              </w:rPr>
              <w:t>35</w:t>
            </w:r>
            <w:r>
              <w:rPr>
                <w:rFonts w:hint="default"/>
                <w:color w:val="auto"/>
                <w:sz w:val="24"/>
                <w:szCs w:val="24"/>
                <w:highlight w:val="none"/>
                <w:lang w:val="ru-RU" w:eastAsia="zh-CN" w:bidi="ar"/>
              </w:rPr>
              <w:t>,</w:t>
            </w:r>
            <w:r>
              <w:rPr>
                <w:color w:val="auto"/>
                <w:sz w:val="24"/>
                <w:szCs w:val="24"/>
                <w:highlight w:val="none"/>
                <w:lang w:val="en-US" w:eastAsia="zh-CN" w:bidi="ar"/>
              </w:rPr>
              <w:t>7±4</w:t>
            </w:r>
            <w:r>
              <w:rPr>
                <w:rFonts w:hint="default"/>
                <w:color w:val="auto"/>
                <w:sz w:val="24"/>
                <w:szCs w:val="24"/>
                <w:highlight w:val="none"/>
                <w:lang w:val="ru-RU" w:eastAsia="zh-CN" w:bidi="ar"/>
              </w:rPr>
              <w:t>,</w:t>
            </w:r>
            <w:r>
              <w:rPr>
                <w:color w:val="auto"/>
                <w:sz w:val="24"/>
                <w:szCs w:val="24"/>
                <w:highlight w:val="none"/>
                <w:lang w:val="en-US" w:eastAsia="zh-CN" w:bidi="ar"/>
              </w:rPr>
              <w:t>1ᵃᵇ</w:t>
            </w:r>
          </w:p>
        </w:tc>
        <w:tc>
          <w:tcPr>
            <w:tcW w:w="1871" w:type="dxa"/>
            <w:vAlign w:val="center"/>
          </w:tcPr>
          <w:p w14:paraId="5A3E9CE0">
            <w:pPr>
              <w:widowControl w:val="0"/>
              <w:rPr>
                <w:color w:val="auto"/>
                <w:sz w:val="24"/>
                <w:szCs w:val="24"/>
                <w:highlight w:val="none"/>
                <w:lang w:val="en-US" w:eastAsia="zh-CN" w:bidi="ar"/>
              </w:rPr>
            </w:pPr>
            <w:r>
              <w:rPr>
                <w:color w:val="auto"/>
                <w:sz w:val="24"/>
                <w:szCs w:val="24"/>
                <w:highlight w:val="none"/>
                <w:lang w:val="en-US" w:eastAsia="zh-CN" w:bidi="ar"/>
              </w:rPr>
              <w:t>58</w:t>
            </w:r>
            <w:r>
              <w:rPr>
                <w:rFonts w:hint="default"/>
                <w:color w:val="auto"/>
                <w:sz w:val="24"/>
                <w:szCs w:val="24"/>
                <w:highlight w:val="none"/>
                <w:lang w:val="ru-RU" w:eastAsia="zh-CN" w:bidi="ar"/>
              </w:rPr>
              <w:t>,</w:t>
            </w:r>
            <w:r>
              <w:rPr>
                <w:color w:val="auto"/>
                <w:sz w:val="24"/>
                <w:szCs w:val="24"/>
                <w:highlight w:val="none"/>
                <w:lang w:val="en-US" w:eastAsia="zh-CN" w:bidi="ar"/>
              </w:rPr>
              <w:t>2±5</w:t>
            </w:r>
            <w:r>
              <w:rPr>
                <w:rFonts w:hint="default"/>
                <w:color w:val="auto"/>
                <w:sz w:val="24"/>
                <w:szCs w:val="24"/>
                <w:highlight w:val="none"/>
                <w:lang w:val="ru-RU" w:eastAsia="zh-CN" w:bidi="ar"/>
              </w:rPr>
              <w:t>,</w:t>
            </w:r>
            <w:r>
              <w:rPr>
                <w:color w:val="auto"/>
                <w:sz w:val="24"/>
                <w:szCs w:val="24"/>
                <w:highlight w:val="none"/>
                <w:lang w:val="en-US" w:eastAsia="zh-CN" w:bidi="ar"/>
              </w:rPr>
              <w:t>8ᵃ</w:t>
            </w:r>
          </w:p>
        </w:tc>
        <w:tc>
          <w:tcPr>
            <w:tcW w:w="1872" w:type="dxa"/>
            <w:vAlign w:val="center"/>
          </w:tcPr>
          <w:p w14:paraId="217B8BF6">
            <w:pPr>
              <w:widowControl w:val="0"/>
              <w:rPr>
                <w:color w:val="auto"/>
                <w:sz w:val="24"/>
                <w:szCs w:val="24"/>
                <w:highlight w:val="none"/>
                <w:lang w:val="en-US" w:eastAsia="zh-CN" w:bidi="ar"/>
              </w:rPr>
            </w:pPr>
            <w:r>
              <w:rPr>
                <w:color w:val="auto"/>
                <w:sz w:val="24"/>
                <w:szCs w:val="24"/>
                <w:highlight w:val="none"/>
                <w:lang w:val="en-US" w:eastAsia="zh-CN" w:bidi="ar"/>
              </w:rPr>
              <w:t>47</w:t>
            </w:r>
            <w:r>
              <w:rPr>
                <w:rFonts w:hint="default"/>
                <w:color w:val="auto"/>
                <w:sz w:val="24"/>
                <w:szCs w:val="24"/>
                <w:highlight w:val="none"/>
                <w:lang w:val="ru-RU" w:eastAsia="zh-CN" w:bidi="ar"/>
              </w:rPr>
              <w:t>,</w:t>
            </w:r>
            <w:r>
              <w:rPr>
                <w:color w:val="auto"/>
                <w:sz w:val="24"/>
                <w:szCs w:val="24"/>
                <w:highlight w:val="none"/>
                <w:lang w:val="en-US" w:eastAsia="zh-CN" w:bidi="ar"/>
              </w:rPr>
              <w:t>3±5</w:t>
            </w:r>
            <w:r>
              <w:rPr>
                <w:rFonts w:hint="default"/>
                <w:color w:val="auto"/>
                <w:sz w:val="24"/>
                <w:szCs w:val="24"/>
                <w:highlight w:val="none"/>
                <w:lang w:val="ru-RU" w:eastAsia="zh-CN" w:bidi="ar"/>
              </w:rPr>
              <w:t>,</w:t>
            </w:r>
            <w:r>
              <w:rPr>
                <w:color w:val="auto"/>
                <w:sz w:val="24"/>
                <w:szCs w:val="24"/>
                <w:highlight w:val="none"/>
                <w:lang w:val="en-US" w:eastAsia="zh-CN" w:bidi="ar"/>
              </w:rPr>
              <w:t>2ᵃ</w:t>
            </w:r>
          </w:p>
        </w:tc>
      </w:tr>
    </w:tbl>
    <w:p w14:paraId="2B118C06">
      <w:pPr>
        <w:pStyle w:val="35"/>
        <w:spacing w:beforeAutospacing="0" w:afterAutospacing="0"/>
        <w:ind w:firstLine="709"/>
        <w:jc w:val="both"/>
        <w:rPr>
          <w:color w:val="auto"/>
          <w:sz w:val="28"/>
          <w:szCs w:val="28"/>
          <w:lang w:val="ru-RU"/>
        </w:rPr>
      </w:pPr>
    </w:p>
    <w:p w14:paraId="218B2A22">
      <w:pPr>
        <w:pStyle w:val="35"/>
        <w:spacing w:beforeAutospacing="0" w:afterAutospacing="0"/>
        <w:ind w:firstLine="709"/>
        <w:jc w:val="both"/>
        <w:rPr>
          <w:color w:val="auto"/>
          <w:sz w:val="28"/>
          <w:szCs w:val="28"/>
          <w:lang w:val="ru-RU"/>
        </w:rPr>
      </w:pPr>
      <w:r>
        <w:rPr>
          <w:color w:val="auto"/>
          <w:sz w:val="28"/>
          <w:szCs w:val="28"/>
          <w:lang w:val="ru-RU"/>
        </w:rPr>
        <w:t>Иммобилизацияланған жүйелерд</w:t>
      </w:r>
      <w:r>
        <w:rPr>
          <w:color w:val="auto"/>
          <w:sz w:val="28"/>
          <w:szCs w:val="28"/>
          <w:lang w:val="kk-KZ"/>
        </w:rPr>
        <w:t>егі</w:t>
      </w:r>
      <w:r>
        <w:rPr>
          <w:color w:val="auto"/>
          <w:sz w:val="28"/>
          <w:szCs w:val="28"/>
          <w:lang w:val="ru-RU"/>
        </w:rPr>
        <w:t xml:space="preserve"> жоғары микробтық тығызды</w:t>
      </w:r>
      <w:r>
        <w:rPr>
          <w:color w:val="auto"/>
          <w:sz w:val="28"/>
          <w:szCs w:val="28"/>
          <w:lang w:val="kk-KZ"/>
        </w:rPr>
        <w:t>қ</w:t>
      </w:r>
      <w:r>
        <w:rPr>
          <w:color w:val="auto"/>
          <w:sz w:val="28"/>
          <w:szCs w:val="28"/>
          <w:lang w:val="ru-RU"/>
        </w:rPr>
        <w:t xml:space="preserve"> бес негізгі механизммен түсіндіріледі </w:t>
      </w:r>
      <w:r>
        <w:rPr>
          <w:rStyle w:val="19"/>
          <w:b w:val="0"/>
          <w:bCs w:val="0"/>
          <w:color w:val="auto"/>
          <w:sz w:val="28"/>
          <w:szCs w:val="28"/>
          <w:lang w:val="ru-RU"/>
        </w:rPr>
        <w:t>[</w:t>
      </w:r>
      <w:r>
        <w:rPr>
          <w:rStyle w:val="19"/>
          <w:rFonts w:hint="default"/>
          <w:b w:val="0"/>
          <w:bCs w:val="0"/>
          <w:color w:val="auto"/>
          <w:sz w:val="28"/>
          <w:szCs w:val="28"/>
          <w:lang w:val="ru-RU"/>
        </w:rPr>
        <w:t>64, 65, 68, 97</w:t>
      </w:r>
      <w:r>
        <w:rPr>
          <w:rStyle w:val="19"/>
          <w:b w:val="0"/>
          <w:bCs w:val="0"/>
          <w:color w:val="auto"/>
          <w:sz w:val="28"/>
          <w:szCs w:val="28"/>
          <w:lang w:val="ru-RU"/>
        </w:rPr>
        <w:t>]</w:t>
      </w:r>
      <w:r>
        <w:rPr>
          <w:color w:val="auto"/>
          <w:sz w:val="28"/>
          <w:szCs w:val="28"/>
          <w:lang w:val="ru-RU"/>
        </w:rPr>
        <w:t>:</w:t>
      </w:r>
    </w:p>
    <w:p w14:paraId="67D357CF">
      <w:pPr>
        <w:pStyle w:val="35"/>
        <w:spacing w:beforeAutospacing="0" w:afterAutospacing="0"/>
        <w:ind w:firstLine="709"/>
        <w:jc w:val="both"/>
        <w:rPr>
          <w:color w:val="auto"/>
          <w:sz w:val="28"/>
          <w:szCs w:val="28"/>
          <w:lang w:val="ru-RU"/>
        </w:rPr>
      </w:pPr>
      <w:r>
        <w:rPr>
          <w:rStyle w:val="19"/>
          <w:b w:val="0"/>
          <w:bCs w:val="0"/>
          <w:color w:val="auto"/>
          <w:sz w:val="28"/>
          <w:szCs w:val="28"/>
          <w:lang w:val="ru-RU"/>
        </w:rPr>
        <w:t xml:space="preserve">Физикалық қорғау. </w:t>
      </w:r>
      <w:r>
        <w:rPr>
          <w:color w:val="auto"/>
          <w:sz w:val="28"/>
          <w:szCs w:val="28"/>
          <w:lang w:val="ru-RU"/>
        </w:rPr>
        <w:t>Тасымалда</w:t>
      </w:r>
      <w:r>
        <w:rPr>
          <w:color w:val="auto"/>
          <w:sz w:val="28"/>
          <w:szCs w:val="28"/>
          <w:lang w:val="kk-KZ"/>
        </w:rPr>
        <w:t>ғыштардың</w:t>
      </w:r>
      <w:r>
        <w:rPr>
          <w:color w:val="auto"/>
          <w:sz w:val="28"/>
          <w:szCs w:val="28"/>
          <w:lang w:val="ru-RU"/>
        </w:rPr>
        <w:t xml:space="preserve"> кеуекті құрылымы (</w:t>
      </w:r>
      <w:r>
        <w:rPr>
          <w:color w:val="auto"/>
          <w:sz w:val="28"/>
          <w:szCs w:val="28"/>
          <w:lang w:val="kk-KZ"/>
        </w:rPr>
        <w:t xml:space="preserve">қарақұмық қауызы үшін </w:t>
      </w:r>
      <w:r>
        <w:rPr>
          <w:color w:val="auto"/>
          <w:sz w:val="28"/>
          <w:szCs w:val="28"/>
          <w:lang w:val="ru-RU"/>
        </w:rPr>
        <w:t>5</w:t>
      </w:r>
      <w:r>
        <w:rPr>
          <w:rFonts w:hint="default"/>
          <w:color w:val="auto"/>
          <w:sz w:val="28"/>
          <w:szCs w:val="28"/>
          <w:lang w:val="ru-RU"/>
        </w:rPr>
        <w:t>,0</w:t>
      </w:r>
      <w:r>
        <w:rPr>
          <w:color w:val="auto"/>
          <w:sz w:val="28"/>
          <w:szCs w:val="28"/>
          <w:lang w:val="ru-RU"/>
        </w:rPr>
        <w:t>-50</w:t>
      </w:r>
      <w:r>
        <w:rPr>
          <w:rFonts w:hint="default"/>
          <w:color w:val="auto"/>
          <w:sz w:val="28"/>
          <w:szCs w:val="28"/>
          <w:lang w:val="ru-RU"/>
        </w:rPr>
        <w:t>,0</w:t>
      </w:r>
      <w:r>
        <w:rPr>
          <w:color w:val="auto"/>
          <w:sz w:val="28"/>
          <w:szCs w:val="28"/>
          <w:lang w:val="ru-RU"/>
        </w:rPr>
        <w:t xml:space="preserve"> мкм, </w:t>
      </w:r>
      <w:r>
        <w:rPr>
          <w:color w:val="auto"/>
          <w:sz w:val="28"/>
          <w:szCs w:val="28"/>
          <w:lang w:val="kk-KZ"/>
        </w:rPr>
        <w:t xml:space="preserve">күріш қауызы үшін </w:t>
      </w:r>
      <w:r>
        <w:rPr>
          <w:color w:val="auto"/>
          <w:sz w:val="28"/>
          <w:szCs w:val="28"/>
          <w:lang w:val="ru-RU"/>
        </w:rPr>
        <w:t>3</w:t>
      </w:r>
      <w:r>
        <w:rPr>
          <w:rFonts w:hint="default"/>
          <w:color w:val="auto"/>
          <w:sz w:val="28"/>
          <w:szCs w:val="28"/>
          <w:lang w:val="ru-RU"/>
        </w:rPr>
        <w:t>,0</w:t>
      </w:r>
      <w:r>
        <w:rPr>
          <w:color w:val="auto"/>
          <w:sz w:val="28"/>
          <w:szCs w:val="28"/>
          <w:lang w:val="ru-RU"/>
        </w:rPr>
        <w:t>-20</w:t>
      </w:r>
      <w:r>
        <w:rPr>
          <w:rFonts w:hint="default"/>
          <w:color w:val="auto"/>
          <w:sz w:val="28"/>
          <w:szCs w:val="28"/>
          <w:lang w:val="ru-RU"/>
        </w:rPr>
        <w:t>,0</w:t>
      </w:r>
      <w:r>
        <w:rPr>
          <w:color w:val="auto"/>
          <w:sz w:val="28"/>
          <w:szCs w:val="28"/>
          <w:lang w:val="ru-RU"/>
        </w:rPr>
        <w:t xml:space="preserve"> мкм) жасушаларды шаюдан, механикалық зақымданудан және жыртқыштық протозоалардан қорғайды [</w:t>
      </w:r>
      <w:r>
        <w:rPr>
          <w:rFonts w:hint="default"/>
          <w:color w:val="auto"/>
          <w:sz w:val="28"/>
          <w:szCs w:val="28"/>
          <w:lang w:val="ru-RU"/>
        </w:rPr>
        <w:t>82, 85, 90, 97</w:t>
      </w:r>
      <w:r>
        <w:rPr>
          <w:color w:val="auto"/>
          <w:sz w:val="28"/>
          <w:szCs w:val="28"/>
          <w:lang w:val="ru-RU"/>
        </w:rPr>
        <w:t xml:space="preserve">]. </w:t>
      </w:r>
      <w:r>
        <w:rPr>
          <w:color w:val="auto"/>
          <w:sz w:val="28"/>
          <w:szCs w:val="28"/>
          <w:lang w:val="kk-KZ"/>
        </w:rPr>
        <w:t>Сканирлеуші электронды микроскопия (</w:t>
      </w:r>
      <w:r>
        <w:rPr>
          <w:color w:val="auto"/>
          <w:sz w:val="28"/>
          <w:szCs w:val="28"/>
          <w:lang w:val="ru-RU"/>
        </w:rPr>
        <w:t>СЭМ</w:t>
      </w:r>
      <w:r>
        <w:rPr>
          <w:color w:val="auto"/>
          <w:sz w:val="28"/>
          <w:szCs w:val="28"/>
          <w:lang w:val="kk-KZ"/>
        </w:rPr>
        <w:t>)</w:t>
      </w:r>
      <w:r>
        <w:rPr>
          <w:color w:val="auto"/>
          <w:sz w:val="28"/>
          <w:szCs w:val="28"/>
          <w:lang w:val="ru-RU"/>
        </w:rPr>
        <w:t xml:space="preserve"> суреттері жасушалардың кеуектер ішінде тығыз </w:t>
      </w:r>
      <w:r>
        <w:rPr>
          <w:color w:val="auto"/>
          <w:sz w:val="28"/>
          <w:szCs w:val="28"/>
          <w:lang w:val="kk-KZ"/>
        </w:rPr>
        <w:t>агрегаттарда</w:t>
      </w:r>
      <w:r>
        <w:rPr>
          <w:color w:val="auto"/>
          <w:sz w:val="28"/>
          <w:szCs w:val="28"/>
          <w:lang w:val="ru-RU"/>
        </w:rPr>
        <w:t xml:space="preserve"> орналасуын көрсетті, бұл қорға</w:t>
      </w:r>
      <w:r>
        <w:rPr>
          <w:color w:val="auto"/>
          <w:sz w:val="28"/>
          <w:szCs w:val="28"/>
          <w:lang w:val="kk-KZ"/>
        </w:rPr>
        <w:t>ныш</w:t>
      </w:r>
      <w:r>
        <w:rPr>
          <w:color w:val="auto"/>
          <w:sz w:val="28"/>
          <w:szCs w:val="28"/>
          <w:lang w:val="ru-RU"/>
        </w:rPr>
        <w:t xml:space="preserve"> микроортаны</w:t>
      </w:r>
      <w:r>
        <w:rPr>
          <w:color w:val="auto"/>
          <w:sz w:val="28"/>
          <w:szCs w:val="28"/>
          <w:lang w:val="kk-KZ"/>
        </w:rPr>
        <w:t>ң қалыптасуын</w:t>
      </w:r>
      <w:r>
        <w:rPr>
          <w:color w:val="auto"/>
          <w:sz w:val="28"/>
          <w:szCs w:val="28"/>
          <w:lang w:val="ru-RU"/>
        </w:rPr>
        <w:t xml:space="preserve"> растайды</w:t>
      </w:r>
      <w:r>
        <w:rPr>
          <w:rFonts w:hint="default"/>
          <w:color w:val="auto"/>
          <w:sz w:val="28"/>
          <w:szCs w:val="28"/>
          <w:lang w:val="kk-KZ"/>
        </w:rPr>
        <w:t xml:space="preserve"> </w:t>
      </w:r>
      <w:r>
        <w:rPr>
          <w:color w:val="auto"/>
          <w:sz w:val="28"/>
          <w:szCs w:val="28"/>
          <w:lang w:val="ru-RU"/>
        </w:rPr>
        <w:t>[</w:t>
      </w:r>
      <w:r>
        <w:rPr>
          <w:rFonts w:hint="default"/>
          <w:color w:val="auto"/>
          <w:sz w:val="28"/>
          <w:szCs w:val="28"/>
          <w:lang w:val="ru-RU"/>
        </w:rPr>
        <w:t>77, 82</w:t>
      </w:r>
      <w:r>
        <w:rPr>
          <w:color w:val="auto"/>
          <w:sz w:val="28"/>
          <w:szCs w:val="28"/>
          <w:lang w:val="ru-RU"/>
        </w:rPr>
        <w:t>].</w:t>
      </w:r>
    </w:p>
    <w:p w14:paraId="536A387F">
      <w:pPr>
        <w:pStyle w:val="35"/>
        <w:spacing w:beforeAutospacing="0" w:afterAutospacing="0"/>
        <w:ind w:firstLine="709"/>
        <w:jc w:val="both"/>
        <w:rPr>
          <w:color w:val="auto"/>
          <w:sz w:val="28"/>
          <w:szCs w:val="28"/>
          <w:lang w:val="ru-RU"/>
        </w:rPr>
      </w:pPr>
      <w:r>
        <w:rPr>
          <w:rStyle w:val="19"/>
          <w:b w:val="0"/>
          <w:bCs w:val="0"/>
          <w:color w:val="auto"/>
          <w:sz w:val="28"/>
          <w:szCs w:val="28"/>
          <w:lang w:val="ru-RU"/>
        </w:rPr>
        <w:t xml:space="preserve">Қоректік қолдау. </w:t>
      </w:r>
      <w:r>
        <w:rPr>
          <w:color w:val="auto"/>
          <w:sz w:val="28"/>
          <w:szCs w:val="28"/>
          <w:lang w:val="ru-RU"/>
        </w:rPr>
        <w:t xml:space="preserve">Органикалық тасымалдағыштар </w:t>
      </w:r>
      <w:r>
        <w:rPr>
          <w:color w:val="auto"/>
          <w:sz w:val="28"/>
          <w:szCs w:val="28"/>
          <w:lang w:val="kk-KZ"/>
        </w:rPr>
        <w:t xml:space="preserve">микроорганизмдер үшін қосымша қоректік көздер болып табылады, оның ішінде </w:t>
      </w:r>
      <w:r>
        <w:rPr>
          <w:color w:val="auto"/>
          <w:sz w:val="28"/>
          <w:szCs w:val="28"/>
          <w:lang w:val="ru-RU"/>
        </w:rPr>
        <w:t>азот (белок 3-7%), липидтер (май 2,2%) және витаминдер (</w:t>
      </w:r>
      <w:r>
        <w:rPr>
          <w:color w:val="auto"/>
          <w:sz w:val="28"/>
          <w:szCs w:val="28"/>
        </w:rPr>
        <w:t>B</w:t>
      </w:r>
      <w:r>
        <w:rPr>
          <w:color w:val="auto"/>
          <w:sz w:val="28"/>
          <w:szCs w:val="28"/>
          <w:lang w:val="ru-RU"/>
        </w:rPr>
        <w:t xml:space="preserve">₁, </w:t>
      </w:r>
      <w:r>
        <w:rPr>
          <w:color w:val="auto"/>
          <w:sz w:val="28"/>
          <w:szCs w:val="28"/>
        </w:rPr>
        <w:t>B</w:t>
      </w:r>
      <w:r>
        <w:rPr>
          <w:color w:val="auto"/>
          <w:sz w:val="28"/>
          <w:szCs w:val="28"/>
          <w:lang w:val="ru-RU"/>
        </w:rPr>
        <w:t xml:space="preserve">₂, </w:t>
      </w:r>
      <w:r>
        <w:rPr>
          <w:color w:val="auto"/>
          <w:sz w:val="28"/>
          <w:szCs w:val="28"/>
        </w:rPr>
        <w:t>E</w:t>
      </w:r>
      <w:r>
        <w:rPr>
          <w:color w:val="auto"/>
          <w:sz w:val="28"/>
          <w:szCs w:val="28"/>
          <w:lang w:val="ru-RU"/>
        </w:rPr>
        <w:t>) б</w:t>
      </w:r>
      <w:r>
        <w:rPr>
          <w:color w:val="auto"/>
          <w:sz w:val="28"/>
          <w:szCs w:val="28"/>
          <w:lang w:val="kk-KZ"/>
        </w:rPr>
        <w:t>ар</w:t>
      </w:r>
      <w:r>
        <w:rPr>
          <w:color w:val="auto"/>
          <w:sz w:val="28"/>
          <w:szCs w:val="28"/>
          <w:lang w:val="ru-RU"/>
        </w:rPr>
        <w:t xml:space="preserve"> </w:t>
      </w:r>
      <w:r>
        <w:rPr>
          <w:rStyle w:val="19"/>
          <w:b w:val="0"/>
          <w:bCs w:val="0"/>
          <w:color w:val="auto"/>
          <w:sz w:val="28"/>
          <w:szCs w:val="28"/>
          <w:lang w:val="ru-RU"/>
        </w:rPr>
        <w:t>[</w:t>
      </w:r>
      <w:r>
        <w:rPr>
          <w:rStyle w:val="19"/>
          <w:rFonts w:hint="default"/>
          <w:b w:val="0"/>
          <w:bCs w:val="0"/>
          <w:color w:val="auto"/>
          <w:sz w:val="28"/>
          <w:szCs w:val="28"/>
          <w:lang w:val="ru-RU"/>
        </w:rPr>
        <w:t>97, 150, 161</w:t>
      </w:r>
      <w:r>
        <w:rPr>
          <w:rStyle w:val="19"/>
          <w:b w:val="0"/>
          <w:bCs w:val="0"/>
          <w:color w:val="auto"/>
          <w:sz w:val="28"/>
          <w:szCs w:val="28"/>
          <w:lang w:val="ru-RU"/>
        </w:rPr>
        <w:t>]</w:t>
      </w:r>
      <w:r>
        <w:rPr>
          <w:color w:val="auto"/>
          <w:sz w:val="28"/>
          <w:szCs w:val="28"/>
          <w:lang w:val="ru-RU"/>
        </w:rPr>
        <w:t>. Бұл компоненттер жасушалық метаболизмді қолда</w:t>
      </w:r>
      <w:r>
        <w:rPr>
          <w:color w:val="auto"/>
          <w:sz w:val="28"/>
          <w:szCs w:val="28"/>
          <w:lang w:val="kk-KZ"/>
        </w:rPr>
        <w:t xml:space="preserve">п, </w:t>
      </w:r>
      <w:r>
        <w:rPr>
          <w:color w:val="auto"/>
          <w:sz w:val="28"/>
          <w:szCs w:val="28"/>
          <w:lang w:val="ru-RU"/>
        </w:rPr>
        <w:t xml:space="preserve">мұнай </w:t>
      </w:r>
      <w:r>
        <w:rPr>
          <w:color w:val="auto"/>
          <w:sz w:val="28"/>
          <w:szCs w:val="28"/>
          <w:lang w:val="kk-KZ"/>
        </w:rPr>
        <w:t xml:space="preserve">көмірсутектерінің уытты әсерін әлсіретеді. </w:t>
      </w:r>
    </w:p>
    <w:p w14:paraId="1BCAFED7">
      <w:pPr>
        <w:pStyle w:val="35"/>
        <w:spacing w:beforeAutospacing="0" w:afterAutospacing="0"/>
        <w:ind w:firstLine="709"/>
        <w:jc w:val="both"/>
        <w:rPr>
          <w:color w:val="auto"/>
          <w:sz w:val="28"/>
          <w:szCs w:val="28"/>
          <w:lang w:val="ru-RU"/>
        </w:rPr>
      </w:pPr>
      <w:r>
        <w:rPr>
          <w:rStyle w:val="19"/>
          <w:b w:val="0"/>
          <w:bCs w:val="0"/>
          <w:color w:val="auto"/>
          <w:sz w:val="28"/>
          <w:szCs w:val="28"/>
          <w:lang w:val="ru-RU"/>
        </w:rPr>
        <w:t xml:space="preserve"> Биофильм түзілуі. </w:t>
      </w:r>
      <w:r>
        <w:rPr>
          <w:color w:val="auto"/>
          <w:sz w:val="28"/>
          <w:szCs w:val="28"/>
          <w:lang w:val="ru-RU"/>
        </w:rPr>
        <w:t>СЭМ талдауы биофильм құрылымдарын</w:t>
      </w:r>
      <w:r>
        <w:rPr>
          <w:color w:val="auto"/>
          <w:sz w:val="28"/>
          <w:szCs w:val="28"/>
          <w:lang w:val="kk-KZ"/>
        </w:rPr>
        <w:t>ың</w:t>
      </w:r>
      <w:r>
        <w:rPr>
          <w:color w:val="auto"/>
          <w:sz w:val="28"/>
          <w:szCs w:val="28"/>
          <w:lang w:val="ru-RU"/>
        </w:rPr>
        <w:t xml:space="preserve"> </w:t>
      </w:r>
      <w:r>
        <w:rPr>
          <w:color w:val="auto"/>
          <w:sz w:val="28"/>
          <w:szCs w:val="28"/>
          <w:lang w:val="kk-KZ"/>
        </w:rPr>
        <w:t xml:space="preserve">қалыптасуын </w:t>
      </w:r>
      <w:r>
        <w:rPr>
          <w:color w:val="auto"/>
          <w:sz w:val="28"/>
          <w:szCs w:val="28"/>
          <w:lang w:val="ru-RU"/>
        </w:rPr>
        <w:t xml:space="preserve">растады. Биофильмдер жасушаларды стресстен қорғайды, қоректік заттарды </w:t>
      </w:r>
      <w:r>
        <w:rPr>
          <w:color w:val="auto"/>
          <w:sz w:val="28"/>
          <w:szCs w:val="28"/>
          <w:lang w:val="kk-KZ"/>
        </w:rPr>
        <w:t xml:space="preserve">локалды концентрациясын арттырады </w:t>
      </w:r>
      <w:r>
        <w:rPr>
          <w:color w:val="auto"/>
          <w:sz w:val="28"/>
          <w:szCs w:val="28"/>
          <w:lang w:val="ru-RU"/>
        </w:rPr>
        <w:t xml:space="preserve">және жасушааралық кооперацияны жеңілдетеді </w:t>
      </w:r>
      <w:r>
        <w:rPr>
          <w:rStyle w:val="19"/>
          <w:b w:val="0"/>
          <w:bCs w:val="0"/>
          <w:color w:val="auto"/>
          <w:sz w:val="28"/>
          <w:szCs w:val="28"/>
          <w:lang w:val="ru-RU"/>
        </w:rPr>
        <w:t>[</w:t>
      </w:r>
      <w:r>
        <w:rPr>
          <w:rStyle w:val="19"/>
          <w:rFonts w:hint="default"/>
          <w:b w:val="0"/>
          <w:bCs w:val="0"/>
          <w:color w:val="auto"/>
          <w:sz w:val="28"/>
          <w:szCs w:val="28"/>
          <w:lang w:val="ru-RU"/>
        </w:rPr>
        <w:t>58, 97, 99</w:t>
      </w:r>
      <w:r>
        <w:rPr>
          <w:rStyle w:val="19"/>
          <w:b w:val="0"/>
          <w:bCs w:val="0"/>
          <w:color w:val="auto"/>
          <w:sz w:val="28"/>
          <w:szCs w:val="28"/>
          <w:lang w:val="ru-RU"/>
        </w:rPr>
        <w:t>]</w:t>
      </w:r>
      <w:r>
        <w:rPr>
          <w:color w:val="auto"/>
          <w:sz w:val="28"/>
          <w:szCs w:val="28"/>
          <w:lang w:val="ru-RU"/>
        </w:rPr>
        <w:t>.</w:t>
      </w:r>
    </w:p>
    <w:p w14:paraId="604B8945">
      <w:pPr>
        <w:pStyle w:val="35"/>
        <w:spacing w:beforeAutospacing="0" w:afterAutospacing="0"/>
        <w:ind w:firstLine="709"/>
        <w:jc w:val="both"/>
        <w:rPr>
          <w:color w:val="auto"/>
          <w:sz w:val="28"/>
          <w:szCs w:val="28"/>
          <w:lang w:val="ru-RU"/>
        </w:rPr>
      </w:pPr>
      <w:r>
        <w:rPr>
          <w:rStyle w:val="19"/>
          <w:b w:val="0"/>
          <w:bCs w:val="0"/>
          <w:color w:val="auto"/>
          <w:sz w:val="28"/>
          <w:szCs w:val="28"/>
          <w:lang w:val="ru-RU"/>
        </w:rPr>
        <w:t xml:space="preserve">Ылғал сақтау. </w:t>
      </w:r>
      <w:r>
        <w:rPr>
          <w:color w:val="auto"/>
          <w:sz w:val="28"/>
          <w:szCs w:val="28"/>
          <w:lang w:val="ru-RU"/>
        </w:rPr>
        <w:t xml:space="preserve">Тасымалдағыштар топырақ ылғалдылығын 55% деңгейінде сақтады, бұл бақылаудан (38%) айтарлықтай жоғары </w:t>
      </w:r>
      <w:r>
        <w:rPr>
          <w:rStyle w:val="19"/>
          <w:b w:val="0"/>
          <w:bCs w:val="0"/>
          <w:color w:val="auto"/>
          <w:sz w:val="28"/>
          <w:szCs w:val="28"/>
          <w:lang w:val="ru-RU"/>
        </w:rPr>
        <w:t>[</w:t>
      </w:r>
      <w:r>
        <w:rPr>
          <w:rStyle w:val="19"/>
          <w:rFonts w:hint="default"/>
          <w:b w:val="0"/>
          <w:bCs w:val="0"/>
          <w:color w:val="auto"/>
          <w:sz w:val="28"/>
          <w:szCs w:val="28"/>
          <w:lang w:val="ru-RU"/>
        </w:rPr>
        <w:t>95, 98</w:t>
      </w:r>
      <w:r>
        <w:rPr>
          <w:rStyle w:val="19"/>
          <w:b w:val="0"/>
          <w:bCs w:val="0"/>
          <w:color w:val="auto"/>
          <w:sz w:val="28"/>
          <w:szCs w:val="28"/>
          <w:lang w:val="ru-RU"/>
        </w:rPr>
        <w:t>]</w:t>
      </w:r>
      <w:r>
        <w:rPr>
          <w:color w:val="auto"/>
          <w:sz w:val="28"/>
          <w:szCs w:val="28"/>
          <w:lang w:val="ru-RU"/>
        </w:rPr>
        <w:t>. Тұрақты ылғалдылық микробтық белсенділік үшін маңызды, әсіресе аридті климатта.</w:t>
      </w:r>
    </w:p>
    <w:p w14:paraId="6ABC4965">
      <w:pPr>
        <w:pStyle w:val="35"/>
        <w:spacing w:beforeAutospacing="0" w:afterAutospacing="0"/>
        <w:ind w:firstLine="709"/>
        <w:jc w:val="both"/>
        <w:rPr>
          <w:color w:val="auto"/>
          <w:sz w:val="28"/>
          <w:szCs w:val="28"/>
          <w:lang w:val="kk-KZ"/>
        </w:rPr>
      </w:pPr>
      <w:r>
        <w:rPr>
          <w:rStyle w:val="19"/>
          <w:b w:val="0"/>
          <w:bCs w:val="0"/>
          <w:color w:val="auto"/>
          <w:sz w:val="28"/>
          <w:szCs w:val="28"/>
          <w:lang w:val="ru-RU"/>
        </w:rPr>
        <w:t>Антиоксиданттық қорғау.</w:t>
      </w:r>
      <w:r>
        <w:rPr>
          <w:rStyle w:val="19"/>
          <w:b w:val="0"/>
          <w:bCs w:val="0"/>
          <w:color w:val="auto"/>
          <w:sz w:val="28"/>
          <w:szCs w:val="28"/>
          <w:lang w:val="kk-KZ"/>
        </w:rPr>
        <w:t xml:space="preserve"> Қарақұмық қауызындағы р</w:t>
      </w:r>
      <w:r>
        <w:rPr>
          <w:color w:val="auto"/>
          <w:sz w:val="28"/>
          <w:szCs w:val="28"/>
          <w:lang w:val="kk-KZ"/>
        </w:rPr>
        <w:t>утин (28</w:t>
      </w:r>
      <w:r>
        <w:rPr>
          <w:rFonts w:hint="default"/>
          <w:color w:val="auto"/>
          <w:sz w:val="28"/>
          <w:szCs w:val="28"/>
          <w:lang w:val="ru-RU"/>
        </w:rPr>
        <w:t>,</w:t>
      </w:r>
      <w:r>
        <w:rPr>
          <w:color w:val="auto"/>
          <w:sz w:val="28"/>
          <w:szCs w:val="28"/>
          <w:lang w:val="kk-KZ"/>
        </w:rPr>
        <w:t>8 мг/100г  және күріш қауызы құрамындағы рутин</w:t>
      </w:r>
      <w:r>
        <w:rPr>
          <w:rFonts w:hint="default"/>
          <w:color w:val="auto"/>
          <w:sz w:val="28"/>
          <w:szCs w:val="28"/>
          <w:lang w:val="kk-KZ"/>
        </w:rPr>
        <w:t xml:space="preserve"> </w:t>
      </w:r>
      <w:r>
        <w:rPr>
          <w:color w:val="auto"/>
          <w:sz w:val="28"/>
          <w:szCs w:val="28"/>
          <w:lang w:val="kk-KZ"/>
        </w:rPr>
        <w:t>15</w:t>
      </w:r>
      <w:r>
        <w:rPr>
          <w:rFonts w:hint="default"/>
          <w:color w:val="auto"/>
          <w:sz w:val="28"/>
          <w:szCs w:val="28"/>
          <w:lang w:val="ru-RU"/>
        </w:rPr>
        <w:t>,</w:t>
      </w:r>
      <w:r>
        <w:rPr>
          <w:color w:val="auto"/>
          <w:sz w:val="28"/>
          <w:szCs w:val="28"/>
          <w:lang w:val="kk-KZ"/>
        </w:rPr>
        <w:t xml:space="preserve">0 мг/100г күріште </w:t>
      </w:r>
      <w:r>
        <w:rPr>
          <w:rStyle w:val="19"/>
          <w:b w:val="0"/>
          <w:bCs w:val="0"/>
          <w:color w:val="auto"/>
          <w:sz w:val="28"/>
          <w:szCs w:val="28"/>
          <w:lang w:val="kk-KZ"/>
        </w:rPr>
        <w:t>[1</w:t>
      </w:r>
      <w:r>
        <w:rPr>
          <w:rStyle w:val="19"/>
          <w:rFonts w:hint="default"/>
          <w:b w:val="0"/>
          <w:bCs w:val="0"/>
          <w:color w:val="auto"/>
          <w:sz w:val="28"/>
          <w:szCs w:val="28"/>
          <w:lang w:val="kk-KZ"/>
        </w:rPr>
        <w:t>51</w:t>
      </w:r>
      <w:r>
        <w:rPr>
          <w:rStyle w:val="19"/>
          <w:b w:val="0"/>
          <w:bCs w:val="0"/>
          <w:color w:val="auto"/>
          <w:sz w:val="28"/>
          <w:szCs w:val="28"/>
          <w:lang w:val="kk-KZ"/>
        </w:rPr>
        <w:t xml:space="preserve">], сондай-ақ </w:t>
      </w:r>
      <w:r>
        <w:rPr>
          <w:color w:val="auto"/>
          <w:sz w:val="28"/>
          <w:szCs w:val="28"/>
          <w:lang w:val="kk-KZ"/>
        </w:rPr>
        <w:t xml:space="preserve">витамин Е реактивті оттегі түрлерінен (ROS) қорғанысты қамтамасыз етеді. Мұнай тотығуы кезінде түзілетін ROS (O₂⁻, H₂O₂, ·OH) жасуша құрылымдарға зақым келтіруі мүмкін </w:t>
      </w:r>
      <w:r>
        <w:rPr>
          <w:rStyle w:val="19"/>
          <w:b w:val="0"/>
          <w:bCs w:val="0"/>
          <w:color w:val="auto"/>
          <w:sz w:val="28"/>
          <w:szCs w:val="28"/>
          <w:lang w:val="kk-KZ"/>
        </w:rPr>
        <w:t>[</w:t>
      </w:r>
      <w:r>
        <w:rPr>
          <w:rStyle w:val="19"/>
          <w:rFonts w:hint="default"/>
          <w:b w:val="0"/>
          <w:bCs w:val="0"/>
          <w:color w:val="auto"/>
          <w:sz w:val="28"/>
          <w:szCs w:val="28"/>
          <w:lang w:val="kk-KZ"/>
        </w:rPr>
        <w:t>39,50</w:t>
      </w:r>
      <w:r>
        <w:rPr>
          <w:rStyle w:val="19"/>
          <w:b w:val="0"/>
          <w:bCs w:val="0"/>
          <w:color w:val="auto"/>
          <w:sz w:val="28"/>
          <w:szCs w:val="28"/>
          <w:lang w:val="kk-KZ"/>
        </w:rPr>
        <w:t>], ал а</w:t>
      </w:r>
      <w:r>
        <w:rPr>
          <w:color w:val="auto"/>
          <w:sz w:val="28"/>
          <w:szCs w:val="28"/>
          <w:lang w:val="kk-KZ"/>
        </w:rPr>
        <w:t>нтиоксиданттар осы зиянды айтарлықтай төмендетеді.</w:t>
      </w:r>
    </w:p>
    <w:p w14:paraId="10699731">
      <w:pPr>
        <w:pStyle w:val="35"/>
        <w:spacing w:beforeAutospacing="0" w:afterAutospacing="0"/>
        <w:ind w:firstLine="709"/>
        <w:jc w:val="both"/>
        <w:rPr>
          <w:color w:val="auto"/>
          <w:sz w:val="28"/>
          <w:szCs w:val="28"/>
          <w:lang w:val="kk-KZ"/>
        </w:rPr>
      </w:pPr>
      <w:r>
        <w:rPr>
          <w:color w:val="auto"/>
          <w:sz w:val="28"/>
          <w:szCs w:val="28"/>
          <w:lang w:val="kk-KZ"/>
        </w:rPr>
        <w:t xml:space="preserve">Популяция динамикасы мен ЖМӨ деструкциясы арасында күшті оң корреляция байқалды (r = </w:t>
      </w:r>
      <w:r>
        <w:rPr>
          <w:color w:val="auto"/>
          <w:sz w:val="28"/>
          <w:szCs w:val="28"/>
          <w:lang w:val="ru-RU"/>
        </w:rPr>
        <w:t>0,</w:t>
      </w:r>
      <w:r>
        <w:rPr>
          <w:color w:val="auto"/>
          <w:sz w:val="28"/>
          <w:szCs w:val="28"/>
          <w:lang w:val="kk-KZ"/>
        </w:rPr>
        <w:t xml:space="preserve">89, p &lt; </w:t>
      </w:r>
      <w:r>
        <w:rPr>
          <w:color w:val="auto"/>
          <w:sz w:val="28"/>
          <w:szCs w:val="28"/>
          <w:lang w:val="ru-RU"/>
        </w:rPr>
        <w:t>0,</w:t>
      </w:r>
      <w:r>
        <w:rPr>
          <w:color w:val="auto"/>
          <w:sz w:val="28"/>
          <w:szCs w:val="28"/>
          <w:lang w:val="kk-KZ"/>
        </w:rPr>
        <w:t>001). Максималды биомассаға жету (30 күн) деструкцияның ең жоғары жылдамдығымен (15-30 күн) сәйкес келді, бұл себеп-салдар байланысын көрсетеді: жасуша санының артуы → ферменттік белсенділіктің күшеюі → мұнай көмірсутектерінің жедел ыдырауы [</w:t>
      </w:r>
      <w:r>
        <w:rPr>
          <w:rFonts w:hint="default"/>
          <w:color w:val="auto"/>
          <w:sz w:val="28"/>
          <w:szCs w:val="28"/>
          <w:lang w:val="kk-KZ"/>
        </w:rPr>
        <w:t>50, 57, 73, 127</w:t>
      </w:r>
      <w:r>
        <w:rPr>
          <w:color w:val="auto"/>
          <w:sz w:val="28"/>
          <w:szCs w:val="28"/>
          <w:lang w:val="kk-KZ"/>
        </w:rPr>
        <w:t>].</w:t>
      </w:r>
    </w:p>
    <w:p w14:paraId="1BB0C84D">
      <w:pPr>
        <w:pStyle w:val="35"/>
        <w:spacing w:beforeAutospacing="0" w:afterAutospacing="0"/>
        <w:ind w:firstLine="709"/>
        <w:jc w:val="both"/>
        <w:rPr>
          <w:color w:val="auto"/>
          <w:sz w:val="28"/>
          <w:szCs w:val="28"/>
          <w:lang w:val="ru-RU"/>
        </w:rPr>
      </w:pPr>
      <w:r>
        <w:rPr>
          <w:color w:val="auto"/>
          <w:sz w:val="28"/>
          <w:szCs w:val="28"/>
          <w:lang w:val="ru-RU"/>
        </w:rPr>
        <w:t xml:space="preserve">45 күнге қарай екі процесс те баяулады: популяциялар азайды, деструкция жылдамдығы төмендеді. Бұл жеңіл </w:t>
      </w:r>
      <w:r>
        <w:rPr>
          <w:color w:val="auto"/>
          <w:sz w:val="28"/>
          <w:szCs w:val="28"/>
          <w:lang w:val="kk-KZ"/>
        </w:rPr>
        <w:t>фракциялардың</w:t>
      </w:r>
      <w:r>
        <w:rPr>
          <w:color w:val="auto"/>
          <w:sz w:val="28"/>
          <w:szCs w:val="28"/>
          <w:lang w:val="ru-RU"/>
        </w:rPr>
        <w:t xml:space="preserve"> таусылуын және қалған ауыр көмірсутектердің (ұзын </w:t>
      </w:r>
      <w:r>
        <w:rPr>
          <w:color w:val="auto"/>
          <w:sz w:val="28"/>
          <w:szCs w:val="28"/>
          <w:lang w:val="kk-KZ"/>
        </w:rPr>
        <w:t xml:space="preserve">тізбекті </w:t>
      </w:r>
      <w:r>
        <w:rPr>
          <w:color w:val="auto"/>
          <w:sz w:val="28"/>
          <w:szCs w:val="28"/>
          <w:lang w:val="ru-RU"/>
        </w:rPr>
        <w:t>алкандар</w:t>
      </w:r>
      <w:r>
        <w:rPr>
          <w:color w:val="auto"/>
          <w:sz w:val="28"/>
          <w:szCs w:val="28"/>
          <w:lang w:val="kk-KZ"/>
        </w:rPr>
        <w:t xml:space="preserve"> мен </w:t>
      </w:r>
      <w:r>
        <w:rPr>
          <w:color w:val="auto"/>
          <w:sz w:val="28"/>
          <w:szCs w:val="28"/>
          <w:lang w:val="ru-RU"/>
        </w:rPr>
        <w:t>ауыр ПАК) баяу метаболизмі</w:t>
      </w:r>
      <w:r>
        <w:rPr>
          <w:color w:val="auto"/>
          <w:sz w:val="28"/>
          <w:szCs w:val="28"/>
          <w:lang w:val="kk-KZ"/>
        </w:rPr>
        <w:t>н</w:t>
      </w:r>
      <w:r>
        <w:rPr>
          <w:color w:val="auto"/>
          <w:sz w:val="28"/>
          <w:szCs w:val="28"/>
          <w:lang w:val="ru-RU"/>
        </w:rPr>
        <w:t xml:space="preserve"> көрсетеді.</w:t>
      </w:r>
    </w:p>
    <w:p w14:paraId="4EED0743">
      <w:pPr>
        <w:pStyle w:val="35"/>
        <w:spacing w:beforeAutospacing="0" w:afterAutospacing="0"/>
        <w:ind w:firstLine="709"/>
        <w:jc w:val="both"/>
        <w:rPr>
          <w:color w:val="auto"/>
          <w:sz w:val="28"/>
          <w:szCs w:val="28"/>
          <w:highlight w:val="yellow"/>
          <w:lang w:val="ru-RU"/>
        </w:rPr>
      </w:pPr>
    </w:p>
    <w:p w14:paraId="497FD272">
      <w:pPr>
        <w:pStyle w:val="35"/>
        <w:spacing w:beforeAutospacing="0" w:afterAutospacing="0"/>
        <w:ind w:firstLine="709"/>
        <w:jc w:val="both"/>
        <w:rPr>
          <w:b/>
          <w:bCs/>
          <w:color w:val="auto"/>
          <w:sz w:val="28"/>
          <w:szCs w:val="28"/>
          <w:lang w:val="kk-KZ"/>
        </w:rPr>
      </w:pPr>
      <w:r>
        <w:rPr>
          <w:b/>
          <w:bCs/>
          <w:color w:val="auto"/>
          <w:sz w:val="28"/>
          <w:szCs w:val="28"/>
          <w:lang w:val="ru-RU"/>
        </w:rPr>
        <w:t>3</w:t>
      </w:r>
      <w:r>
        <w:rPr>
          <w:rFonts w:hint="default"/>
          <w:b/>
          <w:bCs/>
          <w:color w:val="auto"/>
          <w:sz w:val="28"/>
          <w:szCs w:val="28"/>
          <w:lang w:val="kk-KZ"/>
        </w:rPr>
        <w:t>.</w:t>
      </w:r>
      <w:r>
        <w:rPr>
          <w:b/>
          <w:bCs/>
          <w:color w:val="auto"/>
          <w:sz w:val="28"/>
          <w:szCs w:val="28"/>
          <w:lang w:val="ru-RU"/>
        </w:rPr>
        <w:t>3</w:t>
      </w:r>
      <w:r>
        <w:rPr>
          <w:rFonts w:hint="default"/>
          <w:b/>
          <w:bCs/>
          <w:color w:val="auto"/>
          <w:sz w:val="28"/>
          <w:szCs w:val="28"/>
          <w:lang w:val="kk-KZ"/>
        </w:rPr>
        <w:t>.</w:t>
      </w:r>
      <w:r>
        <w:rPr>
          <w:b/>
          <w:bCs/>
          <w:color w:val="auto"/>
          <w:sz w:val="28"/>
          <w:szCs w:val="28"/>
          <w:lang w:val="ru-RU"/>
        </w:rPr>
        <w:t>5 Ферменттік белсенділік</w:t>
      </w:r>
      <w:r>
        <w:rPr>
          <w:b/>
          <w:bCs/>
          <w:color w:val="auto"/>
          <w:sz w:val="28"/>
          <w:szCs w:val="28"/>
          <w:lang w:val="kk-KZ"/>
        </w:rPr>
        <w:t>тің динамикасын зерттеу</w:t>
      </w:r>
    </w:p>
    <w:p w14:paraId="2FB81118">
      <w:pPr>
        <w:pStyle w:val="35"/>
        <w:spacing w:beforeAutospacing="0" w:afterAutospacing="0"/>
        <w:ind w:firstLine="709"/>
        <w:jc w:val="both"/>
        <w:rPr>
          <w:color w:val="auto"/>
          <w:sz w:val="28"/>
          <w:szCs w:val="28"/>
          <w:lang w:val="kk-KZ"/>
        </w:rPr>
      </w:pPr>
      <w:r>
        <w:rPr>
          <w:color w:val="auto"/>
          <w:sz w:val="28"/>
          <w:szCs w:val="28"/>
          <w:lang w:val="kk-KZ"/>
        </w:rPr>
        <w:t>Ферменттік белсенділік биоремедиация процесінің негізгі көрсеткіші болып табылады, өйткені мұнай көмірсутектердің биодеградациясы негізінен оксидоредуктаза және гидролазалар класына жататын ферменттерінің қатысуымен жүзеге асады. Осы зерттеуде каталаза  және липаза екі маңызды ферменттік маркер ретінде таңдалды, өйткені олар көмірсутектерді деградациялау жолдарына тікелей қатысады.</w:t>
      </w:r>
    </w:p>
    <w:p w14:paraId="3D7FF423">
      <w:pPr>
        <w:pStyle w:val="35"/>
        <w:spacing w:beforeAutospacing="0" w:afterAutospacing="0"/>
        <w:ind w:firstLine="709"/>
        <w:jc w:val="both"/>
        <w:rPr>
          <w:color w:val="auto"/>
          <w:sz w:val="28"/>
          <w:szCs w:val="28"/>
          <w:lang w:val="kk-KZ"/>
        </w:rPr>
      </w:pPr>
      <w:r>
        <w:rPr>
          <w:color w:val="auto"/>
          <w:sz w:val="28"/>
          <w:szCs w:val="28"/>
          <w:lang w:val="kk-KZ"/>
        </w:rPr>
        <w:t>Каталаза сутегі пероксидін (H₂O₂) ыдыратуды катализдейді, бұл қосылыс алканмонооксигеназа ферменттері арқылы тотықтыру кезінде түзіледі. Каталаза белсенділігі микроорганизмдердің тотығу стрессіне бейімделу деңгейін сипаттайды және аэробты көмірсутек метаболизмі барысында жүретін белсенді детоксикация процестерінің индикаторы болып табылады.</w:t>
      </w:r>
    </w:p>
    <w:p w14:paraId="117EB186">
      <w:pPr>
        <w:pStyle w:val="35"/>
        <w:spacing w:beforeAutospacing="0" w:afterAutospacing="0"/>
        <w:ind w:firstLine="709"/>
        <w:jc w:val="both"/>
        <w:rPr>
          <w:color w:val="auto"/>
          <w:sz w:val="28"/>
          <w:szCs w:val="28"/>
          <w:lang w:val="kk-KZ"/>
        </w:rPr>
      </w:pPr>
      <w:r>
        <w:rPr>
          <w:color w:val="auto"/>
          <w:sz w:val="28"/>
          <w:szCs w:val="28"/>
          <w:lang w:val="kk-KZ"/>
        </w:rPr>
        <w:t>Липаза мұнайдан түзілген липидтік фракциялардағы эфирлік байланыстардың гидролизді катализдейді, гидрофобты көмірсутектердің босауын және еруін жеңілдетеді. Бұл субстраттың биожетімділігін арттырады және кейінгі микробтық деградацияны қолдайды.</w:t>
      </w:r>
    </w:p>
    <w:p w14:paraId="2D95E653">
      <w:pPr>
        <w:pStyle w:val="35"/>
        <w:spacing w:beforeAutospacing="0" w:afterAutospacing="0"/>
        <w:ind w:firstLine="709"/>
        <w:jc w:val="both"/>
        <w:rPr>
          <w:color w:val="auto"/>
          <w:sz w:val="28"/>
          <w:szCs w:val="28"/>
          <w:lang w:val="kk-KZ"/>
        </w:rPr>
      </w:pPr>
      <w:r>
        <w:rPr>
          <w:color w:val="auto"/>
          <w:sz w:val="28"/>
          <w:szCs w:val="28"/>
          <w:lang w:val="kk-KZ"/>
        </w:rPr>
        <w:t>Ферменттік белсенділік динамика биодеградация нәтижелерімен корреляциялады. Каталаза да, липазаның белсенділігі барлық биотикалық өңдеулерде уақыт бойынша тұрақты түрде артты (Кесте 14) [1</w:t>
      </w:r>
      <w:r>
        <w:rPr>
          <w:rFonts w:hint="default"/>
          <w:color w:val="auto"/>
          <w:sz w:val="28"/>
          <w:szCs w:val="28"/>
          <w:lang w:val="kk-KZ"/>
        </w:rPr>
        <w:t>31</w:t>
      </w:r>
      <w:r>
        <w:rPr>
          <w:color w:val="auto"/>
          <w:sz w:val="28"/>
          <w:szCs w:val="28"/>
          <w:lang w:val="kk-KZ"/>
        </w:rPr>
        <w:t>], бұл пассивті адсорбция емес, белсенді микробтық метаболизмді растайды.</w:t>
      </w:r>
    </w:p>
    <w:p w14:paraId="66F66BAA">
      <w:pPr>
        <w:pStyle w:val="35"/>
        <w:spacing w:beforeAutospacing="0" w:afterAutospacing="0"/>
        <w:ind w:firstLine="709"/>
        <w:jc w:val="both"/>
        <w:rPr>
          <w:color w:val="auto"/>
          <w:sz w:val="28"/>
          <w:szCs w:val="28"/>
          <w:highlight w:val="yellow"/>
          <w:lang w:val="kk-KZ"/>
        </w:rPr>
      </w:pPr>
    </w:p>
    <w:p w14:paraId="6F26B548">
      <w:pPr>
        <w:pStyle w:val="35"/>
        <w:spacing w:beforeAutospacing="0" w:afterAutospacing="0"/>
        <w:jc w:val="both"/>
        <w:rPr>
          <w:color w:val="auto"/>
          <w:sz w:val="28"/>
          <w:szCs w:val="28"/>
          <w:lang w:val="kk-KZ"/>
        </w:rPr>
      </w:pPr>
      <w:r>
        <w:rPr>
          <w:color w:val="auto"/>
          <w:sz w:val="28"/>
          <w:szCs w:val="28"/>
          <w:lang w:val="kk-KZ"/>
        </w:rPr>
        <w:t>Кесте 14 – Биоремедиация эксперименті кезіндегі топырақ үлгілеріндегі каталаза және липаза белсенділігі</w:t>
      </w:r>
    </w:p>
    <w:p w14:paraId="1F0DCB3D">
      <w:pPr>
        <w:pStyle w:val="35"/>
        <w:spacing w:beforeAutospacing="0" w:afterAutospacing="0"/>
        <w:ind w:firstLine="709"/>
        <w:jc w:val="both"/>
        <w:rPr>
          <w:color w:val="auto"/>
          <w:sz w:val="28"/>
          <w:szCs w:val="28"/>
          <w:lang w:val="kk-KZ"/>
        </w:rPr>
      </w:pP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89"/>
        <w:gridCol w:w="1241"/>
        <w:gridCol w:w="1176"/>
        <w:gridCol w:w="1308"/>
        <w:gridCol w:w="1260"/>
        <w:gridCol w:w="1248"/>
        <w:gridCol w:w="1234"/>
      </w:tblGrid>
      <w:tr w14:paraId="22309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9" w:type="dxa"/>
            <w:vAlign w:val="center"/>
          </w:tcPr>
          <w:p w14:paraId="1C297013">
            <w:pPr>
              <w:widowControl w:val="0"/>
              <w:jc w:val="center"/>
              <w:rPr>
                <w:color w:val="auto"/>
                <w:sz w:val="24"/>
                <w:szCs w:val="24"/>
                <w:highlight w:val="none"/>
              </w:rPr>
            </w:pPr>
            <w:r>
              <w:rPr>
                <w:color w:val="auto"/>
                <w:sz w:val="24"/>
                <w:szCs w:val="24"/>
                <w:highlight w:val="none"/>
                <w:lang w:val="en-US" w:eastAsia="zh-CN" w:bidi="ar"/>
              </w:rPr>
              <w:t>Нұсқа</w:t>
            </w:r>
          </w:p>
        </w:tc>
        <w:tc>
          <w:tcPr>
            <w:tcW w:w="3725" w:type="dxa"/>
            <w:gridSpan w:val="3"/>
            <w:vAlign w:val="center"/>
          </w:tcPr>
          <w:p w14:paraId="27DAFE51">
            <w:pPr>
              <w:widowControl w:val="0"/>
              <w:jc w:val="center"/>
              <w:rPr>
                <w:color w:val="auto"/>
                <w:sz w:val="24"/>
                <w:szCs w:val="24"/>
                <w:highlight w:val="none"/>
              </w:rPr>
            </w:pPr>
            <w:r>
              <w:rPr>
                <w:rStyle w:val="19"/>
                <w:b w:val="0"/>
                <w:bCs w:val="0"/>
                <w:color w:val="auto"/>
                <w:sz w:val="24"/>
                <w:szCs w:val="24"/>
                <w:highlight w:val="none"/>
                <w:lang w:eastAsia="zh-CN" w:bidi="ar"/>
              </w:rPr>
              <w:t>Каталаза</w:t>
            </w:r>
            <w:r>
              <w:rPr>
                <w:color w:val="auto"/>
                <w:sz w:val="24"/>
                <w:szCs w:val="24"/>
                <w:highlight w:val="none"/>
                <w:lang w:eastAsia="zh-CN" w:bidi="ar"/>
              </w:rPr>
              <w:t xml:space="preserve"> [мл </w:t>
            </w:r>
            <w:r>
              <w:rPr>
                <w:color w:val="auto"/>
                <w:sz w:val="24"/>
                <w:szCs w:val="24"/>
                <w:highlight w:val="none"/>
                <w:lang w:val="en-US" w:eastAsia="zh-CN" w:bidi="ar"/>
              </w:rPr>
              <w:t>O</w:t>
            </w:r>
            <w:r>
              <w:rPr>
                <w:color w:val="auto"/>
                <w:sz w:val="24"/>
                <w:szCs w:val="24"/>
                <w:highlight w:val="none"/>
                <w:lang w:eastAsia="zh-CN" w:bidi="ar"/>
              </w:rPr>
              <w:t>₂·г⁻¹ топырақ·(3 мин)⁻¹]</w:t>
            </w:r>
          </w:p>
        </w:tc>
        <w:tc>
          <w:tcPr>
            <w:tcW w:w="3742" w:type="dxa"/>
            <w:gridSpan w:val="3"/>
            <w:vAlign w:val="center"/>
          </w:tcPr>
          <w:p w14:paraId="76498DBF">
            <w:pPr>
              <w:widowControl w:val="0"/>
              <w:jc w:val="center"/>
              <w:rPr>
                <w:color w:val="auto"/>
                <w:sz w:val="24"/>
                <w:szCs w:val="24"/>
                <w:highlight w:val="none"/>
              </w:rPr>
            </w:pPr>
            <w:r>
              <w:rPr>
                <w:rStyle w:val="19"/>
                <w:b w:val="0"/>
                <w:bCs w:val="0"/>
                <w:color w:val="auto"/>
                <w:sz w:val="24"/>
                <w:szCs w:val="24"/>
                <w:highlight w:val="none"/>
                <w:lang w:eastAsia="zh-CN" w:bidi="ar"/>
              </w:rPr>
              <w:t>Липаза</w:t>
            </w:r>
            <w:r>
              <w:rPr>
                <w:color w:val="auto"/>
                <w:sz w:val="24"/>
                <w:szCs w:val="24"/>
                <w:highlight w:val="none"/>
                <w:lang w:eastAsia="zh-CN" w:bidi="ar"/>
              </w:rPr>
              <w:t xml:space="preserve"> [мкмоль май қышқылы·г⁻¹ топырақ·сағ⁻¹]</w:t>
            </w:r>
          </w:p>
        </w:tc>
      </w:tr>
      <w:tr w14:paraId="7D2CE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9" w:type="dxa"/>
          </w:tcPr>
          <w:p w14:paraId="1B9752D1">
            <w:pPr>
              <w:pStyle w:val="35"/>
              <w:widowControl w:val="0"/>
              <w:spacing w:beforeAutospacing="0" w:afterAutospacing="0"/>
              <w:jc w:val="both"/>
              <w:rPr>
                <w:color w:val="auto"/>
                <w:highlight w:val="none"/>
                <w:lang w:val="ru-RU"/>
              </w:rPr>
            </w:pPr>
          </w:p>
        </w:tc>
        <w:tc>
          <w:tcPr>
            <w:tcW w:w="1241" w:type="dxa"/>
            <w:vAlign w:val="center"/>
          </w:tcPr>
          <w:p w14:paraId="2C596ABA">
            <w:pPr>
              <w:widowControl w:val="0"/>
              <w:jc w:val="center"/>
              <w:rPr>
                <w:color w:val="auto"/>
                <w:sz w:val="24"/>
                <w:szCs w:val="24"/>
                <w:highlight w:val="none"/>
              </w:rPr>
            </w:pPr>
            <w:r>
              <w:rPr>
                <w:color w:val="auto"/>
                <w:sz w:val="24"/>
                <w:szCs w:val="24"/>
                <w:highlight w:val="none"/>
                <w:lang w:val="en-US" w:eastAsia="zh-CN" w:bidi="ar"/>
              </w:rPr>
              <w:t>15 күн</w:t>
            </w:r>
          </w:p>
        </w:tc>
        <w:tc>
          <w:tcPr>
            <w:tcW w:w="1176" w:type="dxa"/>
            <w:vAlign w:val="center"/>
          </w:tcPr>
          <w:p w14:paraId="2B55E061">
            <w:pPr>
              <w:widowControl w:val="0"/>
              <w:jc w:val="center"/>
              <w:rPr>
                <w:color w:val="auto"/>
                <w:sz w:val="24"/>
                <w:szCs w:val="24"/>
                <w:highlight w:val="none"/>
              </w:rPr>
            </w:pPr>
            <w:r>
              <w:rPr>
                <w:color w:val="auto"/>
                <w:sz w:val="24"/>
                <w:szCs w:val="24"/>
                <w:highlight w:val="none"/>
                <w:lang w:val="en-US" w:eastAsia="zh-CN" w:bidi="ar"/>
              </w:rPr>
              <w:t>30 күн</w:t>
            </w:r>
          </w:p>
        </w:tc>
        <w:tc>
          <w:tcPr>
            <w:tcW w:w="1308" w:type="dxa"/>
            <w:vAlign w:val="center"/>
          </w:tcPr>
          <w:p w14:paraId="3F658F25">
            <w:pPr>
              <w:widowControl w:val="0"/>
              <w:jc w:val="center"/>
              <w:rPr>
                <w:color w:val="auto"/>
                <w:sz w:val="24"/>
                <w:szCs w:val="24"/>
                <w:highlight w:val="none"/>
              </w:rPr>
            </w:pPr>
            <w:r>
              <w:rPr>
                <w:color w:val="auto"/>
                <w:sz w:val="24"/>
                <w:szCs w:val="24"/>
                <w:highlight w:val="none"/>
                <w:lang w:val="en-US" w:eastAsia="zh-CN" w:bidi="ar"/>
              </w:rPr>
              <w:t>45 күн</w:t>
            </w:r>
          </w:p>
        </w:tc>
        <w:tc>
          <w:tcPr>
            <w:tcW w:w="1260" w:type="dxa"/>
            <w:vAlign w:val="center"/>
          </w:tcPr>
          <w:p w14:paraId="23C7CA27">
            <w:pPr>
              <w:widowControl w:val="0"/>
              <w:jc w:val="center"/>
              <w:rPr>
                <w:color w:val="auto"/>
                <w:sz w:val="24"/>
                <w:szCs w:val="24"/>
                <w:highlight w:val="none"/>
              </w:rPr>
            </w:pPr>
            <w:r>
              <w:rPr>
                <w:color w:val="auto"/>
                <w:sz w:val="24"/>
                <w:szCs w:val="24"/>
                <w:highlight w:val="none"/>
                <w:lang w:val="en-US" w:eastAsia="zh-CN" w:bidi="ar"/>
              </w:rPr>
              <w:t>15 күн</w:t>
            </w:r>
          </w:p>
        </w:tc>
        <w:tc>
          <w:tcPr>
            <w:tcW w:w="1248" w:type="dxa"/>
            <w:vAlign w:val="center"/>
          </w:tcPr>
          <w:p w14:paraId="45FC9388">
            <w:pPr>
              <w:widowControl w:val="0"/>
              <w:jc w:val="center"/>
              <w:rPr>
                <w:color w:val="auto"/>
                <w:sz w:val="24"/>
                <w:szCs w:val="24"/>
                <w:highlight w:val="none"/>
              </w:rPr>
            </w:pPr>
            <w:r>
              <w:rPr>
                <w:color w:val="auto"/>
                <w:sz w:val="24"/>
                <w:szCs w:val="24"/>
                <w:highlight w:val="none"/>
                <w:lang w:val="en-US" w:eastAsia="zh-CN" w:bidi="ar"/>
              </w:rPr>
              <w:t>30 күн</w:t>
            </w:r>
          </w:p>
        </w:tc>
        <w:tc>
          <w:tcPr>
            <w:tcW w:w="1234" w:type="dxa"/>
            <w:vAlign w:val="center"/>
          </w:tcPr>
          <w:p w14:paraId="6196D45B">
            <w:pPr>
              <w:widowControl w:val="0"/>
              <w:jc w:val="center"/>
              <w:rPr>
                <w:color w:val="auto"/>
                <w:sz w:val="24"/>
                <w:szCs w:val="24"/>
                <w:highlight w:val="none"/>
              </w:rPr>
            </w:pPr>
            <w:r>
              <w:rPr>
                <w:color w:val="auto"/>
                <w:sz w:val="24"/>
                <w:szCs w:val="24"/>
                <w:highlight w:val="none"/>
                <w:lang w:val="en-US" w:eastAsia="zh-CN" w:bidi="ar"/>
              </w:rPr>
              <w:t>45 күн</w:t>
            </w:r>
          </w:p>
        </w:tc>
      </w:tr>
      <w:tr w14:paraId="55478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1889" w:type="dxa"/>
            <w:vAlign w:val="center"/>
          </w:tcPr>
          <w:p w14:paraId="13EA1719">
            <w:pPr>
              <w:widowControl w:val="0"/>
              <w:rPr>
                <w:color w:val="auto"/>
                <w:sz w:val="24"/>
                <w:szCs w:val="24"/>
                <w:highlight w:val="none"/>
              </w:rPr>
            </w:pPr>
            <w:r>
              <w:rPr>
                <w:color w:val="auto"/>
                <w:sz w:val="24"/>
                <w:szCs w:val="24"/>
                <w:highlight w:val="none"/>
                <w:lang w:val="en-US" w:eastAsia="zh-CN" w:bidi="ar"/>
              </w:rPr>
              <w:t>Бақылау</w:t>
            </w:r>
          </w:p>
        </w:tc>
        <w:tc>
          <w:tcPr>
            <w:tcW w:w="1241" w:type="dxa"/>
            <w:vAlign w:val="center"/>
          </w:tcPr>
          <w:p w14:paraId="1384B69E">
            <w:pPr>
              <w:widowControl w:val="0"/>
              <w:jc w:val="center"/>
              <w:rPr>
                <w:color w:val="auto"/>
                <w:sz w:val="24"/>
                <w:szCs w:val="24"/>
                <w:highlight w:val="none"/>
              </w:rPr>
            </w:pPr>
            <w:r>
              <w:rPr>
                <w:color w:val="auto"/>
                <w:sz w:val="24"/>
                <w:szCs w:val="24"/>
                <w:highlight w:val="none"/>
                <w:lang w:val="ru-RU" w:eastAsia="zh-CN" w:bidi="ar"/>
              </w:rPr>
              <w:t>0,</w:t>
            </w:r>
            <w:r>
              <w:rPr>
                <w:color w:val="auto"/>
                <w:sz w:val="24"/>
                <w:szCs w:val="24"/>
                <w:highlight w:val="none"/>
                <w:lang w:val="en-US" w:eastAsia="zh-CN" w:bidi="ar"/>
              </w:rPr>
              <w:t>1±</w:t>
            </w:r>
            <w:r>
              <w:rPr>
                <w:color w:val="auto"/>
                <w:sz w:val="24"/>
                <w:szCs w:val="24"/>
                <w:highlight w:val="none"/>
                <w:lang w:val="ru-RU" w:eastAsia="zh-CN" w:bidi="ar"/>
              </w:rPr>
              <w:t>0,</w:t>
            </w:r>
            <w:r>
              <w:rPr>
                <w:color w:val="auto"/>
                <w:sz w:val="24"/>
                <w:szCs w:val="24"/>
                <w:highlight w:val="none"/>
                <w:lang w:val="en-US" w:eastAsia="zh-CN" w:bidi="ar"/>
              </w:rPr>
              <w:t>0ᵈ</w:t>
            </w:r>
          </w:p>
        </w:tc>
        <w:tc>
          <w:tcPr>
            <w:tcW w:w="1176" w:type="dxa"/>
            <w:vAlign w:val="center"/>
          </w:tcPr>
          <w:p w14:paraId="02DA58CA">
            <w:pPr>
              <w:widowControl w:val="0"/>
              <w:jc w:val="center"/>
              <w:rPr>
                <w:color w:val="auto"/>
                <w:sz w:val="24"/>
                <w:szCs w:val="24"/>
                <w:highlight w:val="none"/>
              </w:rPr>
            </w:pPr>
            <w:r>
              <w:rPr>
                <w:color w:val="auto"/>
                <w:sz w:val="24"/>
                <w:szCs w:val="24"/>
                <w:highlight w:val="none"/>
                <w:lang w:val="ru-RU" w:eastAsia="zh-CN" w:bidi="ar"/>
              </w:rPr>
              <w:t>0,</w:t>
            </w:r>
            <w:r>
              <w:rPr>
                <w:color w:val="auto"/>
                <w:sz w:val="24"/>
                <w:szCs w:val="24"/>
                <w:highlight w:val="none"/>
                <w:lang w:val="en-US" w:eastAsia="zh-CN" w:bidi="ar"/>
              </w:rPr>
              <w:t>1±</w:t>
            </w:r>
            <w:r>
              <w:rPr>
                <w:color w:val="auto"/>
                <w:sz w:val="24"/>
                <w:szCs w:val="24"/>
                <w:highlight w:val="none"/>
                <w:lang w:val="ru-RU" w:eastAsia="zh-CN" w:bidi="ar"/>
              </w:rPr>
              <w:t>0,</w:t>
            </w:r>
            <w:r>
              <w:rPr>
                <w:color w:val="auto"/>
                <w:sz w:val="24"/>
                <w:szCs w:val="24"/>
                <w:highlight w:val="none"/>
                <w:lang w:val="en-US" w:eastAsia="zh-CN" w:bidi="ar"/>
              </w:rPr>
              <w:t>0ᵈ</w:t>
            </w:r>
          </w:p>
        </w:tc>
        <w:tc>
          <w:tcPr>
            <w:tcW w:w="1308" w:type="dxa"/>
            <w:vAlign w:val="center"/>
          </w:tcPr>
          <w:p w14:paraId="115AF7B0">
            <w:pPr>
              <w:widowControl w:val="0"/>
              <w:jc w:val="center"/>
              <w:rPr>
                <w:color w:val="auto"/>
                <w:sz w:val="24"/>
                <w:szCs w:val="24"/>
                <w:highlight w:val="none"/>
              </w:rPr>
            </w:pPr>
            <w:r>
              <w:rPr>
                <w:color w:val="auto"/>
                <w:sz w:val="24"/>
                <w:szCs w:val="24"/>
                <w:highlight w:val="none"/>
                <w:lang w:val="ru-RU" w:eastAsia="zh-CN" w:bidi="ar"/>
              </w:rPr>
              <w:t>0,</w:t>
            </w:r>
            <w:r>
              <w:rPr>
                <w:color w:val="auto"/>
                <w:sz w:val="24"/>
                <w:szCs w:val="24"/>
                <w:highlight w:val="none"/>
                <w:lang w:val="en-US" w:eastAsia="zh-CN" w:bidi="ar"/>
              </w:rPr>
              <w:t>1±</w:t>
            </w:r>
            <w:r>
              <w:rPr>
                <w:color w:val="auto"/>
                <w:sz w:val="24"/>
                <w:szCs w:val="24"/>
                <w:highlight w:val="none"/>
                <w:lang w:val="ru-RU" w:eastAsia="zh-CN" w:bidi="ar"/>
              </w:rPr>
              <w:t>0,</w:t>
            </w:r>
            <w:r>
              <w:rPr>
                <w:color w:val="auto"/>
                <w:sz w:val="24"/>
                <w:szCs w:val="24"/>
                <w:highlight w:val="none"/>
                <w:lang w:val="en-US" w:eastAsia="zh-CN" w:bidi="ar"/>
              </w:rPr>
              <w:t>0ᵈ</w:t>
            </w:r>
          </w:p>
        </w:tc>
        <w:tc>
          <w:tcPr>
            <w:tcW w:w="1260" w:type="dxa"/>
            <w:vAlign w:val="center"/>
          </w:tcPr>
          <w:p w14:paraId="2BEC4C41">
            <w:pPr>
              <w:widowControl w:val="0"/>
              <w:jc w:val="center"/>
              <w:rPr>
                <w:color w:val="auto"/>
                <w:sz w:val="24"/>
                <w:szCs w:val="24"/>
                <w:highlight w:val="none"/>
              </w:rPr>
            </w:pPr>
            <w:r>
              <w:rPr>
                <w:color w:val="auto"/>
                <w:sz w:val="24"/>
                <w:szCs w:val="24"/>
                <w:highlight w:val="none"/>
                <w:lang w:val="ru-RU" w:eastAsia="zh-CN" w:bidi="ar"/>
              </w:rPr>
              <w:t>0,</w:t>
            </w:r>
            <w:r>
              <w:rPr>
                <w:color w:val="auto"/>
                <w:sz w:val="24"/>
                <w:szCs w:val="24"/>
                <w:highlight w:val="none"/>
                <w:lang w:val="en-US" w:eastAsia="zh-CN" w:bidi="ar"/>
              </w:rPr>
              <w:t>8±</w:t>
            </w:r>
            <w:r>
              <w:rPr>
                <w:color w:val="auto"/>
                <w:sz w:val="24"/>
                <w:szCs w:val="24"/>
                <w:highlight w:val="none"/>
                <w:lang w:val="ru-RU" w:eastAsia="zh-CN" w:bidi="ar"/>
              </w:rPr>
              <w:t>0,</w:t>
            </w:r>
            <w:r>
              <w:rPr>
                <w:color w:val="auto"/>
                <w:sz w:val="24"/>
                <w:szCs w:val="24"/>
                <w:highlight w:val="none"/>
                <w:lang w:val="en-US" w:eastAsia="zh-CN" w:bidi="ar"/>
              </w:rPr>
              <w:t>3ᵈ</w:t>
            </w:r>
          </w:p>
        </w:tc>
        <w:tc>
          <w:tcPr>
            <w:tcW w:w="1248" w:type="dxa"/>
            <w:vAlign w:val="center"/>
          </w:tcPr>
          <w:p w14:paraId="4922E0C0">
            <w:pPr>
              <w:widowControl w:val="0"/>
              <w:jc w:val="center"/>
              <w:rPr>
                <w:color w:val="auto"/>
                <w:sz w:val="24"/>
                <w:szCs w:val="24"/>
                <w:highlight w:val="none"/>
              </w:rPr>
            </w:pPr>
            <w:r>
              <w:rPr>
                <w:color w:val="auto"/>
                <w:sz w:val="24"/>
                <w:szCs w:val="24"/>
                <w:highlight w:val="none"/>
                <w:lang w:val="ru-RU" w:eastAsia="zh-CN" w:bidi="ar"/>
              </w:rPr>
              <w:t>0,</w:t>
            </w:r>
            <w:r>
              <w:rPr>
                <w:color w:val="auto"/>
                <w:sz w:val="24"/>
                <w:szCs w:val="24"/>
                <w:highlight w:val="none"/>
                <w:lang w:val="en-US" w:eastAsia="zh-CN" w:bidi="ar"/>
              </w:rPr>
              <w:t>7±</w:t>
            </w:r>
            <w:r>
              <w:rPr>
                <w:color w:val="auto"/>
                <w:sz w:val="24"/>
                <w:szCs w:val="24"/>
                <w:highlight w:val="none"/>
                <w:lang w:val="ru-RU" w:eastAsia="zh-CN" w:bidi="ar"/>
              </w:rPr>
              <w:t>0,</w:t>
            </w:r>
            <w:r>
              <w:rPr>
                <w:color w:val="auto"/>
                <w:sz w:val="24"/>
                <w:szCs w:val="24"/>
                <w:highlight w:val="none"/>
                <w:lang w:val="en-US" w:eastAsia="zh-CN" w:bidi="ar"/>
              </w:rPr>
              <w:t>2ᵈ</w:t>
            </w:r>
          </w:p>
        </w:tc>
        <w:tc>
          <w:tcPr>
            <w:tcW w:w="1234" w:type="dxa"/>
            <w:vAlign w:val="center"/>
          </w:tcPr>
          <w:p w14:paraId="7C4189F1">
            <w:pPr>
              <w:widowControl w:val="0"/>
              <w:jc w:val="center"/>
              <w:rPr>
                <w:color w:val="auto"/>
                <w:sz w:val="24"/>
                <w:szCs w:val="24"/>
                <w:highlight w:val="none"/>
              </w:rPr>
            </w:pPr>
            <w:r>
              <w:rPr>
                <w:color w:val="auto"/>
                <w:sz w:val="24"/>
                <w:szCs w:val="24"/>
                <w:highlight w:val="none"/>
                <w:lang w:val="ru-RU" w:eastAsia="zh-CN" w:bidi="ar"/>
              </w:rPr>
              <w:t>0,</w:t>
            </w:r>
            <w:r>
              <w:rPr>
                <w:color w:val="auto"/>
                <w:sz w:val="24"/>
                <w:szCs w:val="24"/>
                <w:highlight w:val="none"/>
                <w:lang w:val="en-US" w:eastAsia="zh-CN" w:bidi="ar"/>
              </w:rPr>
              <w:t>6±</w:t>
            </w:r>
            <w:r>
              <w:rPr>
                <w:color w:val="auto"/>
                <w:sz w:val="24"/>
                <w:szCs w:val="24"/>
                <w:highlight w:val="none"/>
                <w:lang w:val="ru-RU" w:eastAsia="zh-CN" w:bidi="ar"/>
              </w:rPr>
              <w:t>0,</w:t>
            </w:r>
            <w:r>
              <w:rPr>
                <w:color w:val="auto"/>
                <w:sz w:val="24"/>
                <w:szCs w:val="24"/>
                <w:highlight w:val="none"/>
                <w:lang w:val="en-US" w:eastAsia="zh-CN" w:bidi="ar"/>
              </w:rPr>
              <w:t>3ᵈ</w:t>
            </w:r>
          </w:p>
        </w:tc>
      </w:tr>
      <w:tr w14:paraId="4B084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9" w:type="dxa"/>
            <w:vAlign w:val="center"/>
          </w:tcPr>
          <w:p w14:paraId="6D151AF0">
            <w:pPr>
              <w:widowControl w:val="0"/>
              <w:rPr>
                <w:color w:val="auto"/>
                <w:sz w:val="24"/>
                <w:szCs w:val="24"/>
                <w:highlight w:val="none"/>
              </w:rPr>
            </w:pPr>
            <w:r>
              <w:rPr>
                <w:color w:val="auto"/>
                <w:sz w:val="24"/>
                <w:szCs w:val="24"/>
                <w:highlight w:val="none"/>
                <w:lang w:val="en-US" w:eastAsia="zh-CN" w:bidi="ar"/>
              </w:rPr>
              <w:t>Абиоттық бақылау</w:t>
            </w:r>
          </w:p>
        </w:tc>
        <w:tc>
          <w:tcPr>
            <w:tcW w:w="1241" w:type="dxa"/>
            <w:vAlign w:val="center"/>
          </w:tcPr>
          <w:p w14:paraId="544ED999">
            <w:pPr>
              <w:widowControl w:val="0"/>
              <w:jc w:val="center"/>
              <w:rPr>
                <w:color w:val="auto"/>
                <w:sz w:val="24"/>
                <w:szCs w:val="24"/>
                <w:highlight w:val="none"/>
              </w:rPr>
            </w:pPr>
            <w:r>
              <w:rPr>
                <w:color w:val="auto"/>
                <w:sz w:val="24"/>
                <w:szCs w:val="24"/>
                <w:highlight w:val="none"/>
                <w:lang w:val="ru-RU" w:eastAsia="zh-CN" w:bidi="ar"/>
              </w:rPr>
              <w:t>0,</w:t>
            </w:r>
            <w:r>
              <w:rPr>
                <w:color w:val="auto"/>
                <w:sz w:val="24"/>
                <w:szCs w:val="24"/>
                <w:highlight w:val="none"/>
                <w:lang w:val="en-US" w:eastAsia="zh-CN" w:bidi="ar"/>
              </w:rPr>
              <w:t>1±</w:t>
            </w:r>
            <w:r>
              <w:rPr>
                <w:color w:val="auto"/>
                <w:sz w:val="24"/>
                <w:szCs w:val="24"/>
                <w:highlight w:val="none"/>
                <w:lang w:val="ru-RU" w:eastAsia="zh-CN" w:bidi="ar"/>
              </w:rPr>
              <w:t>0,</w:t>
            </w:r>
            <w:r>
              <w:rPr>
                <w:color w:val="auto"/>
                <w:sz w:val="24"/>
                <w:szCs w:val="24"/>
                <w:highlight w:val="none"/>
                <w:lang w:val="en-US" w:eastAsia="zh-CN" w:bidi="ar"/>
              </w:rPr>
              <w:t>0ᵈ</w:t>
            </w:r>
          </w:p>
        </w:tc>
        <w:tc>
          <w:tcPr>
            <w:tcW w:w="1176" w:type="dxa"/>
            <w:vAlign w:val="center"/>
          </w:tcPr>
          <w:p w14:paraId="23284E12">
            <w:pPr>
              <w:widowControl w:val="0"/>
              <w:jc w:val="center"/>
              <w:rPr>
                <w:color w:val="auto"/>
                <w:sz w:val="24"/>
                <w:szCs w:val="24"/>
                <w:highlight w:val="none"/>
              </w:rPr>
            </w:pPr>
            <w:r>
              <w:rPr>
                <w:color w:val="auto"/>
                <w:sz w:val="24"/>
                <w:szCs w:val="24"/>
                <w:highlight w:val="none"/>
                <w:lang w:val="ru-RU" w:eastAsia="zh-CN" w:bidi="ar"/>
              </w:rPr>
              <w:t>0,</w:t>
            </w:r>
            <w:r>
              <w:rPr>
                <w:color w:val="auto"/>
                <w:sz w:val="24"/>
                <w:szCs w:val="24"/>
                <w:highlight w:val="none"/>
                <w:lang w:val="en-US" w:eastAsia="zh-CN" w:bidi="ar"/>
              </w:rPr>
              <w:t>1±</w:t>
            </w:r>
            <w:r>
              <w:rPr>
                <w:color w:val="auto"/>
                <w:sz w:val="24"/>
                <w:szCs w:val="24"/>
                <w:highlight w:val="none"/>
                <w:lang w:val="ru-RU" w:eastAsia="zh-CN" w:bidi="ar"/>
              </w:rPr>
              <w:t>0,</w:t>
            </w:r>
            <w:r>
              <w:rPr>
                <w:color w:val="auto"/>
                <w:sz w:val="24"/>
                <w:szCs w:val="24"/>
                <w:highlight w:val="none"/>
                <w:lang w:val="en-US" w:eastAsia="zh-CN" w:bidi="ar"/>
              </w:rPr>
              <w:t>0ᵈ</w:t>
            </w:r>
          </w:p>
        </w:tc>
        <w:tc>
          <w:tcPr>
            <w:tcW w:w="1308" w:type="dxa"/>
            <w:vAlign w:val="center"/>
          </w:tcPr>
          <w:p w14:paraId="27B71B47">
            <w:pPr>
              <w:widowControl w:val="0"/>
              <w:jc w:val="center"/>
              <w:rPr>
                <w:color w:val="auto"/>
                <w:sz w:val="24"/>
                <w:szCs w:val="24"/>
                <w:highlight w:val="none"/>
              </w:rPr>
            </w:pPr>
            <w:r>
              <w:rPr>
                <w:color w:val="auto"/>
                <w:sz w:val="24"/>
                <w:szCs w:val="24"/>
                <w:highlight w:val="none"/>
                <w:lang w:val="ru-RU" w:eastAsia="zh-CN" w:bidi="ar"/>
              </w:rPr>
              <w:t>0,</w:t>
            </w:r>
            <w:r>
              <w:rPr>
                <w:color w:val="auto"/>
                <w:sz w:val="24"/>
                <w:szCs w:val="24"/>
                <w:highlight w:val="none"/>
                <w:lang w:val="en-US" w:eastAsia="zh-CN" w:bidi="ar"/>
              </w:rPr>
              <w:t>1±</w:t>
            </w:r>
            <w:r>
              <w:rPr>
                <w:color w:val="auto"/>
                <w:sz w:val="24"/>
                <w:szCs w:val="24"/>
                <w:highlight w:val="none"/>
                <w:lang w:val="ru-RU" w:eastAsia="zh-CN" w:bidi="ar"/>
              </w:rPr>
              <w:t>0,</w:t>
            </w:r>
            <w:r>
              <w:rPr>
                <w:color w:val="auto"/>
                <w:sz w:val="24"/>
                <w:szCs w:val="24"/>
                <w:highlight w:val="none"/>
                <w:lang w:val="en-US" w:eastAsia="zh-CN" w:bidi="ar"/>
              </w:rPr>
              <w:t>0ᵈ</w:t>
            </w:r>
          </w:p>
        </w:tc>
        <w:tc>
          <w:tcPr>
            <w:tcW w:w="1260" w:type="dxa"/>
            <w:vAlign w:val="center"/>
          </w:tcPr>
          <w:p w14:paraId="39D2DA51">
            <w:pPr>
              <w:widowControl w:val="0"/>
              <w:jc w:val="center"/>
              <w:rPr>
                <w:color w:val="auto"/>
                <w:sz w:val="24"/>
                <w:szCs w:val="24"/>
                <w:highlight w:val="none"/>
              </w:rPr>
            </w:pPr>
            <w:r>
              <w:rPr>
                <w:color w:val="auto"/>
                <w:sz w:val="24"/>
                <w:szCs w:val="24"/>
                <w:highlight w:val="none"/>
                <w:lang w:val="ru-RU" w:eastAsia="zh-CN" w:bidi="ar"/>
              </w:rPr>
              <w:t>0,</w:t>
            </w:r>
            <w:r>
              <w:rPr>
                <w:color w:val="auto"/>
                <w:sz w:val="24"/>
                <w:szCs w:val="24"/>
                <w:highlight w:val="none"/>
                <w:lang w:val="en-US" w:eastAsia="zh-CN" w:bidi="ar"/>
              </w:rPr>
              <w:t>3±</w:t>
            </w:r>
            <w:r>
              <w:rPr>
                <w:color w:val="auto"/>
                <w:sz w:val="24"/>
                <w:szCs w:val="24"/>
                <w:highlight w:val="none"/>
                <w:lang w:val="ru-RU" w:eastAsia="zh-CN" w:bidi="ar"/>
              </w:rPr>
              <w:t>0,</w:t>
            </w:r>
            <w:r>
              <w:rPr>
                <w:color w:val="auto"/>
                <w:sz w:val="24"/>
                <w:szCs w:val="24"/>
                <w:highlight w:val="none"/>
                <w:lang w:val="en-US" w:eastAsia="zh-CN" w:bidi="ar"/>
              </w:rPr>
              <w:t>1ᵈ</w:t>
            </w:r>
          </w:p>
        </w:tc>
        <w:tc>
          <w:tcPr>
            <w:tcW w:w="1248" w:type="dxa"/>
            <w:vAlign w:val="center"/>
          </w:tcPr>
          <w:p w14:paraId="10964D06">
            <w:pPr>
              <w:widowControl w:val="0"/>
              <w:jc w:val="center"/>
              <w:rPr>
                <w:color w:val="auto"/>
                <w:sz w:val="24"/>
                <w:szCs w:val="24"/>
                <w:highlight w:val="none"/>
              </w:rPr>
            </w:pPr>
            <w:r>
              <w:rPr>
                <w:color w:val="auto"/>
                <w:sz w:val="24"/>
                <w:szCs w:val="24"/>
                <w:highlight w:val="none"/>
                <w:lang w:val="ru-RU" w:eastAsia="zh-CN" w:bidi="ar"/>
              </w:rPr>
              <w:t>0,</w:t>
            </w:r>
            <w:r>
              <w:rPr>
                <w:color w:val="auto"/>
                <w:sz w:val="24"/>
                <w:szCs w:val="24"/>
                <w:highlight w:val="none"/>
                <w:lang w:val="en-US" w:eastAsia="zh-CN" w:bidi="ar"/>
              </w:rPr>
              <w:t>2±</w:t>
            </w:r>
            <w:r>
              <w:rPr>
                <w:color w:val="auto"/>
                <w:sz w:val="24"/>
                <w:szCs w:val="24"/>
                <w:highlight w:val="none"/>
                <w:lang w:val="ru-RU" w:eastAsia="zh-CN" w:bidi="ar"/>
              </w:rPr>
              <w:t>0,</w:t>
            </w:r>
            <w:r>
              <w:rPr>
                <w:color w:val="auto"/>
                <w:sz w:val="24"/>
                <w:szCs w:val="24"/>
                <w:highlight w:val="none"/>
                <w:lang w:val="en-US" w:eastAsia="zh-CN" w:bidi="ar"/>
              </w:rPr>
              <w:t>1ᵈ</w:t>
            </w:r>
          </w:p>
        </w:tc>
        <w:tc>
          <w:tcPr>
            <w:tcW w:w="1234" w:type="dxa"/>
            <w:vAlign w:val="center"/>
          </w:tcPr>
          <w:p w14:paraId="446D88A9">
            <w:pPr>
              <w:widowControl w:val="0"/>
              <w:jc w:val="center"/>
              <w:rPr>
                <w:color w:val="auto"/>
                <w:sz w:val="24"/>
                <w:szCs w:val="24"/>
                <w:highlight w:val="none"/>
              </w:rPr>
            </w:pPr>
            <w:r>
              <w:rPr>
                <w:color w:val="auto"/>
                <w:sz w:val="24"/>
                <w:szCs w:val="24"/>
                <w:highlight w:val="none"/>
                <w:lang w:val="ru-RU" w:eastAsia="zh-CN" w:bidi="ar"/>
              </w:rPr>
              <w:t>0,</w:t>
            </w:r>
            <w:r>
              <w:rPr>
                <w:color w:val="auto"/>
                <w:sz w:val="24"/>
                <w:szCs w:val="24"/>
                <w:highlight w:val="none"/>
                <w:lang w:val="en-US" w:eastAsia="zh-CN" w:bidi="ar"/>
              </w:rPr>
              <w:t>2±</w:t>
            </w:r>
            <w:r>
              <w:rPr>
                <w:color w:val="auto"/>
                <w:sz w:val="24"/>
                <w:szCs w:val="24"/>
                <w:highlight w:val="none"/>
                <w:lang w:val="ru-RU" w:eastAsia="zh-CN" w:bidi="ar"/>
              </w:rPr>
              <w:t>0,</w:t>
            </w:r>
            <w:r>
              <w:rPr>
                <w:color w:val="auto"/>
                <w:sz w:val="24"/>
                <w:szCs w:val="24"/>
                <w:highlight w:val="none"/>
                <w:lang w:val="en-US" w:eastAsia="zh-CN" w:bidi="ar"/>
              </w:rPr>
              <w:t>1ᵈ</w:t>
            </w:r>
          </w:p>
        </w:tc>
      </w:tr>
      <w:tr w14:paraId="52CBC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9" w:type="dxa"/>
            <w:vAlign w:val="center"/>
          </w:tcPr>
          <w:p w14:paraId="0D4A511D">
            <w:pPr>
              <w:widowControl w:val="0"/>
              <w:rPr>
                <w:color w:val="auto"/>
                <w:sz w:val="24"/>
                <w:szCs w:val="24"/>
                <w:highlight w:val="none"/>
              </w:rPr>
            </w:pPr>
            <w:r>
              <w:rPr>
                <w:color w:val="auto"/>
                <w:sz w:val="24"/>
                <w:szCs w:val="24"/>
                <w:highlight w:val="none"/>
                <w:lang w:val="en-US" w:eastAsia="zh-CN" w:bidi="ar"/>
              </w:rPr>
              <w:t>Тасымалда</w:t>
            </w:r>
            <w:r>
              <w:rPr>
                <w:color w:val="auto"/>
                <w:sz w:val="24"/>
                <w:szCs w:val="24"/>
                <w:highlight w:val="none"/>
                <w:lang w:val="kk-KZ" w:eastAsia="zh-CN" w:bidi="ar"/>
              </w:rPr>
              <w:t>ушы</w:t>
            </w:r>
            <w:r>
              <w:rPr>
                <w:color w:val="auto"/>
                <w:sz w:val="24"/>
                <w:szCs w:val="24"/>
                <w:highlight w:val="none"/>
                <w:lang w:val="en-US" w:eastAsia="zh-CN" w:bidi="ar"/>
              </w:rPr>
              <w:t xml:space="preserve"> бақылауы</w:t>
            </w:r>
          </w:p>
        </w:tc>
        <w:tc>
          <w:tcPr>
            <w:tcW w:w="1241" w:type="dxa"/>
            <w:vAlign w:val="center"/>
          </w:tcPr>
          <w:p w14:paraId="5A6D5372">
            <w:pPr>
              <w:widowControl w:val="0"/>
              <w:jc w:val="center"/>
              <w:rPr>
                <w:color w:val="auto"/>
                <w:sz w:val="24"/>
                <w:szCs w:val="24"/>
                <w:highlight w:val="none"/>
              </w:rPr>
            </w:pPr>
            <w:r>
              <w:rPr>
                <w:color w:val="auto"/>
                <w:sz w:val="24"/>
                <w:szCs w:val="24"/>
                <w:highlight w:val="none"/>
                <w:lang w:val="ru-RU" w:eastAsia="zh-CN" w:bidi="ar"/>
              </w:rPr>
              <w:t>0,</w:t>
            </w:r>
            <w:r>
              <w:rPr>
                <w:color w:val="auto"/>
                <w:sz w:val="24"/>
                <w:szCs w:val="24"/>
                <w:highlight w:val="none"/>
                <w:lang w:val="en-US" w:eastAsia="zh-CN" w:bidi="ar"/>
              </w:rPr>
              <w:t>8±</w:t>
            </w:r>
            <w:r>
              <w:rPr>
                <w:color w:val="auto"/>
                <w:sz w:val="24"/>
                <w:szCs w:val="24"/>
                <w:highlight w:val="none"/>
                <w:lang w:val="ru-RU" w:eastAsia="zh-CN" w:bidi="ar"/>
              </w:rPr>
              <w:t>0,</w:t>
            </w:r>
            <w:r>
              <w:rPr>
                <w:color w:val="auto"/>
                <w:sz w:val="24"/>
                <w:szCs w:val="24"/>
                <w:highlight w:val="none"/>
                <w:lang w:val="en-US" w:eastAsia="zh-CN" w:bidi="ar"/>
              </w:rPr>
              <w:t>1ᶜ</w:t>
            </w:r>
          </w:p>
        </w:tc>
        <w:tc>
          <w:tcPr>
            <w:tcW w:w="1176" w:type="dxa"/>
            <w:vAlign w:val="center"/>
          </w:tcPr>
          <w:p w14:paraId="41B21173">
            <w:pPr>
              <w:widowControl w:val="0"/>
              <w:jc w:val="center"/>
              <w:rPr>
                <w:color w:val="auto"/>
                <w:sz w:val="24"/>
                <w:szCs w:val="24"/>
                <w:highlight w:val="none"/>
              </w:rPr>
            </w:pPr>
            <w:r>
              <w:rPr>
                <w:color w:val="auto"/>
                <w:sz w:val="24"/>
                <w:szCs w:val="24"/>
                <w:highlight w:val="none"/>
                <w:lang w:val="en-US" w:eastAsia="zh-CN" w:bidi="ar"/>
              </w:rPr>
              <w:t>1</w:t>
            </w:r>
            <w:r>
              <w:rPr>
                <w:rFonts w:hint="default"/>
                <w:color w:val="auto"/>
                <w:sz w:val="24"/>
                <w:szCs w:val="24"/>
                <w:highlight w:val="none"/>
                <w:lang w:val="ru-RU" w:eastAsia="zh-CN" w:bidi="ar"/>
              </w:rPr>
              <w:t>,</w:t>
            </w:r>
            <w:r>
              <w:rPr>
                <w:color w:val="auto"/>
                <w:sz w:val="24"/>
                <w:szCs w:val="24"/>
                <w:highlight w:val="none"/>
                <w:lang w:val="en-US" w:eastAsia="zh-CN" w:bidi="ar"/>
              </w:rPr>
              <w:t>1±</w:t>
            </w:r>
            <w:r>
              <w:rPr>
                <w:color w:val="auto"/>
                <w:sz w:val="24"/>
                <w:szCs w:val="24"/>
                <w:highlight w:val="none"/>
                <w:lang w:val="ru-RU" w:eastAsia="zh-CN" w:bidi="ar"/>
              </w:rPr>
              <w:t>0,</w:t>
            </w:r>
            <w:r>
              <w:rPr>
                <w:color w:val="auto"/>
                <w:sz w:val="24"/>
                <w:szCs w:val="24"/>
                <w:highlight w:val="none"/>
                <w:lang w:val="en-US" w:eastAsia="zh-CN" w:bidi="ar"/>
              </w:rPr>
              <w:t>2ᶜ</w:t>
            </w:r>
          </w:p>
        </w:tc>
        <w:tc>
          <w:tcPr>
            <w:tcW w:w="1308" w:type="dxa"/>
            <w:vAlign w:val="center"/>
          </w:tcPr>
          <w:p w14:paraId="59B76C53">
            <w:pPr>
              <w:widowControl w:val="0"/>
              <w:jc w:val="center"/>
              <w:rPr>
                <w:color w:val="auto"/>
                <w:sz w:val="24"/>
                <w:szCs w:val="24"/>
                <w:highlight w:val="none"/>
              </w:rPr>
            </w:pPr>
            <w:r>
              <w:rPr>
                <w:color w:val="auto"/>
                <w:sz w:val="24"/>
                <w:szCs w:val="24"/>
                <w:highlight w:val="none"/>
                <w:lang w:val="en-US" w:eastAsia="zh-CN" w:bidi="ar"/>
              </w:rPr>
              <w:t>1</w:t>
            </w:r>
            <w:r>
              <w:rPr>
                <w:rFonts w:hint="default"/>
                <w:color w:val="auto"/>
                <w:sz w:val="24"/>
                <w:szCs w:val="24"/>
                <w:highlight w:val="none"/>
                <w:lang w:val="ru-RU" w:eastAsia="zh-CN" w:bidi="ar"/>
              </w:rPr>
              <w:t>,</w:t>
            </w:r>
            <w:r>
              <w:rPr>
                <w:color w:val="auto"/>
                <w:sz w:val="24"/>
                <w:szCs w:val="24"/>
                <w:highlight w:val="none"/>
                <w:lang w:val="en-US" w:eastAsia="zh-CN" w:bidi="ar"/>
              </w:rPr>
              <w:t>3±</w:t>
            </w:r>
            <w:r>
              <w:rPr>
                <w:color w:val="auto"/>
                <w:sz w:val="24"/>
                <w:szCs w:val="24"/>
                <w:highlight w:val="none"/>
                <w:lang w:val="ru-RU" w:eastAsia="zh-CN" w:bidi="ar"/>
              </w:rPr>
              <w:t>0,</w:t>
            </w:r>
            <w:r>
              <w:rPr>
                <w:color w:val="auto"/>
                <w:sz w:val="24"/>
                <w:szCs w:val="24"/>
                <w:highlight w:val="none"/>
                <w:lang w:val="en-US" w:eastAsia="zh-CN" w:bidi="ar"/>
              </w:rPr>
              <w:t>2ᶜ</w:t>
            </w:r>
          </w:p>
        </w:tc>
        <w:tc>
          <w:tcPr>
            <w:tcW w:w="1260" w:type="dxa"/>
            <w:vAlign w:val="center"/>
          </w:tcPr>
          <w:p w14:paraId="4BD9E207">
            <w:pPr>
              <w:widowControl w:val="0"/>
              <w:jc w:val="center"/>
              <w:rPr>
                <w:color w:val="auto"/>
                <w:sz w:val="24"/>
                <w:szCs w:val="24"/>
                <w:highlight w:val="none"/>
              </w:rPr>
            </w:pPr>
            <w:r>
              <w:rPr>
                <w:color w:val="auto"/>
                <w:sz w:val="24"/>
                <w:szCs w:val="24"/>
                <w:highlight w:val="none"/>
                <w:lang w:val="en-US" w:eastAsia="zh-CN" w:bidi="ar"/>
              </w:rPr>
              <w:t>2</w:t>
            </w:r>
            <w:r>
              <w:rPr>
                <w:rFonts w:hint="default"/>
                <w:color w:val="auto"/>
                <w:sz w:val="24"/>
                <w:szCs w:val="24"/>
                <w:highlight w:val="none"/>
                <w:lang w:val="ru-RU" w:eastAsia="zh-CN" w:bidi="ar"/>
              </w:rPr>
              <w:t>,</w:t>
            </w:r>
            <w:r>
              <w:rPr>
                <w:color w:val="auto"/>
                <w:sz w:val="24"/>
                <w:szCs w:val="24"/>
                <w:highlight w:val="none"/>
                <w:lang w:val="en-US" w:eastAsia="zh-CN" w:bidi="ar"/>
              </w:rPr>
              <w:t>1±</w:t>
            </w:r>
            <w:r>
              <w:rPr>
                <w:color w:val="auto"/>
                <w:sz w:val="24"/>
                <w:szCs w:val="24"/>
                <w:highlight w:val="none"/>
                <w:lang w:val="ru-RU" w:eastAsia="zh-CN" w:bidi="ar"/>
              </w:rPr>
              <w:t>0,</w:t>
            </w:r>
            <w:r>
              <w:rPr>
                <w:color w:val="auto"/>
                <w:sz w:val="24"/>
                <w:szCs w:val="24"/>
                <w:highlight w:val="none"/>
                <w:lang w:val="en-US" w:eastAsia="zh-CN" w:bidi="ar"/>
              </w:rPr>
              <w:t>4ᶜ</w:t>
            </w:r>
          </w:p>
        </w:tc>
        <w:tc>
          <w:tcPr>
            <w:tcW w:w="1248" w:type="dxa"/>
            <w:vAlign w:val="center"/>
          </w:tcPr>
          <w:p w14:paraId="73BF403F">
            <w:pPr>
              <w:widowControl w:val="0"/>
              <w:jc w:val="center"/>
              <w:rPr>
                <w:color w:val="auto"/>
                <w:sz w:val="24"/>
                <w:szCs w:val="24"/>
                <w:highlight w:val="none"/>
              </w:rPr>
            </w:pPr>
            <w:r>
              <w:rPr>
                <w:color w:val="auto"/>
                <w:sz w:val="24"/>
                <w:szCs w:val="24"/>
                <w:highlight w:val="none"/>
                <w:lang w:val="en-US" w:eastAsia="zh-CN" w:bidi="ar"/>
              </w:rPr>
              <w:t>2</w:t>
            </w:r>
            <w:r>
              <w:rPr>
                <w:rFonts w:hint="default"/>
                <w:color w:val="auto"/>
                <w:sz w:val="24"/>
                <w:szCs w:val="24"/>
                <w:highlight w:val="none"/>
                <w:lang w:val="ru-RU" w:eastAsia="zh-CN" w:bidi="ar"/>
              </w:rPr>
              <w:t>,</w:t>
            </w:r>
            <w:r>
              <w:rPr>
                <w:color w:val="auto"/>
                <w:sz w:val="24"/>
                <w:szCs w:val="24"/>
                <w:highlight w:val="none"/>
                <w:lang w:val="en-US" w:eastAsia="zh-CN" w:bidi="ar"/>
              </w:rPr>
              <w:t>8±</w:t>
            </w:r>
            <w:r>
              <w:rPr>
                <w:color w:val="auto"/>
                <w:sz w:val="24"/>
                <w:szCs w:val="24"/>
                <w:highlight w:val="none"/>
                <w:lang w:val="ru-RU" w:eastAsia="zh-CN" w:bidi="ar"/>
              </w:rPr>
              <w:t>0,</w:t>
            </w:r>
            <w:r>
              <w:rPr>
                <w:color w:val="auto"/>
                <w:sz w:val="24"/>
                <w:szCs w:val="24"/>
                <w:highlight w:val="none"/>
                <w:lang w:val="en-US" w:eastAsia="zh-CN" w:bidi="ar"/>
              </w:rPr>
              <w:t>5ᶜ</w:t>
            </w:r>
          </w:p>
        </w:tc>
        <w:tc>
          <w:tcPr>
            <w:tcW w:w="1234" w:type="dxa"/>
            <w:vAlign w:val="center"/>
          </w:tcPr>
          <w:p w14:paraId="22DA38E3">
            <w:pPr>
              <w:widowControl w:val="0"/>
              <w:jc w:val="center"/>
              <w:rPr>
                <w:color w:val="auto"/>
                <w:sz w:val="24"/>
                <w:szCs w:val="24"/>
                <w:highlight w:val="none"/>
              </w:rPr>
            </w:pPr>
            <w:r>
              <w:rPr>
                <w:color w:val="auto"/>
                <w:sz w:val="24"/>
                <w:szCs w:val="24"/>
                <w:highlight w:val="none"/>
                <w:lang w:val="en-US" w:eastAsia="zh-CN" w:bidi="ar"/>
              </w:rPr>
              <w:t>3</w:t>
            </w:r>
            <w:r>
              <w:rPr>
                <w:rFonts w:hint="default"/>
                <w:color w:val="auto"/>
                <w:sz w:val="24"/>
                <w:szCs w:val="24"/>
                <w:highlight w:val="none"/>
                <w:lang w:val="ru-RU" w:eastAsia="zh-CN" w:bidi="ar"/>
              </w:rPr>
              <w:t>,</w:t>
            </w:r>
            <w:r>
              <w:rPr>
                <w:color w:val="auto"/>
                <w:sz w:val="24"/>
                <w:szCs w:val="24"/>
                <w:highlight w:val="none"/>
                <w:lang w:val="en-US" w:eastAsia="zh-CN" w:bidi="ar"/>
              </w:rPr>
              <w:t>2±</w:t>
            </w:r>
            <w:r>
              <w:rPr>
                <w:color w:val="auto"/>
                <w:sz w:val="24"/>
                <w:szCs w:val="24"/>
                <w:highlight w:val="none"/>
                <w:lang w:val="ru-RU" w:eastAsia="zh-CN" w:bidi="ar"/>
              </w:rPr>
              <w:t>0,</w:t>
            </w:r>
            <w:r>
              <w:rPr>
                <w:color w:val="auto"/>
                <w:sz w:val="24"/>
                <w:szCs w:val="24"/>
                <w:highlight w:val="none"/>
                <w:lang w:val="en-US" w:eastAsia="zh-CN" w:bidi="ar"/>
              </w:rPr>
              <w:t>6ᶜ</w:t>
            </w:r>
          </w:p>
        </w:tc>
      </w:tr>
      <w:tr w14:paraId="6FD4E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9" w:type="dxa"/>
            <w:vAlign w:val="center"/>
          </w:tcPr>
          <w:p w14:paraId="1D04515E">
            <w:pPr>
              <w:widowControl w:val="0"/>
              <w:rPr>
                <w:color w:val="auto"/>
                <w:sz w:val="24"/>
                <w:szCs w:val="24"/>
                <w:highlight w:val="none"/>
              </w:rPr>
            </w:pPr>
            <w:r>
              <w:rPr>
                <w:color w:val="auto"/>
                <w:sz w:val="24"/>
                <w:szCs w:val="24"/>
                <w:highlight w:val="none"/>
                <w:lang w:val="kk-KZ" w:eastAsia="zh-CN" w:bidi="ar"/>
              </w:rPr>
              <w:t>Бос</w:t>
            </w:r>
            <w:r>
              <w:rPr>
                <w:color w:val="auto"/>
                <w:sz w:val="24"/>
                <w:szCs w:val="24"/>
                <w:highlight w:val="none"/>
                <w:lang w:val="en-US" w:eastAsia="zh-CN" w:bidi="ar"/>
              </w:rPr>
              <w:t xml:space="preserve"> жасушалар</w:t>
            </w:r>
          </w:p>
        </w:tc>
        <w:tc>
          <w:tcPr>
            <w:tcW w:w="1241" w:type="dxa"/>
            <w:vAlign w:val="center"/>
          </w:tcPr>
          <w:p w14:paraId="073A5026">
            <w:pPr>
              <w:widowControl w:val="0"/>
              <w:jc w:val="center"/>
              <w:rPr>
                <w:color w:val="auto"/>
                <w:sz w:val="24"/>
                <w:szCs w:val="24"/>
                <w:highlight w:val="none"/>
              </w:rPr>
            </w:pPr>
            <w:r>
              <w:rPr>
                <w:color w:val="auto"/>
                <w:sz w:val="24"/>
                <w:szCs w:val="24"/>
                <w:highlight w:val="none"/>
                <w:lang w:val="en-US" w:eastAsia="zh-CN" w:bidi="ar"/>
              </w:rPr>
              <w:t>1</w:t>
            </w:r>
            <w:r>
              <w:rPr>
                <w:rFonts w:hint="default"/>
                <w:color w:val="auto"/>
                <w:sz w:val="24"/>
                <w:szCs w:val="24"/>
                <w:highlight w:val="none"/>
                <w:lang w:val="ru-RU" w:eastAsia="zh-CN" w:bidi="ar"/>
              </w:rPr>
              <w:t>,</w:t>
            </w:r>
            <w:r>
              <w:rPr>
                <w:color w:val="auto"/>
                <w:sz w:val="24"/>
                <w:szCs w:val="24"/>
                <w:highlight w:val="none"/>
                <w:lang w:val="en-US" w:eastAsia="zh-CN" w:bidi="ar"/>
              </w:rPr>
              <w:t>8±</w:t>
            </w:r>
            <w:r>
              <w:rPr>
                <w:color w:val="auto"/>
                <w:sz w:val="24"/>
                <w:szCs w:val="24"/>
                <w:highlight w:val="none"/>
                <w:lang w:val="ru-RU" w:eastAsia="zh-CN" w:bidi="ar"/>
              </w:rPr>
              <w:t>0,</w:t>
            </w:r>
            <w:r>
              <w:rPr>
                <w:color w:val="auto"/>
                <w:sz w:val="24"/>
                <w:szCs w:val="24"/>
                <w:highlight w:val="none"/>
                <w:lang w:val="en-US" w:eastAsia="zh-CN" w:bidi="ar"/>
              </w:rPr>
              <w:t>3ᵇ</w:t>
            </w:r>
          </w:p>
        </w:tc>
        <w:tc>
          <w:tcPr>
            <w:tcW w:w="1176" w:type="dxa"/>
            <w:vAlign w:val="center"/>
          </w:tcPr>
          <w:p w14:paraId="7A97F260">
            <w:pPr>
              <w:widowControl w:val="0"/>
              <w:jc w:val="center"/>
              <w:rPr>
                <w:color w:val="auto"/>
                <w:sz w:val="24"/>
                <w:szCs w:val="24"/>
                <w:highlight w:val="none"/>
              </w:rPr>
            </w:pPr>
            <w:r>
              <w:rPr>
                <w:color w:val="auto"/>
                <w:sz w:val="24"/>
                <w:szCs w:val="24"/>
                <w:highlight w:val="none"/>
                <w:lang w:val="en-US" w:eastAsia="zh-CN" w:bidi="ar"/>
              </w:rPr>
              <w:t>2</w:t>
            </w:r>
            <w:r>
              <w:rPr>
                <w:rFonts w:hint="default"/>
                <w:color w:val="auto"/>
                <w:sz w:val="24"/>
                <w:szCs w:val="24"/>
                <w:highlight w:val="none"/>
                <w:lang w:val="ru-RU" w:eastAsia="zh-CN" w:bidi="ar"/>
              </w:rPr>
              <w:t>,</w:t>
            </w:r>
            <w:r>
              <w:rPr>
                <w:color w:val="auto"/>
                <w:sz w:val="24"/>
                <w:szCs w:val="24"/>
                <w:highlight w:val="none"/>
                <w:lang w:val="en-US" w:eastAsia="zh-CN" w:bidi="ar"/>
              </w:rPr>
              <w:t>3±</w:t>
            </w:r>
            <w:r>
              <w:rPr>
                <w:color w:val="auto"/>
                <w:sz w:val="24"/>
                <w:szCs w:val="24"/>
                <w:highlight w:val="none"/>
                <w:lang w:val="ru-RU" w:eastAsia="zh-CN" w:bidi="ar"/>
              </w:rPr>
              <w:t>0,</w:t>
            </w:r>
            <w:r>
              <w:rPr>
                <w:color w:val="auto"/>
                <w:sz w:val="24"/>
                <w:szCs w:val="24"/>
                <w:highlight w:val="none"/>
                <w:lang w:val="en-US" w:eastAsia="zh-CN" w:bidi="ar"/>
              </w:rPr>
              <w:t>4ᵇ</w:t>
            </w:r>
          </w:p>
        </w:tc>
        <w:tc>
          <w:tcPr>
            <w:tcW w:w="1308" w:type="dxa"/>
            <w:vAlign w:val="center"/>
          </w:tcPr>
          <w:p w14:paraId="3ED00951">
            <w:pPr>
              <w:widowControl w:val="0"/>
              <w:jc w:val="center"/>
              <w:rPr>
                <w:color w:val="auto"/>
                <w:sz w:val="24"/>
                <w:szCs w:val="24"/>
                <w:highlight w:val="none"/>
              </w:rPr>
            </w:pPr>
            <w:r>
              <w:rPr>
                <w:color w:val="auto"/>
                <w:sz w:val="24"/>
                <w:szCs w:val="24"/>
                <w:highlight w:val="none"/>
                <w:lang w:val="en-US" w:eastAsia="zh-CN" w:bidi="ar"/>
              </w:rPr>
              <w:t>2</w:t>
            </w:r>
            <w:r>
              <w:rPr>
                <w:rFonts w:hint="default"/>
                <w:color w:val="auto"/>
                <w:sz w:val="24"/>
                <w:szCs w:val="24"/>
                <w:highlight w:val="none"/>
                <w:lang w:val="ru-RU" w:eastAsia="zh-CN" w:bidi="ar"/>
              </w:rPr>
              <w:t>,</w:t>
            </w:r>
            <w:r>
              <w:rPr>
                <w:color w:val="auto"/>
                <w:sz w:val="24"/>
                <w:szCs w:val="24"/>
                <w:highlight w:val="none"/>
                <w:lang w:val="en-US" w:eastAsia="zh-CN" w:bidi="ar"/>
              </w:rPr>
              <w:t>8±</w:t>
            </w:r>
            <w:r>
              <w:rPr>
                <w:color w:val="auto"/>
                <w:sz w:val="24"/>
                <w:szCs w:val="24"/>
                <w:highlight w:val="none"/>
                <w:lang w:val="ru-RU" w:eastAsia="zh-CN" w:bidi="ar"/>
              </w:rPr>
              <w:t>0,</w:t>
            </w:r>
            <w:r>
              <w:rPr>
                <w:color w:val="auto"/>
                <w:sz w:val="24"/>
                <w:szCs w:val="24"/>
                <w:highlight w:val="none"/>
                <w:lang w:val="en-US" w:eastAsia="zh-CN" w:bidi="ar"/>
              </w:rPr>
              <w:t>7ᵇ</w:t>
            </w:r>
          </w:p>
        </w:tc>
        <w:tc>
          <w:tcPr>
            <w:tcW w:w="1260" w:type="dxa"/>
            <w:vAlign w:val="center"/>
          </w:tcPr>
          <w:p w14:paraId="0E90CDDB">
            <w:pPr>
              <w:widowControl w:val="0"/>
              <w:jc w:val="center"/>
              <w:rPr>
                <w:color w:val="auto"/>
                <w:sz w:val="24"/>
                <w:szCs w:val="24"/>
                <w:highlight w:val="none"/>
              </w:rPr>
            </w:pPr>
            <w:r>
              <w:rPr>
                <w:color w:val="auto"/>
                <w:sz w:val="24"/>
                <w:szCs w:val="24"/>
                <w:highlight w:val="none"/>
                <w:lang w:val="en-US" w:eastAsia="zh-CN" w:bidi="ar"/>
              </w:rPr>
              <w:t>6</w:t>
            </w:r>
            <w:r>
              <w:rPr>
                <w:rFonts w:hint="default"/>
                <w:color w:val="auto"/>
                <w:sz w:val="24"/>
                <w:szCs w:val="24"/>
                <w:highlight w:val="none"/>
                <w:lang w:val="ru-RU" w:eastAsia="zh-CN" w:bidi="ar"/>
              </w:rPr>
              <w:t>,</w:t>
            </w:r>
            <w:r>
              <w:rPr>
                <w:color w:val="auto"/>
                <w:sz w:val="24"/>
                <w:szCs w:val="24"/>
                <w:highlight w:val="none"/>
                <w:lang w:val="en-US" w:eastAsia="zh-CN" w:bidi="ar"/>
              </w:rPr>
              <w:t>3±1</w:t>
            </w:r>
            <w:r>
              <w:rPr>
                <w:rFonts w:hint="default"/>
                <w:color w:val="auto"/>
                <w:sz w:val="24"/>
                <w:szCs w:val="24"/>
                <w:highlight w:val="none"/>
                <w:lang w:val="ru-RU" w:eastAsia="zh-CN" w:bidi="ar"/>
              </w:rPr>
              <w:t>,</w:t>
            </w:r>
            <w:r>
              <w:rPr>
                <w:color w:val="auto"/>
                <w:sz w:val="24"/>
                <w:szCs w:val="24"/>
                <w:highlight w:val="none"/>
                <w:lang w:val="en-US" w:eastAsia="zh-CN" w:bidi="ar"/>
              </w:rPr>
              <w:t>1ᵇ</w:t>
            </w:r>
          </w:p>
        </w:tc>
        <w:tc>
          <w:tcPr>
            <w:tcW w:w="1248" w:type="dxa"/>
            <w:vAlign w:val="center"/>
          </w:tcPr>
          <w:p w14:paraId="12B03732">
            <w:pPr>
              <w:widowControl w:val="0"/>
              <w:jc w:val="center"/>
              <w:rPr>
                <w:color w:val="auto"/>
                <w:sz w:val="24"/>
                <w:szCs w:val="24"/>
                <w:highlight w:val="none"/>
              </w:rPr>
            </w:pPr>
            <w:r>
              <w:rPr>
                <w:color w:val="auto"/>
                <w:sz w:val="24"/>
                <w:szCs w:val="24"/>
                <w:highlight w:val="none"/>
                <w:lang w:val="en-US" w:eastAsia="zh-CN" w:bidi="ar"/>
              </w:rPr>
              <w:t>9</w:t>
            </w:r>
            <w:r>
              <w:rPr>
                <w:rFonts w:hint="default"/>
                <w:color w:val="auto"/>
                <w:sz w:val="24"/>
                <w:szCs w:val="24"/>
                <w:highlight w:val="none"/>
                <w:lang w:val="ru-RU" w:eastAsia="zh-CN" w:bidi="ar"/>
              </w:rPr>
              <w:t>,</w:t>
            </w:r>
            <w:r>
              <w:rPr>
                <w:color w:val="auto"/>
                <w:sz w:val="24"/>
                <w:szCs w:val="24"/>
                <w:highlight w:val="none"/>
                <w:lang w:val="en-US" w:eastAsia="zh-CN" w:bidi="ar"/>
              </w:rPr>
              <w:t>8±1</w:t>
            </w:r>
            <w:r>
              <w:rPr>
                <w:rFonts w:hint="default"/>
                <w:color w:val="auto"/>
                <w:sz w:val="24"/>
                <w:szCs w:val="24"/>
                <w:highlight w:val="none"/>
                <w:lang w:val="ru-RU" w:eastAsia="zh-CN" w:bidi="ar"/>
              </w:rPr>
              <w:t>,</w:t>
            </w:r>
            <w:r>
              <w:rPr>
                <w:color w:val="auto"/>
                <w:sz w:val="24"/>
                <w:szCs w:val="24"/>
                <w:highlight w:val="none"/>
                <w:lang w:val="en-US" w:eastAsia="zh-CN" w:bidi="ar"/>
              </w:rPr>
              <w:t>4ᵇ</w:t>
            </w:r>
          </w:p>
        </w:tc>
        <w:tc>
          <w:tcPr>
            <w:tcW w:w="1234" w:type="dxa"/>
            <w:vAlign w:val="center"/>
          </w:tcPr>
          <w:p w14:paraId="4DEE3F12">
            <w:pPr>
              <w:widowControl w:val="0"/>
              <w:jc w:val="center"/>
              <w:rPr>
                <w:color w:val="auto"/>
                <w:sz w:val="24"/>
                <w:szCs w:val="24"/>
                <w:highlight w:val="none"/>
              </w:rPr>
            </w:pPr>
            <w:r>
              <w:rPr>
                <w:color w:val="auto"/>
                <w:sz w:val="24"/>
                <w:szCs w:val="24"/>
                <w:highlight w:val="none"/>
                <w:lang w:val="en-US" w:eastAsia="zh-CN" w:bidi="ar"/>
              </w:rPr>
              <w:t>13</w:t>
            </w:r>
            <w:r>
              <w:rPr>
                <w:rFonts w:hint="default"/>
                <w:color w:val="auto"/>
                <w:sz w:val="24"/>
                <w:szCs w:val="24"/>
                <w:highlight w:val="none"/>
                <w:lang w:val="ru-RU" w:eastAsia="zh-CN" w:bidi="ar"/>
              </w:rPr>
              <w:t>,</w:t>
            </w:r>
            <w:r>
              <w:rPr>
                <w:color w:val="auto"/>
                <w:sz w:val="24"/>
                <w:szCs w:val="24"/>
                <w:highlight w:val="none"/>
                <w:lang w:val="en-US" w:eastAsia="zh-CN" w:bidi="ar"/>
              </w:rPr>
              <w:t>5±2</w:t>
            </w:r>
            <w:r>
              <w:rPr>
                <w:rFonts w:hint="default"/>
                <w:color w:val="auto"/>
                <w:sz w:val="24"/>
                <w:szCs w:val="24"/>
                <w:highlight w:val="none"/>
                <w:lang w:val="ru-RU" w:eastAsia="zh-CN" w:bidi="ar"/>
              </w:rPr>
              <w:t>,</w:t>
            </w:r>
            <w:r>
              <w:rPr>
                <w:color w:val="auto"/>
                <w:sz w:val="24"/>
                <w:szCs w:val="24"/>
                <w:highlight w:val="none"/>
                <w:lang w:val="en-US" w:eastAsia="zh-CN" w:bidi="ar"/>
              </w:rPr>
              <w:t>0ᵇ</w:t>
            </w:r>
          </w:p>
        </w:tc>
      </w:tr>
      <w:tr w14:paraId="2B2BB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9" w:type="dxa"/>
            <w:vAlign w:val="center"/>
          </w:tcPr>
          <w:p w14:paraId="4084DFDF">
            <w:pPr>
              <w:widowControl w:val="0"/>
              <w:rPr>
                <w:color w:val="auto"/>
                <w:sz w:val="24"/>
                <w:szCs w:val="24"/>
                <w:highlight w:val="none"/>
                <w:lang w:val="en-US" w:eastAsia="zh-CN" w:bidi="ar"/>
              </w:rPr>
            </w:pPr>
            <w:r>
              <w:rPr>
                <w:color w:val="auto"/>
                <w:sz w:val="24"/>
                <w:szCs w:val="24"/>
                <w:highlight w:val="none"/>
                <w:lang w:val="en-US" w:eastAsia="zh-CN" w:bidi="ar"/>
              </w:rPr>
              <w:t>Қарақұмық қауызы</w:t>
            </w:r>
          </w:p>
        </w:tc>
        <w:tc>
          <w:tcPr>
            <w:tcW w:w="1241" w:type="dxa"/>
            <w:vAlign w:val="center"/>
          </w:tcPr>
          <w:p w14:paraId="73E28E98">
            <w:pPr>
              <w:widowControl w:val="0"/>
              <w:jc w:val="center"/>
              <w:rPr>
                <w:color w:val="auto"/>
                <w:sz w:val="24"/>
                <w:szCs w:val="24"/>
                <w:highlight w:val="none"/>
                <w:lang w:val="en-US" w:eastAsia="zh-CN" w:bidi="ar"/>
              </w:rPr>
            </w:pPr>
            <w:r>
              <w:rPr>
                <w:color w:val="auto"/>
                <w:sz w:val="24"/>
                <w:szCs w:val="24"/>
                <w:highlight w:val="none"/>
                <w:lang w:val="en-US" w:eastAsia="zh-CN" w:bidi="ar"/>
              </w:rPr>
              <w:t>3</w:t>
            </w:r>
            <w:r>
              <w:rPr>
                <w:rFonts w:hint="default"/>
                <w:color w:val="auto"/>
                <w:sz w:val="24"/>
                <w:szCs w:val="24"/>
                <w:highlight w:val="none"/>
                <w:lang w:val="ru-RU" w:eastAsia="zh-CN" w:bidi="ar"/>
              </w:rPr>
              <w:t>,</w:t>
            </w:r>
            <w:r>
              <w:rPr>
                <w:color w:val="auto"/>
                <w:sz w:val="24"/>
                <w:szCs w:val="24"/>
                <w:highlight w:val="none"/>
                <w:lang w:val="en-US" w:eastAsia="zh-CN" w:bidi="ar"/>
              </w:rPr>
              <w:t>2±</w:t>
            </w:r>
            <w:r>
              <w:rPr>
                <w:color w:val="auto"/>
                <w:sz w:val="24"/>
                <w:szCs w:val="24"/>
                <w:highlight w:val="none"/>
                <w:lang w:val="ru-RU" w:eastAsia="zh-CN" w:bidi="ar"/>
              </w:rPr>
              <w:t>0,</w:t>
            </w:r>
            <w:r>
              <w:rPr>
                <w:color w:val="auto"/>
                <w:sz w:val="24"/>
                <w:szCs w:val="24"/>
                <w:highlight w:val="none"/>
                <w:lang w:val="en-US" w:eastAsia="zh-CN" w:bidi="ar"/>
              </w:rPr>
              <w:t>4ᵃ</w:t>
            </w:r>
          </w:p>
        </w:tc>
        <w:tc>
          <w:tcPr>
            <w:tcW w:w="1176" w:type="dxa"/>
            <w:vAlign w:val="center"/>
          </w:tcPr>
          <w:p w14:paraId="7E3EB42F">
            <w:pPr>
              <w:widowControl w:val="0"/>
              <w:jc w:val="center"/>
              <w:rPr>
                <w:color w:val="auto"/>
                <w:sz w:val="24"/>
                <w:szCs w:val="24"/>
                <w:highlight w:val="none"/>
                <w:lang w:val="en-US" w:eastAsia="zh-CN" w:bidi="ar"/>
              </w:rPr>
            </w:pPr>
            <w:r>
              <w:rPr>
                <w:color w:val="auto"/>
                <w:sz w:val="24"/>
                <w:szCs w:val="24"/>
                <w:highlight w:val="none"/>
                <w:lang w:val="en-US" w:eastAsia="zh-CN" w:bidi="ar"/>
              </w:rPr>
              <w:t>4</w:t>
            </w:r>
            <w:r>
              <w:rPr>
                <w:rFonts w:hint="default"/>
                <w:color w:val="auto"/>
                <w:sz w:val="24"/>
                <w:szCs w:val="24"/>
                <w:highlight w:val="none"/>
                <w:lang w:val="ru-RU" w:eastAsia="zh-CN" w:bidi="ar"/>
              </w:rPr>
              <w:t>,</w:t>
            </w:r>
            <w:r>
              <w:rPr>
                <w:color w:val="auto"/>
                <w:sz w:val="24"/>
                <w:szCs w:val="24"/>
                <w:highlight w:val="none"/>
                <w:lang w:val="en-US" w:eastAsia="zh-CN" w:bidi="ar"/>
              </w:rPr>
              <w:t>1±</w:t>
            </w:r>
            <w:r>
              <w:rPr>
                <w:color w:val="auto"/>
                <w:sz w:val="24"/>
                <w:szCs w:val="24"/>
                <w:highlight w:val="none"/>
                <w:lang w:val="ru-RU" w:eastAsia="zh-CN" w:bidi="ar"/>
              </w:rPr>
              <w:t>0,</w:t>
            </w:r>
            <w:r>
              <w:rPr>
                <w:color w:val="auto"/>
                <w:sz w:val="24"/>
                <w:szCs w:val="24"/>
                <w:highlight w:val="none"/>
                <w:lang w:val="en-US" w:eastAsia="zh-CN" w:bidi="ar"/>
              </w:rPr>
              <w:t>5ᵃ</w:t>
            </w:r>
          </w:p>
        </w:tc>
        <w:tc>
          <w:tcPr>
            <w:tcW w:w="1308" w:type="dxa"/>
            <w:vAlign w:val="center"/>
          </w:tcPr>
          <w:p w14:paraId="32E52CC4">
            <w:pPr>
              <w:widowControl w:val="0"/>
              <w:jc w:val="center"/>
              <w:rPr>
                <w:color w:val="auto"/>
                <w:sz w:val="24"/>
                <w:szCs w:val="24"/>
                <w:highlight w:val="none"/>
                <w:lang w:val="en-US" w:eastAsia="zh-CN" w:bidi="ar"/>
              </w:rPr>
            </w:pPr>
            <w:r>
              <w:rPr>
                <w:color w:val="auto"/>
                <w:sz w:val="24"/>
                <w:szCs w:val="24"/>
                <w:highlight w:val="none"/>
                <w:lang w:val="en-US" w:eastAsia="zh-CN" w:bidi="ar"/>
              </w:rPr>
              <w:t>4</w:t>
            </w:r>
            <w:r>
              <w:rPr>
                <w:rFonts w:hint="default"/>
                <w:color w:val="auto"/>
                <w:sz w:val="24"/>
                <w:szCs w:val="24"/>
                <w:highlight w:val="none"/>
                <w:lang w:val="ru-RU" w:eastAsia="zh-CN" w:bidi="ar"/>
              </w:rPr>
              <w:t>,</w:t>
            </w:r>
            <w:r>
              <w:rPr>
                <w:color w:val="auto"/>
                <w:sz w:val="24"/>
                <w:szCs w:val="24"/>
                <w:highlight w:val="none"/>
                <w:lang w:val="en-US" w:eastAsia="zh-CN" w:bidi="ar"/>
              </w:rPr>
              <w:t>7±</w:t>
            </w:r>
            <w:r>
              <w:rPr>
                <w:color w:val="auto"/>
                <w:sz w:val="24"/>
                <w:szCs w:val="24"/>
                <w:highlight w:val="none"/>
                <w:lang w:val="ru-RU" w:eastAsia="zh-CN" w:bidi="ar"/>
              </w:rPr>
              <w:t>0,</w:t>
            </w:r>
            <w:r>
              <w:rPr>
                <w:color w:val="auto"/>
                <w:sz w:val="24"/>
                <w:szCs w:val="24"/>
                <w:highlight w:val="none"/>
                <w:lang w:val="en-US" w:eastAsia="zh-CN" w:bidi="ar"/>
              </w:rPr>
              <w:t>6ᵃ</w:t>
            </w:r>
          </w:p>
        </w:tc>
        <w:tc>
          <w:tcPr>
            <w:tcW w:w="1260" w:type="dxa"/>
            <w:vAlign w:val="center"/>
          </w:tcPr>
          <w:p w14:paraId="2BF543D6">
            <w:pPr>
              <w:widowControl w:val="0"/>
              <w:jc w:val="center"/>
              <w:rPr>
                <w:color w:val="auto"/>
                <w:sz w:val="24"/>
                <w:szCs w:val="24"/>
                <w:highlight w:val="none"/>
                <w:lang w:val="en-US" w:eastAsia="zh-CN" w:bidi="ar"/>
              </w:rPr>
            </w:pPr>
            <w:r>
              <w:rPr>
                <w:color w:val="auto"/>
                <w:sz w:val="24"/>
                <w:szCs w:val="24"/>
                <w:highlight w:val="none"/>
                <w:lang w:val="en-US" w:eastAsia="zh-CN" w:bidi="ar"/>
              </w:rPr>
              <w:t>12</w:t>
            </w:r>
            <w:r>
              <w:rPr>
                <w:rFonts w:hint="default"/>
                <w:color w:val="auto"/>
                <w:sz w:val="24"/>
                <w:szCs w:val="24"/>
                <w:highlight w:val="none"/>
                <w:lang w:val="ru-RU" w:eastAsia="zh-CN" w:bidi="ar"/>
              </w:rPr>
              <w:t>,</w:t>
            </w:r>
            <w:r>
              <w:rPr>
                <w:color w:val="auto"/>
                <w:sz w:val="24"/>
                <w:szCs w:val="24"/>
                <w:highlight w:val="none"/>
                <w:lang w:val="en-US" w:eastAsia="zh-CN" w:bidi="ar"/>
              </w:rPr>
              <w:t>4±1.8ᵃ</w:t>
            </w:r>
          </w:p>
        </w:tc>
        <w:tc>
          <w:tcPr>
            <w:tcW w:w="1248" w:type="dxa"/>
            <w:vAlign w:val="center"/>
          </w:tcPr>
          <w:p w14:paraId="1C7EB32D">
            <w:pPr>
              <w:widowControl w:val="0"/>
              <w:jc w:val="center"/>
              <w:rPr>
                <w:color w:val="auto"/>
                <w:sz w:val="24"/>
                <w:szCs w:val="24"/>
                <w:highlight w:val="none"/>
                <w:lang w:val="en-US" w:eastAsia="zh-CN" w:bidi="ar"/>
              </w:rPr>
            </w:pPr>
            <w:r>
              <w:rPr>
                <w:color w:val="auto"/>
                <w:sz w:val="24"/>
                <w:szCs w:val="24"/>
                <w:highlight w:val="none"/>
                <w:lang w:val="en-US" w:eastAsia="zh-CN" w:bidi="ar"/>
              </w:rPr>
              <w:t>18</w:t>
            </w:r>
            <w:r>
              <w:rPr>
                <w:rFonts w:hint="default"/>
                <w:color w:val="auto"/>
                <w:sz w:val="24"/>
                <w:szCs w:val="24"/>
                <w:highlight w:val="none"/>
                <w:lang w:val="ru-RU" w:eastAsia="zh-CN" w:bidi="ar"/>
              </w:rPr>
              <w:t>,</w:t>
            </w:r>
            <w:r>
              <w:rPr>
                <w:color w:val="auto"/>
                <w:sz w:val="24"/>
                <w:szCs w:val="24"/>
                <w:highlight w:val="none"/>
                <w:lang w:val="en-US" w:eastAsia="zh-CN" w:bidi="ar"/>
              </w:rPr>
              <w:t>6±</w:t>
            </w:r>
            <w:r>
              <w:rPr>
                <w:color w:val="auto"/>
                <w:sz w:val="24"/>
                <w:szCs w:val="24"/>
                <w:highlight w:val="none"/>
                <w:lang w:val="ru-RU" w:eastAsia="zh-CN" w:bidi="ar"/>
              </w:rPr>
              <w:t>2,</w:t>
            </w:r>
            <w:r>
              <w:rPr>
                <w:color w:val="auto"/>
                <w:sz w:val="24"/>
                <w:szCs w:val="24"/>
                <w:highlight w:val="none"/>
                <w:lang w:val="en-US" w:eastAsia="zh-CN" w:bidi="ar"/>
              </w:rPr>
              <w:t>1ᵃ</w:t>
            </w:r>
          </w:p>
        </w:tc>
        <w:tc>
          <w:tcPr>
            <w:tcW w:w="1234" w:type="dxa"/>
            <w:vAlign w:val="center"/>
          </w:tcPr>
          <w:p w14:paraId="72BAD4B1">
            <w:pPr>
              <w:widowControl w:val="0"/>
              <w:jc w:val="center"/>
              <w:rPr>
                <w:color w:val="auto"/>
                <w:sz w:val="24"/>
                <w:szCs w:val="24"/>
                <w:highlight w:val="none"/>
                <w:lang w:val="en-US" w:eastAsia="zh-CN" w:bidi="ar"/>
              </w:rPr>
            </w:pPr>
            <w:r>
              <w:rPr>
                <w:color w:val="auto"/>
                <w:sz w:val="24"/>
                <w:szCs w:val="24"/>
                <w:highlight w:val="none"/>
                <w:lang w:val="en-US" w:eastAsia="zh-CN" w:bidi="ar"/>
              </w:rPr>
              <w:t>24</w:t>
            </w:r>
            <w:r>
              <w:rPr>
                <w:rFonts w:hint="default"/>
                <w:color w:val="auto"/>
                <w:sz w:val="24"/>
                <w:szCs w:val="24"/>
                <w:highlight w:val="none"/>
                <w:lang w:val="ru-RU" w:eastAsia="zh-CN" w:bidi="ar"/>
              </w:rPr>
              <w:t>,</w:t>
            </w:r>
            <w:r>
              <w:rPr>
                <w:color w:val="auto"/>
                <w:sz w:val="24"/>
                <w:szCs w:val="24"/>
                <w:highlight w:val="none"/>
                <w:lang w:val="en-US" w:eastAsia="zh-CN" w:bidi="ar"/>
              </w:rPr>
              <w:t>3±</w:t>
            </w:r>
            <w:r>
              <w:rPr>
                <w:color w:val="auto"/>
                <w:sz w:val="24"/>
                <w:szCs w:val="24"/>
                <w:highlight w:val="none"/>
                <w:lang w:val="ru-RU" w:eastAsia="zh-CN" w:bidi="ar"/>
              </w:rPr>
              <w:t>2,</w:t>
            </w:r>
            <w:r>
              <w:rPr>
                <w:color w:val="auto"/>
                <w:sz w:val="24"/>
                <w:szCs w:val="24"/>
                <w:highlight w:val="none"/>
                <w:lang w:val="en-US" w:eastAsia="zh-CN" w:bidi="ar"/>
              </w:rPr>
              <w:t>7ᵃ</w:t>
            </w:r>
          </w:p>
        </w:tc>
      </w:tr>
      <w:tr w14:paraId="76CB6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9" w:type="dxa"/>
            <w:vAlign w:val="center"/>
          </w:tcPr>
          <w:p w14:paraId="4872104F">
            <w:pPr>
              <w:widowControl w:val="0"/>
              <w:rPr>
                <w:color w:val="auto"/>
                <w:sz w:val="24"/>
                <w:szCs w:val="24"/>
                <w:highlight w:val="none"/>
                <w:lang w:val="en-US" w:eastAsia="zh-CN" w:bidi="ar"/>
              </w:rPr>
            </w:pPr>
            <w:r>
              <w:rPr>
                <w:color w:val="auto"/>
                <w:sz w:val="24"/>
                <w:szCs w:val="24"/>
                <w:highlight w:val="none"/>
                <w:lang w:val="en-US" w:eastAsia="zh-CN" w:bidi="ar"/>
              </w:rPr>
              <w:t>Күріш қауызы</w:t>
            </w:r>
          </w:p>
        </w:tc>
        <w:tc>
          <w:tcPr>
            <w:tcW w:w="1241" w:type="dxa"/>
            <w:vAlign w:val="center"/>
          </w:tcPr>
          <w:p w14:paraId="077FF819">
            <w:pPr>
              <w:widowControl w:val="0"/>
              <w:jc w:val="center"/>
              <w:rPr>
                <w:color w:val="auto"/>
                <w:sz w:val="24"/>
                <w:szCs w:val="24"/>
                <w:highlight w:val="none"/>
                <w:lang w:val="en-US" w:eastAsia="zh-CN" w:bidi="ar"/>
              </w:rPr>
            </w:pPr>
            <w:r>
              <w:rPr>
                <w:color w:val="auto"/>
                <w:sz w:val="24"/>
                <w:szCs w:val="24"/>
                <w:highlight w:val="none"/>
                <w:lang w:val="en-US" w:eastAsia="zh-CN" w:bidi="ar"/>
              </w:rPr>
              <w:t>2</w:t>
            </w:r>
            <w:r>
              <w:rPr>
                <w:rFonts w:hint="default"/>
                <w:color w:val="auto"/>
                <w:sz w:val="24"/>
                <w:szCs w:val="24"/>
                <w:highlight w:val="none"/>
                <w:lang w:val="ru-RU" w:eastAsia="zh-CN" w:bidi="ar"/>
              </w:rPr>
              <w:t>,</w:t>
            </w:r>
            <w:r>
              <w:rPr>
                <w:color w:val="auto"/>
                <w:sz w:val="24"/>
                <w:szCs w:val="24"/>
                <w:highlight w:val="none"/>
                <w:lang w:val="en-US" w:eastAsia="zh-CN" w:bidi="ar"/>
              </w:rPr>
              <w:t>6±</w:t>
            </w:r>
            <w:r>
              <w:rPr>
                <w:color w:val="auto"/>
                <w:sz w:val="24"/>
                <w:szCs w:val="24"/>
                <w:highlight w:val="none"/>
                <w:lang w:val="ru-RU" w:eastAsia="zh-CN" w:bidi="ar"/>
              </w:rPr>
              <w:t>0,</w:t>
            </w:r>
            <w:r>
              <w:rPr>
                <w:color w:val="auto"/>
                <w:sz w:val="24"/>
                <w:szCs w:val="24"/>
                <w:highlight w:val="none"/>
                <w:lang w:val="en-US" w:eastAsia="zh-CN" w:bidi="ar"/>
              </w:rPr>
              <w:t>3ᵃᵇ</w:t>
            </w:r>
          </w:p>
        </w:tc>
        <w:tc>
          <w:tcPr>
            <w:tcW w:w="1176" w:type="dxa"/>
            <w:vAlign w:val="center"/>
          </w:tcPr>
          <w:p w14:paraId="109D361A">
            <w:pPr>
              <w:widowControl w:val="0"/>
              <w:jc w:val="center"/>
              <w:rPr>
                <w:color w:val="auto"/>
                <w:sz w:val="24"/>
                <w:szCs w:val="24"/>
                <w:highlight w:val="none"/>
                <w:lang w:val="en-US" w:eastAsia="zh-CN" w:bidi="ar"/>
              </w:rPr>
            </w:pPr>
            <w:r>
              <w:rPr>
                <w:color w:val="auto"/>
                <w:sz w:val="24"/>
                <w:szCs w:val="24"/>
                <w:highlight w:val="none"/>
                <w:lang w:val="en-US" w:eastAsia="zh-CN" w:bidi="ar"/>
              </w:rPr>
              <w:t>3</w:t>
            </w:r>
            <w:r>
              <w:rPr>
                <w:rFonts w:hint="default"/>
                <w:color w:val="auto"/>
                <w:sz w:val="24"/>
                <w:szCs w:val="24"/>
                <w:highlight w:val="none"/>
                <w:lang w:val="ru-RU" w:eastAsia="zh-CN" w:bidi="ar"/>
              </w:rPr>
              <w:t>,</w:t>
            </w:r>
            <w:r>
              <w:rPr>
                <w:color w:val="auto"/>
                <w:sz w:val="24"/>
                <w:szCs w:val="24"/>
                <w:highlight w:val="none"/>
                <w:lang w:val="en-US" w:eastAsia="zh-CN" w:bidi="ar"/>
              </w:rPr>
              <w:t>4±</w:t>
            </w:r>
            <w:r>
              <w:rPr>
                <w:color w:val="auto"/>
                <w:sz w:val="24"/>
                <w:szCs w:val="24"/>
                <w:highlight w:val="none"/>
                <w:lang w:val="ru-RU" w:eastAsia="zh-CN" w:bidi="ar"/>
              </w:rPr>
              <w:t>0,</w:t>
            </w:r>
            <w:r>
              <w:rPr>
                <w:color w:val="auto"/>
                <w:sz w:val="24"/>
                <w:szCs w:val="24"/>
                <w:highlight w:val="none"/>
                <w:lang w:val="en-US" w:eastAsia="zh-CN" w:bidi="ar"/>
              </w:rPr>
              <w:t>4ᵃᵇ</w:t>
            </w:r>
          </w:p>
        </w:tc>
        <w:tc>
          <w:tcPr>
            <w:tcW w:w="1308" w:type="dxa"/>
            <w:vAlign w:val="center"/>
          </w:tcPr>
          <w:p w14:paraId="3FF18130">
            <w:pPr>
              <w:widowControl w:val="0"/>
              <w:jc w:val="center"/>
              <w:rPr>
                <w:color w:val="auto"/>
                <w:sz w:val="24"/>
                <w:szCs w:val="24"/>
                <w:highlight w:val="none"/>
                <w:lang w:val="en-US" w:eastAsia="zh-CN" w:bidi="ar"/>
              </w:rPr>
            </w:pPr>
            <w:r>
              <w:rPr>
                <w:color w:val="auto"/>
                <w:sz w:val="24"/>
                <w:szCs w:val="24"/>
                <w:highlight w:val="none"/>
                <w:lang w:val="en-US" w:eastAsia="zh-CN" w:bidi="ar"/>
              </w:rPr>
              <w:t>3</w:t>
            </w:r>
            <w:r>
              <w:rPr>
                <w:rFonts w:hint="default"/>
                <w:color w:val="auto"/>
                <w:sz w:val="24"/>
                <w:szCs w:val="24"/>
                <w:highlight w:val="none"/>
                <w:lang w:val="ru-RU" w:eastAsia="zh-CN" w:bidi="ar"/>
              </w:rPr>
              <w:t>,</w:t>
            </w:r>
            <w:r>
              <w:rPr>
                <w:color w:val="auto"/>
                <w:sz w:val="24"/>
                <w:szCs w:val="24"/>
                <w:highlight w:val="none"/>
                <w:lang w:val="en-US" w:eastAsia="zh-CN" w:bidi="ar"/>
              </w:rPr>
              <w:t>9±</w:t>
            </w:r>
            <w:r>
              <w:rPr>
                <w:color w:val="auto"/>
                <w:sz w:val="24"/>
                <w:szCs w:val="24"/>
                <w:highlight w:val="none"/>
                <w:lang w:val="ru-RU" w:eastAsia="zh-CN" w:bidi="ar"/>
              </w:rPr>
              <w:t>0,</w:t>
            </w:r>
            <w:r>
              <w:rPr>
                <w:color w:val="auto"/>
                <w:sz w:val="24"/>
                <w:szCs w:val="24"/>
                <w:highlight w:val="none"/>
                <w:lang w:val="en-US" w:eastAsia="zh-CN" w:bidi="ar"/>
              </w:rPr>
              <w:t>5ᵇ</w:t>
            </w:r>
          </w:p>
        </w:tc>
        <w:tc>
          <w:tcPr>
            <w:tcW w:w="1260" w:type="dxa"/>
            <w:vAlign w:val="center"/>
          </w:tcPr>
          <w:p w14:paraId="5A14A65E">
            <w:pPr>
              <w:widowControl w:val="0"/>
              <w:jc w:val="center"/>
              <w:rPr>
                <w:color w:val="auto"/>
                <w:sz w:val="24"/>
                <w:szCs w:val="24"/>
                <w:highlight w:val="none"/>
                <w:lang w:val="en-US" w:eastAsia="zh-CN" w:bidi="ar"/>
              </w:rPr>
            </w:pPr>
            <w:r>
              <w:rPr>
                <w:color w:val="auto"/>
                <w:sz w:val="24"/>
                <w:szCs w:val="24"/>
                <w:highlight w:val="none"/>
                <w:lang w:val="en-US" w:eastAsia="zh-CN" w:bidi="ar"/>
              </w:rPr>
              <w:t>9</w:t>
            </w:r>
            <w:r>
              <w:rPr>
                <w:rFonts w:hint="default"/>
                <w:color w:val="auto"/>
                <w:sz w:val="24"/>
                <w:szCs w:val="24"/>
                <w:highlight w:val="none"/>
                <w:lang w:val="ru-RU" w:eastAsia="zh-CN" w:bidi="ar"/>
              </w:rPr>
              <w:t>,</w:t>
            </w:r>
            <w:r>
              <w:rPr>
                <w:color w:val="auto"/>
                <w:sz w:val="24"/>
                <w:szCs w:val="24"/>
                <w:highlight w:val="none"/>
                <w:lang w:val="en-US" w:eastAsia="zh-CN" w:bidi="ar"/>
              </w:rPr>
              <w:t>7±1</w:t>
            </w:r>
            <w:r>
              <w:rPr>
                <w:rFonts w:hint="default"/>
                <w:color w:val="auto"/>
                <w:sz w:val="24"/>
                <w:szCs w:val="24"/>
                <w:highlight w:val="none"/>
                <w:lang w:val="ru-RU" w:eastAsia="zh-CN" w:bidi="ar"/>
              </w:rPr>
              <w:t>,</w:t>
            </w:r>
            <w:r>
              <w:rPr>
                <w:color w:val="auto"/>
                <w:sz w:val="24"/>
                <w:szCs w:val="24"/>
                <w:highlight w:val="none"/>
                <w:lang w:val="en-US" w:eastAsia="zh-CN" w:bidi="ar"/>
              </w:rPr>
              <w:t>5ᵃᵇ</w:t>
            </w:r>
          </w:p>
        </w:tc>
        <w:tc>
          <w:tcPr>
            <w:tcW w:w="1248" w:type="dxa"/>
            <w:vAlign w:val="center"/>
          </w:tcPr>
          <w:p w14:paraId="63F06207">
            <w:pPr>
              <w:widowControl w:val="0"/>
              <w:jc w:val="both"/>
              <w:rPr>
                <w:color w:val="auto"/>
                <w:sz w:val="24"/>
                <w:szCs w:val="24"/>
                <w:highlight w:val="none"/>
                <w:lang w:val="en-US" w:eastAsia="zh-CN" w:bidi="ar"/>
              </w:rPr>
            </w:pPr>
            <w:r>
              <w:rPr>
                <w:color w:val="auto"/>
                <w:sz w:val="24"/>
                <w:szCs w:val="24"/>
                <w:highlight w:val="none"/>
                <w:lang w:val="en-US" w:eastAsia="zh-CN" w:bidi="ar"/>
              </w:rPr>
              <w:t>14</w:t>
            </w:r>
            <w:r>
              <w:rPr>
                <w:rFonts w:hint="default"/>
                <w:color w:val="auto"/>
                <w:sz w:val="24"/>
                <w:szCs w:val="24"/>
                <w:highlight w:val="none"/>
                <w:lang w:val="ru-RU" w:eastAsia="zh-CN" w:bidi="ar"/>
              </w:rPr>
              <w:t>,</w:t>
            </w:r>
            <w:r>
              <w:rPr>
                <w:color w:val="auto"/>
                <w:sz w:val="24"/>
                <w:szCs w:val="24"/>
                <w:highlight w:val="none"/>
                <w:lang w:val="en-US" w:eastAsia="zh-CN" w:bidi="ar"/>
              </w:rPr>
              <w:t>2±1</w:t>
            </w:r>
            <w:r>
              <w:rPr>
                <w:rFonts w:hint="default"/>
                <w:color w:val="auto"/>
                <w:sz w:val="24"/>
                <w:szCs w:val="24"/>
                <w:highlight w:val="none"/>
                <w:lang w:val="ru-RU" w:eastAsia="zh-CN" w:bidi="ar"/>
              </w:rPr>
              <w:t>,</w:t>
            </w:r>
            <w:r>
              <w:rPr>
                <w:color w:val="auto"/>
                <w:sz w:val="24"/>
                <w:szCs w:val="24"/>
                <w:highlight w:val="none"/>
                <w:lang w:val="en-US" w:eastAsia="zh-CN" w:bidi="ar"/>
              </w:rPr>
              <w:t>9ᵃᵇ</w:t>
            </w:r>
          </w:p>
        </w:tc>
        <w:tc>
          <w:tcPr>
            <w:tcW w:w="1234" w:type="dxa"/>
            <w:vAlign w:val="center"/>
          </w:tcPr>
          <w:p w14:paraId="0286E5E8">
            <w:pPr>
              <w:widowControl w:val="0"/>
              <w:jc w:val="center"/>
              <w:rPr>
                <w:color w:val="auto"/>
                <w:sz w:val="24"/>
                <w:szCs w:val="24"/>
                <w:highlight w:val="none"/>
                <w:lang w:val="en-US" w:eastAsia="zh-CN" w:bidi="ar"/>
              </w:rPr>
            </w:pPr>
            <w:r>
              <w:rPr>
                <w:color w:val="auto"/>
                <w:sz w:val="24"/>
                <w:szCs w:val="24"/>
                <w:highlight w:val="none"/>
                <w:lang w:val="en-US" w:eastAsia="zh-CN" w:bidi="ar"/>
              </w:rPr>
              <w:t>19</w:t>
            </w:r>
            <w:r>
              <w:rPr>
                <w:rFonts w:hint="default"/>
                <w:color w:val="auto"/>
                <w:sz w:val="24"/>
                <w:szCs w:val="24"/>
                <w:highlight w:val="none"/>
                <w:lang w:val="ru-RU" w:eastAsia="zh-CN" w:bidi="ar"/>
              </w:rPr>
              <w:t>,</w:t>
            </w:r>
            <w:r>
              <w:rPr>
                <w:color w:val="auto"/>
                <w:sz w:val="24"/>
                <w:szCs w:val="24"/>
                <w:highlight w:val="none"/>
                <w:lang w:val="en-US" w:eastAsia="zh-CN" w:bidi="ar"/>
              </w:rPr>
              <w:t>1±2</w:t>
            </w:r>
            <w:r>
              <w:rPr>
                <w:rFonts w:hint="default"/>
                <w:color w:val="auto"/>
                <w:sz w:val="24"/>
                <w:szCs w:val="24"/>
                <w:highlight w:val="none"/>
                <w:lang w:val="ru-RU" w:eastAsia="zh-CN" w:bidi="ar"/>
              </w:rPr>
              <w:t>,</w:t>
            </w:r>
            <w:r>
              <w:rPr>
                <w:color w:val="auto"/>
                <w:sz w:val="24"/>
                <w:szCs w:val="24"/>
                <w:highlight w:val="none"/>
                <w:lang w:val="en-US" w:eastAsia="zh-CN" w:bidi="ar"/>
              </w:rPr>
              <w:t>3ᵃᵇ</w:t>
            </w:r>
          </w:p>
        </w:tc>
      </w:tr>
    </w:tbl>
    <w:p w14:paraId="5027E27F">
      <w:pPr>
        <w:pStyle w:val="35"/>
        <w:spacing w:beforeAutospacing="0" w:afterAutospacing="0"/>
        <w:ind w:firstLine="709"/>
        <w:jc w:val="both"/>
        <w:rPr>
          <w:color w:val="auto"/>
          <w:sz w:val="28"/>
          <w:szCs w:val="28"/>
          <w:highlight w:val="yellow"/>
        </w:rPr>
      </w:pPr>
    </w:p>
    <w:p w14:paraId="1031EC0F">
      <w:pPr>
        <w:pStyle w:val="35"/>
        <w:spacing w:beforeAutospacing="0" w:afterAutospacing="0"/>
        <w:ind w:firstLine="709"/>
        <w:jc w:val="both"/>
        <w:rPr>
          <w:color w:val="auto"/>
          <w:sz w:val="28"/>
          <w:szCs w:val="28"/>
          <w:lang w:val="kk-KZ"/>
        </w:rPr>
      </w:pPr>
      <w:r>
        <w:rPr>
          <w:color w:val="auto"/>
          <w:sz w:val="28"/>
          <w:szCs w:val="28"/>
          <w:lang w:val="kk-KZ"/>
        </w:rPr>
        <w:t xml:space="preserve">Ферменттік белсенділік деректері бір факторлы </w:t>
      </w:r>
      <w:r>
        <w:rPr>
          <w:color w:val="auto"/>
          <w:sz w:val="28"/>
          <w:szCs w:val="28"/>
        </w:rPr>
        <w:t>ANOVA</w:t>
      </w:r>
      <w:r>
        <w:rPr>
          <w:color w:val="auto"/>
          <w:sz w:val="28"/>
          <w:szCs w:val="28"/>
          <w:lang w:val="kk-KZ"/>
        </w:rPr>
        <w:t xml:space="preserve"> және </w:t>
      </w:r>
      <w:r>
        <w:rPr>
          <w:color w:val="auto"/>
          <w:sz w:val="28"/>
          <w:szCs w:val="28"/>
        </w:rPr>
        <w:t>Tukey</w:t>
      </w:r>
      <w:r>
        <w:rPr>
          <w:color w:val="auto"/>
          <w:sz w:val="28"/>
          <w:szCs w:val="28"/>
          <w:lang w:val="kk-KZ"/>
        </w:rPr>
        <w:t xml:space="preserve"> </w:t>
      </w:r>
      <w:r>
        <w:rPr>
          <w:color w:val="auto"/>
          <w:sz w:val="28"/>
          <w:szCs w:val="28"/>
        </w:rPr>
        <w:t>post-hoc HSD сынағы</w:t>
      </w:r>
      <w:r>
        <w:rPr>
          <w:color w:val="auto"/>
          <w:sz w:val="28"/>
          <w:szCs w:val="28"/>
          <w:lang w:val="kk-KZ"/>
        </w:rPr>
        <w:t xml:space="preserve"> арқылы статистикалық өңделді </w:t>
      </w:r>
      <w:r>
        <w:rPr>
          <w:color w:val="auto"/>
          <w:sz w:val="28"/>
          <w:szCs w:val="28"/>
        </w:rPr>
        <w:t>(n=5)</w:t>
      </w:r>
      <w:r>
        <w:rPr>
          <w:color w:val="auto"/>
          <w:sz w:val="28"/>
          <w:szCs w:val="28"/>
          <w:lang w:val="kk-KZ"/>
        </w:rPr>
        <w:t xml:space="preserve">. Әрбір уақыт нүктесі мен өдеу ішіндегі әртүрлі әріптер статистикалық тұрғыдан маңызды айырмашылықтарды білдіреді (p &lt; </w:t>
      </w:r>
      <w:r>
        <w:rPr>
          <w:color w:val="auto"/>
          <w:sz w:val="28"/>
          <w:szCs w:val="28"/>
          <w:lang w:val="ru-RU"/>
        </w:rPr>
        <w:t>0,</w:t>
      </w:r>
      <w:r>
        <w:rPr>
          <w:color w:val="auto"/>
          <w:sz w:val="28"/>
          <w:szCs w:val="28"/>
          <w:lang w:val="kk-KZ"/>
        </w:rPr>
        <w:t>05, ). Нәтижелер орташа мәндер ± стандартты ауытқу түрінде көрсетілген.</w:t>
      </w:r>
    </w:p>
    <w:p w14:paraId="09C5D3C5">
      <w:pPr>
        <w:pStyle w:val="35"/>
        <w:spacing w:beforeAutospacing="0" w:afterAutospacing="0"/>
        <w:ind w:firstLine="709"/>
        <w:jc w:val="both"/>
        <w:rPr>
          <w:color w:val="auto"/>
          <w:sz w:val="28"/>
          <w:szCs w:val="28"/>
          <w:lang w:val="kk-KZ"/>
        </w:rPr>
      </w:pPr>
      <w:r>
        <w:rPr>
          <w:color w:val="auto"/>
          <w:sz w:val="28"/>
          <w:szCs w:val="28"/>
          <w:lang w:val="kk-KZ"/>
        </w:rPr>
        <w:t>45 күндік инкубациядан кейін иммобилизацияланған қарақұмық қауызы үшін (4</w:t>
      </w:r>
      <w:r>
        <w:rPr>
          <w:rFonts w:hint="default"/>
          <w:color w:val="auto"/>
          <w:sz w:val="28"/>
          <w:szCs w:val="28"/>
          <w:lang w:val="ru-RU"/>
        </w:rPr>
        <w:t>,</w:t>
      </w:r>
      <w:r>
        <w:rPr>
          <w:color w:val="auto"/>
          <w:sz w:val="28"/>
          <w:szCs w:val="28"/>
          <w:lang w:val="kk-KZ"/>
        </w:rPr>
        <w:t>7±</w:t>
      </w:r>
      <w:r>
        <w:rPr>
          <w:color w:val="auto"/>
          <w:sz w:val="28"/>
          <w:szCs w:val="28"/>
          <w:lang w:val="ru-RU"/>
        </w:rPr>
        <w:t>0,</w:t>
      </w:r>
      <w:r>
        <w:rPr>
          <w:color w:val="auto"/>
          <w:sz w:val="28"/>
          <w:szCs w:val="28"/>
          <w:lang w:val="kk-KZ"/>
        </w:rPr>
        <w:t>6) мл O₂·г⁻¹·(3 мин)⁻¹, күріш қауызы үшін (3</w:t>
      </w:r>
      <w:r>
        <w:rPr>
          <w:rFonts w:hint="default"/>
          <w:color w:val="auto"/>
          <w:sz w:val="28"/>
          <w:szCs w:val="28"/>
          <w:lang w:val="ru-RU"/>
        </w:rPr>
        <w:t>,</w:t>
      </w:r>
      <w:r>
        <w:rPr>
          <w:color w:val="auto"/>
          <w:sz w:val="28"/>
          <w:szCs w:val="28"/>
          <w:lang w:val="kk-KZ"/>
        </w:rPr>
        <w:t>9±</w:t>
      </w:r>
      <w:r>
        <w:rPr>
          <w:color w:val="auto"/>
          <w:sz w:val="28"/>
          <w:szCs w:val="28"/>
          <w:lang w:val="ru-RU"/>
        </w:rPr>
        <w:t>0,</w:t>
      </w:r>
      <w:r>
        <w:rPr>
          <w:color w:val="auto"/>
          <w:sz w:val="28"/>
          <w:szCs w:val="28"/>
          <w:lang w:val="kk-KZ"/>
        </w:rPr>
        <w:t>5) мл O₂·г⁻¹·(3 мин)⁻¹. Бұл көрсеткіштер бос жасушалармен (2</w:t>
      </w:r>
      <w:r>
        <w:rPr>
          <w:rFonts w:hint="default"/>
          <w:color w:val="auto"/>
          <w:sz w:val="28"/>
          <w:szCs w:val="28"/>
          <w:lang w:val="ru-RU"/>
        </w:rPr>
        <w:t>,</w:t>
      </w:r>
      <w:r>
        <w:rPr>
          <w:color w:val="auto"/>
          <w:sz w:val="28"/>
          <w:szCs w:val="28"/>
          <w:lang w:val="kk-KZ"/>
        </w:rPr>
        <w:t>8±</w:t>
      </w:r>
      <w:r>
        <w:rPr>
          <w:color w:val="auto"/>
          <w:sz w:val="28"/>
          <w:szCs w:val="28"/>
          <w:lang w:val="ru-RU"/>
        </w:rPr>
        <w:t>0,</w:t>
      </w:r>
      <w:r>
        <w:rPr>
          <w:color w:val="auto"/>
          <w:sz w:val="28"/>
          <w:szCs w:val="28"/>
          <w:lang w:val="kk-KZ"/>
        </w:rPr>
        <w:t>7) салыстырғанда сәйкесінше 68% және 39% жоғары [1</w:t>
      </w:r>
      <w:r>
        <w:rPr>
          <w:rFonts w:hint="default"/>
          <w:color w:val="auto"/>
          <w:sz w:val="28"/>
          <w:szCs w:val="28"/>
          <w:lang w:val="kk-KZ"/>
        </w:rPr>
        <w:t>31</w:t>
      </w:r>
      <w:r>
        <w:rPr>
          <w:color w:val="auto"/>
          <w:sz w:val="28"/>
          <w:szCs w:val="28"/>
          <w:lang w:val="kk-KZ"/>
        </w:rPr>
        <w:t>]. Липаза белсенділігі де ұқсас үрдісті ұстанды, иммобилизацияланған жүйелерде бос жасушалармен (13</w:t>
      </w:r>
      <w:r>
        <w:rPr>
          <w:rFonts w:hint="default"/>
          <w:color w:val="auto"/>
          <w:sz w:val="28"/>
          <w:szCs w:val="28"/>
          <w:lang w:val="ru-RU"/>
        </w:rPr>
        <w:t>,</w:t>
      </w:r>
      <w:r>
        <w:rPr>
          <w:color w:val="auto"/>
          <w:sz w:val="28"/>
          <w:szCs w:val="28"/>
          <w:lang w:val="kk-KZ"/>
        </w:rPr>
        <w:t>5±</w:t>
      </w:r>
      <w:r>
        <w:rPr>
          <w:color w:val="auto"/>
          <w:sz w:val="28"/>
          <w:szCs w:val="28"/>
          <w:lang w:val="ru-RU"/>
        </w:rPr>
        <w:t>2,</w:t>
      </w:r>
      <w:r>
        <w:rPr>
          <w:color w:val="auto"/>
          <w:sz w:val="28"/>
          <w:szCs w:val="28"/>
          <w:lang w:val="kk-KZ"/>
        </w:rPr>
        <w:t>0 мкмоль май қышқылы·г⁻¹·сағ⁻¹) салыстырғанда 80%-ға дейін жоғары белсенділік: қарақұмық қауызы (24</w:t>
      </w:r>
      <w:r>
        <w:rPr>
          <w:rFonts w:hint="default"/>
          <w:color w:val="auto"/>
          <w:sz w:val="28"/>
          <w:szCs w:val="28"/>
          <w:lang w:val="ru-RU"/>
        </w:rPr>
        <w:t>,</w:t>
      </w:r>
      <w:r>
        <w:rPr>
          <w:color w:val="auto"/>
          <w:sz w:val="28"/>
          <w:szCs w:val="28"/>
          <w:lang w:val="kk-KZ"/>
        </w:rPr>
        <w:t>3±2</w:t>
      </w:r>
      <w:r>
        <w:rPr>
          <w:rFonts w:hint="default"/>
          <w:color w:val="auto"/>
          <w:sz w:val="28"/>
          <w:szCs w:val="28"/>
          <w:lang w:val="ru-RU"/>
        </w:rPr>
        <w:t>,</w:t>
      </w:r>
      <w:r>
        <w:rPr>
          <w:color w:val="auto"/>
          <w:sz w:val="28"/>
          <w:szCs w:val="28"/>
          <w:lang w:val="kk-KZ"/>
        </w:rPr>
        <w:t>7), күріш қауызы (19</w:t>
      </w:r>
      <w:r>
        <w:rPr>
          <w:rFonts w:hint="default"/>
          <w:color w:val="auto"/>
          <w:sz w:val="28"/>
          <w:szCs w:val="28"/>
          <w:lang w:val="ru-RU"/>
        </w:rPr>
        <w:t>,</w:t>
      </w:r>
      <w:r>
        <w:rPr>
          <w:color w:val="auto"/>
          <w:sz w:val="28"/>
          <w:szCs w:val="28"/>
          <w:lang w:val="kk-KZ"/>
        </w:rPr>
        <w:t>1±2</w:t>
      </w:r>
      <w:r>
        <w:rPr>
          <w:rFonts w:hint="default"/>
          <w:color w:val="auto"/>
          <w:sz w:val="28"/>
          <w:szCs w:val="28"/>
          <w:lang w:val="ru-RU"/>
        </w:rPr>
        <w:t>,</w:t>
      </w:r>
      <w:r>
        <w:rPr>
          <w:color w:val="auto"/>
          <w:sz w:val="28"/>
          <w:szCs w:val="28"/>
          <w:lang w:val="kk-KZ"/>
        </w:rPr>
        <w:t>3).</w:t>
      </w:r>
    </w:p>
    <w:p w14:paraId="58F0647B">
      <w:pPr>
        <w:pStyle w:val="35"/>
        <w:spacing w:beforeAutospacing="0" w:afterAutospacing="0"/>
        <w:ind w:firstLine="709"/>
        <w:jc w:val="both"/>
        <w:rPr>
          <w:color w:val="auto"/>
          <w:sz w:val="28"/>
          <w:szCs w:val="28"/>
          <w:lang w:val="kk-KZ"/>
        </w:rPr>
      </w:pPr>
      <w:r>
        <w:rPr>
          <w:color w:val="auto"/>
          <w:sz w:val="28"/>
          <w:szCs w:val="28"/>
          <w:lang w:val="kk-KZ"/>
        </w:rPr>
        <w:t>Каталаза белсенділігі барлық биотикалық нұсқаларда уақыт бойынша тұрақты өсті, бұл микроорганизмдердің тотығу стрессіне бейімделуін және аэробты көмірсутек метаболизмінің белсенуін көрсетеді. Бақылау мен абиоттық бақылау нұсқаларында каталаза мен липаза белсенділігі минималды деңгейде қалып, белсенді биодеградацияның болмағанын растады. Тек тасымалдаушы бақылауында аздаған өсім байқалды, бұл автохтонды микрофлораның шектеулі белсенділігімен түсіндіріледі.</w:t>
      </w:r>
    </w:p>
    <w:p w14:paraId="7A2B5EB7">
      <w:pPr>
        <w:pStyle w:val="35"/>
        <w:spacing w:beforeAutospacing="0" w:afterAutospacing="0"/>
        <w:ind w:firstLine="709"/>
        <w:jc w:val="both"/>
        <w:rPr>
          <w:color w:val="auto"/>
          <w:sz w:val="28"/>
          <w:szCs w:val="28"/>
          <w:lang w:val="kk-KZ"/>
        </w:rPr>
      </w:pPr>
      <w:r>
        <w:rPr>
          <w:color w:val="auto"/>
          <w:sz w:val="28"/>
          <w:szCs w:val="28"/>
          <w:lang w:val="kk-KZ"/>
        </w:rPr>
        <w:t>Липаза белсенділігі каталазамен салыстырғанда анағұрлым қарқынды индукцияланды, әсіресе иммобилизацияланған жүйелерде. 45 күн ішінде липаза белсенділігі қарақұмық және күріш қауыздарында шамамен екі есе артты, бұл мұнай көмірсутектерінің гидрофобты фракцияларының микробтық метаболизмге белсенді тартылғанын көрсетеді.</w:t>
      </w:r>
    </w:p>
    <w:p w14:paraId="5E1FA79C">
      <w:pPr>
        <w:pStyle w:val="35"/>
        <w:spacing w:beforeAutospacing="0" w:afterAutospacing="0"/>
        <w:ind w:firstLine="709"/>
        <w:jc w:val="both"/>
        <w:rPr>
          <w:color w:val="auto"/>
          <w:sz w:val="28"/>
          <w:szCs w:val="28"/>
          <w:lang w:val="kk-KZ"/>
        </w:rPr>
      </w:pPr>
      <w:r>
        <w:rPr>
          <w:color w:val="auto"/>
          <w:sz w:val="28"/>
          <w:szCs w:val="28"/>
          <w:lang w:val="kk-KZ"/>
        </w:rPr>
        <w:t>Ферменттік белсенділіктің уақыт бойынша тұрақты өсуі ЖМӨ деструкциясының кинетикалық деректерімен тығыз корреляция көрсетті және мұнайдың төмендеуі пассивті адсорбциямен емес, белсенді биологиялық деградациямен жүзеге асқанын дәлелдейді [89,143].</w:t>
      </w:r>
    </w:p>
    <w:p w14:paraId="456397A1">
      <w:pPr>
        <w:pStyle w:val="35"/>
        <w:spacing w:beforeAutospacing="0" w:afterAutospacing="0"/>
        <w:ind w:firstLine="709"/>
        <w:jc w:val="both"/>
        <w:rPr>
          <w:color w:val="auto"/>
          <w:sz w:val="28"/>
          <w:szCs w:val="28"/>
          <w:lang w:val="kk-KZ"/>
        </w:rPr>
      </w:pPr>
      <w:r>
        <w:rPr>
          <w:color w:val="auto"/>
          <w:sz w:val="28"/>
          <w:szCs w:val="28"/>
          <w:lang w:val="kk-KZ"/>
        </w:rPr>
        <w:t>Бұл келесі себеп-салдарлық тізбекті растайды: иммобилизация → жоғары жасуша тығыздығының артуы →ферменттік белсенділіктің күшеюі → ЖМӨ тиімді деструкциясы.</w:t>
      </w:r>
    </w:p>
    <w:p w14:paraId="643DA159">
      <w:pPr>
        <w:pStyle w:val="35"/>
        <w:spacing w:beforeAutospacing="0" w:afterAutospacing="0"/>
        <w:ind w:firstLine="709"/>
        <w:jc w:val="both"/>
        <w:rPr>
          <w:color w:val="auto"/>
          <w:sz w:val="28"/>
          <w:szCs w:val="28"/>
          <w:lang w:val="kk-KZ"/>
        </w:rPr>
      </w:pPr>
      <w:r>
        <w:rPr>
          <w:color w:val="auto"/>
          <w:sz w:val="28"/>
          <w:szCs w:val="28"/>
          <w:lang w:val="kk-KZ"/>
        </w:rPr>
        <w:t>Иммобилизацияланған жүйелердегі жоғары ферменттік белсенділік бірнеше факторлармен түсіндіріледі [61, 62, 143]: жоғары микробтық биомасса, биофильм ішінде ферменттердің локальды концентрациялануы, тасымалдаушы қамтамасыз ететін тұрақты микроорта (ылғал,pH, қорғаныс), экстрацеллюлярлық ферменттердің матрицада тұрақтануы және оксиданттық қолдау (рутин,</w:t>
      </w:r>
      <w:r>
        <w:rPr>
          <w:rFonts w:hint="default"/>
          <w:color w:val="auto"/>
          <w:sz w:val="28"/>
          <w:szCs w:val="28"/>
          <w:lang w:val="ru-RU"/>
        </w:rPr>
        <w:t xml:space="preserve"> </w:t>
      </w:r>
      <w:r>
        <w:rPr>
          <w:color w:val="auto"/>
          <w:sz w:val="28"/>
          <w:szCs w:val="28"/>
          <w:lang w:val="kk-KZ"/>
        </w:rPr>
        <w:t>витамин Е), бұл ферменттердің тотығу стрессінен инактивациалануын төмендетеді [61,62,89,14</w:t>
      </w:r>
      <w:r>
        <w:rPr>
          <w:rFonts w:hint="default"/>
          <w:color w:val="auto"/>
          <w:sz w:val="28"/>
          <w:szCs w:val="28"/>
          <w:lang w:val="kk-KZ"/>
        </w:rPr>
        <w:t>3</w:t>
      </w:r>
      <w:r>
        <w:rPr>
          <w:color w:val="auto"/>
          <w:sz w:val="28"/>
          <w:szCs w:val="28"/>
          <w:lang w:val="kk-KZ"/>
        </w:rPr>
        <w:t>].</w:t>
      </w:r>
    </w:p>
    <w:p w14:paraId="09A0074B">
      <w:pPr>
        <w:spacing w:after="0"/>
        <w:ind w:firstLine="709"/>
        <w:rPr>
          <w:color w:val="auto"/>
          <w:szCs w:val="28"/>
          <w:highlight w:val="yellow"/>
          <w:lang w:val="kk-KZ"/>
        </w:rPr>
      </w:pPr>
    </w:p>
    <w:p w14:paraId="73399EB0">
      <w:pPr>
        <w:spacing w:after="0"/>
        <w:ind w:firstLine="709"/>
        <w:rPr>
          <w:b/>
          <w:bCs/>
          <w:color w:val="auto"/>
          <w:szCs w:val="28"/>
          <w:highlight w:val="none"/>
          <w:lang w:val="kk-KZ"/>
        </w:rPr>
      </w:pPr>
      <w:r>
        <w:rPr>
          <w:b/>
          <w:bCs/>
          <w:color w:val="auto"/>
          <w:szCs w:val="28"/>
          <w:highlight w:val="none"/>
          <w:lang w:val="ru-RU"/>
        </w:rPr>
        <w:t>3</w:t>
      </w:r>
      <w:r>
        <w:rPr>
          <w:rFonts w:hint="default"/>
          <w:b/>
          <w:bCs/>
          <w:color w:val="auto"/>
          <w:szCs w:val="28"/>
          <w:highlight w:val="none"/>
          <w:lang w:val="kk-KZ"/>
        </w:rPr>
        <w:t>.</w:t>
      </w:r>
      <w:r>
        <w:rPr>
          <w:b/>
          <w:bCs/>
          <w:color w:val="auto"/>
          <w:szCs w:val="28"/>
          <w:highlight w:val="none"/>
          <w:lang w:val="ru-RU"/>
        </w:rPr>
        <w:t>3</w:t>
      </w:r>
      <w:r>
        <w:rPr>
          <w:rFonts w:hint="default"/>
          <w:b/>
          <w:bCs/>
          <w:color w:val="auto"/>
          <w:szCs w:val="28"/>
          <w:highlight w:val="none"/>
          <w:lang w:val="kk-KZ"/>
        </w:rPr>
        <w:t>.</w:t>
      </w:r>
      <w:r>
        <w:rPr>
          <w:b/>
          <w:bCs/>
          <w:color w:val="auto"/>
          <w:szCs w:val="28"/>
          <w:highlight w:val="none"/>
          <w:lang w:val="kk-KZ"/>
        </w:rPr>
        <w:t>6</w:t>
      </w:r>
      <w:r>
        <w:rPr>
          <w:rFonts w:hint="default"/>
          <w:b/>
          <w:bCs/>
          <w:color w:val="auto"/>
          <w:szCs w:val="28"/>
          <w:highlight w:val="none"/>
          <w:lang w:val="ru-RU"/>
        </w:rPr>
        <w:t xml:space="preserve"> </w:t>
      </w:r>
      <w:r>
        <w:rPr>
          <w:b/>
          <w:bCs/>
          <w:color w:val="auto"/>
          <w:szCs w:val="28"/>
          <w:highlight w:val="none"/>
          <w:lang w:val="kk-KZ"/>
        </w:rPr>
        <w:t>Топырақтың</w:t>
      </w:r>
      <w:r>
        <w:rPr>
          <w:rFonts w:hint="default"/>
          <w:b/>
          <w:bCs/>
          <w:color w:val="auto"/>
          <w:szCs w:val="28"/>
          <w:highlight w:val="none"/>
          <w:lang w:val="kk-KZ"/>
        </w:rPr>
        <w:t xml:space="preserve"> физика-химиялық</w:t>
      </w:r>
      <w:r>
        <w:rPr>
          <w:b/>
          <w:bCs/>
          <w:color w:val="auto"/>
          <w:szCs w:val="28"/>
          <w:highlight w:val="none"/>
          <w:lang w:val="kk-KZ"/>
        </w:rPr>
        <w:t xml:space="preserve"> параметрлерінің өзгерісін зерттеу </w:t>
      </w:r>
    </w:p>
    <w:p w14:paraId="2BE07FDA">
      <w:pPr>
        <w:spacing w:after="0"/>
        <w:ind w:firstLine="709"/>
        <w:rPr>
          <w:color w:val="auto"/>
          <w:szCs w:val="28"/>
          <w:lang w:val="kk-KZ"/>
        </w:rPr>
      </w:pPr>
      <w:r>
        <w:rPr>
          <w:color w:val="auto"/>
          <w:szCs w:val="28"/>
          <w:lang w:val="kk-KZ"/>
        </w:rPr>
        <w:t>Топырақтың физика-химиялық қасиеттері микробтық белсенділікке және биоремедиация тиімділігіне тікелей әсер етеді. Эксперимент барысында топырақ pH және ылғалдылығы үздіксіз бақыланды . Нәтижелер  14 cуретте көрсетілген [1</w:t>
      </w:r>
      <w:r>
        <w:rPr>
          <w:rFonts w:hint="default"/>
          <w:color w:val="auto"/>
          <w:szCs w:val="28"/>
          <w:lang w:val="kk-KZ"/>
        </w:rPr>
        <w:t>31</w:t>
      </w:r>
      <w:r>
        <w:rPr>
          <w:color w:val="auto"/>
          <w:szCs w:val="28"/>
          <w:lang w:val="kk-KZ"/>
        </w:rPr>
        <w:t>].</w:t>
      </w:r>
    </w:p>
    <w:p w14:paraId="610695E6">
      <w:pPr>
        <w:rPr>
          <w:color w:val="auto"/>
          <w:szCs w:val="28"/>
          <w:lang w:val="kk-KZ"/>
        </w:rPr>
      </w:pPr>
      <w:r>
        <w:rPr>
          <w:color w:val="auto"/>
          <w:szCs w:val="28"/>
          <w:lang w:val="kk-KZ"/>
        </w:rPr>
        <w:br w:type="page"/>
      </w:r>
    </w:p>
    <w:p w14:paraId="059D3B26">
      <w:pPr>
        <w:spacing w:after="0"/>
        <w:jc w:val="left"/>
        <w:rPr>
          <w:color w:val="auto"/>
          <w:szCs w:val="28"/>
          <w:lang w:val="en-US"/>
        </w:rPr>
      </w:pPr>
      <w:r>
        <w:rPr>
          <w:color w:val="auto"/>
          <w:szCs w:val="28"/>
          <w:lang w:val="kk-KZ"/>
        </w:rPr>
        <w:t>а</w:t>
      </w:r>
      <w:r>
        <w:rPr>
          <w:color w:val="auto"/>
          <w:szCs w:val="28"/>
          <w:lang w:val="en-US"/>
        </w:rPr>
        <w:t>)</w:t>
      </w:r>
    </w:p>
    <w:p w14:paraId="6E699BD6">
      <w:pPr>
        <w:spacing w:after="0"/>
        <w:ind w:firstLine="709"/>
        <w:jc w:val="center"/>
        <w:rPr>
          <w:color w:val="auto"/>
        </w:rPr>
      </w:pPr>
      <w:r>
        <w:rPr>
          <w:color w:val="auto"/>
        </w:rPr>
        <w:drawing>
          <wp:inline distT="0" distB="0" distL="114300" distR="114300">
            <wp:extent cx="5389880" cy="3305810"/>
            <wp:effectExtent l="4445" t="4445" r="15875" b="12065"/>
            <wp:docPr id="63"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04CCD7EB">
      <w:pPr>
        <w:spacing w:after="0"/>
        <w:ind w:firstLine="709"/>
        <w:jc w:val="center"/>
        <w:rPr>
          <w:b/>
          <w:bCs/>
          <w:color w:val="auto"/>
          <w:szCs w:val="28"/>
          <w:lang w:val="en-US"/>
        </w:rPr>
      </w:pPr>
    </w:p>
    <w:p w14:paraId="0CF96A96">
      <w:pPr>
        <w:spacing w:after="0"/>
        <w:jc w:val="left"/>
        <w:rPr>
          <w:color w:val="auto"/>
        </w:rPr>
      </w:pPr>
      <w:r>
        <w:rPr>
          <w:color w:val="auto"/>
          <w:szCs w:val="28"/>
          <w:lang w:val="en-US"/>
        </w:rPr>
        <w:t>б)</w:t>
      </w:r>
    </w:p>
    <w:p w14:paraId="7F9A7007">
      <w:pPr>
        <w:spacing w:after="0"/>
        <w:ind w:firstLine="709"/>
        <w:jc w:val="center"/>
        <w:rPr>
          <w:color w:val="auto"/>
        </w:rPr>
      </w:pPr>
      <w:r>
        <w:rPr>
          <w:color w:val="auto"/>
        </w:rPr>
        <w:drawing>
          <wp:inline distT="0" distB="0" distL="114300" distR="114300">
            <wp:extent cx="5389245" cy="3215640"/>
            <wp:effectExtent l="4445" t="4445" r="16510" b="10795"/>
            <wp:docPr id="66"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1BBB7A4A">
      <w:pPr>
        <w:spacing w:after="0"/>
        <w:ind w:firstLine="709"/>
        <w:rPr>
          <w:color w:val="auto"/>
        </w:rPr>
      </w:pPr>
    </w:p>
    <w:p w14:paraId="318B6B09">
      <w:pPr>
        <w:pStyle w:val="35"/>
        <w:spacing w:beforeAutospacing="0" w:afterAutospacing="0"/>
        <w:ind w:firstLine="709"/>
        <w:jc w:val="both"/>
        <w:rPr>
          <w:color w:val="auto"/>
          <w:sz w:val="28"/>
          <w:szCs w:val="28"/>
          <w:lang w:val="kk-KZ"/>
        </w:rPr>
      </w:pPr>
      <w:r>
        <w:rPr>
          <w:rStyle w:val="19"/>
          <w:b w:val="0"/>
          <w:bCs w:val="0"/>
          <w:color w:val="auto"/>
          <w:sz w:val="28"/>
          <w:szCs w:val="28"/>
          <w:lang w:val="ru-RU"/>
        </w:rPr>
        <w:t>Сурет 14</w:t>
      </w:r>
      <w:r>
        <w:rPr>
          <w:color w:val="auto"/>
          <w:sz w:val="28"/>
          <w:szCs w:val="28"/>
          <w:lang w:val="ru-RU"/>
        </w:rPr>
        <w:t xml:space="preserve"> – Биоремедиация эксперименті кезіндегі топырақ параметрлерінің динамикасы: </w:t>
      </w:r>
      <w:r>
        <w:rPr>
          <w:rStyle w:val="19"/>
          <w:b w:val="0"/>
          <w:bCs w:val="0"/>
          <w:color w:val="auto"/>
          <w:sz w:val="28"/>
          <w:szCs w:val="28"/>
          <w:lang w:val="ru-RU"/>
        </w:rPr>
        <w:t>(а)</w:t>
      </w:r>
      <w:r>
        <w:rPr>
          <w:color w:val="auto"/>
          <w:sz w:val="28"/>
          <w:szCs w:val="28"/>
          <w:lang w:val="ru-RU"/>
        </w:rPr>
        <w:t xml:space="preserve"> Топырақ ылғалдылығы (</w:t>
      </w:r>
      <w:r>
        <w:rPr>
          <w:color w:val="auto"/>
          <w:sz w:val="28"/>
          <w:szCs w:val="28"/>
        </w:rPr>
        <w:t>MC</w:t>
      </w:r>
      <w:r>
        <w:rPr>
          <w:color w:val="auto"/>
          <w:sz w:val="28"/>
          <w:szCs w:val="28"/>
          <w:lang w:val="ru-RU"/>
        </w:rPr>
        <w:t>, %)</w:t>
      </w:r>
      <w:r>
        <w:rPr>
          <w:rFonts w:hint="default"/>
          <w:color w:val="auto"/>
          <w:sz w:val="28"/>
          <w:szCs w:val="28"/>
          <w:lang w:val="ru-RU"/>
        </w:rPr>
        <w:t xml:space="preserve">;                 </w:t>
      </w:r>
      <w:r>
        <w:rPr>
          <w:color w:val="auto"/>
          <w:sz w:val="28"/>
          <w:szCs w:val="28"/>
          <w:lang w:val="ru-RU"/>
        </w:rPr>
        <w:t xml:space="preserve"> </w:t>
      </w:r>
      <w:r>
        <w:rPr>
          <w:rStyle w:val="19"/>
          <w:b w:val="0"/>
          <w:bCs w:val="0"/>
          <w:color w:val="auto"/>
          <w:sz w:val="28"/>
          <w:szCs w:val="28"/>
          <w:lang w:val="ru-RU"/>
        </w:rPr>
        <w:t>(б)</w:t>
      </w:r>
      <w:r>
        <w:rPr>
          <w:color w:val="auto"/>
          <w:sz w:val="28"/>
          <w:szCs w:val="28"/>
          <w:lang w:val="ru-RU"/>
        </w:rPr>
        <w:t xml:space="preserve"> Топырақ </w:t>
      </w:r>
      <w:r>
        <w:rPr>
          <w:color w:val="auto"/>
          <w:sz w:val="28"/>
          <w:szCs w:val="28"/>
        </w:rPr>
        <w:t>pH</w:t>
      </w:r>
      <w:r>
        <w:rPr>
          <w:color w:val="auto"/>
          <w:sz w:val="28"/>
          <w:szCs w:val="28"/>
          <w:lang w:val="kk-KZ"/>
        </w:rPr>
        <w:t>. Қате жолақтары стандартты ауытқуды көрсетеді (n=5).  Б = бақылау, AБ = абиоттық бақылау, ТБ = Тасымалдаушы бақылауы, БК = бос клеткалар, ҚК иммобилизация = қарақұмық қауызына иммобилизацияланған, КҚ иммобилизация = күріш қауызына иммобилизацияланған.</w:t>
      </w:r>
    </w:p>
    <w:p w14:paraId="6921C41C">
      <w:pPr>
        <w:pStyle w:val="35"/>
        <w:spacing w:beforeAutospacing="0" w:afterAutospacing="0"/>
        <w:ind w:firstLine="709"/>
        <w:jc w:val="both"/>
        <w:rPr>
          <w:color w:val="auto"/>
          <w:sz w:val="28"/>
          <w:szCs w:val="28"/>
          <w:lang w:val="kk-KZ"/>
        </w:rPr>
      </w:pPr>
    </w:p>
    <w:p w14:paraId="05A725F7">
      <w:pPr>
        <w:pStyle w:val="35"/>
        <w:spacing w:beforeAutospacing="0" w:afterAutospacing="0"/>
        <w:ind w:firstLine="709"/>
        <w:jc w:val="both"/>
        <w:rPr>
          <w:color w:val="auto"/>
          <w:sz w:val="28"/>
          <w:szCs w:val="28"/>
          <w:lang w:val="kk-KZ"/>
        </w:rPr>
      </w:pPr>
      <w:r>
        <w:rPr>
          <w:color w:val="auto"/>
          <w:sz w:val="28"/>
          <w:szCs w:val="28"/>
          <w:lang w:val="kk-KZ"/>
        </w:rPr>
        <w:t>Бастапқы топырақ pH мәні әлсіз сілтілі болды (~</w:t>
      </w:r>
      <w:r>
        <w:rPr>
          <w:color w:val="auto"/>
          <w:sz w:val="28"/>
          <w:szCs w:val="28"/>
          <w:lang w:val="ru-RU"/>
        </w:rPr>
        <w:t>8,</w:t>
      </w:r>
      <w:r>
        <w:rPr>
          <w:color w:val="auto"/>
          <w:sz w:val="28"/>
          <w:szCs w:val="28"/>
          <w:lang w:val="kk-KZ"/>
        </w:rPr>
        <w:t xml:space="preserve">5), бұл Батыс Қазақстан аридті топырақтары үшін сипаттамалық көрсеткіш болып табылады </w:t>
      </w:r>
      <w:r>
        <w:rPr>
          <w:rStyle w:val="19"/>
          <w:b w:val="0"/>
          <w:bCs w:val="0"/>
          <w:color w:val="auto"/>
          <w:sz w:val="28"/>
          <w:szCs w:val="28"/>
          <w:lang w:val="kk-KZ"/>
        </w:rPr>
        <w:t>[1</w:t>
      </w:r>
      <w:r>
        <w:rPr>
          <w:rStyle w:val="19"/>
          <w:rFonts w:hint="default"/>
          <w:b w:val="0"/>
          <w:bCs w:val="0"/>
          <w:color w:val="auto"/>
          <w:sz w:val="28"/>
          <w:szCs w:val="28"/>
          <w:lang w:val="kk-KZ"/>
        </w:rPr>
        <w:t>66,167</w:t>
      </w:r>
      <w:r>
        <w:rPr>
          <w:rStyle w:val="19"/>
          <w:b w:val="0"/>
          <w:bCs w:val="0"/>
          <w:color w:val="auto"/>
          <w:sz w:val="28"/>
          <w:szCs w:val="28"/>
          <w:lang w:val="kk-KZ"/>
        </w:rPr>
        <w:t>]</w:t>
      </w:r>
      <w:r>
        <w:rPr>
          <w:color w:val="auto"/>
          <w:sz w:val="28"/>
          <w:szCs w:val="28"/>
          <w:lang w:val="kk-KZ"/>
        </w:rPr>
        <w:t xml:space="preserve">. 45 күндік инкубациядан барлық биотикалық өңдеулерде топырақ pH-ның төмендеуі байқалды, алайда бұл өзгерістердің дәрежесі қолданылған өңдеу түріне байланысты әр түрлі болады. </w:t>
      </w:r>
    </w:p>
    <w:p w14:paraId="6E01311F">
      <w:pPr>
        <w:pStyle w:val="35"/>
        <w:spacing w:beforeAutospacing="0" w:afterAutospacing="0"/>
        <w:ind w:firstLine="709"/>
        <w:jc w:val="both"/>
        <w:rPr>
          <w:color w:val="auto"/>
          <w:sz w:val="28"/>
          <w:szCs w:val="28"/>
          <w:lang w:val="kk-KZ"/>
        </w:rPr>
      </w:pPr>
    </w:p>
    <w:p w14:paraId="283D5863">
      <w:pPr>
        <w:pStyle w:val="35"/>
        <w:spacing w:beforeAutospacing="0" w:afterAutospacing="0"/>
        <w:jc w:val="both"/>
        <w:rPr>
          <w:color w:val="auto"/>
          <w:sz w:val="28"/>
          <w:szCs w:val="28"/>
          <w:lang w:val="ru-RU"/>
        </w:rPr>
      </w:pPr>
      <w:r>
        <w:rPr>
          <w:color w:val="auto"/>
          <w:sz w:val="28"/>
          <w:szCs w:val="28"/>
          <w:lang w:val="ru-RU"/>
        </w:rPr>
        <w:t xml:space="preserve">Кесте </w:t>
      </w:r>
      <w:r>
        <w:rPr>
          <w:color w:val="auto"/>
          <w:sz w:val="28"/>
          <w:szCs w:val="28"/>
          <w:lang w:val="kk-KZ"/>
        </w:rPr>
        <w:t>15</w:t>
      </w:r>
      <w:r>
        <w:rPr>
          <w:color w:val="auto"/>
          <w:sz w:val="28"/>
          <w:szCs w:val="28"/>
          <w:lang w:val="ru-RU"/>
        </w:rPr>
        <w:t xml:space="preserve"> – Топырақ </w:t>
      </w:r>
      <w:r>
        <w:rPr>
          <w:color w:val="auto"/>
          <w:sz w:val="28"/>
          <w:szCs w:val="28"/>
        </w:rPr>
        <w:t>pH</w:t>
      </w:r>
      <w:r>
        <w:rPr>
          <w:color w:val="auto"/>
          <w:sz w:val="28"/>
          <w:szCs w:val="28"/>
          <w:lang w:val="ru-RU"/>
        </w:rPr>
        <w:t xml:space="preserve">-ның динамикасы </w:t>
      </w:r>
    </w:p>
    <w:p w14:paraId="5B679001">
      <w:pPr>
        <w:pStyle w:val="35"/>
        <w:spacing w:beforeAutospacing="0" w:afterAutospacing="0"/>
        <w:ind w:firstLine="709"/>
        <w:jc w:val="both"/>
        <w:rPr>
          <w:color w:val="auto"/>
          <w:sz w:val="28"/>
          <w:szCs w:val="28"/>
          <w:lang w:val="ru-RU"/>
        </w:rPr>
      </w:pP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64"/>
        <w:gridCol w:w="1236"/>
        <w:gridCol w:w="1428"/>
        <w:gridCol w:w="1608"/>
        <w:gridCol w:w="1548"/>
        <w:gridCol w:w="1372"/>
      </w:tblGrid>
      <w:tr w14:paraId="25F3E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4" w:type="dxa"/>
            <w:vAlign w:val="center"/>
          </w:tcPr>
          <w:p w14:paraId="5D8C02F7">
            <w:pPr>
              <w:widowControl w:val="0"/>
              <w:jc w:val="center"/>
              <w:rPr>
                <w:color w:val="auto"/>
                <w:sz w:val="24"/>
                <w:szCs w:val="24"/>
                <w:highlight w:val="none"/>
              </w:rPr>
            </w:pPr>
            <w:r>
              <w:rPr>
                <w:color w:val="auto"/>
                <w:sz w:val="24"/>
                <w:szCs w:val="24"/>
                <w:highlight w:val="none"/>
                <w:lang w:val="en-US" w:eastAsia="zh-CN" w:bidi="ar"/>
              </w:rPr>
              <w:t>Нұсқа</w:t>
            </w:r>
          </w:p>
        </w:tc>
        <w:tc>
          <w:tcPr>
            <w:tcW w:w="1236" w:type="dxa"/>
            <w:vAlign w:val="center"/>
          </w:tcPr>
          <w:p w14:paraId="5CBE2221">
            <w:pPr>
              <w:widowControl w:val="0"/>
              <w:jc w:val="center"/>
              <w:rPr>
                <w:color w:val="auto"/>
                <w:sz w:val="24"/>
                <w:szCs w:val="24"/>
                <w:highlight w:val="none"/>
              </w:rPr>
            </w:pPr>
            <w:r>
              <w:rPr>
                <w:color w:val="auto"/>
                <w:sz w:val="24"/>
                <w:szCs w:val="24"/>
                <w:highlight w:val="none"/>
                <w:lang w:val="en-US" w:eastAsia="zh-CN" w:bidi="ar"/>
              </w:rPr>
              <w:t>0 күн</w:t>
            </w:r>
          </w:p>
        </w:tc>
        <w:tc>
          <w:tcPr>
            <w:tcW w:w="1428" w:type="dxa"/>
            <w:vAlign w:val="center"/>
          </w:tcPr>
          <w:p w14:paraId="29A87669">
            <w:pPr>
              <w:widowControl w:val="0"/>
              <w:jc w:val="center"/>
              <w:rPr>
                <w:color w:val="auto"/>
                <w:sz w:val="24"/>
                <w:szCs w:val="24"/>
                <w:highlight w:val="none"/>
              </w:rPr>
            </w:pPr>
            <w:r>
              <w:rPr>
                <w:color w:val="auto"/>
                <w:sz w:val="24"/>
                <w:szCs w:val="24"/>
                <w:highlight w:val="none"/>
                <w:lang w:val="en-US" w:eastAsia="zh-CN" w:bidi="ar"/>
              </w:rPr>
              <w:t>15 күн</w:t>
            </w:r>
          </w:p>
        </w:tc>
        <w:tc>
          <w:tcPr>
            <w:tcW w:w="1608" w:type="dxa"/>
            <w:vAlign w:val="center"/>
          </w:tcPr>
          <w:p w14:paraId="43AE7E74">
            <w:pPr>
              <w:widowControl w:val="0"/>
              <w:jc w:val="center"/>
              <w:rPr>
                <w:color w:val="auto"/>
                <w:sz w:val="24"/>
                <w:szCs w:val="24"/>
                <w:highlight w:val="none"/>
              </w:rPr>
            </w:pPr>
            <w:r>
              <w:rPr>
                <w:color w:val="auto"/>
                <w:sz w:val="24"/>
                <w:szCs w:val="24"/>
                <w:highlight w:val="none"/>
                <w:lang w:val="en-US" w:eastAsia="zh-CN" w:bidi="ar"/>
              </w:rPr>
              <w:t>30 күн</w:t>
            </w:r>
          </w:p>
        </w:tc>
        <w:tc>
          <w:tcPr>
            <w:tcW w:w="1548" w:type="dxa"/>
            <w:vAlign w:val="center"/>
          </w:tcPr>
          <w:p w14:paraId="010F85EA">
            <w:pPr>
              <w:widowControl w:val="0"/>
              <w:jc w:val="center"/>
              <w:rPr>
                <w:color w:val="auto"/>
                <w:sz w:val="24"/>
                <w:szCs w:val="24"/>
                <w:highlight w:val="none"/>
              </w:rPr>
            </w:pPr>
            <w:r>
              <w:rPr>
                <w:color w:val="auto"/>
                <w:sz w:val="24"/>
                <w:szCs w:val="24"/>
                <w:highlight w:val="none"/>
                <w:lang w:val="en-US" w:eastAsia="zh-CN" w:bidi="ar"/>
              </w:rPr>
              <w:t>45 күн</w:t>
            </w:r>
          </w:p>
        </w:tc>
        <w:tc>
          <w:tcPr>
            <w:tcW w:w="1372" w:type="dxa"/>
            <w:vAlign w:val="center"/>
          </w:tcPr>
          <w:p w14:paraId="356D8A0B">
            <w:pPr>
              <w:widowControl w:val="0"/>
              <w:jc w:val="center"/>
              <w:rPr>
                <w:color w:val="auto"/>
                <w:sz w:val="24"/>
                <w:szCs w:val="24"/>
                <w:highlight w:val="none"/>
              </w:rPr>
            </w:pPr>
            <w:r>
              <w:rPr>
                <w:color w:val="auto"/>
                <w:sz w:val="24"/>
                <w:szCs w:val="24"/>
                <w:highlight w:val="none"/>
                <w:lang w:val="en-US" w:eastAsia="zh-CN" w:bidi="ar"/>
              </w:rPr>
              <w:t>ΔpH</w:t>
            </w:r>
          </w:p>
        </w:tc>
      </w:tr>
      <w:tr w14:paraId="36E8F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4" w:type="dxa"/>
            <w:vAlign w:val="center"/>
          </w:tcPr>
          <w:p w14:paraId="4A958E0F">
            <w:pPr>
              <w:widowControl w:val="0"/>
              <w:rPr>
                <w:color w:val="auto"/>
                <w:sz w:val="24"/>
                <w:szCs w:val="24"/>
                <w:highlight w:val="none"/>
              </w:rPr>
            </w:pPr>
            <w:r>
              <w:rPr>
                <w:color w:val="auto"/>
                <w:sz w:val="24"/>
                <w:szCs w:val="24"/>
                <w:highlight w:val="none"/>
                <w:lang w:val="en-US" w:eastAsia="zh-CN" w:bidi="ar"/>
              </w:rPr>
              <w:t>Бақылау</w:t>
            </w:r>
          </w:p>
        </w:tc>
        <w:tc>
          <w:tcPr>
            <w:tcW w:w="1236" w:type="dxa"/>
            <w:vAlign w:val="center"/>
          </w:tcPr>
          <w:p w14:paraId="2F2D05D6">
            <w:pPr>
              <w:widowControl w:val="0"/>
              <w:jc w:val="center"/>
              <w:rPr>
                <w:color w:val="auto"/>
                <w:sz w:val="24"/>
                <w:szCs w:val="24"/>
                <w:highlight w:val="none"/>
              </w:rPr>
            </w:pPr>
            <w:r>
              <w:rPr>
                <w:color w:val="auto"/>
                <w:sz w:val="24"/>
                <w:szCs w:val="24"/>
                <w:highlight w:val="none"/>
                <w:lang w:val="ru-RU" w:eastAsia="zh-CN" w:bidi="ar"/>
              </w:rPr>
              <w:t>8,</w:t>
            </w:r>
            <w:r>
              <w:rPr>
                <w:color w:val="auto"/>
                <w:sz w:val="24"/>
                <w:szCs w:val="24"/>
                <w:highlight w:val="none"/>
                <w:lang w:val="en-US" w:eastAsia="zh-CN" w:bidi="ar"/>
              </w:rPr>
              <w:t>5</w:t>
            </w:r>
          </w:p>
        </w:tc>
        <w:tc>
          <w:tcPr>
            <w:tcW w:w="1428" w:type="dxa"/>
            <w:vAlign w:val="center"/>
          </w:tcPr>
          <w:p w14:paraId="061998ED">
            <w:pPr>
              <w:widowControl w:val="0"/>
              <w:jc w:val="center"/>
              <w:rPr>
                <w:color w:val="auto"/>
                <w:sz w:val="24"/>
                <w:szCs w:val="24"/>
                <w:highlight w:val="none"/>
              </w:rPr>
            </w:pPr>
            <w:r>
              <w:rPr>
                <w:color w:val="auto"/>
                <w:sz w:val="24"/>
                <w:szCs w:val="24"/>
                <w:highlight w:val="none"/>
                <w:lang w:val="ru-RU" w:eastAsia="zh-CN" w:bidi="ar"/>
              </w:rPr>
              <w:t>8,</w:t>
            </w:r>
            <w:r>
              <w:rPr>
                <w:color w:val="auto"/>
                <w:sz w:val="24"/>
                <w:szCs w:val="24"/>
                <w:highlight w:val="none"/>
                <w:lang w:val="en-US" w:eastAsia="zh-CN" w:bidi="ar"/>
              </w:rPr>
              <w:t>4</w:t>
            </w:r>
          </w:p>
        </w:tc>
        <w:tc>
          <w:tcPr>
            <w:tcW w:w="1608" w:type="dxa"/>
            <w:vAlign w:val="center"/>
          </w:tcPr>
          <w:p w14:paraId="754907D1">
            <w:pPr>
              <w:widowControl w:val="0"/>
              <w:jc w:val="center"/>
              <w:rPr>
                <w:color w:val="auto"/>
                <w:sz w:val="24"/>
                <w:szCs w:val="24"/>
                <w:highlight w:val="none"/>
              </w:rPr>
            </w:pPr>
            <w:r>
              <w:rPr>
                <w:color w:val="auto"/>
                <w:sz w:val="24"/>
                <w:szCs w:val="24"/>
                <w:highlight w:val="none"/>
                <w:lang w:val="ru-RU" w:eastAsia="zh-CN" w:bidi="ar"/>
              </w:rPr>
              <w:t>8,</w:t>
            </w:r>
            <w:r>
              <w:rPr>
                <w:color w:val="auto"/>
                <w:sz w:val="24"/>
                <w:szCs w:val="24"/>
                <w:highlight w:val="none"/>
                <w:lang w:val="en-US" w:eastAsia="zh-CN" w:bidi="ar"/>
              </w:rPr>
              <w:t>3</w:t>
            </w:r>
          </w:p>
        </w:tc>
        <w:tc>
          <w:tcPr>
            <w:tcW w:w="1548" w:type="dxa"/>
            <w:vAlign w:val="center"/>
          </w:tcPr>
          <w:p w14:paraId="3D44202C">
            <w:pPr>
              <w:widowControl w:val="0"/>
              <w:jc w:val="center"/>
              <w:rPr>
                <w:color w:val="auto"/>
                <w:sz w:val="24"/>
                <w:szCs w:val="24"/>
                <w:highlight w:val="none"/>
              </w:rPr>
            </w:pPr>
            <w:r>
              <w:rPr>
                <w:color w:val="auto"/>
                <w:sz w:val="24"/>
                <w:szCs w:val="24"/>
                <w:highlight w:val="none"/>
                <w:lang w:val="ru-RU" w:eastAsia="zh-CN" w:bidi="ar"/>
              </w:rPr>
              <w:t>8,</w:t>
            </w:r>
            <w:r>
              <w:rPr>
                <w:color w:val="auto"/>
                <w:sz w:val="24"/>
                <w:szCs w:val="24"/>
                <w:highlight w:val="none"/>
                <w:lang w:val="en-US" w:eastAsia="zh-CN" w:bidi="ar"/>
              </w:rPr>
              <w:t>3</w:t>
            </w:r>
          </w:p>
        </w:tc>
        <w:tc>
          <w:tcPr>
            <w:tcW w:w="1372" w:type="dxa"/>
            <w:vAlign w:val="center"/>
          </w:tcPr>
          <w:p w14:paraId="104BCF5E">
            <w:pPr>
              <w:widowControl w:val="0"/>
              <w:jc w:val="center"/>
              <w:rPr>
                <w:color w:val="auto"/>
                <w:sz w:val="24"/>
                <w:szCs w:val="24"/>
                <w:highlight w:val="none"/>
              </w:rPr>
            </w:pPr>
            <w:r>
              <w:rPr>
                <w:color w:val="auto"/>
                <w:sz w:val="24"/>
                <w:szCs w:val="24"/>
                <w:highlight w:val="none"/>
                <w:lang w:val="en-US" w:eastAsia="zh-CN" w:bidi="ar"/>
              </w:rPr>
              <w:t>-</w:t>
            </w:r>
            <w:r>
              <w:rPr>
                <w:color w:val="auto"/>
                <w:sz w:val="24"/>
                <w:szCs w:val="24"/>
                <w:highlight w:val="none"/>
                <w:lang w:val="ru-RU" w:eastAsia="zh-CN" w:bidi="ar"/>
              </w:rPr>
              <w:t>0,</w:t>
            </w:r>
            <w:r>
              <w:rPr>
                <w:color w:val="auto"/>
                <w:sz w:val="24"/>
                <w:szCs w:val="24"/>
                <w:highlight w:val="none"/>
                <w:lang w:val="en-US" w:eastAsia="zh-CN" w:bidi="ar"/>
              </w:rPr>
              <w:t>2</w:t>
            </w:r>
          </w:p>
        </w:tc>
      </w:tr>
      <w:tr w14:paraId="61E3B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4" w:type="dxa"/>
            <w:vAlign w:val="center"/>
          </w:tcPr>
          <w:p w14:paraId="0B03776B">
            <w:pPr>
              <w:widowControl w:val="0"/>
              <w:rPr>
                <w:color w:val="auto"/>
                <w:sz w:val="24"/>
                <w:szCs w:val="24"/>
                <w:highlight w:val="none"/>
              </w:rPr>
            </w:pPr>
            <w:r>
              <w:rPr>
                <w:color w:val="auto"/>
                <w:sz w:val="24"/>
                <w:szCs w:val="24"/>
                <w:highlight w:val="none"/>
                <w:lang w:val="en-US" w:eastAsia="zh-CN" w:bidi="ar"/>
              </w:rPr>
              <w:t>Абиоттық бақылау</w:t>
            </w:r>
          </w:p>
        </w:tc>
        <w:tc>
          <w:tcPr>
            <w:tcW w:w="1236" w:type="dxa"/>
            <w:vAlign w:val="center"/>
          </w:tcPr>
          <w:p w14:paraId="0053321C">
            <w:pPr>
              <w:widowControl w:val="0"/>
              <w:jc w:val="center"/>
              <w:rPr>
                <w:color w:val="auto"/>
                <w:sz w:val="24"/>
                <w:szCs w:val="24"/>
                <w:highlight w:val="none"/>
              </w:rPr>
            </w:pPr>
            <w:r>
              <w:rPr>
                <w:color w:val="auto"/>
                <w:sz w:val="24"/>
                <w:szCs w:val="24"/>
                <w:highlight w:val="none"/>
                <w:lang w:val="ru-RU" w:eastAsia="zh-CN" w:bidi="ar"/>
              </w:rPr>
              <w:t>8,</w:t>
            </w:r>
            <w:r>
              <w:rPr>
                <w:color w:val="auto"/>
                <w:sz w:val="24"/>
                <w:szCs w:val="24"/>
                <w:highlight w:val="none"/>
                <w:lang w:val="en-US" w:eastAsia="zh-CN" w:bidi="ar"/>
              </w:rPr>
              <w:t>5</w:t>
            </w:r>
          </w:p>
        </w:tc>
        <w:tc>
          <w:tcPr>
            <w:tcW w:w="1428" w:type="dxa"/>
            <w:vAlign w:val="center"/>
          </w:tcPr>
          <w:p w14:paraId="0D71D836">
            <w:pPr>
              <w:widowControl w:val="0"/>
              <w:jc w:val="center"/>
              <w:rPr>
                <w:color w:val="auto"/>
                <w:sz w:val="24"/>
                <w:szCs w:val="24"/>
                <w:highlight w:val="none"/>
              </w:rPr>
            </w:pPr>
            <w:r>
              <w:rPr>
                <w:color w:val="auto"/>
                <w:sz w:val="24"/>
                <w:szCs w:val="24"/>
                <w:highlight w:val="none"/>
                <w:lang w:val="ru-RU" w:eastAsia="zh-CN" w:bidi="ar"/>
              </w:rPr>
              <w:t>8,</w:t>
            </w:r>
            <w:r>
              <w:rPr>
                <w:color w:val="auto"/>
                <w:sz w:val="24"/>
                <w:szCs w:val="24"/>
                <w:highlight w:val="none"/>
                <w:lang w:val="en-US" w:eastAsia="zh-CN" w:bidi="ar"/>
              </w:rPr>
              <w:t>4</w:t>
            </w:r>
          </w:p>
        </w:tc>
        <w:tc>
          <w:tcPr>
            <w:tcW w:w="1608" w:type="dxa"/>
            <w:vAlign w:val="center"/>
          </w:tcPr>
          <w:p w14:paraId="3418275C">
            <w:pPr>
              <w:widowControl w:val="0"/>
              <w:jc w:val="center"/>
              <w:rPr>
                <w:color w:val="auto"/>
                <w:sz w:val="24"/>
                <w:szCs w:val="24"/>
                <w:highlight w:val="none"/>
              </w:rPr>
            </w:pPr>
            <w:r>
              <w:rPr>
                <w:color w:val="auto"/>
                <w:sz w:val="24"/>
                <w:szCs w:val="24"/>
                <w:highlight w:val="none"/>
                <w:lang w:val="ru-RU" w:eastAsia="zh-CN" w:bidi="ar"/>
              </w:rPr>
              <w:t>8,</w:t>
            </w:r>
            <w:r>
              <w:rPr>
                <w:color w:val="auto"/>
                <w:sz w:val="24"/>
                <w:szCs w:val="24"/>
                <w:highlight w:val="none"/>
                <w:lang w:val="en-US" w:eastAsia="zh-CN" w:bidi="ar"/>
              </w:rPr>
              <w:t>3</w:t>
            </w:r>
          </w:p>
        </w:tc>
        <w:tc>
          <w:tcPr>
            <w:tcW w:w="1548" w:type="dxa"/>
            <w:vAlign w:val="center"/>
          </w:tcPr>
          <w:p w14:paraId="50B10305">
            <w:pPr>
              <w:widowControl w:val="0"/>
              <w:jc w:val="center"/>
              <w:rPr>
                <w:color w:val="auto"/>
                <w:sz w:val="24"/>
                <w:szCs w:val="24"/>
                <w:highlight w:val="none"/>
              </w:rPr>
            </w:pPr>
            <w:r>
              <w:rPr>
                <w:color w:val="auto"/>
                <w:sz w:val="24"/>
                <w:szCs w:val="24"/>
                <w:highlight w:val="none"/>
                <w:lang w:val="ru-RU" w:eastAsia="zh-CN" w:bidi="ar"/>
              </w:rPr>
              <w:t>8,</w:t>
            </w:r>
            <w:r>
              <w:rPr>
                <w:color w:val="auto"/>
                <w:sz w:val="24"/>
                <w:szCs w:val="24"/>
                <w:highlight w:val="none"/>
                <w:lang w:val="en-US" w:eastAsia="zh-CN" w:bidi="ar"/>
              </w:rPr>
              <w:t>4</w:t>
            </w:r>
          </w:p>
        </w:tc>
        <w:tc>
          <w:tcPr>
            <w:tcW w:w="1372" w:type="dxa"/>
            <w:vAlign w:val="center"/>
          </w:tcPr>
          <w:p w14:paraId="1E8C52BD">
            <w:pPr>
              <w:widowControl w:val="0"/>
              <w:jc w:val="center"/>
              <w:rPr>
                <w:color w:val="auto"/>
                <w:sz w:val="24"/>
                <w:szCs w:val="24"/>
                <w:highlight w:val="none"/>
              </w:rPr>
            </w:pPr>
            <w:r>
              <w:rPr>
                <w:color w:val="auto"/>
                <w:sz w:val="24"/>
                <w:szCs w:val="24"/>
                <w:highlight w:val="none"/>
                <w:lang w:val="en-US" w:eastAsia="zh-CN" w:bidi="ar"/>
              </w:rPr>
              <w:t>-</w:t>
            </w:r>
            <w:r>
              <w:rPr>
                <w:color w:val="auto"/>
                <w:sz w:val="24"/>
                <w:szCs w:val="24"/>
                <w:highlight w:val="none"/>
                <w:lang w:val="ru-RU" w:eastAsia="zh-CN" w:bidi="ar"/>
              </w:rPr>
              <w:t>0,</w:t>
            </w:r>
            <w:r>
              <w:rPr>
                <w:color w:val="auto"/>
                <w:sz w:val="24"/>
                <w:szCs w:val="24"/>
                <w:highlight w:val="none"/>
                <w:lang w:val="en-US" w:eastAsia="zh-CN" w:bidi="ar"/>
              </w:rPr>
              <w:t>1</w:t>
            </w:r>
          </w:p>
        </w:tc>
      </w:tr>
      <w:tr w14:paraId="58F82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4" w:type="dxa"/>
            <w:vAlign w:val="center"/>
          </w:tcPr>
          <w:p w14:paraId="53D0FDB1">
            <w:pPr>
              <w:widowControl w:val="0"/>
              <w:rPr>
                <w:color w:val="auto"/>
                <w:sz w:val="24"/>
                <w:szCs w:val="24"/>
                <w:highlight w:val="none"/>
              </w:rPr>
            </w:pPr>
            <w:r>
              <w:rPr>
                <w:color w:val="auto"/>
                <w:sz w:val="24"/>
                <w:szCs w:val="24"/>
                <w:highlight w:val="none"/>
                <w:lang w:val="kk-KZ" w:eastAsia="zh-CN" w:bidi="ar"/>
              </w:rPr>
              <w:t>Тасымалдаушы</w:t>
            </w:r>
            <w:r>
              <w:rPr>
                <w:color w:val="auto"/>
                <w:sz w:val="24"/>
                <w:szCs w:val="24"/>
                <w:highlight w:val="none"/>
                <w:lang w:val="en-US" w:eastAsia="zh-CN" w:bidi="ar"/>
              </w:rPr>
              <w:t xml:space="preserve"> бақылауы</w:t>
            </w:r>
          </w:p>
        </w:tc>
        <w:tc>
          <w:tcPr>
            <w:tcW w:w="1236" w:type="dxa"/>
            <w:vAlign w:val="center"/>
          </w:tcPr>
          <w:p w14:paraId="7A869C6C">
            <w:pPr>
              <w:widowControl w:val="0"/>
              <w:jc w:val="center"/>
              <w:rPr>
                <w:color w:val="auto"/>
                <w:sz w:val="24"/>
                <w:szCs w:val="24"/>
                <w:highlight w:val="none"/>
              </w:rPr>
            </w:pPr>
            <w:r>
              <w:rPr>
                <w:color w:val="auto"/>
                <w:sz w:val="24"/>
                <w:szCs w:val="24"/>
                <w:highlight w:val="none"/>
                <w:lang w:val="ru-RU" w:eastAsia="zh-CN" w:bidi="ar"/>
              </w:rPr>
              <w:t>8,</w:t>
            </w:r>
            <w:r>
              <w:rPr>
                <w:color w:val="auto"/>
                <w:sz w:val="24"/>
                <w:szCs w:val="24"/>
                <w:highlight w:val="none"/>
                <w:lang w:val="en-US" w:eastAsia="zh-CN" w:bidi="ar"/>
              </w:rPr>
              <w:t>5</w:t>
            </w:r>
          </w:p>
        </w:tc>
        <w:tc>
          <w:tcPr>
            <w:tcW w:w="1428" w:type="dxa"/>
            <w:vAlign w:val="center"/>
          </w:tcPr>
          <w:p w14:paraId="4D9E69B2">
            <w:pPr>
              <w:widowControl w:val="0"/>
              <w:jc w:val="center"/>
              <w:rPr>
                <w:color w:val="auto"/>
                <w:sz w:val="24"/>
                <w:szCs w:val="24"/>
                <w:highlight w:val="none"/>
              </w:rPr>
            </w:pPr>
            <w:r>
              <w:rPr>
                <w:color w:val="auto"/>
                <w:sz w:val="24"/>
                <w:szCs w:val="24"/>
                <w:highlight w:val="none"/>
                <w:lang w:val="ru-RU" w:eastAsia="zh-CN" w:bidi="ar"/>
              </w:rPr>
              <w:t>8,</w:t>
            </w:r>
            <w:r>
              <w:rPr>
                <w:color w:val="auto"/>
                <w:sz w:val="24"/>
                <w:szCs w:val="24"/>
                <w:highlight w:val="none"/>
                <w:lang w:val="en-US" w:eastAsia="zh-CN" w:bidi="ar"/>
              </w:rPr>
              <w:t>4</w:t>
            </w:r>
          </w:p>
        </w:tc>
        <w:tc>
          <w:tcPr>
            <w:tcW w:w="1608" w:type="dxa"/>
            <w:vAlign w:val="center"/>
          </w:tcPr>
          <w:p w14:paraId="0F541034">
            <w:pPr>
              <w:widowControl w:val="0"/>
              <w:jc w:val="center"/>
              <w:rPr>
                <w:color w:val="auto"/>
                <w:sz w:val="24"/>
                <w:szCs w:val="24"/>
                <w:highlight w:val="none"/>
              </w:rPr>
            </w:pPr>
            <w:r>
              <w:rPr>
                <w:color w:val="auto"/>
                <w:sz w:val="24"/>
                <w:szCs w:val="24"/>
                <w:highlight w:val="none"/>
                <w:lang w:val="ru-RU" w:eastAsia="zh-CN" w:bidi="ar"/>
              </w:rPr>
              <w:t>8,</w:t>
            </w:r>
            <w:r>
              <w:rPr>
                <w:color w:val="auto"/>
                <w:sz w:val="24"/>
                <w:szCs w:val="24"/>
                <w:highlight w:val="none"/>
                <w:lang w:val="en-US" w:eastAsia="zh-CN" w:bidi="ar"/>
              </w:rPr>
              <w:t>0</w:t>
            </w:r>
          </w:p>
        </w:tc>
        <w:tc>
          <w:tcPr>
            <w:tcW w:w="1548" w:type="dxa"/>
            <w:vAlign w:val="center"/>
          </w:tcPr>
          <w:p w14:paraId="56B53F3C">
            <w:pPr>
              <w:widowControl w:val="0"/>
              <w:jc w:val="center"/>
              <w:rPr>
                <w:color w:val="auto"/>
                <w:sz w:val="24"/>
                <w:szCs w:val="24"/>
                <w:highlight w:val="none"/>
              </w:rPr>
            </w:pPr>
            <w:r>
              <w:rPr>
                <w:color w:val="auto"/>
                <w:sz w:val="24"/>
                <w:szCs w:val="24"/>
                <w:highlight w:val="none"/>
                <w:lang w:val="ru-RU" w:eastAsia="zh-CN" w:bidi="ar"/>
              </w:rPr>
              <w:t>7,</w:t>
            </w:r>
            <w:r>
              <w:rPr>
                <w:color w:val="auto"/>
                <w:sz w:val="24"/>
                <w:szCs w:val="24"/>
                <w:highlight w:val="none"/>
                <w:lang w:val="en-US" w:eastAsia="zh-CN" w:bidi="ar"/>
              </w:rPr>
              <w:t>8</w:t>
            </w:r>
          </w:p>
        </w:tc>
        <w:tc>
          <w:tcPr>
            <w:tcW w:w="1372" w:type="dxa"/>
            <w:vAlign w:val="center"/>
          </w:tcPr>
          <w:p w14:paraId="48006E66">
            <w:pPr>
              <w:widowControl w:val="0"/>
              <w:jc w:val="center"/>
              <w:rPr>
                <w:color w:val="auto"/>
                <w:sz w:val="24"/>
                <w:szCs w:val="24"/>
                <w:highlight w:val="none"/>
              </w:rPr>
            </w:pPr>
            <w:r>
              <w:rPr>
                <w:color w:val="auto"/>
                <w:sz w:val="24"/>
                <w:szCs w:val="24"/>
                <w:highlight w:val="none"/>
                <w:lang w:val="en-US" w:eastAsia="zh-CN" w:bidi="ar"/>
              </w:rPr>
              <w:t>-</w:t>
            </w:r>
            <w:r>
              <w:rPr>
                <w:color w:val="auto"/>
                <w:sz w:val="24"/>
                <w:szCs w:val="24"/>
                <w:highlight w:val="none"/>
                <w:lang w:val="ru-RU" w:eastAsia="zh-CN" w:bidi="ar"/>
              </w:rPr>
              <w:t>0,</w:t>
            </w:r>
            <w:r>
              <w:rPr>
                <w:color w:val="auto"/>
                <w:sz w:val="24"/>
                <w:szCs w:val="24"/>
                <w:highlight w:val="none"/>
                <w:lang w:val="en-US" w:eastAsia="zh-CN" w:bidi="ar"/>
              </w:rPr>
              <w:t>7</w:t>
            </w:r>
          </w:p>
        </w:tc>
      </w:tr>
      <w:tr w14:paraId="12A1F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4" w:type="dxa"/>
            <w:vAlign w:val="center"/>
          </w:tcPr>
          <w:p w14:paraId="435D50D6">
            <w:pPr>
              <w:widowControl w:val="0"/>
              <w:rPr>
                <w:color w:val="auto"/>
                <w:sz w:val="24"/>
                <w:szCs w:val="24"/>
                <w:highlight w:val="none"/>
                <w:lang w:val="kk-KZ"/>
              </w:rPr>
            </w:pPr>
            <w:r>
              <w:rPr>
                <w:color w:val="auto"/>
                <w:sz w:val="24"/>
                <w:szCs w:val="24"/>
                <w:highlight w:val="none"/>
                <w:lang w:val="kk-KZ" w:eastAsia="zh-CN" w:bidi="ar"/>
              </w:rPr>
              <w:t>Бос клеткалар</w:t>
            </w:r>
          </w:p>
        </w:tc>
        <w:tc>
          <w:tcPr>
            <w:tcW w:w="1236" w:type="dxa"/>
            <w:vAlign w:val="center"/>
          </w:tcPr>
          <w:p w14:paraId="3369041E">
            <w:pPr>
              <w:widowControl w:val="0"/>
              <w:jc w:val="center"/>
              <w:rPr>
                <w:color w:val="auto"/>
                <w:sz w:val="24"/>
                <w:szCs w:val="24"/>
                <w:highlight w:val="none"/>
              </w:rPr>
            </w:pPr>
            <w:r>
              <w:rPr>
                <w:color w:val="auto"/>
                <w:sz w:val="24"/>
                <w:szCs w:val="24"/>
                <w:highlight w:val="none"/>
                <w:lang w:val="ru-RU" w:eastAsia="zh-CN" w:bidi="ar"/>
              </w:rPr>
              <w:t>8,</w:t>
            </w:r>
            <w:r>
              <w:rPr>
                <w:color w:val="auto"/>
                <w:sz w:val="24"/>
                <w:szCs w:val="24"/>
                <w:highlight w:val="none"/>
                <w:lang w:val="en-US" w:eastAsia="zh-CN" w:bidi="ar"/>
              </w:rPr>
              <w:t>5</w:t>
            </w:r>
          </w:p>
        </w:tc>
        <w:tc>
          <w:tcPr>
            <w:tcW w:w="1428" w:type="dxa"/>
            <w:vAlign w:val="center"/>
          </w:tcPr>
          <w:p w14:paraId="4050FB5E">
            <w:pPr>
              <w:widowControl w:val="0"/>
              <w:jc w:val="center"/>
              <w:rPr>
                <w:color w:val="auto"/>
                <w:sz w:val="24"/>
                <w:szCs w:val="24"/>
                <w:highlight w:val="none"/>
              </w:rPr>
            </w:pPr>
            <w:r>
              <w:rPr>
                <w:color w:val="auto"/>
                <w:sz w:val="24"/>
                <w:szCs w:val="24"/>
                <w:highlight w:val="none"/>
                <w:lang w:val="ru-RU" w:eastAsia="zh-CN" w:bidi="ar"/>
              </w:rPr>
              <w:t>8,</w:t>
            </w:r>
            <w:r>
              <w:rPr>
                <w:color w:val="auto"/>
                <w:sz w:val="24"/>
                <w:szCs w:val="24"/>
                <w:highlight w:val="none"/>
                <w:lang w:val="en-US" w:eastAsia="zh-CN" w:bidi="ar"/>
              </w:rPr>
              <w:t>3</w:t>
            </w:r>
          </w:p>
        </w:tc>
        <w:tc>
          <w:tcPr>
            <w:tcW w:w="1608" w:type="dxa"/>
            <w:vAlign w:val="center"/>
          </w:tcPr>
          <w:p w14:paraId="125788E5">
            <w:pPr>
              <w:widowControl w:val="0"/>
              <w:jc w:val="center"/>
              <w:rPr>
                <w:color w:val="auto"/>
                <w:sz w:val="24"/>
                <w:szCs w:val="24"/>
                <w:highlight w:val="none"/>
              </w:rPr>
            </w:pPr>
            <w:r>
              <w:rPr>
                <w:color w:val="auto"/>
                <w:sz w:val="24"/>
                <w:szCs w:val="24"/>
                <w:highlight w:val="none"/>
                <w:lang w:val="ru-RU" w:eastAsia="zh-CN" w:bidi="ar"/>
              </w:rPr>
              <w:t>7,</w:t>
            </w:r>
            <w:r>
              <w:rPr>
                <w:color w:val="auto"/>
                <w:sz w:val="24"/>
                <w:szCs w:val="24"/>
                <w:highlight w:val="none"/>
                <w:lang w:val="en-US" w:eastAsia="zh-CN" w:bidi="ar"/>
              </w:rPr>
              <w:t>9</w:t>
            </w:r>
          </w:p>
        </w:tc>
        <w:tc>
          <w:tcPr>
            <w:tcW w:w="1548" w:type="dxa"/>
            <w:vAlign w:val="center"/>
          </w:tcPr>
          <w:p w14:paraId="76ECC8B3">
            <w:pPr>
              <w:widowControl w:val="0"/>
              <w:jc w:val="center"/>
              <w:rPr>
                <w:color w:val="auto"/>
                <w:sz w:val="24"/>
                <w:szCs w:val="24"/>
                <w:highlight w:val="none"/>
              </w:rPr>
            </w:pPr>
            <w:r>
              <w:rPr>
                <w:color w:val="auto"/>
                <w:sz w:val="24"/>
                <w:szCs w:val="24"/>
                <w:highlight w:val="none"/>
                <w:lang w:val="ru-RU" w:eastAsia="zh-CN" w:bidi="ar"/>
              </w:rPr>
              <w:t>7,</w:t>
            </w:r>
            <w:r>
              <w:rPr>
                <w:color w:val="auto"/>
                <w:sz w:val="24"/>
                <w:szCs w:val="24"/>
                <w:highlight w:val="none"/>
                <w:lang w:val="en-US" w:eastAsia="zh-CN" w:bidi="ar"/>
              </w:rPr>
              <w:t>6</w:t>
            </w:r>
          </w:p>
        </w:tc>
        <w:tc>
          <w:tcPr>
            <w:tcW w:w="1372" w:type="dxa"/>
            <w:vAlign w:val="center"/>
          </w:tcPr>
          <w:p w14:paraId="501ADA49">
            <w:pPr>
              <w:widowControl w:val="0"/>
              <w:jc w:val="center"/>
              <w:rPr>
                <w:color w:val="auto"/>
                <w:sz w:val="24"/>
                <w:szCs w:val="24"/>
                <w:highlight w:val="none"/>
              </w:rPr>
            </w:pPr>
            <w:r>
              <w:rPr>
                <w:color w:val="auto"/>
                <w:sz w:val="24"/>
                <w:szCs w:val="24"/>
                <w:highlight w:val="none"/>
                <w:lang w:val="en-US" w:eastAsia="zh-CN" w:bidi="ar"/>
              </w:rPr>
              <w:t>-</w:t>
            </w:r>
            <w:r>
              <w:rPr>
                <w:color w:val="auto"/>
                <w:sz w:val="24"/>
                <w:szCs w:val="24"/>
                <w:highlight w:val="none"/>
                <w:lang w:val="ru-RU" w:eastAsia="zh-CN" w:bidi="ar"/>
              </w:rPr>
              <w:t>0,</w:t>
            </w:r>
            <w:r>
              <w:rPr>
                <w:color w:val="auto"/>
                <w:sz w:val="24"/>
                <w:szCs w:val="24"/>
                <w:highlight w:val="none"/>
                <w:lang w:val="en-US" w:eastAsia="zh-CN" w:bidi="ar"/>
              </w:rPr>
              <w:t>9</w:t>
            </w:r>
          </w:p>
        </w:tc>
      </w:tr>
      <w:tr w14:paraId="1BC7F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4" w:type="dxa"/>
            <w:vAlign w:val="center"/>
          </w:tcPr>
          <w:p w14:paraId="496AFE33">
            <w:pPr>
              <w:widowControl w:val="0"/>
              <w:rPr>
                <w:color w:val="auto"/>
                <w:sz w:val="24"/>
                <w:szCs w:val="24"/>
                <w:highlight w:val="none"/>
              </w:rPr>
            </w:pPr>
            <w:r>
              <w:rPr>
                <w:color w:val="auto"/>
                <w:sz w:val="24"/>
                <w:szCs w:val="24"/>
                <w:highlight w:val="none"/>
                <w:lang w:val="en-US" w:eastAsia="zh-CN" w:bidi="ar"/>
              </w:rPr>
              <w:t>Қарақұмық қауызы</w:t>
            </w:r>
          </w:p>
        </w:tc>
        <w:tc>
          <w:tcPr>
            <w:tcW w:w="1236" w:type="dxa"/>
            <w:vAlign w:val="center"/>
          </w:tcPr>
          <w:p w14:paraId="0D69B645">
            <w:pPr>
              <w:widowControl w:val="0"/>
              <w:jc w:val="center"/>
              <w:rPr>
                <w:color w:val="auto"/>
                <w:sz w:val="24"/>
                <w:szCs w:val="24"/>
                <w:highlight w:val="none"/>
              </w:rPr>
            </w:pPr>
            <w:r>
              <w:rPr>
                <w:color w:val="auto"/>
                <w:sz w:val="24"/>
                <w:szCs w:val="24"/>
                <w:highlight w:val="none"/>
                <w:lang w:val="ru-RU" w:eastAsia="zh-CN" w:bidi="ar"/>
              </w:rPr>
              <w:t>8,</w:t>
            </w:r>
            <w:r>
              <w:rPr>
                <w:color w:val="auto"/>
                <w:sz w:val="24"/>
                <w:szCs w:val="24"/>
                <w:highlight w:val="none"/>
                <w:lang w:val="en-US" w:eastAsia="zh-CN" w:bidi="ar"/>
              </w:rPr>
              <w:t>5</w:t>
            </w:r>
          </w:p>
        </w:tc>
        <w:tc>
          <w:tcPr>
            <w:tcW w:w="1428" w:type="dxa"/>
            <w:vAlign w:val="center"/>
          </w:tcPr>
          <w:p w14:paraId="11D1DA80">
            <w:pPr>
              <w:widowControl w:val="0"/>
              <w:jc w:val="center"/>
              <w:rPr>
                <w:color w:val="auto"/>
                <w:sz w:val="24"/>
                <w:szCs w:val="24"/>
                <w:highlight w:val="none"/>
              </w:rPr>
            </w:pPr>
            <w:r>
              <w:rPr>
                <w:color w:val="auto"/>
                <w:sz w:val="24"/>
                <w:szCs w:val="24"/>
                <w:highlight w:val="none"/>
                <w:lang w:val="ru-RU" w:eastAsia="zh-CN" w:bidi="ar"/>
              </w:rPr>
              <w:t>8,</w:t>
            </w:r>
            <w:r>
              <w:rPr>
                <w:color w:val="auto"/>
                <w:sz w:val="24"/>
                <w:szCs w:val="24"/>
                <w:highlight w:val="none"/>
                <w:lang w:val="en-US" w:eastAsia="zh-CN" w:bidi="ar"/>
              </w:rPr>
              <w:t>0</w:t>
            </w:r>
          </w:p>
        </w:tc>
        <w:tc>
          <w:tcPr>
            <w:tcW w:w="1608" w:type="dxa"/>
            <w:vAlign w:val="center"/>
          </w:tcPr>
          <w:p w14:paraId="1C14659F">
            <w:pPr>
              <w:widowControl w:val="0"/>
              <w:jc w:val="center"/>
              <w:rPr>
                <w:color w:val="auto"/>
                <w:sz w:val="24"/>
                <w:szCs w:val="24"/>
                <w:highlight w:val="none"/>
              </w:rPr>
            </w:pPr>
            <w:r>
              <w:rPr>
                <w:color w:val="auto"/>
                <w:sz w:val="24"/>
                <w:szCs w:val="24"/>
                <w:highlight w:val="none"/>
                <w:lang w:val="ru-RU" w:eastAsia="zh-CN" w:bidi="ar"/>
              </w:rPr>
              <w:t>7,</w:t>
            </w:r>
            <w:r>
              <w:rPr>
                <w:color w:val="auto"/>
                <w:sz w:val="24"/>
                <w:szCs w:val="24"/>
                <w:highlight w:val="none"/>
                <w:lang w:val="en-US" w:eastAsia="zh-CN" w:bidi="ar"/>
              </w:rPr>
              <w:t>5</w:t>
            </w:r>
          </w:p>
        </w:tc>
        <w:tc>
          <w:tcPr>
            <w:tcW w:w="1548" w:type="dxa"/>
            <w:vAlign w:val="center"/>
          </w:tcPr>
          <w:p w14:paraId="7B8B9356">
            <w:pPr>
              <w:widowControl w:val="0"/>
              <w:jc w:val="center"/>
              <w:rPr>
                <w:color w:val="auto"/>
                <w:sz w:val="24"/>
                <w:szCs w:val="24"/>
                <w:highlight w:val="none"/>
              </w:rPr>
            </w:pPr>
            <w:r>
              <w:rPr>
                <w:rStyle w:val="19"/>
                <w:b w:val="0"/>
                <w:bCs w:val="0"/>
                <w:color w:val="auto"/>
                <w:sz w:val="24"/>
                <w:szCs w:val="24"/>
                <w:highlight w:val="none"/>
                <w:lang w:val="ru-RU" w:eastAsia="zh-CN" w:bidi="ar"/>
              </w:rPr>
              <w:t>7,</w:t>
            </w:r>
            <w:r>
              <w:rPr>
                <w:rStyle w:val="19"/>
                <w:b w:val="0"/>
                <w:bCs w:val="0"/>
                <w:color w:val="auto"/>
                <w:sz w:val="24"/>
                <w:szCs w:val="24"/>
                <w:highlight w:val="none"/>
                <w:lang w:val="en-US" w:eastAsia="zh-CN" w:bidi="ar"/>
              </w:rPr>
              <w:t>2</w:t>
            </w:r>
          </w:p>
        </w:tc>
        <w:tc>
          <w:tcPr>
            <w:tcW w:w="1372" w:type="dxa"/>
            <w:vAlign w:val="center"/>
          </w:tcPr>
          <w:p w14:paraId="254FEB0F">
            <w:pPr>
              <w:widowControl w:val="0"/>
              <w:jc w:val="center"/>
              <w:rPr>
                <w:color w:val="auto"/>
                <w:sz w:val="24"/>
                <w:szCs w:val="24"/>
                <w:highlight w:val="none"/>
              </w:rPr>
            </w:pPr>
            <w:r>
              <w:rPr>
                <w:rStyle w:val="19"/>
                <w:b w:val="0"/>
                <w:bCs w:val="0"/>
                <w:color w:val="auto"/>
                <w:sz w:val="24"/>
                <w:szCs w:val="24"/>
                <w:highlight w:val="none"/>
                <w:lang w:val="en-US" w:eastAsia="zh-CN" w:bidi="ar"/>
              </w:rPr>
              <w:t>-1</w:t>
            </w:r>
            <w:r>
              <w:rPr>
                <w:rStyle w:val="19"/>
                <w:rFonts w:hint="default"/>
                <w:b w:val="0"/>
                <w:bCs w:val="0"/>
                <w:color w:val="auto"/>
                <w:sz w:val="24"/>
                <w:szCs w:val="24"/>
                <w:highlight w:val="none"/>
                <w:lang w:val="ru-RU" w:eastAsia="zh-CN" w:bidi="ar"/>
              </w:rPr>
              <w:t>,</w:t>
            </w:r>
            <w:r>
              <w:rPr>
                <w:rStyle w:val="19"/>
                <w:b w:val="0"/>
                <w:bCs w:val="0"/>
                <w:color w:val="auto"/>
                <w:sz w:val="24"/>
                <w:szCs w:val="24"/>
                <w:highlight w:val="none"/>
                <w:lang w:val="en-US" w:eastAsia="zh-CN" w:bidi="ar"/>
              </w:rPr>
              <w:t>3</w:t>
            </w:r>
          </w:p>
        </w:tc>
      </w:tr>
      <w:tr w14:paraId="55E87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4" w:type="dxa"/>
            <w:vAlign w:val="center"/>
          </w:tcPr>
          <w:p w14:paraId="68BA05F4">
            <w:pPr>
              <w:widowControl w:val="0"/>
              <w:rPr>
                <w:color w:val="auto"/>
                <w:sz w:val="24"/>
                <w:szCs w:val="24"/>
                <w:highlight w:val="none"/>
              </w:rPr>
            </w:pPr>
            <w:r>
              <w:rPr>
                <w:color w:val="auto"/>
                <w:sz w:val="24"/>
                <w:szCs w:val="24"/>
                <w:highlight w:val="none"/>
                <w:lang w:val="en-US" w:eastAsia="zh-CN" w:bidi="ar"/>
              </w:rPr>
              <w:t>Күріш қауызы</w:t>
            </w:r>
          </w:p>
        </w:tc>
        <w:tc>
          <w:tcPr>
            <w:tcW w:w="1236" w:type="dxa"/>
            <w:vAlign w:val="center"/>
          </w:tcPr>
          <w:p w14:paraId="33CFA25D">
            <w:pPr>
              <w:widowControl w:val="0"/>
              <w:jc w:val="center"/>
              <w:rPr>
                <w:color w:val="auto"/>
                <w:sz w:val="24"/>
                <w:szCs w:val="24"/>
                <w:highlight w:val="none"/>
              </w:rPr>
            </w:pPr>
            <w:r>
              <w:rPr>
                <w:color w:val="auto"/>
                <w:sz w:val="24"/>
                <w:szCs w:val="24"/>
                <w:highlight w:val="none"/>
                <w:lang w:val="ru-RU" w:eastAsia="zh-CN" w:bidi="ar"/>
              </w:rPr>
              <w:t>8,</w:t>
            </w:r>
            <w:r>
              <w:rPr>
                <w:color w:val="auto"/>
                <w:sz w:val="24"/>
                <w:szCs w:val="24"/>
                <w:highlight w:val="none"/>
                <w:lang w:val="en-US" w:eastAsia="zh-CN" w:bidi="ar"/>
              </w:rPr>
              <w:t>5</w:t>
            </w:r>
          </w:p>
        </w:tc>
        <w:tc>
          <w:tcPr>
            <w:tcW w:w="1428" w:type="dxa"/>
            <w:vAlign w:val="center"/>
          </w:tcPr>
          <w:p w14:paraId="5C349C29">
            <w:pPr>
              <w:widowControl w:val="0"/>
              <w:jc w:val="center"/>
              <w:rPr>
                <w:color w:val="auto"/>
                <w:sz w:val="24"/>
                <w:szCs w:val="24"/>
                <w:highlight w:val="none"/>
              </w:rPr>
            </w:pPr>
            <w:r>
              <w:rPr>
                <w:color w:val="auto"/>
                <w:sz w:val="24"/>
                <w:szCs w:val="24"/>
                <w:highlight w:val="none"/>
                <w:lang w:val="ru-RU" w:eastAsia="zh-CN" w:bidi="ar"/>
              </w:rPr>
              <w:t>8,</w:t>
            </w:r>
            <w:r>
              <w:rPr>
                <w:color w:val="auto"/>
                <w:sz w:val="24"/>
                <w:szCs w:val="24"/>
                <w:highlight w:val="none"/>
                <w:lang w:val="en-US" w:eastAsia="zh-CN" w:bidi="ar"/>
              </w:rPr>
              <w:t>2</w:t>
            </w:r>
          </w:p>
        </w:tc>
        <w:tc>
          <w:tcPr>
            <w:tcW w:w="1608" w:type="dxa"/>
            <w:vAlign w:val="center"/>
          </w:tcPr>
          <w:p w14:paraId="1930E930">
            <w:pPr>
              <w:widowControl w:val="0"/>
              <w:jc w:val="center"/>
              <w:rPr>
                <w:color w:val="auto"/>
                <w:sz w:val="24"/>
                <w:szCs w:val="24"/>
                <w:highlight w:val="none"/>
              </w:rPr>
            </w:pPr>
            <w:r>
              <w:rPr>
                <w:color w:val="auto"/>
                <w:sz w:val="24"/>
                <w:szCs w:val="24"/>
                <w:highlight w:val="none"/>
                <w:lang w:val="ru-RU" w:eastAsia="zh-CN" w:bidi="ar"/>
              </w:rPr>
              <w:t>7,</w:t>
            </w:r>
            <w:r>
              <w:rPr>
                <w:color w:val="auto"/>
                <w:sz w:val="24"/>
                <w:szCs w:val="24"/>
                <w:highlight w:val="none"/>
                <w:lang w:val="en-US" w:eastAsia="zh-CN" w:bidi="ar"/>
              </w:rPr>
              <w:t>8</w:t>
            </w:r>
          </w:p>
        </w:tc>
        <w:tc>
          <w:tcPr>
            <w:tcW w:w="1548" w:type="dxa"/>
            <w:vAlign w:val="center"/>
          </w:tcPr>
          <w:p w14:paraId="3634CDE0">
            <w:pPr>
              <w:widowControl w:val="0"/>
              <w:jc w:val="center"/>
              <w:rPr>
                <w:color w:val="auto"/>
                <w:sz w:val="24"/>
                <w:szCs w:val="24"/>
                <w:highlight w:val="none"/>
              </w:rPr>
            </w:pPr>
            <w:r>
              <w:rPr>
                <w:color w:val="auto"/>
                <w:sz w:val="24"/>
                <w:szCs w:val="24"/>
                <w:highlight w:val="none"/>
                <w:lang w:val="ru-RU" w:eastAsia="zh-CN" w:bidi="ar"/>
              </w:rPr>
              <w:t>7,</w:t>
            </w:r>
            <w:r>
              <w:rPr>
                <w:color w:val="auto"/>
                <w:sz w:val="24"/>
                <w:szCs w:val="24"/>
                <w:highlight w:val="none"/>
                <w:lang w:val="en-US" w:eastAsia="zh-CN" w:bidi="ar"/>
              </w:rPr>
              <w:t>4</w:t>
            </w:r>
          </w:p>
        </w:tc>
        <w:tc>
          <w:tcPr>
            <w:tcW w:w="1372" w:type="dxa"/>
            <w:vAlign w:val="center"/>
          </w:tcPr>
          <w:p w14:paraId="3869748C">
            <w:pPr>
              <w:widowControl w:val="0"/>
              <w:jc w:val="center"/>
              <w:rPr>
                <w:color w:val="auto"/>
                <w:sz w:val="24"/>
                <w:szCs w:val="24"/>
                <w:highlight w:val="none"/>
              </w:rPr>
            </w:pPr>
            <w:r>
              <w:rPr>
                <w:color w:val="auto"/>
                <w:sz w:val="24"/>
                <w:szCs w:val="24"/>
                <w:highlight w:val="none"/>
                <w:lang w:val="en-US" w:eastAsia="zh-CN" w:bidi="ar"/>
              </w:rPr>
              <w:t>-1</w:t>
            </w:r>
            <w:r>
              <w:rPr>
                <w:rFonts w:hint="default"/>
                <w:color w:val="auto"/>
                <w:sz w:val="24"/>
                <w:szCs w:val="24"/>
                <w:highlight w:val="none"/>
                <w:lang w:val="ru-RU" w:eastAsia="zh-CN" w:bidi="ar"/>
              </w:rPr>
              <w:t>,</w:t>
            </w:r>
            <w:r>
              <w:rPr>
                <w:color w:val="auto"/>
                <w:sz w:val="24"/>
                <w:szCs w:val="24"/>
                <w:highlight w:val="none"/>
                <w:lang w:val="en-US" w:eastAsia="zh-CN" w:bidi="ar"/>
              </w:rPr>
              <w:t>1</w:t>
            </w:r>
          </w:p>
        </w:tc>
      </w:tr>
    </w:tbl>
    <w:p w14:paraId="01AF6170">
      <w:pPr>
        <w:pStyle w:val="35"/>
        <w:spacing w:beforeAutospacing="0" w:afterAutospacing="0"/>
        <w:ind w:firstLine="709"/>
        <w:jc w:val="both"/>
        <w:rPr>
          <w:color w:val="auto"/>
          <w:sz w:val="28"/>
          <w:szCs w:val="28"/>
          <w:lang w:val="ru-RU"/>
        </w:rPr>
      </w:pPr>
    </w:p>
    <w:p w14:paraId="64268AE2">
      <w:pPr>
        <w:pStyle w:val="35"/>
        <w:spacing w:beforeAutospacing="0" w:afterAutospacing="0"/>
        <w:ind w:firstLine="709"/>
        <w:jc w:val="both"/>
        <w:rPr>
          <w:color w:val="auto"/>
          <w:sz w:val="28"/>
          <w:szCs w:val="28"/>
          <w:lang w:val="ru-RU"/>
        </w:rPr>
      </w:pPr>
      <w:r>
        <w:rPr>
          <w:color w:val="auto"/>
          <w:sz w:val="28"/>
          <w:szCs w:val="28"/>
          <w:lang w:val="ru-RU"/>
        </w:rPr>
        <w:t xml:space="preserve">Иммобилизацияланған жүйелерде </w:t>
      </w:r>
      <w:r>
        <w:rPr>
          <w:color w:val="auto"/>
          <w:sz w:val="28"/>
          <w:szCs w:val="28"/>
          <w:lang w:val="kk-KZ"/>
        </w:rPr>
        <w:t>топырақ</w:t>
      </w:r>
      <w:r>
        <w:rPr>
          <w:color w:val="auto"/>
          <w:sz w:val="28"/>
          <w:szCs w:val="28"/>
          <w:lang w:val="ru-RU"/>
        </w:rPr>
        <w:t xml:space="preserve"> </w:t>
      </w:r>
      <w:r>
        <w:rPr>
          <w:color w:val="auto"/>
          <w:sz w:val="28"/>
          <w:szCs w:val="28"/>
        </w:rPr>
        <w:t>pH</w:t>
      </w:r>
      <w:r>
        <w:rPr>
          <w:color w:val="auto"/>
          <w:sz w:val="28"/>
          <w:szCs w:val="28"/>
          <w:lang w:val="ru-RU"/>
        </w:rPr>
        <w:t xml:space="preserve"> </w:t>
      </w:r>
      <w:r>
        <w:rPr>
          <w:color w:val="auto"/>
          <w:sz w:val="28"/>
          <w:szCs w:val="28"/>
          <w:lang w:val="kk-KZ"/>
        </w:rPr>
        <w:t xml:space="preserve">ең айтарлықтай </w:t>
      </w:r>
      <w:r>
        <w:rPr>
          <w:color w:val="auto"/>
          <w:sz w:val="28"/>
          <w:szCs w:val="28"/>
          <w:lang w:val="ru-RU"/>
        </w:rPr>
        <w:t xml:space="preserve">төмендеуі байқалды: қарақұмық қауызы 8,5-тен 7,2-ге дейін (-1.3 бірлік), күріш қауызы 8,5-тен 7,4-ке дейін (-1.1 бірлік). </w:t>
      </w:r>
      <w:r>
        <w:rPr>
          <w:color w:val="auto"/>
          <w:sz w:val="28"/>
          <w:szCs w:val="28"/>
          <w:lang w:val="kk-KZ"/>
        </w:rPr>
        <w:t>Бос</w:t>
      </w:r>
      <w:r>
        <w:rPr>
          <w:color w:val="auto"/>
          <w:sz w:val="28"/>
          <w:szCs w:val="28"/>
          <w:lang w:val="ru-RU"/>
        </w:rPr>
        <w:t xml:space="preserve"> жасушалар</w:t>
      </w:r>
      <w:r>
        <w:rPr>
          <w:color w:val="auto"/>
          <w:sz w:val="28"/>
          <w:szCs w:val="28"/>
          <w:lang w:val="kk-KZ"/>
        </w:rPr>
        <w:t xml:space="preserve">да </w:t>
      </w:r>
      <w:r>
        <w:rPr>
          <w:color w:val="auto"/>
          <w:sz w:val="28"/>
          <w:szCs w:val="28"/>
          <w:lang w:val="ru-RU"/>
        </w:rPr>
        <w:t xml:space="preserve"> орташа</w:t>
      </w:r>
      <w:r>
        <w:rPr>
          <w:color w:val="auto"/>
          <w:sz w:val="28"/>
          <w:szCs w:val="28"/>
          <w:lang w:val="kk-KZ"/>
        </w:rPr>
        <w:t xml:space="preserve"> түрде </w:t>
      </w:r>
      <w:r>
        <w:rPr>
          <w:color w:val="auto"/>
          <w:sz w:val="28"/>
          <w:szCs w:val="28"/>
          <w:lang w:val="ru-RU"/>
        </w:rPr>
        <w:t xml:space="preserve"> -0,9 бірлік</w:t>
      </w:r>
      <w:r>
        <w:rPr>
          <w:color w:val="auto"/>
          <w:sz w:val="28"/>
          <w:szCs w:val="28"/>
          <w:lang w:val="kk-KZ"/>
        </w:rPr>
        <w:t>ке төмендеді</w:t>
      </w:r>
      <w:r>
        <w:rPr>
          <w:color w:val="auto"/>
          <w:sz w:val="28"/>
          <w:szCs w:val="28"/>
          <w:lang w:val="ru-RU"/>
        </w:rPr>
        <w:t xml:space="preserve">, ал бақылау нұсқаларында </w:t>
      </w:r>
      <w:r>
        <w:rPr>
          <w:color w:val="auto"/>
          <w:sz w:val="28"/>
          <w:szCs w:val="28"/>
          <w:lang w:val="kk-KZ"/>
        </w:rPr>
        <w:t xml:space="preserve">өзгерістер </w:t>
      </w:r>
      <w:r>
        <w:rPr>
          <w:color w:val="auto"/>
          <w:sz w:val="28"/>
          <w:szCs w:val="28"/>
          <w:lang w:val="ru-RU"/>
        </w:rPr>
        <w:t>минималды болды .</w:t>
      </w:r>
      <w:r>
        <w:rPr>
          <w:color w:val="auto"/>
          <w:sz w:val="28"/>
          <w:szCs w:val="28"/>
          <w:lang w:val="kk-KZ"/>
        </w:rPr>
        <w:t xml:space="preserve"> </w:t>
      </w:r>
      <w:r>
        <w:rPr>
          <w:color w:val="auto"/>
          <w:sz w:val="28"/>
          <w:szCs w:val="28"/>
        </w:rPr>
        <w:t>pH</w:t>
      </w:r>
      <w:r>
        <w:rPr>
          <w:color w:val="auto"/>
          <w:sz w:val="28"/>
          <w:szCs w:val="28"/>
          <w:lang w:val="ru-RU"/>
        </w:rPr>
        <w:t xml:space="preserve"> төмендеуі органикалық қышқылдардың түзілуімен </w:t>
      </w:r>
      <w:r>
        <w:rPr>
          <w:color w:val="auto"/>
          <w:sz w:val="28"/>
          <w:szCs w:val="28"/>
          <w:lang w:val="kk-KZ"/>
        </w:rPr>
        <w:t>байланысты,</w:t>
      </w:r>
      <w:r>
        <w:rPr>
          <w:color w:val="auto"/>
          <w:sz w:val="28"/>
          <w:szCs w:val="28"/>
          <w:lang w:val="ru-RU"/>
        </w:rPr>
        <w:t xml:space="preserve"> бұ</w:t>
      </w:r>
      <w:r>
        <w:rPr>
          <w:color w:val="auto"/>
          <w:sz w:val="28"/>
          <w:szCs w:val="28"/>
          <w:lang w:val="kk-KZ"/>
        </w:rPr>
        <w:t>л</w:t>
      </w:r>
      <w:r>
        <w:rPr>
          <w:color w:val="auto"/>
          <w:sz w:val="28"/>
          <w:szCs w:val="28"/>
          <w:lang w:val="ru-RU"/>
        </w:rPr>
        <w:t xml:space="preserve"> көмірсутектердің микробтық метаболизмінің аралық өнімдері</w:t>
      </w:r>
      <w:r>
        <w:rPr>
          <w:color w:val="auto"/>
          <w:sz w:val="28"/>
          <w:szCs w:val="28"/>
          <w:lang w:val="kk-KZ"/>
        </w:rPr>
        <w:t xml:space="preserve"> болып табылады, соның ішінде ацетат, пропионат, альдегидтер және карбон қышқылдары</w:t>
      </w:r>
      <w:r>
        <w:rPr>
          <w:rFonts w:hint="default"/>
          <w:color w:val="auto"/>
          <w:sz w:val="28"/>
          <w:szCs w:val="28"/>
          <w:lang w:val="ru-RU"/>
        </w:rPr>
        <w:t xml:space="preserve"> </w:t>
      </w:r>
      <w:r>
        <w:rPr>
          <w:color w:val="auto"/>
          <w:sz w:val="28"/>
          <w:szCs w:val="28"/>
          <w:lang w:val="ru-RU"/>
        </w:rPr>
        <w:t>[</w:t>
      </w:r>
      <w:r>
        <w:rPr>
          <w:rFonts w:hint="default"/>
          <w:color w:val="auto"/>
          <w:sz w:val="28"/>
          <w:szCs w:val="28"/>
          <w:lang w:val="ru-RU"/>
        </w:rPr>
        <w:t>45, 73, 147</w:t>
      </w:r>
      <w:r>
        <w:rPr>
          <w:color w:val="auto"/>
          <w:sz w:val="28"/>
          <w:szCs w:val="28"/>
          <w:lang w:val="ru-RU"/>
        </w:rPr>
        <w:t>]. Қарақұмық қауызы</w:t>
      </w:r>
      <w:r>
        <w:rPr>
          <w:color w:val="auto"/>
          <w:sz w:val="28"/>
          <w:szCs w:val="28"/>
          <w:lang w:val="kk-KZ"/>
        </w:rPr>
        <w:t xml:space="preserve"> бойынша</w:t>
      </w:r>
      <w:r>
        <w:rPr>
          <w:rFonts w:hint="default"/>
          <w:color w:val="auto"/>
          <w:sz w:val="28"/>
          <w:szCs w:val="28"/>
          <w:lang w:val="ru-RU"/>
        </w:rPr>
        <w:t xml:space="preserve"> </w:t>
      </w:r>
      <w:r>
        <w:rPr>
          <w:color w:val="auto"/>
          <w:sz w:val="28"/>
          <w:szCs w:val="28"/>
          <w:lang w:val="kk-KZ"/>
        </w:rPr>
        <w:t>айтарлықтай төмендеу</w:t>
      </w:r>
      <w:r>
        <w:rPr>
          <w:color w:val="auto"/>
          <w:sz w:val="28"/>
          <w:szCs w:val="28"/>
          <w:lang w:val="ru-RU"/>
        </w:rPr>
        <w:t xml:space="preserve"> жоғары </w:t>
      </w:r>
      <w:r>
        <w:rPr>
          <w:color w:val="auto"/>
          <w:sz w:val="28"/>
          <w:szCs w:val="28"/>
          <w:lang w:val="kk-KZ"/>
        </w:rPr>
        <w:t xml:space="preserve">метаболиттік белсенділікті көрсетеді, бұл жоғары микробтық масса </w:t>
      </w:r>
      <w:r>
        <w:rPr>
          <w:color w:val="auto"/>
          <w:sz w:val="28"/>
          <w:szCs w:val="28"/>
          <w:lang w:val="ru-RU"/>
        </w:rPr>
        <w:t xml:space="preserve"> және жоғары ЖМӨ деструкция</w:t>
      </w:r>
      <w:r>
        <w:rPr>
          <w:color w:val="auto"/>
          <w:sz w:val="28"/>
          <w:szCs w:val="28"/>
          <w:lang w:val="kk-KZ"/>
        </w:rPr>
        <w:t>сы деңгейімен үйлеседі</w:t>
      </w:r>
      <w:r>
        <w:rPr>
          <w:color w:val="auto"/>
          <w:sz w:val="28"/>
          <w:szCs w:val="28"/>
          <w:lang w:val="ru-RU"/>
        </w:rPr>
        <w:t>.</w:t>
      </w:r>
    </w:p>
    <w:p w14:paraId="566148CC">
      <w:pPr>
        <w:pStyle w:val="35"/>
        <w:spacing w:beforeAutospacing="0" w:afterAutospacing="0"/>
        <w:ind w:firstLine="709"/>
        <w:jc w:val="both"/>
        <w:rPr>
          <w:color w:val="auto"/>
          <w:sz w:val="28"/>
          <w:szCs w:val="28"/>
          <w:lang w:val="kk-KZ"/>
        </w:rPr>
      </w:pPr>
      <w:r>
        <w:rPr>
          <w:color w:val="auto"/>
          <w:sz w:val="28"/>
          <w:szCs w:val="28"/>
          <w:lang w:val="ru-RU"/>
        </w:rPr>
        <w:t xml:space="preserve">Соңғы </w:t>
      </w:r>
      <w:r>
        <w:rPr>
          <w:color w:val="auto"/>
          <w:sz w:val="28"/>
          <w:szCs w:val="28"/>
        </w:rPr>
        <w:t>pH</w:t>
      </w:r>
      <w:r>
        <w:rPr>
          <w:color w:val="auto"/>
          <w:sz w:val="28"/>
          <w:szCs w:val="28"/>
          <w:lang w:val="ru-RU"/>
        </w:rPr>
        <w:t xml:space="preserve"> мәндері (7,2-7,6) </w:t>
      </w:r>
      <w:r>
        <w:rPr>
          <w:color w:val="auto"/>
          <w:sz w:val="28"/>
          <w:szCs w:val="28"/>
          <w:lang w:val="kk-KZ"/>
        </w:rPr>
        <w:t xml:space="preserve">көмірсутек деградациялайтын бактериялар үшін оңтайлы </w:t>
      </w:r>
      <w:r>
        <w:rPr>
          <w:color w:val="auto"/>
          <w:sz w:val="28"/>
          <w:szCs w:val="28"/>
          <w:lang w:val="ru-RU"/>
        </w:rPr>
        <w:t xml:space="preserve">диапазонға </w:t>
      </w:r>
      <w:r>
        <w:rPr>
          <w:color w:val="auto"/>
          <w:sz w:val="28"/>
          <w:szCs w:val="28"/>
          <w:lang w:val="kk-KZ"/>
        </w:rPr>
        <w:t xml:space="preserve">сәйкес келеді </w:t>
      </w:r>
      <w:r>
        <w:rPr>
          <w:color w:val="auto"/>
          <w:sz w:val="28"/>
          <w:szCs w:val="28"/>
          <w:lang w:val="ru-RU"/>
        </w:rPr>
        <w:t>(</w:t>
      </w:r>
      <w:r>
        <w:rPr>
          <w:color w:val="auto"/>
          <w:sz w:val="28"/>
          <w:szCs w:val="28"/>
        </w:rPr>
        <w:t>pH</w:t>
      </w:r>
      <w:r>
        <w:rPr>
          <w:color w:val="auto"/>
          <w:sz w:val="28"/>
          <w:szCs w:val="28"/>
          <w:lang w:val="ru-RU"/>
        </w:rPr>
        <w:t xml:space="preserve"> 6</w:t>
      </w:r>
      <w:r>
        <w:rPr>
          <w:rFonts w:hint="default"/>
          <w:color w:val="auto"/>
          <w:sz w:val="28"/>
          <w:szCs w:val="28"/>
          <w:lang w:val="ru-RU"/>
        </w:rPr>
        <w:t>,</w:t>
      </w:r>
      <w:r>
        <w:rPr>
          <w:color w:val="auto"/>
          <w:sz w:val="28"/>
          <w:szCs w:val="28"/>
          <w:lang w:val="ru-RU"/>
        </w:rPr>
        <w:t>5-8,0) [</w:t>
      </w:r>
      <w:r>
        <w:rPr>
          <w:rFonts w:hint="default"/>
          <w:color w:val="auto"/>
          <w:sz w:val="28"/>
          <w:szCs w:val="28"/>
          <w:lang w:val="ru-RU"/>
        </w:rPr>
        <w:t>38, 45, 50, 73</w:t>
      </w:r>
      <w:r>
        <w:rPr>
          <w:color w:val="auto"/>
          <w:sz w:val="28"/>
          <w:szCs w:val="28"/>
          <w:lang w:val="ru-RU"/>
        </w:rPr>
        <w:t>].</w:t>
      </w:r>
      <w:r>
        <w:rPr>
          <w:color w:val="auto"/>
          <w:sz w:val="28"/>
          <w:szCs w:val="28"/>
          <w:lang w:val="kk-KZ"/>
        </w:rPr>
        <w:t xml:space="preserve"> </w:t>
      </w:r>
    </w:p>
    <w:p w14:paraId="3C018946">
      <w:pPr>
        <w:pStyle w:val="35"/>
        <w:spacing w:beforeAutospacing="0" w:afterAutospacing="0"/>
        <w:ind w:firstLine="709"/>
        <w:jc w:val="both"/>
        <w:rPr>
          <w:color w:val="auto"/>
          <w:sz w:val="28"/>
          <w:szCs w:val="28"/>
          <w:lang w:val="kk-KZ"/>
        </w:rPr>
      </w:pPr>
      <w:r>
        <w:rPr>
          <w:i/>
          <w:iCs/>
          <w:color w:val="auto"/>
          <w:sz w:val="28"/>
          <w:szCs w:val="28"/>
          <w:lang w:val="kk-KZ"/>
        </w:rPr>
        <w:t xml:space="preserve">Rhodococcus </w:t>
      </w:r>
      <w:r>
        <w:rPr>
          <w:color w:val="auto"/>
          <w:sz w:val="28"/>
          <w:szCs w:val="28"/>
          <w:lang w:val="kk-KZ"/>
        </w:rPr>
        <w:t>түрлері pH 6</w:t>
      </w:r>
      <w:r>
        <w:rPr>
          <w:rFonts w:hint="default"/>
          <w:color w:val="auto"/>
          <w:sz w:val="28"/>
          <w:szCs w:val="28"/>
          <w:lang w:val="ru-RU"/>
        </w:rPr>
        <w:t>,</w:t>
      </w:r>
      <w:r>
        <w:rPr>
          <w:color w:val="auto"/>
          <w:sz w:val="28"/>
          <w:szCs w:val="28"/>
          <w:lang w:val="kk-KZ"/>
        </w:rPr>
        <w:t>0-</w:t>
      </w:r>
      <w:r>
        <w:rPr>
          <w:color w:val="auto"/>
          <w:sz w:val="28"/>
          <w:szCs w:val="28"/>
          <w:lang w:val="ru-RU"/>
        </w:rPr>
        <w:t>8,</w:t>
      </w:r>
      <w:r>
        <w:rPr>
          <w:color w:val="auto"/>
          <w:sz w:val="28"/>
          <w:szCs w:val="28"/>
          <w:lang w:val="kk-KZ"/>
        </w:rPr>
        <w:t xml:space="preserve">5 диапазонында белсенді, оптимум pH </w:t>
      </w:r>
      <w:r>
        <w:rPr>
          <w:color w:val="auto"/>
          <w:sz w:val="28"/>
          <w:szCs w:val="28"/>
          <w:lang w:val="ru-RU"/>
        </w:rPr>
        <w:t>7,</w:t>
      </w:r>
      <w:r>
        <w:rPr>
          <w:color w:val="auto"/>
          <w:sz w:val="28"/>
          <w:szCs w:val="28"/>
          <w:lang w:val="kk-KZ"/>
        </w:rPr>
        <w:t>0-</w:t>
      </w:r>
      <w:r>
        <w:rPr>
          <w:color w:val="auto"/>
          <w:sz w:val="28"/>
          <w:szCs w:val="28"/>
          <w:lang w:val="ru-RU"/>
        </w:rPr>
        <w:t>7,</w:t>
      </w:r>
      <w:r>
        <w:rPr>
          <w:color w:val="auto"/>
          <w:sz w:val="28"/>
          <w:szCs w:val="28"/>
          <w:lang w:val="kk-KZ"/>
        </w:rPr>
        <w:t>5 [</w:t>
      </w:r>
      <w:r>
        <w:rPr>
          <w:rFonts w:hint="default"/>
          <w:color w:val="auto"/>
          <w:sz w:val="28"/>
          <w:szCs w:val="28"/>
          <w:lang w:val="kk-KZ"/>
        </w:rPr>
        <w:t>53, 57</w:t>
      </w:r>
      <w:r>
        <w:rPr>
          <w:color w:val="auto"/>
          <w:sz w:val="28"/>
          <w:szCs w:val="28"/>
          <w:lang w:val="kk-KZ"/>
        </w:rPr>
        <w:t xml:space="preserve">]. </w:t>
      </w:r>
      <w:r>
        <w:rPr>
          <w:i/>
          <w:iCs/>
          <w:color w:val="auto"/>
          <w:sz w:val="28"/>
          <w:szCs w:val="28"/>
          <w:lang w:val="kk-KZ"/>
        </w:rPr>
        <w:t>Dietzia</w:t>
      </w:r>
      <w:r>
        <w:rPr>
          <w:color w:val="auto"/>
          <w:sz w:val="28"/>
          <w:szCs w:val="28"/>
          <w:lang w:val="kk-KZ"/>
        </w:rPr>
        <w:t xml:space="preserve"> түрлері pH 6</w:t>
      </w:r>
      <w:r>
        <w:rPr>
          <w:rFonts w:hint="default"/>
          <w:color w:val="auto"/>
          <w:sz w:val="28"/>
          <w:szCs w:val="28"/>
          <w:lang w:val="ru-RU"/>
        </w:rPr>
        <w:t>,</w:t>
      </w:r>
      <w:r>
        <w:rPr>
          <w:color w:val="auto"/>
          <w:sz w:val="28"/>
          <w:szCs w:val="28"/>
          <w:lang w:val="kk-KZ"/>
        </w:rPr>
        <w:t>5-9</w:t>
      </w:r>
      <w:r>
        <w:rPr>
          <w:rFonts w:hint="default"/>
          <w:color w:val="auto"/>
          <w:sz w:val="28"/>
          <w:szCs w:val="28"/>
          <w:lang w:val="ru-RU"/>
        </w:rPr>
        <w:t>,</w:t>
      </w:r>
      <w:r>
        <w:rPr>
          <w:color w:val="auto"/>
          <w:sz w:val="28"/>
          <w:szCs w:val="28"/>
          <w:lang w:val="kk-KZ"/>
        </w:rPr>
        <w:t xml:space="preserve">0 төзімді, оптимум pH </w:t>
      </w:r>
      <w:r>
        <w:rPr>
          <w:color w:val="auto"/>
          <w:sz w:val="28"/>
          <w:szCs w:val="28"/>
          <w:lang w:val="ru-RU"/>
        </w:rPr>
        <w:t>7,</w:t>
      </w:r>
      <w:r>
        <w:rPr>
          <w:color w:val="auto"/>
          <w:sz w:val="28"/>
          <w:szCs w:val="28"/>
          <w:lang w:val="kk-KZ"/>
        </w:rPr>
        <w:t>0-</w:t>
      </w:r>
      <w:r>
        <w:rPr>
          <w:color w:val="auto"/>
          <w:sz w:val="28"/>
          <w:szCs w:val="28"/>
          <w:lang w:val="ru-RU"/>
        </w:rPr>
        <w:t>8,</w:t>
      </w:r>
      <w:r>
        <w:rPr>
          <w:color w:val="auto"/>
          <w:sz w:val="28"/>
          <w:szCs w:val="28"/>
          <w:lang w:val="kk-KZ"/>
        </w:rPr>
        <w:t>0 [</w:t>
      </w:r>
      <w:r>
        <w:rPr>
          <w:rFonts w:hint="default"/>
          <w:color w:val="auto"/>
          <w:sz w:val="28"/>
          <w:szCs w:val="28"/>
          <w:lang w:val="kk-KZ"/>
        </w:rPr>
        <w:t>46, 113</w:t>
      </w:r>
      <w:r>
        <w:rPr>
          <w:color w:val="auto"/>
          <w:sz w:val="28"/>
          <w:szCs w:val="28"/>
          <w:lang w:val="kk-KZ"/>
        </w:rPr>
        <w:t>]. Бұл көрсеткіштер  топырақ pH</w:t>
      </w:r>
      <w:r>
        <w:rPr>
          <w:rFonts w:hint="default"/>
          <w:color w:val="auto"/>
          <w:sz w:val="28"/>
          <w:szCs w:val="28"/>
          <w:lang w:val="kk-KZ"/>
        </w:rPr>
        <w:t xml:space="preserve"> </w:t>
      </w:r>
      <w:r>
        <w:rPr>
          <w:color w:val="auto"/>
          <w:sz w:val="28"/>
          <w:szCs w:val="28"/>
          <w:lang w:val="kk-KZ"/>
        </w:rPr>
        <w:t>микробтық белсенділік автоматты түрде оңтайлы деңгейге реттеді [</w:t>
      </w:r>
      <w:r>
        <w:rPr>
          <w:rFonts w:hint="default"/>
          <w:color w:val="auto"/>
          <w:sz w:val="28"/>
          <w:szCs w:val="28"/>
          <w:lang w:val="kk-KZ"/>
        </w:rPr>
        <w:t>37, 40, 62</w:t>
      </w:r>
      <w:r>
        <w:rPr>
          <w:color w:val="auto"/>
          <w:sz w:val="28"/>
          <w:szCs w:val="28"/>
          <w:lang w:val="kk-KZ"/>
        </w:rPr>
        <w:t>].</w:t>
      </w:r>
    </w:p>
    <w:p w14:paraId="373162B1">
      <w:pPr>
        <w:pStyle w:val="35"/>
        <w:spacing w:beforeAutospacing="0" w:afterAutospacing="0"/>
        <w:ind w:firstLine="709"/>
        <w:jc w:val="both"/>
        <w:rPr>
          <w:color w:val="auto"/>
          <w:sz w:val="28"/>
          <w:szCs w:val="28"/>
          <w:lang w:val="kk-KZ"/>
        </w:rPr>
      </w:pPr>
      <w:r>
        <w:rPr>
          <w:color w:val="auto"/>
          <w:sz w:val="28"/>
          <w:szCs w:val="28"/>
          <w:lang w:val="kk-KZ"/>
        </w:rPr>
        <w:t xml:space="preserve">Тасымалдаушы бақылауында pH орташа түрде </w:t>
      </w:r>
      <w:r>
        <w:rPr>
          <w:color w:val="auto"/>
          <w:sz w:val="28"/>
          <w:szCs w:val="28"/>
          <w:lang w:val="ru-RU"/>
        </w:rPr>
        <w:t>8,</w:t>
      </w:r>
      <w:r>
        <w:rPr>
          <w:color w:val="auto"/>
          <w:sz w:val="28"/>
          <w:szCs w:val="28"/>
          <w:lang w:val="kk-KZ"/>
        </w:rPr>
        <w:t xml:space="preserve">5-тен </w:t>
      </w:r>
      <w:r>
        <w:rPr>
          <w:color w:val="auto"/>
          <w:sz w:val="28"/>
          <w:szCs w:val="28"/>
          <w:lang w:val="ru-RU"/>
        </w:rPr>
        <w:t>7,</w:t>
      </w:r>
      <w:r>
        <w:rPr>
          <w:color w:val="auto"/>
          <w:sz w:val="28"/>
          <w:szCs w:val="28"/>
          <w:lang w:val="kk-KZ"/>
        </w:rPr>
        <w:t>8-ге төмендеп, органикалық тасымалдаушылардың ішінара биодеградациясын көрсетті, бұл органикалық тасымалдаушылардың өздерінің биодеградациясын көрсетеді. Целлюлоза мен гемицеллюлозаның ішінара ыдырауы қышқылдар түзеді, бірақ консорциумсыз бұл процесс баяу.</w:t>
      </w:r>
    </w:p>
    <w:p w14:paraId="1B8B1EBE">
      <w:pPr>
        <w:pStyle w:val="35"/>
        <w:spacing w:beforeAutospacing="0" w:afterAutospacing="0"/>
        <w:ind w:firstLine="709"/>
        <w:jc w:val="both"/>
        <w:rPr>
          <w:color w:val="auto"/>
          <w:sz w:val="28"/>
          <w:szCs w:val="28"/>
          <w:lang w:val="kk-KZ"/>
        </w:rPr>
      </w:pPr>
      <w:r>
        <w:rPr>
          <w:color w:val="auto"/>
          <w:sz w:val="28"/>
          <w:szCs w:val="28"/>
          <w:lang w:val="kk-KZ"/>
        </w:rPr>
        <w:t>Осылайша, иммобилизацияланған жүйелердегі жоғары ферменттік белсенділік, микробтық биомасса мен органикалық қышқылдардың түзілуі топырақ pH-ын оптималды диапозанға дейін төмендетіп, ЖМӨ деструкциясының тиімділігін арттырады. Бұл процестер бір-бірімен үйлескен кезде биоремедиацияның тұрақтылығы мен жылдамдығын қамтамасыз етеді. (Сурет 14а).</w:t>
      </w:r>
    </w:p>
    <w:p w14:paraId="585F2CE0">
      <w:pPr>
        <w:pStyle w:val="35"/>
        <w:spacing w:beforeAutospacing="0" w:afterAutospacing="0"/>
        <w:ind w:firstLine="709"/>
        <w:jc w:val="both"/>
        <w:rPr>
          <w:color w:val="auto"/>
          <w:sz w:val="28"/>
          <w:szCs w:val="28"/>
          <w:lang w:val="kk-KZ"/>
        </w:rPr>
      </w:pPr>
    </w:p>
    <w:p w14:paraId="4346632A">
      <w:pPr>
        <w:pStyle w:val="35"/>
        <w:spacing w:beforeAutospacing="0" w:afterAutospacing="0"/>
        <w:jc w:val="both"/>
        <w:rPr>
          <w:color w:val="auto"/>
          <w:sz w:val="28"/>
          <w:szCs w:val="28"/>
          <w:lang w:val="kk-KZ"/>
        </w:rPr>
      </w:pPr>
      <w:r>
        <w:rPr>
          <w:rStyle w:val="19"/>
          <w:b w:val="0"/>
          <w:bCs w:val="0"/>
          <w:color w:val="auto"/>
          <w:sz w:val="28"/>
          <w:szCs w:val="28"/>
          <w:lang w:val="kk-KZ"/>
        </w:rPr>
        <w:t>Кесте 16</w:t>
      </w:r>
      <w:r>
        <w:rPr>
          <w:color w:val="auto"/>
          <w:sz w:val="28"/>
          <w:szCs w:val="28"/>
          <w:lang w:val="kk-KZ"/>
        </w:rPr>
        <w:t xml:space="preserve"> – Топырақ ылғалдылығының (MC) динамикасы </w:t>
      </w:r>
    </w:p>
    <w:p w14:paraId="6F2B972F">
      <w:pPr>
        <w:pStyle w:val="35"/>
        <w:spacing w:beforeAutospacing="0" w:afterAutospacing="0"/>
        <w:ind w:firstLine="709"/>
        <w:jc w:val="both"/>
        <w:rPr>
          <w:color w:val="auto"/>
          <w:sz w:val="28"/>
          <w:szCs w:val="28"/>
          <w:lang w:val="kk-KZ"/>
        </w:rPr>
      </w:pP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4"/>
        <w:gridCol w:w="912"/>
        <w:gridCol w:w="1092"/>
        <w:gridCol w:w="1092"/>
        <w:gridCol w:w="1224"/>
        <w:gridCol w:w="1596"/>
        <w:gridCol w:w="1636"/>
      </w:tblGrid>
      <w:tr w14:paraId="327C0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4" w:type="dxa"/>
            <w:vAlign w:val="center"/>
          </w:tcPr>
          <w:p w14:paraId="0EF8E4AD">
            <w:pPr>
              <w:widowControl w:val="0"/>
              <w:jc w:val="center"/>
              <w:rPr>
                <w:color w:val="auto"/>
                <w:sz w:val="24"/>
                <w:szCs w:val="24"/>
              </w:rPr>
            </w:pPr>
            <w:r>
              <w:rPr>
                <w:color w:val="auto"/>
                <w:sz w:val="24"/>
                <w:szCs w:val="24"/>
                <w:lang w:val="en-US" w:eastAsia="zh-CN" w:bidi="ar"/>
              </w:rPr>
              <w:t>Нұсқа</w:t>
            </w:r>
          </w:p>
        </w:tc>
        <w:tc>
          <w:tcPr>
            <w:tcW w:w="912" w:type="dxa"/>
            <w:vAlign w:val="center"/>
          </w:tcPr>
          <w:p w14:paraId="4DBDE5AB">
            <w:pPr>
              <w:widowControl w:val="0"/>
              <w:jc w:val="center"/>
              <w:rPr>
                <w:color w:val="auto"/>
                <w:sz w:val="24"/>
                <w:szCs w:val="24"/>
              </w:rPr>
            </w:pPr>
            <w:r>
              <w:rPr>
                <w:color w:val="auto"/>
                <w:sz w:val="24"/>
                <w:szCs w:val="24"/>
                <w:lang w:val="en-US" w:eastAsia="zh-CN" w:bidi="ar"/>
              </w:rPr>
              <w:t>0 күн</w:t>
            </w:r>
          </w:p>
        </w:tc>
        <w:tc>
          <w:tcPr>
            <w:tcW w:w="1092" w:type="dxa"/>
            <w:vAlign w:val="center"/>
          </w:tcPr>
          <w:p w14:paraId="12A11032">
            <w:pPr>
              <w:widowControl w:val="0"/>
              <w:jc w:val="center"/>
              <w:rPr>
                <w:color w:val="auto"/>
                <w:sz w:val="24"/>
                <w:szCs w:val="24"/>
              </w:rPr>
            </w:pPr>
            <w:r>
              <w:rPr>
                <w:color w:val="auto"/>
                <w:sz w:val="24"/>
                <w:szCs w:val="24"/>
                <w:lang w:val="en-US" w:eastAsia="zh-CN" w:bidi="ar"/>
              </w:rPr>
              <w:t>15 күн</w:t>
            </w:r>
          </w:p>
        </w:tc>
        <w:tc>
          <w:tcPr>
            <w:tcW w:w="1092" w:type="dxa"/>
            <w:vAlign w:val="center"/>
          </w:tcPr>
          <w:p w14:paraId="6AA18D53">
            <w:pPr>
              <w:widowControl w:val="0"/>
              <w:jc w:val="center"/>
              <w:rPr>
                <w:color w:val="auto"/>
                <w:sz w:val="24"/>
                <w:szCs w:val="24"/>
              </w:rPr>
            </w:pPr>
            <w:r>
              <w:rPr>
                <w:color w:val="auto"/>
                <w:sz w:val="24"/>
                <w:szCs w:val="24"/>
                <w:lang w:val="en-US" w:eastAsia="zh-CN" w:bidi="ar"/>
              </w:rPr>
              <w:t>30 күн</w:t>
            </w:r>
          </w:p>
        </w:tc>
        <w:tc>
          <w:tcPr>
            <w:tcW w:w="1224" w:type="dxa"/>
            <w:vAlign w:val="center"/>
          </w:tcPr>
          <w:p w14:paraId="097554A6">
            <w:pPr>
              <w:widowControl w:val="0"/>
              <w:jc w:val="center"/>
              <w:rPr>
                <w:color w:val="auto"/>
                <w:sz w:val="24"/>
                <w:szCs w:val="24"/>
              </w:rPr>
            </w:pPr>
            <w:r>
              <w:rPr>
                <w:color w:val="auto"/>
                <w:sz w:val="24"/>
                <w:szCs w:val="24"/>
                <w:lang w:val="en-US" w:eastAsia="zh-CN" w:bidi="ar"/>
              </w:rPr>
              <w:t>45 күн</w:t>
            </w:r>
          </w:p>
        </w:tc>
        <w:tc>
          <w:tcPr>
            <w:tcW w:w="1596" w:type="dxa"/>
            <w:vAlign w:val="center"/>
          </w:tcPr>
          <w:p w14:paraId="46509775">
            <w:pPr>
              <w:widowControl w:val="0"/>
              <w:jc w:val="center"/>
              <w:rPr>
                <w:color w:val="auto"/>
                <w:sz w:val="24"/>
                <w:szCs w:val="24"/>
              </w:rPr>
            </w:pPr>
            <w:r>
              <w:rPr>
                <w:color w:val="auto"/>
                <w:sz w:val="24"/>
                <w:szCs w:val="24"/>
                <w:lang w:val="en-US" w:eastAsia="zh-CN" w:bidi="ar"/>
              </w:rPr>
              <w:t>Орташа</w:t>
            </w:r>
          </w:p>
        </w:tc>
        <w:tc>
          <w:tcPr>
            <w:tcW w:w="1636" w:type="dxa"/>
            <w:vAlign w:val="center"/>
          </w:tcPr>
          <w:p w14:paraId="4191CF7D">
            <w:pPr>
              <w:widowControl w:val="0"/>
              <w:jc w:val="center"/>
              <w:rPr>
                <w:color w:val="auto"/>
                <w:sz w:val="24"/>
                <w:szCs w:val="24"/>
              </w:rPr>
            </w:pPr>
            <w:r>
              <w:rPr>
                <w:color w:val="auto"/>
                <w:sz w:val="24"/>
                <w:szCs w:val="24"/>
                <w:lang w:val="en-US" w:eastAsia="zh-CN" w:bidi="ar"/>
              </w:rPr>
              <w:t>Төмендеу</w:t>
            </w:r>
          </w:p>
        </w:tc>
      </w:tr>
      <w:tr w14:paraId="54280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4" w:type="dxa"/>
            <w:vAlign w:val="center"/>
          </w:tcPr>
          <w:p w14:paraId="2037EA18">
            <w:pPr>
              <w:widowControl w:val="0"/>
              <w:rPr>
                <w:color w:val="auto"/>
                <w:sz w:val="24"/>
                <w:szCs w:val="24"/>
              </w:rPr>
            </w:pPr>
            <w:r>
              <w:rPr>
                <w:color w:val="auto"/>
                <w:sz w:val="24"/>
                <w:szCs w:val="24"/>
                <w:lang w:val="en-US" w:eastAsia="zh-CN" w:bidi="ar"/>
              </w:rPr>
              <w:t>Бақылау</w:t>
            </w:r>
          </w:p>
        </w:tc>
        <w:tc>
          <w:tcPr>
            <w:tcW w:w="912" w:type="dxa"/>
            <w:vAlign w:val="center"/>
          </w:tcPr>
          <w:p w14:paraId="49F88336">
            <w:pPr>
              <w:widowControl w:val="0"/>
              <w:jc w:val="center"/>
              <w:rPr>
                <w:rFonts w:hint="default"/>
                <w:color w:val="auto"/>
                <w:sz w:val="24"/>
                <w:szCs w:val="24"/>
                <w:lang w:val="ru-RU"/>
              </w:rPr>
            </w:pPr>
            <w:r>
              <w:rPr>
                <w:color w:val="auto"/>
                <w:sz w:val="24"/>
                <w:szCs w:val="24"/>
                <w:lang w:val="en-US" w:eastAsia="zh-CN" w:bidi="ar"/>
              </w:rPr>
              <w:t>65</w:t>
            </w:r>
          </w:p>
        </w:tc>
        <w:tc>
          <w:tcPr>
            <w:tcW w:w="1092" w:type="dxa"/>
            <w:vAlign w:val="center"/>
          </w:tcPr>
          <w:p w14:paraId="495FAF37">
            <w:pPr>
              <w:widowControl w:val="0"/>
              <w:jc w:val="center"/>
              <w:rPr>
                <w:color w:val="auto"/>
                <w:sz w:val="24"/>
                <w:szCs w:val="24"/>
              </w:rPr>
            </w:pPr>
            <w:r>
              <w:rPr>
                <w:color w:val="auto"/>
                <w:sz w:val="24"/>
                <w:szCs w:val="24"/>
                <w:lang w:val="en-US" w:eastAsia="zh-CN" w:bidi="ar"/>
              </w:rPr>
              <w:t>63</w:t>
            </w:r>
          </w:p>
        </w:tc>
        <w:tc>
          <w:tcPr>
            <w:tcW w:w="1092" w:type="dxa"/>
            <w:vAlign w:val="center"/>
          </w:tcPr>
          <w:p w14:paraId="3B310B9E">
            <w:pPr>
              <w:widowControl w:val="0"/>
              <w:jc w:val="center"/>
              <w:rPr>
                <w:color w:val="auto"/>
                <w:sz w:val="24"/>
                <w:szCs w:val="24"/>
              </w:rPr>
            </w:pPr>
            <w:r>
              <w:rPr>
                <w:color w:val="auto"/>
                <w:sz w:val="24"/>
                <w:szCs w:val="24"/>
                <w:lang w:val="en-US" w:eastAsia="zh-CN" w:bidi="ar"/>
              </w:rPr>
              <w:t>57</w:t>
            </w:r>
          </w:p>
        </w:tc>
        <w:tc>
          <w:tcPr>
            <w:tcW w:w="1224" w:type="dxa"/>
            <w:vAlign w:val="center"/>
          </w:tcPr>
          <w:p w14:paraId="4254087C">
            <w:pPr>
              <w:widowControl w:val="0"/>
              <w:jc w:val="center"/>
              <w:rPr>
                <w:color w:val="auto"/>
                <w:sz w:val="24"/>
                <w:szCs w:val="24"/>
              </w:rPr>
            </w:pPr>
            <w:r>
              <w:rPr>
                <w:color w:val="auto"/>
                <w:sz w:val="24"/>
                <w:szCs w:val="24"/>
                <w:lang w:val="en-US" w:eastAsia="zh-CN" w:bidi="ar"/>
              </w:rPr>
              <w:t>37</w:t>
            </w:r>
          </w:p>
        </w:tc>
        <w:tc>
          <w:tcPr>
            <w:tcW w:w="1596" w:type="dxa"/>
            <w:vAlign w:val="center"/>
          </w:tcPr>
          <w:p w14:paraId="094BB88F">
            <w:pPr>
              <w:widowControl w:val="0"/>
              <w:jc w:val="center"/>
              <w:rPr>
                <w:color w:val="auto"/>
                <w:sz w:val="24"/>
                <w:szCs w:val="24"/>
              </w:rPr>
            </w:pPr>
            <w:r>
              <w:rPr>
                <w:color w:val="auto"/>
                <w:sz w:val="24"/>
                <w:szCs w:val="24"/>
                <w:lang w:val="en-US" w:eastAsia="zh-CN" w:bidi="ar"/>
              </w:rPr>
              <w:t>56±12</w:t>
            </w:r>
          </w:p>
        </w:tc>
        <w:tc>
          <w:tcPr>
            <w:tcW w:w="1636" w:type="dxa"/>
            <w:vAlign w:val="center"/>
          </w:tcPr>
          <w:p w14:paraId="2FBEB497">
            <w:pPr>
              <w:widowControl w:val="0"/>
              <w:jc w:val="center"/>
              <w:rPr>
                <w:color w:val="auto"/>
                <w:sz w:val="24"/>
                <w:szCs w:val="24"/>
              </w:rPr>
            </w:pPr>
            <w:r>
              <w:rPr>
                <w:color w:val="auto"/>
                <w:sz w:val="24"/>
                <w:szCs w:val="24"/>
                <w:lang w:val="en-US" w:eastAsia="zh-CN" w:bidi="ar"/>
              </w:rPr>
              <w:t>-28%</w:t>
            </w:r>
          </w:p>
        </w:tc>
      </w:tr>
      <w:tr w14:paraId="558D3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4" w:type="dxa"/>
            <w:vAlign w:val="center"/>
          </w:tcPr>
          <w:p w14:paraId="49A4F59D">
            <w:pPr>
              <w:widowControl w:val="0"/>
              <w:rPr>
                <w:color w:val="auto"/>
                <w:sz w:val="24"/>
                <w:szCs w:val="24"/>
              </w:rPr>
            </w:pPr>
            <w:r>
              <w:rPr>
                <w:color w:val="auto"/>
                <w:sz w:val="24"/>
                <w:szCs w:val="24"/>
                <w:lang w:val="en-US" w:eastAsia="zh-CN" w:bidi="ar"/>
              </w:rPr>
              <w:t>Абиоттық бақылау</w:t>
            </w:r>
          </w:p>
        </w:tc>
        <w:tc>
          <w:tcPr>
            <w:tcW w:w="912" w:type="dxa"/>
            <w:vAlign w:val="center"/>
          </w:tcPr>
          <w:p w14:paraId="4D7BF4CB">
            <w:pPr>
              <w:widowControl w:val="0"/>
              <w:jc w:val="center"/>
              <w:rPr>
                <w:rFonts w:hint="default"/>
                <w:color w:val="auto"/>
                <w:sz w:val="24"/>
                <w:szCs w:val="24"/>
                <w:lang w:val="ru-RU"/>
              </w:rPr>
            </w:pPr>
            <w:r>
              <w:rPr>
                <w:color w:val="auto"/>
                <w:sz w:val="24"/>
                <w:szCs w:val="24"/>
                <w:lang w:val="en-US" w:eastAsia="zh-CN" w:bidi="ar"/>
              </w:rPr>
              <w:t>60</w:t>
            </w:r>
          </w:p>
        </w:tc>
        <w:tc>
          <w:tcPr>
            <w:tcW w:w="1092" w:type="dxa"/>
            <w:vAlign w:val="center"/>
          </w:tcPr>
          <w:p w14:paraId="61CEA6C0">
            <w:pPr>
              <w:widowControl w:val="0"/>
              <w:jc w:val="center"/>
              <w:rPr>
                <w:color w:val="auto"/>
                <w:sz w:val="24"/>
                <w:szCs w:val="24"/>
              </w:rPr>
            </w:pPr>
            <w:r>
              <w:rPr>
                <w:color w:val="auto"/>
                <w:sz w:val="24"/>
                <w:szCs w:val="24"/>
                <w:lang w:val="en-US" w:eastAsia="zh-CN" w:bidi="ar"/>
              </w:rPr>
              <w:t>56</w:t>
            </w:r>
          </w:p>
        </w:tc>
        <w:tc>
          <w:tcPr>
            <w:tcW w:w="1092" w:type="dxa"/>
            <w:vAlign w:val="center"/>
          </w:tcPr>
          <w:p w14:paraId="30A13F28">
            <w:pPr>
              <w:widowControl w:val="0"/>
              <w:jc w:val="center"/>
              <w:rPr>
                <w:color w:val="auto"/>
                <w:sz w:val="24"/>
                <w:szCs w:val="24"/>
              </w:rPr>
            </w:pPr>
            <w:r>
              <w:rPr>
                <w:color w:val="auto"/>
                <w:sz w:val="24"/>
                <w:szCs w:val="24"/>
                <w:lang w:val="en-US" w:eastAsia="zh-CN" w:bidi="ar"/>
              </w:rPr>
              <w:t>43</w:t>
            </w:r>
          </w:p>
        </w:tc>
        <w:tc>
          <w:tcPr>
            <w:tcW w:w="1224" w:type="dxa"/>
            <w:vAlign w:val="center"/>
          </w:tcPr>
          <w:p w14:paraId="38556C24">
            <w:pPr>
              <w:widowControl w:val="0"/>
              <w:jc w:val="center"/>
              <w:rPr>
                <w:color w:val="auto"/>
                <w:sz w:val="24"/>
                <w:szCs w:val="24"/>
              </w:rPr>
            </w:pPr>
            <w:r>
              <w:rPr>
                <w:color w:val="auto"/>
                <w:sz w:val="24"/>
                <w:szCs w:val="24"/>
                <w:lang w:val="en-US" w:eastAsia="zh-CN" w:bidi="ar"/>
              </w:rPr>
              <w:t>36</w:t>
            </w:r>
          </w:p>
        </w:tc>
        <w:tc>
          <w:tcPr>
            <w:tcW w:w="1596" w:type="dxa"/>
            <w:vAlign w:val="center"/>
          </w:tcPr>
          <w:p w14:paraId="7B995427">
            <w:pPr>
              <w:widowControl w:val="0"/>
              <w:jc w:val="center"/>
              <w:rPr>
                <w:color w:val="auto"/>
                <w:sz w:val="24"/>
                <w:szCs w:val="24"/>
              </w:rPr>
            </w:pPr>
            <w:r>
              <w:rPr>
                <w:color w:val="auto"/>
                <w:sz w:val="24"/>
                <w:szCs w:val="24"/>
                <w:lang w:val="en-US" w:eastAsia="zh-CN" w:bidi="ar"/>
              </w:rPr>
              <w:t>49±10</w:t>
            </w:r>
          </w:p>
        </w:tc>
        <w:tc>
          <w:tcPr>
            <w:tcW w:w="1636" w:type="dxa"/>
            <w:vAlign w:val="center"/>
          </w:tcPr>
          <w:p w14:paraId="32B06CAF">
            <w:pPr>
              <w:widowControl w:val="0"/>
              <w:jc w:val="center"/>
              <w:rPr>
                <w:color w:val="auto"/>
                <w:sz w:val="24"/>
                <w:szCs w:val="24"/>
              </w:rPr>
            </w:pPr>
            <w:r>
              <w:rPr>
                <w:color w:val="auto"/>
                <w:sz w:val="24"/>
                <w:szCs w:val="24"/>
                <w:lang w:val="en-US" w:eastAsia="zh-CN" w:bidi="ar"/>
              </w:rPr>
              <w:t>-24%</w:t>
            </w:r>
          </w:p>
        </w:tc>
      </w:tr>
      <w:tr w14:paraId="7F5C5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4" w:type="dxa"/>
            <w:vAlign w:val="center"/>
          </w:tcPr>
          <w:p w14:paraId="054E91BB">
            <w:pPr>
              <w:widowControl w:val="0"/>
              <w:rPr>
                <w:color w:val="auto"/>
                <w:sz w:val="24"/>
                <w:szCs w:val="24"/>
              </w:rPr>
            </w:pPr>
            <w:r>
              <w:rPr>
                <w:color w:val="auto"/>
                <w:sz w:val="24"/>
                <w:szCs w:val="24"/>
                <w:lang w:val="kk-KZ" w:eastAsia="zh-CN" w:bidi="ar"/>
              </w:rPr>
              <w:t>Тасымалдаушы</w:t>
            </w:r>
            <w:r>
              <w:rPr>
                <w:color w:val="auto"/>
                <w:sz w:val="24"/>
                <w:szCs w:val="24"/>
                <w:lang w:val="en-US" w:eastAsia="zh-CN" w:bidi="ar"/>
              </w:rPr>
              <w:t xml:space="preserve"> бақылауы</w:t>
            </w:r>
          </w:p>
        </w:tc>
        <w:tc>
          <w:tcPr>
            <w:tcW w:w="912" w:type="dxa"/>
            <w:vAlign w:val="center"/>
          </w:tcPr>
          <w:p w14:paraId="0DACD6BD">
            <w:pPr>
              <w:widowControl w:val="0"/>
              <w:jc w:val="center"/>
              <w:rPr>
                <w:rFonts w:hint="default"/>
                <w:color w:val="auto"/>
                <w:sz w:val="24"/>
                <w:szCs w:val="24"/>
                <w:lang w:val="ru-RU"/>
              </w:rPr>
            </w:pPr>
            <w:r>
              <w:rPr>
                <w:color w:val="auto"/>
                <w:sz w:val="24"/>
                <w:szCs w:val="24"/>
                <w:lang w:val="en-US" w:eastAsia="zh-CN" w:bidi="ar"/>
              </w:rPr>
              <w:t>60</w:t>
            </w:r>
          </w:p>
        </w:tc>
        <w:tc>
          <w:tcPr>
            <w:tcW w:w="1092" w:type="dxa"/>
            <w:vAlign w:val="center"/>
          </w:tcPr>
          <w:p w14:paraId="2C693E58">
            <w:pPr>
              <w:widowControl w:val="0"/>
              <w:jc w:val="center"/>
              <w:rPr>
                <w:color w:val="auto"/>
                <w:sz w:val="24"/>
                <w:szCs w:val="24"/>
              </w:rPr>
            </w:pPr>
            <w:r>
              <w:rPr>
                <w:color w:val="auto"/>
                <w:sz w:val="24"/>
                <w:szCs w:val="24"/>
                <w:lang w:val="en-US" w:eastAsia="zh-CN" w:bidi="ar"/>
              </w:rPr>
              <w:t>60</w:t>
            </w:r>
          </w:p>
        </w:tc>
        <w:tc>
          <w:tcPr>
            <w:tcW w:w="1092" w:type="dxa"/>
            <w:vAlign w:val="center"/>
          </w:tcPr>
          <w:p w14:paraId="4567485A">
            <w:pPr>
              <w:widowControl w:val="0"/>
              <w:jc w:val="center"/>
              <w:rPr>
                <w:color w:val="auto"/>
                <w:sz w:val="24"/>
                <w:szCs w:val="24"/>
              </w:rPr>
            </w:pPr>
            <w:r>
              <w:rPr>
                <w:color w:val="auto"/>
                <w:sz w:val="24"/>
                <w:szCs w:val="24"/>
                <w:lang w:val="en-US" w:eastAsia="zh-CN" w:bidi="ar"/>
              </w:rPr>
              <w:t>53</w:t>
            </w:r>
          </w:p>
        </w:tc>
        <w:tc>
          <w:tcPr>
            <w:tcW w:w="1224" w:type="dxa"/>
            <w:vAlign w:val="center"/>
          </w:tcPr>
          <w:p w14:paraId="7F4BA3E6">
            <w:pPr>
              <w:widowControl w:val="0"/>
              <w:jc w:val="center"/>
              <w:rPr>
                <w:color w:val="auto"/>
                <w:sz w:val="24"/>
                <w:szCs w:val="24"/>
              </w:rPr>
            </w:pPr>
            <w:r>
              <w:rPr>
                <w:color w:val="auto"/>
                <w:sz w:val="24"/>
                <w:szCs w:val="24"/>
                <w:lang w:val="en-US" w:eastAsia="zh-CN" w:bidi="ar"/>
              </w:rPr>
              <w:t>43</w:t>
            </w:r>
          </w:p>
        </w:tc>
        <w:tc>
          <w:tcPr>
            <w:tcW w:w="1596" w:type="dxa"/>
            <w:vAlign w:val="center"/>
          </w:tcPr>
          <w:p w14:paraId="7D188A80">
            <w:pPr>
              <w:widowControl w:val="0"/>
              <w:jc w:val="center"/>
              <w:rPr>
                <w:color w:val="auto"/>
                <w:sz w:val="24"/>
                <w:szCs w:val="24"/>
              </w:rPr>
            </w:pPr>
            <w:r>
              <w:rPr>
                <w:color w:val="auto"/>
                <w:sz w:val="24"/>
                <w:szCs w:val="24"/>
                <w:lang w:val="en-US" w:eastAsia="zh-CN" w:bidi="ar"/>
              </w:rPr>
              <w:t>54±7</w:t>
            </w:r>
          </w:p>
        </w:tc>
        <w:tc>
          <w:tcPr>
            <w:tcW w:w="1636" w:type="dxa"/>
            <w:vAlign w:val="center"/>
          </w:tcPr>
          <w:p w14:paraId="1F4768E3">
            <w:pPr>
              <w:widowControl w:val="0"/>
              <w:jc w:val="center"/>
              <w:rPr>
                <w:color w:val="auto"/>
                <w:sz w:val="24"/>
                <w:szCs w:val="24"/>
              </w:rPr>
            </w:pPr>
            <w:r>
              <w:rPr>
                <w:color w:val="auto"/>
                <w:sz w:val="24"/>
                <w:szCs w:val="24"/>
                <w:lang w:val="en-US" w:eastAsia="zh-CN" w:bidi="ar"/>
              </w:rPr>
              <w:t>-17%</w:t>
            </w:r>
          </w:p>
        </w:tc>
      </w:tr>
      <w:tr w14:paraId="4E9F0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4" w:type="dxa"/>
            <w:vAlign w:val="center"/>
          </w:tcPr>
          <w:p w14:paraId="2CDE35AC">
            <w:pPr>
              <w:widowControl w:val="0"/>
              <w:rPr>
                <w:color w:val="auto"/>
                <w:sz w:val="24"/>
                <w:szCs w:val="24"/>
              </w:rPr>
            </w:pPr>
            <w:r>
              <w:rPr>
                <w:color w:val="auto"/>
                <w:sz w:val="24"/>
                <w:szCs w:val="24"/>
                <w:lang w:val="kk-KZ" w:eastAsia="zh-CN" w:bidi="ar"/>
              </w:rPr>
              <w:t>Бос клеткалар</w:t>
            </w:r>
          </w:p>
        </w:tc>
        <w:tc>
          <w:tcPr>
            <w:tcW w:w="912" w:type="dxa"/>
            <w:vAlign w:val="center"/>
          </w:tcPr>
          <w:p w14:paraId="7ADC8B69">
            <w:pPr>
              <w:widowControl w:val="0"/>
              <w:jc w:val="center"/>
              <w:rPr>
                <w:color w:val="auto"/>
                <w:sz w:val="24"/>
                <w:szCs w:val="24"/>
              </w:rPr>
            </w:pPr>
            <w:r>
              <w:rPr>
                <w:color w:val="auto"/>
                <w:sz w:val="24"/>
                <w:szCs w:val="24"/>
                <w:lang w:val="en-US" w:eastAsia="zh-CN" w:bidi="ar"/>
              </w:rPr>
              <w:t>60</w:t>
            </w:r>
          </w:p>
        </w:tc>
        <w:tc>
          <w:tcPr>
            <w:tcW w:w="1092" w:type="dxa"/>
            <w:vAlign w:val="center"/>
          </w:tcPr>
          <w:p w14:paraId="10A54FBB">
            <w:pPr>
              <w:widowControl w:val="0"/>
              <w:jc w:val="center"/>
              <w:rPr>
                <w:color w:val="auto"/>
                <w:sz w:val="24"/>
                <w:szCs w:val="24"/>
              </w:rPr>
            </w:pPr>
            <w:r>
              <w:rPr>
                <w:color w:val="auto"/>
                <w:sz w:val="24"/>
                <w:szCs w:val="24"/>
                <w:lang w:val="en-US" w:eastAsia="zh-CN" w:bidi="ar"/>
              </w:rPr>
              <w:t>58</w:t>
            </w:r>
          </w:p>
        </w:tc>
        <w:tc>
          <w:tcPr>
            <w:tcW w:w="1092" w:type="dxa"/>
            <w:vAlign w:val="center"/>
          </w:tcPr>
          <w:p w14:paraId="3B29883F">
            <w:pPr>
              <w:widowControl w:val="0"/>
              <w:jc w:val="center"/>
              <w:rPr>
                <w:color w:val="auto"/>
                <w:sz w:val="24"/>
                <w:szCs w:val="24"/>
              </w:rPr>
            </w:pPr>
            <w:r>
              <w:rPr>
                <w:color w:val="auto"/>
                <w:sz w:val="24"/>
                <w:szCs w:val="24"/>
                <w:lang w:val="en-US" w:eastAsia="zh-CN" w:bidi="ar"/>
              </w:rPr>
              <w:t>52</w:t>
            </w:r>
          </w:p>
        </w:tc>
        <w:tc>
          <w:tcPr>
            <w:tcW w:w="1224" w:type="dxa"/>
            <w:vAlign w:val="center"/>
          </w:tcPr>
          <w:p w14:paraId="59DCD1CD">
            <w:pPr>
              <w:widowControl w:val="0"/>
              <w:jc w:val="center"/>
              <w:rPr>
                <w:color w:val="auto"/>
                <w:sz w:val="24"/>
                <w:szCs w:val="24"/>
              </w:rPr>
            </w:pPr>
            <w:r>
              <w:rPr>
                <w:color w:val="auto"/>
                <w:sz w:val="24"/>
                <w:szCs w:val="24"/>
                <w:lang w:val="en-US" w:eastAsia="zh-CN" w:bidi="ar"/>
              </w:rPr>
              <w:t>47</w:t>
            </w:r>
          </w:p>
        </w:tc>
        <w:tc>
          <w:tcPr>
            <w:tcW w:w="1596" w:type="dxa"/>
            <w:vAlign w:val="center"/>
          </w:tcPr>
          <w:p w14:paraId="0CA3CA02">
            <w:pPr>
              <w:widowControl w:val="0"/>
              <w:jc w:val="center"/>
              <w:rPr>
                <w:color w:val="auto"/>
                <w:sz w:val="24"/>
                <w:szCs w:val="24"/>
              </w:rPr>
            </w:pPr>
            <w:r>
              <w:rPr>
                <w:color w:val="auto"/>
                <w:sz w:val="24"/>
                <w:szCs w:val="24"/>
                <w:lang w:val="en-US" w:eastAsia="zh-CN" w:bidi="ar"/>
              </w:rPr>
              <w:t>54±6</w:t>
            </w:r>
          </w:p>
        </w:tc>
        <w:tc>
          <w:tcPr>
            <w:tcW w:w="1636" w:type="dxa"/>
            <w:vAlign w:val="center"/>
          </w:tcPr>
          <w:p w14:paraId="473CF9B9">
            <w:pPr>
              <w:widowControl w:val="0"/>
              <w:jc w:val="center"/>
              <w:rPr>
                <w:color w:val="auto"/>
                <w:sz w:val="24"/>
                <w:szCs w:val="24"/>
              </w:rPr>
            </w:pPr>
            <w:r>
              <w:rPr>
                <w:color w:val="auto"/>
                <w:sz w:val="24"/>
                <w:szCs w:val="24"/>
                <w:lang w:val="en-US" w:eastAsia="zh-CN" w:bidi="ar"/>
              </w:rPr>
              <w:t>-13%</w:t>
            </w:r>
          </w:p>
        </w:tc>
      </w:tr>
      <w:tr w14:paraId="0441D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4" w:type="dxa"/>
            <w:vAlign w:val="center"/>
          </w:tcPr>
          <w:p w14:paraId="4C318A04">
            <w:pPr>
              <w:widowControl w:val="0"/>
              <w:rPr>
                <w:color w:val="auto"/>
                <w:sz w:val="24"/>
                <w:szCs w:val="24"/>
              </w:rPr>
            </w:pPr>
            <w:r>
              <w:rPr>
                <w:color w:val="auto"/>
                <w:sz w:val="24"/>
                <w:szCs w:val="24"/>
                <w:lang w:val="en-US" w:eastAsia="zh-CN" w:bidi="ar"/>
              </w:rPr>
              <w:t>Қарақұмық қауызы</w:t>
            </w:r>
          </w:p>
        </w:tc>
        <w:tc>
          <w:tcPr>
            <w:tcW w:w="912" w:type="dxa"/>
            <w:vAlign w:val="center"/>
          </w:tcPr>
          <w:p w14:paraId="2D3F024D">
            <w:pPr>
              <w:widowControl w:val="0"/>
              <w:jc w:val="center"/>
              <w:rPr>
                <w:color w:val="auto"/>
                <w:sz w:val="24"/>
                <w:szCs w:val="24"/>
              </w:rPr>
            </w:pPr>
            <w:r>
              <w:rPr>
                <w:color w:val="auto"/>
                <w:sz w:val="24"/>
                <w:szCs w:val="24"/>
                <w:lang w:val="en-US" w:eastAsia="zh-CN" w:bidi="ar"/>
              </w:rPr>
              <w:t>65</w:t>
            </w:r>
          </w:p>
        </w:tc>
        <w:tc>
          <w:tcPr>
            <w:tcW w:w="1092" w:type="dxa"/>
            <w:vAlign w:val="center"/>
          </w:tcPr>
          <w:p w14:paraId="538F1F43">
            <w:pPr>
              <w:widowControl w:val="0"/>
              <w:jc w:val="center"/>
              <w:rPr>
                <w:color w:val="auto"/>
                <w:sz w:val="24"/>
                <w:szCs w:val="24"/>
              </w:rPr>
            </w:pPr>
            <w:r>
              <w:rPr>
                <w:color w:val="auto"/>
                <w:sz w:val="24"/>
                <w:szCs w:val="24"/>
                <w:lang w:val="en-US" w:eastAsia="zh-CN" w:bidi="ar"/>
              </w:rPr>
              <w:t>63</w:t>
            </w:r>
          </w:p>
        </w:tc>
        <w:tc>
          <w:tcPr>
            <w:tcW w:w="1092" w:type="dxa"/>
            <w:vAlign w:val="center"/>
          </w:tcPr>
          <w:p w14:paraId="6596DECB">
            <w:pPr>
              <w:widowControl w:val="0"/>
              <w:jc w:val="center"/>
              <w:rPr>
                <w:color w:val="auto"/>
                <w:sz w:val="24"/>
                <w:szCs w:val="24"/>
              </w:rPr>
            </w:pPr>
            <w:r>
              <w:rPr>
                <w:color w:val="auto"/>
                <w:sz w:val="24"/>
                <w:szCs w:val="24"/>
                <w:lang w:val="en-US" w:eastAsia="zh-CN" w:bidi="ar"/>
              </w:rPr>
              <w:t>59</w:t>
            </w:r>
          </w:p>
        </w:tc>
        <w:tc>
          <w:tcPr>
            <w:tcW w:w="1224" w:type="dxa"/>
            <w:vAlign w:val="center"/>
          </w:tcPr>
          <w:p w14:paraId="62BE1BCB">
            <w:pPr>
              <w:widowControl w:val="0"/>
              <w:jc w:val="center"/>
              <w:rPr>
                <w:color w:val="auto"/>
                <w:sz w:val="24"/>
                <w:szCs w:val="24"/>
              </w:rPr>
            </w:pPr>
            <w:r>
              <w:rPr>
                <w:rStyle w:val="19"/>
                <w:b w:val="0"/>
                <w:bCs w:val="0"/>
                <w:color w:val="auto"/>
                <w:sz w:val="24"/>
                <w:szCs w:val="24"/>
                <w:lang w:val="en-US" w:eastAsia="zh-CN" w:bidi="ar"/>
              </w:rPr>
              <w:t>56</w:t>
            </w:r>
          </w:p>
        </w:tc>
        <w:tc>
          <w:tcPr>
            <w:tcW w:w="1596" w:type="dxa"/>
            <w:vAlign w:val="center"/>
          </w:tcPr>
          <w:p w14:paraId="2C14E79B">
            <w:pPr>
              <w:widowControl w:val="0"/>
              <w:jc w:val="center"/>
              <w:rPr>
                <w:color w:val="auto"/>
                <w:sz w:val="24"/>
                <w:szCs w:val="24"/>
              </w:rPr>
            </w:pPr>
            <w:r>
              <w:rPr>
                <w:rStyle w:val="19"/>
                <w:b w:val="0"/>
                <w:bCs w:val="0"/>
                <w:color w:val="auto"/>
                <w:sz w:val="24"/>
                <w:szCs w:val="24"/>
                <w:lang w:val="en-US" w:eastAsia="zh-CN" w:bidi="ar"/>
              </w:rPr>
              <w:t>61±4</w:t>
            </w:r>
          </w:p>
        </w:tc>
        <w:tc>
          <w:tcPr>
            <w:tcW w:w="1636" w:type="dxa"/>
            <w:vAlign w:val="center"/>
          </w:tcPr>
          <w:p w14:paraId="7AE9C20C">
            <w:pPr>
              <w:widowControl w:val="0"/>
              <w:jc w:val="center"/>
              <w:rPr>
                <w:color w:val="auto"/>
                <w:sz w:val="24"/>
                <w:szCs w:val="24"/>
              </w:rPr>
            </w:pPr>
            <w:r>
              <w:rPr>
                <w:rStyle w:val="19"/>
                <w:b w:val="0"/>
                <w:bCs w:val="0"/>
                <w:color w:val="auto"/>
                <w:sz w:val="24"/>
                <w:szCs w:val="24"/>
                <w:lang w:val="en-US" w:eastAsia="zh-CN" w:bidi="ar"/>
              </w:rPr>
              <w:t>-9%</w:t>
            </w:r>
          </w:p>
        </w:tc>
      </w:tr>
      <w:tr w14:paraId="107B3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4" w:type="dxa"/>
            <w:vAlign w:val="center"/>
          </w:tcPr>
          <w:p w14:paraId="750199D4">
            <w:pPr>
              <w:widowControl w:val="0"/>
              <w:rPr>
                <w:color w:val="auto"/>
                <w:sz w:val="24"/>
                <w:szCs w:val="24"/>
              </w:rPr>
            </w:pPr>
            <w:r>
              <w:rPr>
                <w:color w:val="auto"/>
                <w:sz w:val="24"/>
                <w:szCs w:val="24"/>
                <w:lang w:val="en-US" w:eastAsia="zh-CN" w:bidi="ar"/>
              </w:rPr>
              <w:t>Күріш қауызы</w:t>
            </w:r>
          </w:p>
        </w:tc>
        <w:tc>
          <w:tcPr>
            <w:tcW w:w="912" w:type="dxa"/>
            <w:vAlign w:val="center"/>
          </w:tcPr>
          <w:p w14:paraId="08801AFD">
            <w:pPr>
              <w:widowControl w:val="0"/>
              <w:jc w:val="center"/>
              <w:rPr>
                <w:color w:val="auto"/>
                <w:sz w:val="24"/>
                <w:szCs w:val="24"/>
              </w:rPr>
            </w:pPr>
            <w:r>
              <w:rPr>
                <w:color w:val="auto"/>
                <w:sz w:val="24"/>
                <w:szCs w:val="24"/>
                <w:lang w:val="en-US" w:eastAsia="zh-CN" w:bidi="ar"/>
              </w:rPr>
              <w:t>62</w:t>
            </w:r>
          </w:p>
        </w:tc>
        <w:tc>
          <w:tcPr>
            <w:tcW w:w="1092" w:type="dxa"/>
            <w:vAlign w:val="center"/>
          </w:tcPr>
          <w:p w14:paraId="748B1BA7">
            <w:pPr>
              <w:widowControl w:val="0"/>
              <w:jc w:val="center"/>
              <w:rPr>
                <w:color w:val="auto"/>
                <w:sz w:val="24"/>
                <w:szCs w:val="24"/>
              </w:rPr>
            </w:pPr>
            <w:r>
              <w:rPr>
                <w:color w:val="auto"/>
                <w:sz w:val="24"/>
                <w:szCs w:val="24"/>
                <w:lang w:val="en-US" w:eastAsia="zh-CN" w:bidi="ar"/>
              </w:rPr>
              <w:t>60</w:t>
            </w:r>
          </w:p>
        </w:tc>
        <w:tc>
          <w:tcPr>
            <w:tcW w:w="1092" w:type="dxa"/>
            <w:vAlign w:val="center"/>
          </w:tcPr>
          <w:p w14:paraId="3B452EE8">
            <w:pPr>
              <w:widowControl w:val="0"/>
              <w:jc w:val="center"/>
              <w:rPr>
                <w:color w:val="auto"/>
                <w:sz w:val="24"/>
                <w:szCs w:val="24"/>
              </w:rPr>
            </w:pPr>
            <w:r>
              <w:rPr>
                <w:color w:val="auto"/>
                <w:sz w:val="24"/>
                <w:szCs w:val="24"/>
                <w:lang w:val="en-US" w:eastAsia="zh-CN" w:bidi="ar"/>
              </w:rPr>
              <w:t>57</w:t>
            </w:r>
          </w:p>
        </w:tc>
        <w:tc>
          <w:tcPr>
            <w:tcW w:w="1224" w:type="dxa"/>
            <w:vAlign w:val="center"/>
          </w:tcPr>
          <w:p w14:paraId="4705DC88">
            <w:pPr>
              <w:widowControl w:val="0"/>
              <w:jc w:val="center"/>
              <w:rPr>
                <w:color w:val="auto"/>
                <w:sz w:val="24"/>
                <w:szCs w:val="24"/>
              </w:rPr>
            </w:pPr>
            <w:r>
              <w:rPr>
                <w:color w:val="auto"/>
                <w:sz w:val="24"/>
                <w:szCs w:val="24"/>
                <w:lang w:val="en-US" w:eastAsia="zh-CN" w:bidi="ar"/>
              </w:rPr>
              <w:t>53</w:t>
            </w:r>
          </w:p>
        </w:tc>
        <w:tc>
          <w:tcPr>
            <w:tcW w:w="1596" w:type="dxa"/>
            <w:vAlign w:val="center"/>
          </w:tcPr>
          <w:p w14:paraId="1B0371F6">
            <w:pPr>
              <w:widowControl w:val="0"/>
              <w:jc w:val="center"/>
              <w:rPr>
                <w:color w:val="auto"/>
                <w:sz w:val="24"/>
                <w:szCs w:val="24"/>
              </w:rPr>
            </w:pPr>
            <w:r>
              <w:rPr>
                <w:color w:val="auto"/>
                <w:sz w:val="24"/>
                <w:szCs w:val="24"/>
                <w:lang w:val="en-US" w:eastAsia="zh-CN" w:bidi="ar"/>
              </w:rPr>
              <w:t>58±4</w:t>
            </w:r>
          </w:p>
        </w:tc>
        <w:tc>
          <w:tcPr>
            <w:tcW w:w="1636" w:type="dxa"/>
            <w:vAlign w:val="center"/>
          </w:tcPr>
          <w:p w14:paraId="45F277DA">
            <w:pPr>
              <w:widowControl w:val="0"/>
              <w:jc w:val="center"/>
              <w:rPr>
                <w:color w:val="auto"/>
                <w:sz w:val="24"/>
                <w:szCs w:val="24"/>
              </w:rPr>
            </w:pPr>
            <w:r>
              <w:rPr>
                <w:color w:val="auto"/>
                <w:sz w:val="24"/>
                <w:szCs w:val="24"/>
                <w:lang w:val="en-US" w:eastAsia="zh-CN" w:bidi="ar"/>
              </w:rPr>
              <w:t>-9%</w:t>
            </w:r>
          </w:p>
        </w:tc>
      </w:tr>
    </w:tbl>
    <w:p w14:paraId="68F071B4">
      <w:pPr>
        <w:pStyle w:val="35"/>
        <w:spacing w:beforeAutospacing="0" w:afterAutospacing="0"/>
        <w:ind w:firstLine="709"/>
        <w:jc w:val="both"/>
        <w:rPr>
          <w:color w:val="auto"/>
          <w:sz w:val="28"/>
          <w:szCs w:val="28"/>
          <w:highlight w:val="yellow"/>
        </w:rPr>
      </w:pPr>
    </w:p>
    <w:p w14:paraId="370086F0">
      <w:pPr>
        <w:pStyle w:val="35"/>
        <w:spacing w:beforeAutospacing="0" w:afterAutospacing="0"/>
        <w:ind w:firstLine="709"/>
        <w:jc w:val="both"/>
        <w:rPr>
          <w:color w:val="auto"/>
          <w:sz w:val="28"/>
          <w:szCs w:val="28"/>
        </w:rPr>
      </w:pPr>
      <w:r>
        <w:rPr>
          <w:color w:val="auto"/>
          <w:sz w:val="28"/>
          <w:szCs w:val="28"/>
        </w:rPr>
        <w:t>Органикалық тасымалдағыштар топырақтағы ылғалдылықты тиімді сақтау қабілетін көрсетті. 45 күндік инкубациядан кейін қарақұмық қауызы бар нұсқаларда ылғалдылық 56%-ды құрады, бұл бақылаудан (37%) 51%-ға жоғары; күріш қауызы 53% көрсетіп, бақылаудан 43%-ға артық болды [</w:t>
      </w:r>
      <w:r>
        <w:rPr>
          <w:rFonts w:hint="default"/>
          <w:color w:val="auto"/>
          <w:sz w:val="28"/>
          <w:szCs w:val="28"/>
        </w:rPr>
        <w:t>95, 98, 142</w:t>
      </w:r>
      <w:r>
        <w:rPr>
          <w:color w:val="auto"/>
          <w:sz w:val="28"/>
          <w:szCs w:val="28"/>
        </w:rPr>
        <w:t>]. Инкубация кезеңінде ылғал жоғалуы қарақұмық пен күріш нұсқаларында тек 9%-ды құраса, бақылауда 28%-ға жетті [</w:t>
      </w:r>
      <w:r>
        <w:rPr>
          <w:rFonts w:hint="default"/>
          <w:color w:val="auto"/>
          <w:sz w:val="28"/>
          <w:szCs w:val="28"/>
        </w:rPr>
        <w:t>31, 46, 161</w:t>
      </w:r>
      <w:r>
        <w:rPr>
          <w:color w:val="auto"/>
          <w:sz w:val="28"/>
          <w:szCs w:val="28"/>
        </w:rPr>
        <w:t>].</w:t>
      </w:r>
    </w:p>
    <w:p w14:paraId="483EE293">
      <w:pPr>
        <w:pStyle w:val="35"/>
        <w:spacing w:beforeAutospacing="0" w:afterAutospacing="0"/>
        <w:ind w:firstLine="709"/>
        <w:jc w:val="both"/>
        <w:rPr>
          <w:color w:val="auto"/>
          <w:sz w:val="28"/>
          <w:szCs w:val="28"/>
        </w:rPr>
      </w:pPr>
      <w:r>
        <w:rPr>
          <w:color w:val="auto"/>
          <w:sz w:val="28"/>
          <w:szCs w:val="28"/>
        </w:rPr>
        <w:t>Жоғары ылғал сақтау қабілеті лигноцеллюлозалық материалдардың гидрофильді табиғатымен түсіндіріледі: целлюлозадағы гидроксил топтары (-OH) су молекулаларымен сутектік байланыстар түзіп, ылғалды топырақ матрицасында ұстайды [</w:t>
      </w:r>
      <w:r>
        <w:rPr>
          <w:rFonts w:hint="default"/>
          <w:color w:val="auto"/>
          <w:sz w:val="28"/>
          <w:szCs w:val="28"/>
        </w:rPr>
        <w:t>68, 97, 102</w:t>
      </w:r>
      <w:r>
        <w:rPr>
          <w:color w:val="auto"/>
          <w:sz w:val="28"/>
          <w:szCs w:val="28"/>
        </w:rPr>
        <w:t>]. Қарақұмық қауызының жоғары целлюлоза құрамы күріш қауызымен салыстырғанда жақсы гидрофильді қасиеттерді қамтамасыз етті.</w:t>
      </w:r>
    </w:p>
    <w:p w14:paraId="3E218C89">
      <w:pPr>
        <w:pStyle w:val="35"/>
        <w:spacing w:beforeAutospacing="0" w:afterAutospacing="0"/>
        <w:ind w:firstLine="709"/>
        <w:jc w:val="both"/>
        <w:rPr>
          <w:color w:val="auto"/>
          <w:sz w:val="28"/>
          <w:szCs w:val="28"/>
        </w:rPr>
      </w:pPr>
      <w:r>
        <w:rPr>
          <w:color w:val="auto"/>
          <w:sz w:val="28"/>
          <w:szCs w:val="28"/>
        </w:rPr>
        <w:t xml:space="preserve">Корреляциялық талдау ылғалдылық пен микробтық тығыздық арасында күшті оң байланыс анықтады (r = </w:t>
      </w:r>
      <w:r>
        <w:rPr>
          <w:color w:val="auto"/>
          <w:sz w:val="28"/>
          <w:szCs w:val="28"/>
          <w:lang w:val="ru-RU"/>
        </w:rPr>
        <w:t>0,</w:t>
      </w:r>
      <w:r>
        <w:rPr>
          <w:color w:val="auto"/>
          <w:sz w:val="28"/>
          <w:szCs w:val="28"/>
        </w:rPr>
        <w:t xml:space="preserve">88, p &lt; </w:t>
      </w:r>
      <w:r>
        <w:rPr>
          <w:color w:val="auto"/>
          <w:sz w:val="28"/>
          <w:szCs w:val="28"/>
          <w:lang w:val="ru-RU"/>
        </w:rPr>
        <w:t>0,</w:t>
      </w:r>
      <w:r>
        <w:rPr>
          <w:color w:val="auto"/>
          <w:sz w:val="28"/>
          <w:szCs w:val="28"/>
        </w:rPr>
        <w:t>001): қарақұмық қауызындағы жоғары ылғалдылық (56%) жоғары микробтық тығыздықпен (76.5×10⁷ КТБ/г) сәйкес келді [</w:t>
      </w:r>
      <w:r>
        <w:rPr>
          <w:rFonts w:hint="default"/>
          <w:color w:val="auto"/>
          <w:sz w:val="28"/>
          <w:szCs w:val="28"/>
        </w:rPr>
        <w:t>57, 73, 142</w:t>
      </w:r>
      <w:r>
        <w:rPr>
          <w:color w:val="auto"/>
          <w:sz w:val="28"/>
          <w:szCs w:val="28"/>
        </w:rPr>
        <w:t>]. Бұл ылғал сақтау мен биоремедиация тиімділігі арасындағы себеп-салдарлық байланысты растайды, өйткені тұрақты оптималды ылғалдылық қоректік заттардың диффузиясын, ферменттік реакциялардың жүруін және субстраттың еруін қамтамасыз етеді [</w:t>
      </w:r>
      <w:r>
        <w:rPr>
          <w:rFonts w:hint="default"/>
          <w:color w:val="auto"/>
          <w:sz w:val="28"/>
          <w:szCs w:val="28"/>
        </w:rPr>
        <w:t>64, 69, 97</w:t>
      </w:r>
      <w:r>
        <w:rPr>
          <w:color w:val="auto"/>
          <w:sz w:val="28"/>
          <w:szCs w:val="28"/>
        </w:rPr>
        <w:t>].</w:t>
      </w:r>
    </w:p>
    <w:p w14:paraId="422BE602">
      <w:pPr>
        <w:pStyle w:val="35"/>
        <w:spacing w:beforeAutospacing="0" w:afterAutospacing="0"/>
        <w:ind w:firstLine="709"/>
        <w:jc w:val="both"/>
        <w:rPr>
          <w:color w:val="auto"/>
          <w:sz w:val="28"/>
          <w:szCs w:val="28"/>
        </w:rPr>
      </w:pPr>
      <w:r>
        <w:rPr>
          <w:color w:val="auto"/>
          <w:sz w:val="28"/>
          <w:szCs w:val="28"/>
        </w:rPr>
        <w:t xml:space="preserve">Иммобилизацияланған жүйелер рН мен ылғалдылықты оңтайлы диапазонда сақтады: рН </w:t>
      </w:r>
      <w:r>
        <w:rPr>
          <w:color w:val="auto"/>
          <w:sz w:val="28"/>
          <w:szCs w:val="28"/>
          <w:lang w:val="ru-RU"/>
        </w:rPr>
        <w:t>7,</w:t>
      </w:r>
      <w:r>
        <w:rPr>
          <w:color w:val="auto"/>
          <w:sz w:val="28"/>
          <w:szCs w:val="28"/>
        </w:rPr>
        <w:t>2-</w:t>
      </w:r>
      <w:r>
        <w:rPr>
          <w:color w:val="auto"/>
          <w:sz w:val="28"/>
          <w:szCs w:val="28"/>
          <w:lang w:val="ru-RU"/>
        </w:rPr>
        <w:t>7,</w:t>
      </w:r>
      <w:r>
        <w:rPr>
          <w:color w:val="auto"/>
          <w:sz w:val="28"/>
          <w:szCs w:val="28"/>
        </w:rPr>
        <w:t xml:space="preserve">4 (нейтралға жақын), ылғалдылық 53-56%. Корреляциялық талдау рН, ылғалдылық, микробтық тығыздық және ЖМӨ деструкциясы арасында күшті өзара байланыс көрсетті (r &gt; </w:t>
      </w:r>
      <w:r>
        <w:rPr>
          <w:color w:val="auto"/>
          <w:sz w:val="28"/>
          <w:szCs w:val="28"/>
          <w:lang w:val="ru-RU"/>
        </w:rPr>
        <w:t>0,</w:t>
      </w:r>
      <w:r>
        <w:rPr>
          <w:color w:val="auto"/>
          <w:sz w:val="28"/>
          <w:szCs w:val="28"/>
        </w:rPr>
        <w:t xml:space="preserve">85 барлық жұптар үшін, p &lt; </w:t>
      </w:r>
      <w:r>
        <w:rPr>
          <w:color w:val="auto"/>
          <w:sz w:val="28"/>
          <w:szCs w:val="28"/>
          <w:lang w:val="ru-RU"/>
        </w:rPr>
        <w:t>0,</w:t>
      </w:r>
      <w:r>
        <w:rPr>
          <w:color w:val="auto"/>
          <w:sz w:val="28"/>
          <w:szCs w:val="28"/>
        </w:rPr>
        <w:t>001) [</w:t>
      </w:r>
      <w:r>
        <w:rPr>
          <w:rFonts w:hint="default"/>
          <w:color w:val="auto"/>
          <w:sz w:val="28"/>
          <w:szCs w:val="28"/>
        </w:rPr>
        <w:t>80, 89, 142</w:t>
      </w:r>
      <w:r>
        <w:rPr>
          <w:color w:val="auto"/>
          <w:sz w:val="28"/>
          <w:szCs w:val="28"/>
        </w:rPr>
        <w:t>]. Бақылау нұсқаларында рН тым сілтілі (</w:t>
      </w:r>
      <w:r>
        <w:rPr>
          <w:color w:val="auto"/>
          <w:sz w:val="28"/>
          <w:szCs w:val="28"/>
          <w:lang w:val="ru-RU"/>
        </w:rPr>
        <w:t>8,</w:t>
      </w:r>
      <w:r>
        <w:rPr>
          <w:color w:val="auto"/>
          <w:sz w:val="28"/>
          <w:szCs w:val="28"/>
        </w:rPr>
        <w:t>3-</w:t>
      </w:r>
      <w:r>
        <w:rPr>
          <w:color w:val="auto"/>
          <w:sz w:val="28"/>
          <w:szCs w:val="28"/>
          <w:lang w:val="ru-RU"/>
        </w:rPr>
        <w:t>8,</w:t>
      </w:r>
      <w:r>
        <w:rPr>
          <w:color w:val="auto"/>
          <w:sz w:val="28"/>
          <w:szCs w:val="28"/>
        </w:rPr>
        <w:t>4) және ылғалдылық тым төмен (36-37%) болып, бұл микробтық белсенділікті шектеп, баяу биоремедиацияға (5.8% деструкция) әкелді [</w:t>
      </w:r>
      <w:r>
        <w:rPr>
          <w:rFonts w:hint="default"/>
          <w:color w:val="auto"/>
          <w:sz w:val="28"/>
          <w:szCs w:val="28"/>
        </w:rPr>
        <w:t>39, 55, 57</w:t>
      </w:r>
      <w:r>
        <w:rPr>
          <w:color w:val="auto"/>
          <w:sz w:val="28"/>
          <w:szCs w:val="28"/>
        </w:rPr>
        <w:t>].</w:t>
      </w:r>
    </w:p>
    <w:p w14:paraId="1B4CD3D1">
      <w:pPr>
        <w:pStyle w:val="35"/>
        <w:spacing w:beforeAutospacing="0" w:afterAutospacing="0"/>
        <w:ind w:firstLine="709"/>
        <w:jc w:val="both"/>
        <w:rPr>
          <w:color w:val="auto"/>
          <w:sz w:val="28"/>
          <w:szCs w:val="28"/>
        </w:rPr>
      </w:pPr>
      <w:r>
        <w:rPr>
          <w:color w:val="auto"/>
          <w:sz w:val="28"/>
          <w:szCs w:val="28"/>
        </w:rPr>
        <w:t>Органикалық тасымалдағыштар, әсіресе қарақұмық қауызы, үш функцияны біріктірді: микробтық тасымалдаушы (жасушаларды иммобилизациялау), рН буфері (органикалық қышқылдар арқылы реттеу) және ылғал резервуары (гидрофильді матрица арқылы сақтау) [</w:t>
      </w:r>
      <w:r>
        <w:rPr>
          <w:rFonts w:hint="default"/>
          <w:color w:val="auto"/>
          <w:sz w:val="28"/>
          <w:szCs w:val="28"/>
        </w:rPr>
        <w:t>68, 97, 100, 109, 142</w:t>
      </w:r>
      <w:r>
        <w:rPr>
          <w:color w:val="auto"/>
          <w:sz w:val="28"/>
          <w:szCs w:val="28"/>
        </w:rPr>
        <w:t>]. Бұл көпфункционалды артықшылық агроқалдықтардың минералдық тасымалдағыштардан басым болуын түсіндіреді [81, 90] және Қазақстанның аридті климаты жағдайларында (жылдық жауын-шашын &lt; 200 мм) практикалық қолдануға жоғары перспективасын көрсетеді [</w:t>
      </w:r>
      <w:r>
        <w:rPr>
          <w:rFonts w:hint="default"/>
          <w:color w:val="auto"/>
          <w:sz w:val="28"/>
          <w:szCs w:val="28"/>
        </w:rPr>
        <w:t>26, 115, 128</w:t>
      </w:r>
      <w:r>
        <w:rPr>
          <w:color w:val="auto"/>
          <w:sz w:val="28"/>
          <w:szCs w:val="28"/>
        </w:rPr>
        <w:t>].</w:t>
      </w:r>
    </w:p>
    <w:p w14:paraId="314DF2E1">
      <w:pPr>
        <w:pStyle w:val="35"/>
        <w:spacing w:beforeAutospacing="0" w:afterAutospacing="0"/>
        <w:ind w:firstLine="709"/>
        <w:jc w:val="both"/>
        <w:rPr>
          <w:color w:val="auto"/>
          <w:sz w:val="28"/>
          <w:szCs w:val="28"/>
        </w:rPr>
      </w:pPr>
    </w:p>
    <w:p w14:paraId="6BB03B18">
      <w:pPr>
        <w:pStyle w:val="35"/>
        <w:spacing w:beforeAutospacing="0" w:afterAutospacing="0"/>
        <w:ind w:firstLine="709"/>
        <w:jc w:val="both"/>
        <w:rPr>
          <w:b/>
          <w:bCs/>
          <w:color w:val="auto"/>
          <w:sz w:val="28"/>
          <w:szCs w:val="28"/>
        </w:rPr>
      </w:pPr>
      <w:r>
        <w:rPr>
          <w:b/>
          <w:bCs/>
          <w:color w:val="auto"/>
          <w:sz w:val="28"/>
          <w:szCs w:val="28"/>
          <w:lang w:val="ru-RU"/>
        </w:rPr>
        <w:t>3</w:t>
      </w:r>
      <w:r>
        <w:rPr>
          <w:rFonts w:hint="default"/>
          <w:b/>
          <w:bCs/>
          <w:color w:val="auto"/>
          <w:sz w:val="28"/>
          <w:szCs w:val="28"/>
          <w:lang w:val="ru-RU"/>
        </w:rPr>
        <w:t>.</w:t>
      </w:r>
      <w:r>
        <w:rPr>
          <w:b/>
          <w:bCs/>
          <w:color w:val="auto"/>
          <w:sz w:val="28"/>
          <w:szCs w:val="28"/>
          <w:lang w:val="ru-RU"/>
        </w:rPr>
        <w:t>4</w:t>
      </w:r>
      <w:r>
        <w:rPr>
          <w:b/>
          <w:bCs/>
          <w:color w:val="auto"/>
          <w:sz w:val="28"/>
          <w:szCs w:val="28"/>
        </w:rPr>
        <w:t xml:space="preserve"> </w:t>
      </w:r>
      <w:r>
        <w:rPr>
          <w:b/>
          <w:bCs/>
          <w:color w:val="auto"/>
          <w:sz w:val="28"/>
          <w:szCs w:val="28"/>
          <w:lang w:val="ru-RU"/>
        </w:rPr>
        <w:t>Абиотикалық</w:t>
      </w:r>
      <w:r>
        <w:rPr>
          <w:b/>
          <w:bCs/>
          <w:color w:val="auto"/>
          <w:sz w:val="28"/>
          <w:szCs w:val="28"/>
        </w:rPr>
        <w:t xml:space="preserve"> </w:t>
      </w:r>
      <w:r>
        <w:rPr>
          <w:b/>
          <w:bCs/>
          <w:color w:val="auto"/>
          <w:sz w:val="28"/>
          <w:szCs w:val="28"/>
          <w:lang w:val="ru-RU"/>
        </w:rPr>
        <w:t>факторлардың</w:t>
      </w:r>
      <w:r>
        <w:rPr>
          <w:b/>
          <w:bCs/>
          <w:color w:val="auto"/>
          <w:sz w:val="28"/>
          <w:szCs w:val="28"/>
          <w:lang w:val="kk-KZ"/>
        </w:rPr>
        <w:t xml:space="preserve"> (тұздылық, температура өзгерісі)</w:t>
      </w:r>
      <w:r>
        <w:rPr>
          <w:b/>
          <w:bCs/>
          <w:color w:val="auto"/>
          <w:sz w:val="28"/>
          <w:szCs w:val="28"/>
        </w:rPr>
        <w:t xml:space="preserve"> </w:t>
      </w:r>
      <w:r>
        <w:rPr>
          <w:b/>
          <w:bCs/>
          <w:color w:val="auto"/>
          <w:sz w:val="28"/>
          <w:szCs w:val="28"/>
          <w:lang w:val="ru-RU"/>
        </w:rPr>
        <w:t>биодеструкция</w:t>
      </w:r>
      <w:r>
        <w:rPr>
          <w:b/>
          <w:bCs/>
          <w:color w:val="auto"/>
          <w:sz w:val="28"/>
          <w:szCs w:val="28"/>
        </w:rPr>
        <w:t xml:space="preserve"> </w:t>
      </w:r>
      <w:r>
        <w:rPr>
          <w:b/>
          <w:bCs/>
          <w:color w:val="auto"/>
          <w:sz w:val="28"/>
          <w:szCs w:val="28"/>
          <w:lang w:val="ru-RU"/>
        </w:rPr>
        <w:t>процесіне</w:t>
      </w:r>
      <w:r>
        <w:rPr>
          <w:b/>
          <w:bCs/>
          <w:color w:val="auto"/>
          <w:sz w:val="28"/>
          <w:szCs w:val="28"/>
        </w:rPr>
        <w:t xml:space="preserve"> </w:t>
      </w:r>
      <w:r>
        <w:rPr>
          <w:b/>
          <w:bCs/>
          <w:color w:val="auto"/>
          <w:sz w:val="28"/>
          <w:szCs w:val="28"/>
          <w:lang w:val="ru-RU"/>
        </w:rPr>
        <w:t>әсерін</w:t>
      </w:r>
      <w:r>
        <w:rPr>
          <w:b/>
          <w:bCs/>
          <w:color w:val="auto"/>
          <w:sz w:val="28"/>
          <w:szCs w:val="28"/>
        </w:rPr>
        <w:t xml:space="preserve"> </w:t>
      </w:r>
      <w:r>
        <w:rPr>
          <w:b/>
          <w:bCs/>
          <w:color w:val="auto"/>
          <w:sz w:val="28"/>
          <w:szCs w:val="28"/>
          <w:lang w:val="ru-RU"/>
        </w:rPr>
        <w:t>зерттеу</w:t>
      </w:r>
    </w:p>
    <w:p w14:paraId="7B3D73D2">
      <w:pPr>
        <w:pStyle w:val="35"/>
        <w:spacing w:beforeAutospacing="0" w:afterAutospacing="0"/>
        <w:ind w:firstLine="709"/>
        <w:jc w:val="both"/>
        <w:rPr>
          <w:rFonts w:hint="default"/>
          <w:color w:val="auto"/>
          <w:sz w:val="28"/>
          <w:szCs w:val="28"/>
          <w:lang w:val="kk-KZ"/>
        </w:rPr>
      </w:pPr>
      <w:r>
        <w:rPr>
          <w:color w:val="auto"/>
          <w:sz w:val="28"/>
          <w:szCs w:val="28"/>
          <w:lang w:val="ru-RU"/>
        </w:rPr>
        <w:t>Биотасымалда</w:t>
      </w:r>
      <w:r>
        <w:rPr>
          <w:color w:val="auto"/>
          <w:sz w:val="28"/>
          <w:szCs w:val="28"/>
          <w:lang w:val="kk-KZ"/>
        </w:rPr>
        <w:t>у</w:t>
      </w:r>
      <w:r>
        <w:rPr>
          <w:color w:val="auto"/>
          <w:sz w:val="28"/>
          <w:szCs w:val="28"/>
          <w:lang w:val="ru-RU"/>
        </w:rPr>
        <w:t>ышқа</w:t>
      </w:r>
      <w:r>
        <w:rPr>
          <w:color w:val="auto"/>
          <w:sz w:val="28"/>
          <w:szCs w:val="28"/>
        </w:rPr>
        <w:t xml:space="preserve"> </w:t>
      </w:r>
      <w:r>
        <w:rPr>
          <w:color w:val="auto"/>
          <w:sz w:val="28"/>
          <w:szCs w:val="28"/>
          <w:lang w:val="ru-RU"/>
        </w:rPr>
        <w:t>иммобилизацияланған</w:t>
      </w:r>
      <w:r>
        <w:rPr>
          <w:color w:val="auto"/>
          <w:sz w:val="28"/>
          <w:szCs w:val="28"/>
        </w:rPr>
        <w:t xml:space="preserve"> </w:t>
      </w:r>
      <w:r>
        <w:rPr>
          <w:color w:val="auto"/>
          <w:sz w:val="28"/>
          <w:szCs w:val="28"/>
          <w:lang w:val="ru-RU"/>
        </w:rPr>
        <w:t>микроорганизмдердің</w:t>
      </w:r>
      <w:r>
        <w:rPr>
          <w:color w:val="auto"/>
          <w:sz w:val="28"/>
          <w:szCs w:val="28"/>
        </w:rPr>
        <w:t xml:space="preserve"> </w:t>
      </w:r>
      <w:r>
        <w:rPr>
          <w:color w:val="auto"/>
          <w:sz w:val="28"/>
          <w:szCs w:val="28"/>
          <w:lang w:val="ru-RU"/>
        </w:rPr>
        <w:t>әртүрлі</w:t>
      </w:r>
      <w:r>
        <w:rPr>
          <w:color w:val="auto"/>
          <w:sz w:val="28"/>
          <w:szCs w:val="28"/>
        </w:rPr>
        <w:t xml:space="preserve"> </w:t>
      </w:r>
      <w:r>
        <w:rPr>
          <w:color w:val="auto"/>
          <w:sz w:val="28"/>
          <w:szCs w:val="28"/>
          <w:lang w:val="ru-RU"/>
        </w:rPr>
        <w:t>тұздылық</w:t>
      </w:r>
      <w:r>
        <w:rPr>
          <w:color w:val="auto"/>
          <w:sz w:val="28"/>
          <w:szCs w:val="28"/>
        </w:rPr>
        <w:t xml:space="preserve"> </w:t>
      </w:r>
      <w:r>
        <w:rPr>
          <w:color w:val="auto"/>
          <w:sz w:val="28"/>
          <w:szCs w:val="28"/>
          <w:lang w:val="ru-RU"/>
        </w:rPr>
        <w:t>пен</w:t>
      </w:r>
      <w:r>
        <w:rPr>
          <w:color w:val="auto"/>
          <w:sz w:val="28"/>
          <w:szCs w:val="28"/>
        </w:rPr>
        <w:t xml:space="preserve"> </w:t>
      </w:r>
      <w:r>
        <w:rPr>
          <w:color w:val="auto"/>
          <w:sz w:val="28"/>
          <w:szCs w:val="28"/>
          <w:lang w:val="ru-RU"/>
        </w:rPr>
        <w:t>температура</w:t>
      </w:r>
      <w:r>
        <w:rPr>
          <w:color w:val="auto"/>
          <w:sz w:val="28"/>
          <w:szCs w:val="28"/>
        </w:rPr>
        <w:t xml:space="preserve"> </w:t>
      </w:r>
      <w:r>
        <w:rPr>
          <w:color w:val="auto"/>
          <w:sz w:val="28"/>
          <w:szCs w:val="28"/>
          <w:lang w:val="ru-RU"/>
        </w:rPr>
        <w:t>жағдайларындағы</w:t>
      </w:r>
      <w:r>
        <w:rPr>
          <w:color w:val="auto"/>
          <w:sz w:val="28"/>
          <w:szCs w:val="28"/>
        </w:rPr>
        <w:t xml:space="preserve"> </w:t>
      </w:r>
      <w:r>
        <w:rPr>
          <w:color w:val="auto"/>
          <w:sz w:val="28"/>
          <w:szCs w:val="28"/>
          <w:lang w:val="ru-RU"/>
        </w:rPr>
        <w:t>зерттеуі</w:t>
      </w:r>
      <w:r>
        <w:rPr>
          <w:color w:val="auto"/>
          <w:sz w:val="28"/>
          <w:szCs w:val="28"/>
        </w:rPr>
        <w:t xml:space="preserve"> </w:t>
      </w:r>
      <w:r>
        <w:rPr>
          <w:color w:val="auto"/>
          <w:sz w:val="28"/>
          <w:szCs w:val="28"/>
          <w:lang w:val="ru-RU"/>
        </w:rPr>
        <w:t>барлық</w:t>
      </w:r>
      <w:r>
        <w:rPr>
          <w:color w:val="auto"/>
          <w:sz w:val="28"/>
          <w:szCs w:val="28"/>
        </w:rPr>
        <w:t xml:space="preserve"> </w:t>
      </w:r>
      <w:r>
        <w:rPr>
          <w:color w:val="auto"/>
          <w:sz w:val="28"/>
          <w:szCs w:val="28"/>
          <w:lang w:val="ru-RU"/>
        </w:rPr>
        <w:t>эксперименталдық</w:t>
      </w:r>
      <w:r>
        <w:rPr>
          <w:color w:val="auto"/>
          <w:sz w:val="28"/>
          <w:szCs w:val="28"/>
        </w:rPr>
        <w:t xml:space="preserve"> </w:t>
      </w:r>
      <w:r>
        <w:rPr>
          <w:color w:val="auto"/>
          <w:sz w:val="28"/>
          <w:szCs w:val="28"/>
          <w:lang w:val="ru-RU"/>
        </w:rPr>
        <w:t>өңдеулерде</w:t>
      </w:r>
      <w:r>
        <w:rPr>
          <w:color w:val="auto"/>
          <w:sz w:val="28"/>
          <w:szCs w:val="28"/>
        </w:rPr>
        <w:t xml:space="preserve"> </w:t>
      </w:r>
      <w:r>
        <w:rPr>
          <w:color w:val="auto"/>
          <w:sz w:val="28"/>
          <w:szCs w:val="28"/>
          <w:lang w:val="ru-RU"/>
        </w:rPr>
        <w:t>айқын</w:t>
      </w:r>
      <w:r>
        <w:rPr>
          <w:color w:val="auto"/>
          <w:sz w:val="28"/>
          <w:szCs w:val="28"/>
        </w:rPr>
        <w:t xml:space="preserve"> </w:t>
      </w:r>
      <w:r>
        <w:rPr>
          <w:color w:val="auto"/>
          <w:sz w:val="28"/>
          <w:szCs w:val="28"/>
          <w:lang w:val="ru-RU"/>
        </w:rPr>
        <w:t>өнімділік</w:t>
      </w:r>
      <w:r>
        <w:rPr>
          <w:color w:val="auto"/>
          <w:sz w:val="28"/>
          <w:szCs w:val="28"/>
        </w:rPr>
        <w:t xml:space="preserve"> </w:t>
      </w:r>
      <w:r>
        <w:rPr>
          <w:color w:val="auto"/>
          <w:sz w:val="28"/>
          <w:szCs w:val="28"/>
          <w:lang w:val="ru-RU"/>
        </w:rPr>
        <w:t>үлгілерін</w:t>
      </w:r>
      <w:r>
        <w:rPr>
          <w:color w:val="auto"/>
          <w:sz w:val="28"/>
          <w:szCs w:val="28"/>
        </w:rPr>
        <w:t xml:space="preserve"> </w:t>
      </w:r>
      <w:r>
        <w:rPr>
          <w:color w:val="auto"/>
          <w:sz w:val="28"/>
          <w:szCs w:val="28"/>
          <w:lang w:val="ru-RU"/>
        </w:rPr>
        <w:t>ашты</w:t>
      </w:r>
      <w:r>
        <w:rPr>
          <w:color w:val="auto"/>
          <w:sz w:val="28"/>
          <w:szCs w:val="28"/>
        </w:rPr>
        <w:t xml:space="preserve">. </w:t>
      </w:r>
      <w:r>
        <w:rPr>
          <w:color w:val="auto"/>
          <w:sz w:val="28"/>
          <w:szCs w:val="28"/>
          <w:lang w:val="ru-RU"/>
        </w:rPr>
        <w:t>Деструкция</w:t>
      </w:r>
      <w:r>
        <w:rPr>
          <w:color w:val="auto"/>
          <w:sz w:val="28"/>
          <w:szCs w:val="28"/>
        </w:rPr>
        <w:t xml:space="preserve"> </w:t>
      </w:r>
      <w:r>
        <w:rPr>
          <w:color w:val="auto"/>
          <w:sz w:val="28"/>
          <w:szCs w:val="28"/>
          <w:lang w:val="ru-RU"/>
        </w:rPr>
        <w:t>тиімділігінің</w:t>
      </w:r>
      <w:r>
        <w:rPr>
          <w:color w:val="auto"/>
          <w:sz w:val="28"/>
          <w:szCs w:val="28"/>
        </w:rPr>
        <w:t xml:space="preserve"> </w:t>
      </w:r>
      <w:r>
        <w:rPr>
          <w:color w:val="auto"/>
          <w:sz w:val="28"/>
          <w:szCs w:val="28"/>
          <w:lang w:val="ru-RU"/>
        </w:rPr>
        <w:t>талдауы</w:t>
      </w:r>
      <w:r>
        <w:rPr>
          <w:color w:val="auto"/>
          <w:sz w:val="28"/>
          <w:szCs w:val="28"/>
        </w:rPr>
        <w:t xml:space="preserve"> </w:t>
      </w:r>
      <w:r>
        <w:rPr>
          <w:color w:val="auto"/>
          <w:sz w:val="28"/>
          <w:szCs w:val="28"/>
          <w:lang w:val="ru-RU"/>
        </w:rPr>
        <w:t>барлық</w:t>
      </w:r>
      <w:r>
        <w:rPr>
          <w:color w:val="auto"/>
          <w:sz w:val="28"/>
          <w:szCs w:val="28"/>
        </w:rPr>
        <w:t xml:space="preserve"> </w:t>
      </w:r>
      <w:r>
        <w:rPr>
          <w:color w:val="auto"/>
          <w:sz w:val="28"/>
          <w:szCs w:val="28"/>
          <w:lang w:val="ru-RU"/>
        </w:rPr>
        <w:t>тестіленген</w:t>
      </w:r>
      <w:r>
        <w:rPr>
          <w:color w:val="auto"/>
          <w:sz w:val="28"/>
          <w:szCs w:val="28"/>
        </w:rPr>
        <w:t xml:space="preserve"> </w:t>
      </w:r>
      <w:r>
        <w:rPr>
          <w:color w:val="auto"/>
          <w:sz w:val="28"/>
          <w:szCs w:val="28"/>
          <w:lang w:val="ru-RU"/>
        </w:rPr>
        <w:t>нұсқалар</w:t>
      </w:r>
      <w:r>
        <w:rPr>
          <w:color w:val="auto"/>
          <w:sz w:val="28"/>
          <w:szCs w:val="28"/>
          <w:lang w:val="kk-KZ"/>
        </w:rPr>
        <w:t>да</w:t>
      </w:r>
      <w:r>
        <w:rPr>
          <w:color w:val="auto"/>
          <w:sz w:val="28"/>
          <w:szCs w:val="28"/>
        </w:rPr>
        <w:t xml:space="preserve"> +4°C </w:t>
      </w:r>
      <w:r>
        <w:rPr>
          <w:color w:val="auto"/>
          <w:sz w:val="28"/>
          <w:szCs w:val="28"/>
          <w:lang w:val="ru-RU"/>
        </w:rPr>
        <w:t>температурада</w:t>
      </w:r>
      <w:r>
        <w:rPr>
          <w:color w:val="auto"/>
          <w:sz w:val="28"/>
          <w:szCs w:val="28"/>
        </w:rPr>
        <w:t xml:space="preserve"> </w:t>
      </w:r>
      <w:r>
        <w:rPr>
          <w:color w:val="auto"/>
          <w:sz w:val="28"/>
          <w:szCs w:val="28"/>
          <w:lang w:val="ru-RU"/>
        </w:rPr>
        <w:t>айтарлықтай</w:t>
      </w:r>
      <w:r>
        <w:rPr>
          <w:color w:val="auto"/>
          <w:sz w:val="28"/>
          <w:szCs w:val="28"/>
        </w:rPr>
        <w:t xml:space="preserve"> </w:t>
      </w:r>
      <w:r>
        <w:rPr>
          <w:color w:val="auto"/>
          <w:sz w:val="28"/>
          <w:szCs w:val="28"/>
          <w:lang w:val="ru-RU"/>
        </w:rPr>
        <w:t>деструктивті</w:t>
      </w:r>
      <w:r>
        <w:rPr>
          <w:color w:val="auto"/>
          <w:sz w:val="28"/>
          <w:szCs w:val="28"/>
        </w:rPr>
        <w:t xml:space="preserve"> </w:t>
      </w:r>
      <w:r>
        <w:rPr>
          <w:color w:val="auto"/>
          <w:sz w:val="28"/>
          <w:szCs w:val="28"/>
          <w:lang w:val="ru-RU"/>
        </w:rPr>
        <w:t>белсенділік</w:t>
      </w:r>
      <w:r>
        <w:rPr>
          <w:color w:val="auto"/>
          <w:sz w:val="28"/>
          <w:szCs w:val="28"/>
        </w:rPr>
        <w:t xml:space="preserve"> </w:t>
      </w:r>
      <w:r>
        <w:rPr>
          <w:color w:val="auto"/>
          <w:sz w:val="28"/>
          <w:szCs w:val="28"/>
          <w:lang w:val="ru-RU"/>
        </w:rPr>
        <w:t>көрсеткенін</w:t>
      </w:r>
      <w:r>
        <w:rPr>
          <w:color w:val="auto"/>
          <w:sz w:val="28"/>
          <w:szCs w:val="28"/>
        </w:rPr>
        <w:t xml:space="preserve"> </w:t>
      </w:r>
      <w:r>
        <w:rPr>
          <w:color w:val="auto"/>
          <w:sz w:val="28"/>
          <w:szCs w:val="28"/>
          <w:lang w:val="ru-RU"/>
        </w:rPr>
        <w:t>көрсетті</w:t>
      </w:r>
      <w:r>
        <w:rPr>
          <w:color w:val="auto"/>
          <w:sz w:val="28"/>
          <w:szCs w:val="28"/>
        </w:rPr>
        <w:t xml:space="preserve">, </w:t>
      </w:r>
      <w:r>
        <w:rPr>
          <w:color w:val="auto"/>
          <w:sz w:val="28"/>
          <w:szCs w:val="28"/>
          <w:lang w:val="ru-RU"/>
        </w:rPr>
        <w:t>бірақ</w:t>
      </w:r>
      <w:r>
        <w:rPr>
          <w:color w:val="auto"/>
          <w:sz w:val="28"/>
          <w:szCs w:val="28"/>
        </w:rPr>
        <w:t xml:space="preserve"> </w:t>
      </w:r>
      <w:r>
        <w:rPr>
          <w:color w:val="auto"/>
          <w:sz w:val="28"/>
          <w:szCs w:val="28"/>
          <w:lang w:val="ru-RU"/>
        </w:rPr>
        <w:t>тұздылық</w:t>
      </w:r>
      <w:r>
        <w:rPr>
          <w:color w:val="auto"/>
          <w:sz w:val="28"/>
          <w:szCs w:val="28"/>
        </w:rPr>
        <w:t xml:space="preserve"> </w:t>
      </w:r>
      <w:r>
        <w:rPr>
          <w:color w:val="auto"/>
          <w:sz w:val="28"/>
          <w:szCs w:val="28"/>
          <w:lang w:val="ru-RU"/>
        </w:rPr>
        <w:t>деңгейінің</w:t>
      </w:r>
      <w:r>
        <w:rPr>
          <w:color w:val="auto"/>
          <w:sz w:val="28"/>
          <w:szCs w:val="28"/>
        </w:rPr>
        <w:t xml:space="preserve"> </w:t>
      </w:r>
      <w:r>
        <w:rPr>
          <w:color w:val="auto"/>
          <w:sz w:val="28"/>
          <w:szCs w:val="28"/>
          <w:lang w:val="ru-RU"/>
        </w:rPr>
        <w:t>өсуі</w:t>
      </w:r>
      <w:r>
        <w:rPr>
          <w:color w:val="auto"/>
          <w:sz w:val="28"/>
          <w:szCs w:val="28"/>
        </w:rPr>
        <w:t xml:space="preserve"> </w:t>
      </w:r>
      <w:r>
        <w:rPr>
          <w:color w:val="auto"/>
          <w:sz w:val="28"/>
          <w:szCs w:val="28"/>
          <w:lang w:val="ru-RU"/>
        </w:rPr>
        <w:t>жалпы</w:t>
      </w:r>
      <w:r>
        <w:rPr>
          <w:color w:val="auto"/>
          <w:sz w:val="28"/>
          <w:szCs w:val="28"/>
        </w:rPr>
        <w:t xml:space="preserve"> </w:t>
      </w:r>
      <w:r>
        <w:rPr>
          <w:color w:val="auto"/>
          <w:sz w:val="28"/>
          <w:szCs w:val="28"/>
          <w:lang w:val="ru-RU"/>
        </w:rPr>
        <w:t>өнімділікті</w:t>
      </w:r>
      <w:r>
        <w:rPr>
          <w:color w:val="auto"/>
          <w:sz w:val="28"/>
          <w:szCs w:val="28"/>
        </w:rPr>
        <w:t xml:space="preserve"> </w:t>
      </w:r>
      <w:r>
        <w:rPr>
          <w:color w:val="auto"/>
          <w:sz w:val="28"/>
          <w:szCs w:val="28"/>
          <w:lang w:val="ru-RU"/>
        </w:rPr>
        <w:t>орташа</w:t>
      </w:r>
      <w:r>
        <w:rPr>
          <w:color w:val="auto"/>
          <w:sz w:val="28"/>
          <w:szCs w:val="28"/>
        </w:rPr>
        <w:t xml:space="preserve"> </w:t>
      </w:r>
      <w:r>
        <w:rPr>
          <w:color w:val="auto"/>
          <w:sz w:val="28"/>
          <w:szCs w:val="28"/>
          <w:lang w:val="ru-RU"/>
        </w:rPr>
        <w:t>төмендетті</w:t>
      </w:r>
      <w:r>
        <w:rPr>
          <w:rFonts w:hint="default"/>
          <w:color w:val="auto"/>
          <w:sz w:val="28"/>
          <w:szCs w:val="28"/>
          <w:lang w:val="kk-KZ"/>
        </w:rPr>
        <w:t>.</w:t>
      </w:r>
    </w:p>
    <w:p w14:paraId="0B58FC35">
      <w:pPr>
        <w:pStyle w:val="35"/>
        <w:spacing w:beforeAutospacing="0" w:afterAutospacing="0"/>
        <w:ind w:firstLine="709"/>
        <w:jc w:val="both"/>
        <w:rPr>
          <w:color w:val="auto"/>
          <w:sz w:val="28"/>
          <w:szCs w:val="28"/>
          <w:highlight w:val="yellow"/>
        </w:rPr>
      </w:pPr>
    </w:p>
    <w:p w14:paraId="0A0AF8AC">
      <w:pPr>
        <w:pStyle w:val="35"/>
        <w:spacing w:beforeAutospacing="0" w:afterAutospacing="0"/>
        <w:jc w:val="both"/>
        <w:rPr>
          <w:color w:val="auto"/>
          <w:sz w:val="28"/>
          <w:szCs w:val="28"/>
        </w:rPr>
      </w:pPr>
      <w:r>
        <w:rPr>
          <w:rStyle w:val="19"/>
          <w:b w:val="0"/>
          <w:bCs w:val="0"/>
          <w:color w:val="auto"/>
          <w:sz w:val="28"/>
          <w:szCs w:val="28"/>
          <w:lang w:val="ru-RU"/>
        </w:rPr>
        <w:t>Кесте</w:t>
      </w:r>
      <w:r>
        <w:rPr>
          <w:rStyle w:val="19"/>
          <w:b w:val="0"/>
          <w:bCs w:val="0"/>
          <w:color w:val="auto"/>
          <w:sz w:val="28"/>
          <w:szCs w:val="28"/>
        </w:rPr>
        <w:t xml:space="preserve"> 17</w:t>
      </w:r>
      <w:r>
        <w:rPr>
          <w:color w:val="auto"/>
          <w:sz w:val="28"/>
          <w:szCs w:val="28"/>
        </w:rPr>
        <w:t xml:space="preserve"> – </w:t>
      </w:r>
      <w:r>
        <w:rPr>
          <w:color w:val="auto"/>
          <w:sz w:val="28"/>
          <w:szCs w:val="28"/>
          <w:lang w:val="ru-RU"/>
        </w:rPr>
        <w:t>Әртүрлі</w:t>
      </w:r>
      <w:r>
        <w:rPr>
          <w:color w:val="auto"/>
          <w:sz w:val="28"/>
          <w:szCs w:val="28"/>
        </w:rPr>
        <w:t xml:space="preserve"> </w:t>
      </w:r>
      <w:r>
        <w:rPr>
          <w:color w:val="auto"/>
          <w:sz w:val="28"/>
          <w:szCs w:val="28"/>
          <w:lang w:val="ru-RU"/>
        </w:rPr>
        <w:t>температура</w:t>
      </w:r>
      <w:r>
        <w:rPr>
          <w:color w:val="auto"/>
          <w:sz w:val="28"/>
          <w:szCs w:val="28"/>
        </w:rPr>
        <w:t xml:space="preserve"> </w:t>
      </w:r>
      <w:r>
        <w:rPr>
          <w:color w:val="auto"/>
          <w:sz w:val="28"/>
          <w:szCs w:val="28"/>
          <w:lang w:val="ru-RU"/>
        </w:rPr>
        <w:t>және</w:t>
      </w:r>
      <w:r>
        <w:rPr>
          <w:color w:val="auto"/>
          <w:sz w:val="28"/>
          <w:szCs w:val="28"/>
        </w:rPr>
        <w:t xml:space="preserve"> NaCl </w:t>
      </w:r>
      <w:r>
        <w:rPr>
          <w:color w:val="auto"/>
          <w:sz w:val="28"/>
          <w:szCs w:val="28"/>
          <w:lang w:val="ru-RU"/>
        </w:rPr>
        <w:t>концентрациясы</w:t>
      </w:r>
      <w:r>
        <w:rPr>
          <w:color w:val="auto"/>
          <w:sz w:val="28"/>
          <w:szCs w:val="28"/>
        </w:rPr>
        <w:t xml:space="preserve"> </w:t>
      </w:r>
      <w:r>
        <w:rPr>
          <w:color w:val="auto"/>
          <w:sz w:val="28"/>
          <w:szCs w:val="28"/>
          <w:lang w:val="ru-RU"/>
        </w:rPr>
        <w:t>жағдайларында</w:t>
      </w:r>
      <w:r>
        <w:rPr>
          <w:color w:val="auto"/>
          <w:sz w:val="28"/>
          <w:szCs w:val="28"/>
        </w:rPr>
        <w:t xml:space="preserve"> </w:t>
      </w:r>
      <w:r>
        <w:rPr>
          <w:color w:val="auto"/>
          <w:sz w:val="28"/>
          <w:szCs w:val="28"/>
          <w:lang w:val="kk-KZ"/>
        </w:rPr>
        <w:t>бос</w:t>
      </w:r>
      <w:r>
        <w:rPr>
          <w:color w:val="auto"/>
          <w:sz w:val="28"/>
          <w:szCs w:val="28"/>
        </w:rPr>
        <w:t xml:space="preserve"> </w:t>
      </w:r>
      <w:r>
        <w:rPr>
          <w:color w:val="auto"/>
          <w:sz w:val="28"/>
          <w:szCs w:val="28"/>
          <w:lang w:val="ru-RU"/>
        </w:rPr>
        <w:t>және</w:t>
      </w:r>
      <w:r>
        <w:rPr>
          <w:color w:val="auto"/>
          <w:sz w:val="28"/>
          <w:szCs w:val="28"/>
        </w:rPr>
        <w:t xml:space="preserve"> </w:t>
      </w:r>
      <w:r>
        <w:rPr>
          <w:color w:val="auto"/>
          <w:sz w:val="28"/>
          <w:szCs w:val="28"/>
          <w:lang w:val="ru-RU"/>
        </w:rPr>
        <w:t>иммобилизацияланған</w:t>
      </w:r>
      <w:r>
        <w:rPr>
          <w:color w:val="auto"/>
          <w:sz w:val="28"/>
          <w:szCs w:val="28"/>
        </w:rPr>
        <w:t xml:space="preserve"> </w:t>
      </w:r>
      <w:r>
        <w:rPr>
          <w:color w:val="auto"/>
          <w:sz w:val="28"/>
          <w:szCs w:val="28"/>
          <w:lang w:val="ru-RU"/>
        </w:rPr>
        <w:t>бактериялық</w:t>
      </w:r>
      <w:r>
        <w:rPr>
          <w:color w:val="auto"/>
          <w:sz w:val="28"/>
          <w:szCs w:val="28"/>
        </w:rPr>
        <w:t xml:space="preserve"> </w:t>
      </w:r>
      <w:r>
        <w:rPr>
          <w:color w:val="auto"/>
          <w:sz w:val="28"/>
          <w:szCs w:val="28"/>
          <w:lang w:val="ru-RU"/>
        </w:rPr>
        <w:t>штамдардың</w:t>
      </w:r>
      <w:r>
        <w:rPr>
          <w:color w:val="auto"/>
          <w:sz w:val="28"/>
          <w:szCs w:val="28"/>
        </w:rPr>
        <w:t xml:space="preserve"> </w:t>
      </w:r>
      <w:r>
        <w:rPr>
          <w:color w:val="auto"/>
          <w:sz w:val="28"/>
          <w:szCs w:val="28"/>
          <w:lang w:val="ru-RU"/>
        </w:rPr>
        <w:t>мұнай</w:t>
      </w:r>
      <w:r>
        <w:rPr>
          <w:color w:val="auto"/>
          <w:sz w:val="28"/>
          <w:szCs w:val="28"/>
        </w:rPr>
        <w:t xml:space="preserve"> </w:t>
      </w:r>
      <w:r>
        <w:rPr>
          <w:color w:val="auto"/>
          <w:sz w:val="28"/>
          <w:szCs w:val="28"/>
          <w:lang w:val="ru-RU"/>
        </w:rPr>
        <w:t>деструкция</w:t>
      </w:r>
      <w:r>
        <w:rPr>
          <w:color w:val="auto"/>
          <w:sz w:val="28"/>
          <w:szCs w:val="28"/>
        </w:rPr>
        <w:t xml:space="preserve"> </w:t>
      </w:r>
      <w:r>
        <w:rPr>
          <w:color w:val="auto"/>
          <w:sz w:val="28"/>
          <w:szCs w:val="28"/>
          <w:lang w:val="ru-RU"/>
        </w:rPr>
        <w:t>тиімділігі</w:t>
      </w:r>
      <w:r>
        <w:rPr>
          <w:color w:val="auto"/>
          <w:sz w:val="28"/>
          <w:szCs w:val="28"/>
        </w:rPr>
        <w:t xml:space="preserve"> (%, </w:t>
      </w:r>
      <w:r>
        <w:rPr>
          <w:rFonts w:hint="default"/>
          <w:color w:val="auto"/>
          <w:sz w:val="28"/>
          <w:szCs w:val="28"/>
          <w:lang w:val="ru-RU"/>
        </w:rPr>
        <w:t>45</w:t>
      </w:r>
      <w:r>
        <w:rPr>
          <w:color w:val="auto"/>
          <w:sz w:val="28"/>
          <w:szCs w:val="28"/>
        </w:rPr>
        <w:t xml:space="preserve"> </w:t>
      </w:r>
      <w:r>
        <w:rPr>
          <w:color w:val="auto"/>
          <w:sz w:val="28"/>
          <w:szCs w:val="28"/>
          <w:lang w:val="ru-RU"/>
        </w:rPr>
        <w:t>күн</w:t>
      </w:r>
      <w:r>
        <w:rPr>
          <w:color w:val="auto"/>
          <w:sz w:val="28"/>
          <w:szCs w:val="28"/>
        </w:rPr>
        <w:t>)</w:t>
      </w:r>
    </w:p>
    <w:p w14:paraId="78E95718">
      <w:pPr>
        <w:pStyle w:val="35"/>
        <w:spacing w:beforeAutospacing="0" w:afterAutospacing="0"/>
        <w:ind w:firstLine="709"/>
        <w:jc w:val="both"/>
        <w:rPr>
          <w:color w:val="auto"/>
          <w:sz w:val="28"/>
          <w:szCs w:val="28"/>
        </w:rPr>
      </w:pP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16"/>
        <w:gridCol w:w="2640"/>
        <w:gridCol w:w="1512"/>
        <w:gridCol w:w="1663"/>
        <w:gridCol w:w="1425"/>
      </w:tblGrid>
      <w:tr w14:paraId="41854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6" w:type="dxa"/>
          </w:tcPr>
          <w:p w14:paraId="2941C72C">
            <w:pPr>
              <w:widowControl w:val="0"/>
              <w:jc w:val="center"/>
              <w:rPr>
                <w:color w:val="auto"/>
                <w:sz w:val="24"/>
                <w:szCs w:val="24"/>
              </w:rPr>
            </w:pPr>
            <w:r>
              <w:rPr>
                <w:color w:val="auto"/>
                <w:sz w:val="24"/>
                <w:szCs w:val="24"/>
                <w:lang w:val="en-US" w:eastAsia="zh-CN" w:bidi="ar"/>
              </w:rPr>
              <w:t>Температура</w:t>
            </w:r>
          </w:p>
        </w:tc>
        <w:tc>
          <w:tcPr>
            <w:tcW w:w="2640" w:type="dxa"/>
          </w:tcPr>
          <w:p w14:paraId="602DDD1A">
            <w:pPr>
              <w:widowControl w:val="0"/>
              <w:jc w:val="center"/>
              <w:rPr>
                <w:color w:val="auto"/>
                <w:sz w:val="24"/>
                <w:szCs w:val="24"/>
              </w:rPr>
            </w:pPr>
            <w:r>
              <w:rPr>
                <w:color w:val="auto"/>
                <w:sz w:val="24"/>
                <w:szCs w:val="24"/>
                <w:lang w:val="en-US" w:eastAsia="zh-CN" w:bidi="ar"/>
              </w:rPr>
              <w:t>Өңдеу топтары</w:t>
            </w:r>
          </w:p>
        </w:tc>
        <w:tc>
          <w:tcPr>
            <w:tcW w:w="1512" w:type="dxa"/>
          </w:tcPr>
          <w:p w14:paraId="22E03FA3">
            <w:pPr>
              <w:widowControl w:val="0"/>
              <w:jc w:val="center"/>
              <w:rPr>
                <w:color w:val="auto"/>
                <w:sz w:val="24"/>
                <w:szCs w:val="24"/>
              </w:rPr>
            </w:pPr>
            <w:r>
              <w:rPr>
                <w:color w:val="auto"/>
                <w:sz w:val="24"/>
                <w:szCs w:val="24"/>
                <w:lang w:val="en-US" w:eastAsia="zh-CN" w:bidi="ar"/>
              </w:rPr>
              <w:t>3% NaCl</w:t>
            </w:r>
          </w:p>
        </w:tc>
        <w:tc>
          <w:tcPr>
            <w:tcW w:w="1663" w:type="dxa"/>
          </w:tcPr>
          <w:p w14:paraId="712D6E17">
            <w:pPr>
              <w:widowControl w:val="0"/>
              <w:jc w:val="center"/>
              <w:rPr>
                <w:color w:val="auto"/>
                <w:sz w:val="24"/>
                <w:szCs w:val="24"/>
              </w:rPr>
            </w:pPr>
            <w:r>
              <w:rPr>
                <w:color w:val="auto"/>
                <w:sz w:val="24"/>
                <w:szCs w:val="24"/>
                <w:lang w:val="en-US" w:eastAsia="zh-CN" w:bidi="ar"/>
              </w:rPr>
              <w:t>5% NaCl</w:t>
            </w:r>
          </w:p>
        </w:tc>
        <w:tc>
          <w:tcPr>
            <w:tcW w:w="1425" w:type="dxa"/>
          </w:tcPr>
          <w:p w14:paraId="62B5CBD2">
            <w:pPr>
              <w:widowControl w:val="0"/>
              <w:jc w:val="center"/>
              <w:rPr>
                <w:color w:val="auto"/>
                <w:sz w:val="24"/>
                <w:szCs w:val="24"/>
              </w:rPr>
            </w:pPr>
            <w:r>
              <w:rPr>
                <w:color w:val="auto"/>
                <w:sz w:val="24"/>
                <w:szCs w:val="24"/>
                <w:lang w:val="en-US" w:eastAsia="zh-CN" w:bidi="ar"/>
              </w:rPr>
              <w:t>10% NaCl</w:t>
            </w:r>
          </w:p>
        </w:tc>
      </w:tr>
      <w:tr w14:paraId="309CB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6" w:type="dxa"/>
            <w:vMerge w:val="restart"/>
          </w:tcPr>
          <w:p w14:paraId="05FDE8A7">
            <w:pPr>
              <w:pStyle w:val="35"/>
              <w:widowControl w:val="0"/>
              <w:spacing w:beforeAutospacing="0" w:afterAutospacing="0"/>
              <w:jc w:val="center"/>
              <w:rPr>
                <w:color w:val="auto"/>
                <w:sz w:val="24"/>
                <w:szCs w:val="24"/>
              </w:rPr>
            </w:pPr>
            <w:r>
              <w:rPr>
                <w:rStyle w:val="19"/>
                <w:b w:val="0"/>
                <w:bCs w:val="0"/>
                <w:color w:val="auto"/>
                <w:sz w:val="24"/>
                <w:szCs w:val="24"/>
              </w:rPr>
              <w:t>+4°C</w:t>
            </w:r>
          </w:p>
        </w:tc>
        <w:tc>
          <w:tcPr>
            <w:tcW w:w="2640" w:type="dxa"/>
          </w:tcPr>
          <w:p w14:paraId="0FBE1860">
            <w:pPr>
              <w:widowControl w:val="0"/>
              <w:jc w:val="center"/>
              <w:rPr>
                <w:color w:val="auto"/>
                <w:sz w:val="24"/>
                <w:szCs w:val="24"/>
              </w:rPr>
            </w:pPr>
            <w:r>
              <w:rPr>
                <w:color w:val="auto"/>
                <w:sz w:val="24"/>
                <w:szCs w:val="24"/>
                <w:lang w:val="kk-KZ" w:eastAsia="zh-CN" w:bidi="ar"/>
              </w:rPr>
              <w:t>Бос клеткалар</w:t>
            </w:r>
          </w:p>
        </w:tc>
        <w:tc>
          <w:tcPr>
            <w:tcW w:w="1512" w:type="dxa"/>
            <w:vAlign w:val="center"/>
          </w:tcPr>
          <w:p w14:paraId="06CC22DE">
            <w:pPr>
              <w:widowControl w:val="0"/>
              <w:jc w:val="center"/>
              <w:rPr>
                <w:color w:val="auto"/>
                <w:sz w:val="24"/>
                <w:szCs w:val="24"/>
              </w:rPr>
            </w:pPr>
            <w:r>
              <w:rPr>
                <w:color w:val="auto"/>
                <w:sz w:val="24"/>
                <w:szCs w:val="24"/>
                <w:lang w:val="en-US" w:eastAsia="zh-CN" w:bidi="ar"/>
              </w:rPr>
              <w:t>65</w:t>
            </w:r>
            <w:r>
              <w:rPr>
                <w:rFonts w:hint="default"/>
                <w:color w:val="auto"/>
                <w:sz w:val="24"/>
                <w:szCs w:val="24"/>
                <w:lang w:val="ru-RU" w:eastAsia="zh-CN" w:bidi="ar"/>
              </w:rPr>
              <w:t>,</w:t>
            </w:r>
            <w:r>
              <w:rPr>
                <w:color w:val="auto"/>
                <w:sz w:val="24"/>
                <w:szCs w:val="24"/>
                <w:lang w:val="en-US" w:eastAsia="zh-CN" w:bidi="ar"/>
              </w:rPr>
              <w:t>6±1.25</w:t>
            </w:r>
          </w:p>
        </w:tc>
        <w:tc>
          <w:tcPr>
            <w:tcW w:w="1663" w:type="dxa"/>
            <w:vAlign w:val="center"/>
          </w:tcPr>
          <w:p w14:paraId="78587507">
            <w:pPr>
              <w:widowControl w:val="0"/>
              <w:jc w:val="center"/>
              <w:rPr>
                <w:color w:val="auto"/>
                <w:sz w:val="24"/>
                <w:szCs w:val="24"/>
              </w:rPr>
            </w:pPr>
            <w:r>
              <w:rPr>
                <w:color w:val="auto"/>
                <w:sz w:val="24"/>
                <w:szCs w:val="24"/>
                <w:lang w:val="en-US" w:eastAsia="zh-CN" w:bidi="ar"/>
              </w:rPr>
              <w:t>53</w:t>
            </w:r>
            <w:r>
              <w:rPr>
                <w:rFonts w:hint="default"/>
                <w:color w:val="auto"/>
                <w:sz w:val="24"/>
                <w:szCs w:val="24"/>
                <w:lang w:val="ru-RU" w:eastAsia="zh-CN" w:bidi="ar"/>
              </w:rPr>
              <w:t>,</w:t>
            </w:r>
            <w:r>
              <w:rPr>
                <w:color w:val="auto"/>
                <w:sz w:val="24"/>
                <w:szCs w:val="24"/>
                <w:lang w:val="en-US" w:eastAsia="zh-CN" w:bidi="ar"/>
              </w:rPr>
              <w:t>6±1</w:t>
            </w:r>
            <w:r>
              <w:rPr>
                <w:rFonts w:hint="default"/>
                <w:color w:val="auto"/>
                <w:sz w:val="24"/>
                <w:szCs w:val="24"/>
                <w:lang w:val="ru-RU" w:eastAsia="zh-CN" w:bidi="ar"/>
              </w:rPr>
              <w:t>,</w:t>
            </w:r>
            <w:r>
              <w:rPr>
                <w:color w:val="auto"/>
                <w:sz w:val="24"/>
                <w:szCs w:val="24"/>
                <w:lang w:val="en-US" w:eastAsia="zh-CN" w:bidi="ar"/>
              </w:rPr>
              <w:t>28</w:t>
            </w:r>
          </w:p>
        </w:tc>
        <w:tc>
          <w:tcPr>
            <w:tcW w:w="1425" w:type="dxa"/>
            <w:vAlign w:val="center"/>
          </w:tcPr>
          <w:p w14:paraId="1290C885">
            <w:pPr>
              <w:widowControl w:val="0"/>
              <w:jc w:val="center"/>
              <w:rPr>
                <w:color w:val="auto"/>
                <w:sz w:val="24"/>
                <w:szCs w:val="24"/>
              </w:rPr>
            </w:pPr>
            <w:r>
              <w:rPr>
                <w:color w:val="auto"/>
                <w:sz w:val="24"/>
                <w:szCs w:val="24"/>
                <w:lang w:val="en-US" w:eastAsia="zh-CN" w:bidi="ar"/>
              </w:rPr>
              <w:t>3</w:t>
            </w:r>
            <w:r>
              <w:rPr>
                <w:color w:val="auto"/>
                <w:sz w:val="24"/>
                <w:szCs w:val="24"/>
                <w:lang w:val="ru-RU" w:eastAsia="zh-CN" w:bidi="ar"/>
              </w:rPr>
              <w:t>7,</w:t>
            </w:r>
            <w:r>
              <w:rPr>
                <w:color w:val="auto"/>
                <w:sz w:val="24"/>
                <w:szCs w:val="24"/>
                <w:lang w:val="en-US" w:eastAsia="zh-CN" w:bidi="ar"/>
              </w:rPr>
              <w:t>2±</w:t>
            </w:r>
            <w:r>
              <w:rPr>
                <w:color w:val="auto"/>
                <w:sz w:val="24"/>
                <w:szCs w:val="24"/>
                <w:lang w:val="ru-RU" w:eastAsia="zh-CN" w:bidi="ar"/>
              </w:rPr>
              <w:t>0,</w:t>
            </w:r>
            <w:r>
              <w:rPr>
                <w:color w:val="auto"/>
                <w:sz w:val="24"/>
                <w:szCs w:val="24"/>
                <w:lang w:val="en-US" w:eastAsia="zh-CN" w:bidi="ar"/>
              </w:rPr>
              <w:t>95</w:t>
            </w:r>
          </w:p>
        </w:tc>
      </w:tr>
      <w:tr w14:paraId="1ED09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6" w:type="dxa"/>
            <w:vMerge w:val="continue"/>
          </w:tcPr>
          <w:p w14:paraId="1B5D6DAC">
            <w:pPr>
              <w:pStyle w:val="35"/>
              <w:widowControl w:val="0"/>
              <w:spacing w:beforeAutospacing="0" w:afterAutospacing="0"/>
              <w:jc w:val="center"/>
              <w:rPr>
                <w:color w:val="auto"/>
                <w:sz w:val="24"/>
                <w:szCs w:val="24"/>
              </w:rPr>
            </w:pPr>
          </w:p>
        </w:tc>
        <w:tc>
          <w:tcPr>
            <w:tcW w:w="2640" w:type="dxa"/>
          </w:tcPr>
          <w:p w14:paraId="038E4BBF">
            <w:pPr>
              <w:widowControl w:val="0"/>
              <w:jc w:val="center"/>
              <w:rPr>
                <w:color w:val="auto"/>
                <w:sz w:val="24"/>
                <w:szCs w:val="24"/>
              </w:rPr>
            </w:pPr>
            <w:r>
              <w:rPr>
                <w:color w:val="auto"/>
                <w:sz w:val="24"/>
                <w:szCs w:val="24"/>
                <w:lang w:val="en-US" w:eastAsia="zh-CN" w:bidi="ar"/>
              </w:rPr>
              <w:t>Қарақұмық қауызы</w:t>
            </w:r>
          </w:p>
        </w:tc>
        <w:tc>
          <w:tcPr>
            <w:tcW w:w="1512" w:type="dxa"/>
            <w:vAlign w:val="center"/>
          </w:tcPr>
          <w:p w14:paraId="49E1996C">
            <w:pPr>
              <w:widowControl w:val="0"/>
              <w:jc w:val="center"/>
              <w:rPr>
                <w:color w:val="auto"/>
                <w:sz w:val="24"/>
                <w:szCs w:val="24"/>
              </w:rPr>
            </w:pPr>
            <w:r>
              <w:rPr>
                <w:color w:val="auto"/>
                <w:sz w:val="24"/>
                <w:szCs w:val="24"/>
                <w:lang w:val="en-US" w:eastAsia="zh-CN" w:bidi="ar"/>
              </w:rPr>
              <w:t>83</w:t>
            </w:r>
            <w:r>
              <w:rPr>
                <w:rFonts w:hint="default"/>
                <w:color w:val="auto"/>
                <w:sz w:val="24"/>
                <w:szCs w:val="24"/>
                <w:lang w:val="ru-RU" w:eastAsia="zh-CN" w:bidi="ar"/>
              </w:rPr>
              <w:t>,</w:t>
            </w:r>
            <w:r>
              <w:rPr>
                <w:color w:val="auto"/>
                <w:sz w:val="24"/>
                <w:szCs w:val="24"/>
                <w:lang w:val="en-US" w:eastAsia="zh-CN" w:bidi="ar"/>
              </w:rPr>
              <w:t>2±</w:t>
            </w:r>
            <w:r>
              <w:rPr>
                <w:color w:val="auto"/>
                <w:sz w:val="24"/>
                <w:szCs w:val="24"/>
                <w:lang w:val="ru-RU" w:eastAsia="zh-CN" w:bidi="ar"/>
              </w:rPr>
              <w:t>0,</w:t>
            </w:r>
            <w:r>
              <w:rPr>
                <w:color w:val="auto"/>
                <w:sz w:val="24"/>
                <w:szCs w:val="24"/>
                <w:lang w:val="en-US" w:eastAsia="zh-CN" w:bidi="ar"/>
              </w:rPr>
              <w:t>60</w:t>
            </w:r>
          </w:p>
        </w:tc>
        <w:tc>
          <w:tcPr>
            <w:tcW w:w="1663" w:type="dxa"/>
            <w:vAlign w:val="center"/>
          </w:tcPr>
          <w:p w14:paraId="50E22F94">
            <w:pPr>
              <w:widowControl w:val="0"/>
              <w:jc w:val="center"/>
              <w:rPr>
                <w:color w:val="auto"/>
                <w:sz w:val="24"/>
                <w:szCs w:val="24"/>
              </w:rPr>
            </w:pPr>
            <w:r>
              <w:rPr>
                <w:color w:val="auto"/>
                <w:sz w:val="24"/>
                <w:szCs w:val="24"/>
                <w:lang w:val="en-US" w:eastAsia="zh-CN" w:bidi="ar"/>
              </w:rPr>
              <w:t>74</w:t>
            </w:r>
            <w:r>
              <w:rPr>
                <w:rFonts w:hint="default"/>
                <w:color w:val="auto"/>
                <w:sz w:val="24"/>
                <w:szCs w:val="24"/>
                <w:lang w:val="ru-RU" w:eastAsia="zh-CN" w:bidi="ar"/>
              </w:rPr>
              <w:t>,</w:t>
            </w:r>
            <w:r>
              <w:rPr>
                <w:color w:val="auto"/>
                <w:sz w:val="24"/>
                <w:szCs w:val="24"/>
                <w:lang w:val="en-US" w:eastAsia="zh-CN" w:bidi="ar"/>
              </w:rPr>
              <w:t>2±</w:t>
            </w:r>
            <w:r>
              <w:rPr>
                <w:color w:val="auto"/>
                <w:sz w:val="24"/>
                <w:szCs w:val="24"/>
                <w:lang w:val="ru-RU" w:eastAsia="zh-CN" w:bidi="ar"/>
              </w:rPr>
              <w:t>0,</w:t>
            </w:r>
            <w:r>
              <w:rPr>
                <w:color w:val="auto"/>
                <w:sz w:val="24"/>
                <w:szCs w:val="24"/>
                <w:lang w:val="en-US" w:eastAsia="zh-CN" w:bidi="ar"/>
              </w:rPr>
              <w:t>95</w:t>
            </w:r>
          </w:p>
        </w:tc>
        <w:tc>
          <w:tcPr>
            <w:tcW w:w="1425" w:type="dxa"/>
            <w:vAlign w:val="center"/>
          </w:tcPr>
          <w:p w14:paraId="6829C946">
            <w:pPr>
              <w:widowControl w:val="0"/>
              <w:jc w:val="center"/>
              <w:rPr>
                <w:color w:val="auto"/>
                <w:sz w:val="24"/>
                <w:szCs w:val="24"/>
              </w:rPr>
            </w:pPr>
            <w:r>
              <w:rPr>
                <w:color w:val="auto"/>
                <w:sz w:val="24"/>
                <w:szCs w:val="24"/>
                <w:lang w:val="en-US" w:eastAsia="zh-CN" w:bidi="ar"/>
              </w:rPr>
              <w:t>6</w:t>
            </w:r>
            <w:r>
              <w:rPr>
                <w:color w:val="auto"/>
                <w:sz w:val="24"/>
                <w:szCs w:val="24"/>
                <w:lang w:val="ru-RU" w:eastAsia="zh-CN" w:bidi="ar"/>
              </w:rPr>
              <w:t>8,</w:t>
            </w:r>
            <w:r>
              <w:rPr>
                <w:color w:val="auto"/>
                <w:sz w:val="24"/>
                <w:szCs w:val="24"/>
                <w:lang w:val="en-US" w:eastAsia="zh-CN" w:bidi="ar"/>
              </w:rPr>
              <w:t>0±</w:t>
            </w:r>
            <w:r>
              <w:rPr>
                <w:color w:val="auto"/>
                <w:sz w:val="24"/>
                <w:szCs w:val="24"/>
                <w:lang w:val="ru-RU" w:eastAsia="zh-CN" w:bidi="ar"/>
              </w:rPr>
              <w:t>0,</w:t>
            </w:r>
            <w:r>
              <w:rPr>
                <w:color w:val="auto"/>
                <w:sz w:val="24"/>
                <w:szCs w:val="24"/>
                <w:lang w:val="en-US" w:eastAsia="zh-CN" w:bidi="ar"/>
              </w:rPr>
              <w:t>85</w:t>
            </w:r>
          </w:p>
        </w:tc>
      </w:tr>
      <w:tr w14:paraId="14C46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6" w:type="dxa"/>
            <w:vMerge w:val="continue"/>
          </w:tcPr>
          <w:p w14:paraId="59A67513">
            <w:pPr>
              <w:pStyle w:val="35"/>
              <w:widowControl w:val="0"/>
              <w:spacing w:beforeAutospacing="0" w:afterAutospacing="0"/>
              <w:jc w:val="center"/>
              <w:rPr>
                <w:color w:val="auto"/>
                <w:sz w:val="24"/>
                <w:szCs w:val="24"/>
              </w:rPr>
            </w:pPr>
          </w:p>
        </w:tc>
        <w:tc>
          <w:tcPr>
            <w:tcW w:w="2640" w:type="dxa"/>
          </w:tcPr>
          <w:p w14:paraId="31B69C09">
            <w:pPr>
              <w:widowControl w:val="0"/>
              <w:jc w:val="center"/>
              <w:rPr>
                <w:color w:val="auto"/>
                <w:sz w:val="24"/>
                <w:szCs w:val="24"/>
              </w:rPr>
            </w:pPr>
            <w:r>
              <w:rPr>
                <w:color w:val="auto"/>
                <w:sz w:val="24"/>
                <w:szCs w:val="24"/>
                <w:lang w:val="en-US" w:eastAsia="zh-CN" w:bidi="ar"/>
              </w:rPr>
              <w:t>Күріш қауызы</w:t>
            </w:r>
          </w:p>
        </w:tc>
        <w:tc>
          <w:tcPr>
            <w:tcW w:w="1512" w:type="dxa"/>
            <w:vAlign w:val="center"/>
          </w:tcPr>
          <w:p w14:paraId="42150AE6">
            <w:pPr>
              <w:widowControl w:val="0"/>
              <w:jc w:val="center"/>
              <w:rPr>
                <w:color w:val="auto"/>
                <w:sz w:val="24"/>
                <w:szCs w:val="24"/>
              </w:rPr>
            </w:pPr>
            <w:r>
              <w:rPr>
                <w:rFonts w:hint="default"/>
                <w:color w:val="auto"/>
                <w:sz w:val="24"/>
                <w:szCs w:val="24"/>
                <w:lang w:val="ru-RU" w:eastAsia="zh-CN" w:bidi="ar"/>
              </w:rPr>
              <w:t>6</w:t>
            </w:r>
            <w:r>
              <w:rPr>
                <w:color w:val="auto"/>
                <w:sz w:val="24"/>
                <w:szCs w:val="24"/>
                <w:lang w:val="en-US" w:eastAsia="zh-CN" w:bidi="ar"/>
              </w:rPr>
              <w:t>3</w:t>
            </w:r>
            <w:r>
              <w:rPr>
                <w:rFonts w:hint="default"/>
                <w:color w:val="auto"/>
                <w:sz w:val="24"/>
                <w:szCs w:val="24"/>
                <w:lang w:val="ru-RU" w:eastAsia="zh-CN" w:bidi="ar"/>
              </w:rPr>
              <w:t>,</w:t>
            </w:r>
            <w:r>
              <w:rPr>
                <w:color w:val="auto"/>
                <w:sz w:val="24"/>
                <w:szCs w:val="24"/>
                <w:lang w:val="en-US" w:eastAsia="zh-CN" w:bidi="ar"/>
              </w:rPr>
              <w:t>8±</w:t>
            </w:r>
            <w:r>
              <w:rPr>
                <w:color w:val="auto"/>
                <w:sz w:val="24"/>
                <w:szCs w:val="24"/>
                <w:lang w:val="ru-RU" w:eastAsia="zh-CN" w:bidi="ar"/>
              </w:rPr>
              <w:t>0,</w:t>
            </w:r>
            <w:r>
              <w:rPr>
                <w:color w:val="auto"/>
                <w:sz w:val="24"/>
                <w:szCs w:val="24"/>
                <w:lang w:val="en-US" w:eastAsia="zh-CN" w:bidi="ar"/>
              </w:rPr>
              <w:t>74</w:t>
            </w:r>
          </w:p>
        </w:tc>
        <w:tc>
          <w:tcPr>
            <w:tcW w:w="1663" w:type="dxa"/>
            <w:vAlign w:val="center"/>
          </w:tcPr>
          <w:p w14:paraId="5C2008B1">
            <w:pPr>
              <w:widowControl w:val="0"/>
              <w:jc w:val="center"/>
              <w:rPr>
                <w:color w:val="auto"/>
                <w:sz w:val="24"/>
                <w:szCs w:val="24"/>
              </w:rPr>
            </w:pPr>
            <w:r>
              <w:rPr>
                <w:rFonts w:hint="default"/>
                <w:color w:val="auto"/>
                <w:sz w:val="24"/>
                <w:szCs w:val="24"/>
                <w:lang w:val="ru-RU" w:eastAsia="zh-CN" w:bidi="ar"/>
              </w:rPr>
              <w:t>5</w:t>
            </w:r>
            <w:r>
              <w:rPr>
                <w:color w:val="auto"/>
                <w:sz w:val="24"/>
                <w:szCs w:val="24"/>
                <w:lang w:val="ru-RU" w:eastAsia="zh-CN" w:bidi="ar"/>
              </w:rPr>
              <w:t>8</w:t>
            </w:r>
            <w:r>
              <w:rPr>
                <w:rFonts w:hint="default"/>
                <w:color w:val="auto"/>
                <w:sz w:val="24"/>
                <w:szCs w:val="24"/>
                <w:lang w:val="ru-RU" w:eastAsia="zh-CN" w:bidi="ar"/>
              </w:rPr>
              <w:t>,</w:t>
            </w:r>
            <w:r>
              <w:rPr>
                <w:color w:val="auto"/>
                <w:sz w:val="24"/>
                <w:szCs w:val="24"/>
                <w:lang w:val="en-US" w:eastAsia="zh-CN" w:bidi="ar"/>
              </w:rPr>
              <w:t>2±1</w:t>
            </w:r>
            <w:r>
              <w:rPr>
                <w:rFonts w:hint="default"/>
                <w:color w:val="auto"/>
                <w:sz w:val="24"/>
                <w:szCs w:val="24"/>
                <w:lang w:val="ru-RU" w:eastAsia="zh-CN" w:bidi="ar"/>
              </w:rPr>
              <w:t>,</w:t>
            </w:r>
            <w:r>
              <w:rPr>
                <w:color w:val="auto"/>
                <w:sz w:val="24"/>
                <w:szCs w:val="24"/>
                <w:lang w:val="en-US" w:eastAsia="zh-CN" w:bidi="ar"/>
              </w:rPr>
              <w:t>54</w:t>
            </w:r>
          </w:p>
        </w:tc>
        <w:tc>
          <w:tcPr>
            <w:tcW w:w="1425" w:type="dxa"/>
            <w:vAlign w:val="center"/>
          </w:tcPr>
          <w:p w14:paraId="1DB931EB">
            <w:pPr>
              <w:widowControl w:val="0"/>
              <w:jc w:val="center"/>
              <w:rPr>
                <w:color w:val="auto"/>
                <w:sz w:val="24"/>
                <w:szCs w:val="24"/>
              </w:rPr>
            </w:pPr>
            <w:r>
              <w:rPr>
                <w:rFonts w:hint="default"/>
                <w:color w:val="auto"/>
                <w:sz w:val="24"/>
                <w:szCs w:val="24"/>
                <w:lang w:val="ru-RU" w:eastAsia="zh-CN" w:bidi="ar"/>
              </w:rPr>
              <w:t>3</w:t>
            </w:r>
            <w:r>
              <w:rPr>
                <w:color w:val="auto"/>
                <w:sz w:val="24"/>
                <w:szCs w:val="24"/>
                <w:lang w:val="en-US" w:eastAsia="zh-CN" w:bidi="ar"/>
              </w:rPr>
              <w:t>4</w:t>
            </w:r>
            <w:r>
              <w:rPr>
                <w:rFonts w:hint="default"/>
                <w:color w:val="auto"/>
                <w:sz w:val="24"/>
                <w:szCs w:val="24"/>
                <w:lang w:val="ru-RU" w:eastAsia="zh-CN" w:bidi="ar"/>
              </w:rPr>
              <w:t>,</w:t>
            </w:r>
            <w:r>
              <w:rPr>
                <w:color w:val="auto"/>
                <w:sz w:val="24"/>
                <w:szCs w:val="24"/>
                <w:lang w:val="en-US" w:eastAsia="zh-CN" w:bidi="ar"/>
              </w:rPr>
              <w:t>0±</w:t>
            </w:r>
            <w:r>
              <w:rPr>
                <w:color w:val="auto"/>
                <w:sz w:val="24"/>
                <w:szCs w:val="24"/>
                <w:lang w:val="ru-RU" w:eastAsia="zh-CN" w:bidi="ar"/>
              </w:rPr>
              <w:t>0,</w:t>
            </w:r>
            <w:r>
              <w:rPr>
                <w:color w:val="auto"/>
                <w:sz w:val="24"/>
                <w:szCs w:val="24"/>
                <w:lang w:val="en-US" w:eastAsia="zh-CN" w:bidi="ar"/>
              </w:rPr>
              <w:t>89</w:t>
            </w:r>
          </w:p>
        </w:tc>
      </w:tr>
      <w:tr w14:paraId="1FBFB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6" w:type="dxa"/>
            <w:vMerge w:val="continue"/>
          </w:tcPr>
          <w:p w14:paraId="417204BE">
            <w:pPr>
              <w:pStyle w:val="35"/>
              <w:widowControl w:val="0"/>
              <w:spacing w:beforeAutospacing="0" w:afterAutospacing="0"/>
              <w:jc w:val="center"/>
              <w:rPr>
                <w:color w:val="auto"/>
                <w:sz w:val="24"/>
                <w:szCs w:val="24"/>
              </w:rPr>
            </w:pPr>
          </w:p>
        </w:tc>
        <w:tc>
          <w:tcPr>
            <w:tcW w:w="2640" w:type="dxa"/>
          </w:tcPr>
          <w:p w14:paraId="7C842349">
            <w:pPr>
              <w:widowControl w:val="0"/>
              <w:jc w:val="center"/>
              <w:rPr>
                <w:color w:val="auto"/>
                <w:sz w:val="24"/>
                <w:szCs w:val="24"/>
              </w:rPr>
            </w:pPr>
            <w:r>
              <w:rPr>
                <w:color w:val="auto"/>
                <w:sz w:val="24"/>
                <w:szCs w:val="24"/>
                <w:lang w:val="en-US" w:eastAsia="zh-CN" w:bidi="ar"/>
              </w:rPr>
              <w:t>Бақылау</w:t>
            </w:r>
          </w:p>
        </w:tc>
        <w:tc>
          <w:tcPr>
            <w:tcW w:w="1512" w:type="dxa"/>
            <w:vAlign w:val="center"/>
          </w:tcPr>
          <w:p w14:paraId="03B3878C">
            <w:pPr>
              <w:widowControl w:val="0"/>
              <w:jc w:val="center"/>
              <w:rPr>
                <w:color w:val="auto"/>
                <w:sz w:val="24"/>
                <w:szCs w:val="24"/>
              </w:rPr>
            </w:pPr>
            <w:r>
              <w:rPr>
                <w:color w:val="auto"/>
                <w:sz w:val="24"/>
                <w:szCs w:val="24"/>
                <w:lang w:val="en-US" w:eastAsia="zh-CN" w:bidi="ar"/>
              </w:rPr>
              <w:t>65</w:t>
            </w:r>
            <w:r>
              <w:rPr>
                <w:rFonts w:hint="default"/>
                <w:color w:val="auto"/>
                <w:sz w:val="24"/>
                <w:szCs w:val="24"/>
                <w:lang w:val="ru-RU" w:eastAsia="zh-CN" w:bidi="ar"/>
              </w:rPr>
              <w:t>,</w:t>
            </w:r>
            <w:r>
              <w:rPr>
                <w:color w:val="auto"/>
                <w:sz w:val="24"/>
                <w:szCs w:val="24"/>
                <w:lang w:val="en-US" w:eastAsia="zh-CN" w:bidi="ar"/>
              </w:rPr>
              <w:t>6±1.25</w:t>
            </w:r>
          </w:p>
        </w:tc>
        <w:tc>
          <w:tcPr>
            <w:tcW w:w="1663" w:type="dxa"/>
            <w:vAlign w:val="center"/>
          </w:tcPr>
          <w:p w14:paraId="4CC27F98">
            <w:pPr>
              <w:widowControl w:val="0"/>
              <w:jc w:val="center"/>
              <w:rPr>
                <w:color w:val="auto"/>
                <w:sz w:val="24"/>
                <w:szCs w:val="24"/>
              </w:rPr>
            </w:pPr>
            <w:r>
              <w:rPr>
                <w:color w:val="auto"/>
                <w:sz w:val="24"/>
                <w:szCs w:val="24"/>
                <w:lang w:val="en-US" w:eastAsia="zh-CN" w:bidi="ar"/>
              </w:rPr>
              <w:t>53</w:t>
            </w:r>
            <w:r>
              <w:rPr>
                <w:rFonts w:hint="default"/>
                <w:color w:val="auto"/>
                <w:sz w:val="24"/>
                <w:szCs w:val="24"/>
                <w:lang w:val="ru-RU" w:eastAsia="zh-CN" w:bidi="ar"/>
              </w:rPr>
              <w:t>,</w:t>
            </w:r>
            <w:r>
              <w:rPr>
                <w:color w:val="auto"/>
                <w:sz w:val="24"/>
                <w:szCs w:val="24"/>
                <w:lang w:val="en-US" w:eastAsia="zh-CN" w:bidi="ar"/>
              </w:rPr>
              <w:t>6±1</w:t>
            </w:r>
            <w:r>
              <w:rPr>
                <w:rFonts w:hint="default"/>
                <w:color w:val="auto"/>
                <w:sz w:val="24"/>
                <w:szCs w:val="24"/>
                <w:lang w:val="ru-RU" w:eastAsia="zh-CN" w:bidi="ar"/>
              </w:rPr>
              <w:t>,</w:t>
            </w:r>
            <w:r>
              <w:rPr>
                <w:color w:val="auto"/>
                <w:sz w:val="24"/>
                <w:szCs w:val="24"/>
                <w:lang w:val="en-US" w:eastAsia="zh-CN" w:bidi="ar"/>
              </w:rPr>
              <w:t>28</w:t>
            </w:r>
          </w:p>
        </w:tc>
        <w:tc>
          <w:tcPr>
            <w:tcW w:w="1425" w:type="dxa"/>
            <w:vAlign w:val="center"/>
          </w:tcPr>
          <w:p w14:paraId="320CD05C">
            <w:pPr>
              <w:widowControl w:val="0"/>
              <w:jc w:val="center"/>
              <w:rPr>
                <w:color w:val="auto"/>
                <w:sz w:val="24"/>
                <w:szCs w:val="24"/>
              </w:rPr>
            </w:pPr>
            <w:r>
              <w:rPr>
                <w:color w:val="auto"/>
                <w:sz w:val="24"/>
                <w:szCs w:val="24"/>
                <w:lang w:val="en-US" w:eastAsia="zh-CN" w:bidi="ar"/>
              </w:rPr>
              <w:t>3</w:t>
            </w:r>
            <w:r>
              <w:rPr>
                <w:color w:val="auto"/>
                <w:sz w:val="24"/>
                <w:szCs w:val="24"/>
                <w:lang w:val="ru-RU" w:eastAsia="zh-CN" w:bidi="ar"/>
              </w:rPr>
              <w:t>7,</w:t>
            </w:r>
            <w:r>
              <w:rPr>
                <w:color w:val="auto"/>
                <w:sz w:val="24"/>
                <w:szCs w:val="24"/>
                <w:lang w:val="en-US" w:eastAsia="zh-CN" w:bidi="ar"/>
              </w:rPr>
              <w:t>2±</w:t>
            </w:r>
            <w:r>
              <w:rPr>
                <w:color w:val="auto"/>
                <w:sz w:val="24"/>
                <w:szCs w:val="24"/>
                <w:lang w:val="ru-RU" w:eastAsia="zh-CN" w:bidi="ar"/>
              </w:rPr>
              <w:t>0,</w:t>
            </w:r>
            <w:r>
              <w:rPr>
                <w:color w:val="auto"/>
                <w:sz w:val="24"/>
                <w:szCs w:val="24"/>
                <w:lang w:val="en-US" w:eastAsia="zh-CN" w:bidi="ar"/>
              </w:rPr>
              <w:t>95</w:t>
            </w:r>
          </w:p>
        </w:tc>
      </w:tr>
      <w:tr w14:paraId="3C104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6" w:type="dxa"/>
            <w:vMerge w:val="restart"/>
          </w:tcPr>
          <w:p w14:paraId="0B159237">
            <w:pPr>
              <w:pStyle w:val="35"/>
              <w:widowControl w:val="0"/>
              <w:spacing w:beforeAutospacing="0" w:afterAutospacing="0"/>
              <w:jc w:val="center"/>
              <w:rPr>
                <w:color w:val="auto"/>
                <w:sz w:val="24"/>
                <w:szCs w:val="24"/>
              </w:rPr>
            </w:pPr>
            <w:r>
              <w:rPr>
                <w:rStyle w:val="19"/>
                <w:b w:val="0"/>
                <w:bCs w:val="0"/>
                <w:color w:val="auto"/>
                <w:sz w:val="24"/>
                <w:szCs w:val="24"/>
              </w:rPr>
              <w:t>+32°C</w:t>
            </w:r>
          </w:p>
        </w:tc>
        <w:tc>
          <w:tcPr>
            <w:tcW w:w="2640" w:type="dxa"/>
          </w:tcPr>
          <w:p w14:paraId="17E1926F">
            <w:pPr>
              <w:widowControl w:val="0"/>
              <w:jc w:val="center"/>
              <w:rPr>
                <w:color w:val="auto"/>
                <w:sz w:val="24"/>
                <w:szCs w:val="24"/>
              </w:rPr>
            </w:pPr>
            <w:r>
              <w:rPr>
                <w:color w:val="auto"/>
                <w:sz w:val="24"/>
                <w:szCs w:val="24"/>
                <w:lang w:val="kk-KZ" w:eastAsia="zh-CN" w:bidi="ar"/>
              </w:rPr>
              <w:t>Бос клеткалар</w:t>
            </w:r>
          </w:p>
        </w:tc>
        <w:tc>
          <w:tcPr>
            <w:tcW w:w="1512" w:type="dxa"/>
            <w:vAlign w:val="center"/>
          </w:tcPr>
          <w:p w14:paraId="78331128">
            <w:pPr>
              <w:widowControl w:val="0"/>
              <w:jc w:val="center"/>
              <w:rPr>
                <w:color w:val="auto"/>
                <w:sz w:val="24"/>
                <w:szCs w:val="24"/>
              </w:rPr>
            </w:pPr>
            <w:r>
              <w:rPr>
                <w:color w:val="auto"/>
                <w:sz w:val="24"/>
                <w:szCs w:val="24"/>
                <w:lang w:val="en-US" w:eastAsia="zh-CN" w:bidi="ar"/>
              </w:rPr>
              <w:t>71</w:t>
            </w:r>
            <w:r>
              <w:rPr>
                <w:rFonts w:hint="default"/>
                <w:color w:val="auto"/>
                <w:sz w:val="24"/>
                <w:szCs w:val="24"/>
                <w:lang w:val="ru-RU" w:eastAsia="zh-CN" w:bidi="ar"/>
              </w:rPr>
              <w:t>,</w:t>
            </w:r>
            <w:r>
              <w:rPr>
                <w:color w:val="auto"/>
                <w:sz w:val="24"/>
                <w:szCs w:val="24"/>
                <w:lang w:val="en-US" w:eastAsia="zh-CN" w:bidi="ar"/>
              </w:rPr>
              <w:t>6±1.25</w:t>
            </w:r>
          </w:p>
        </w:tc>
        <w:tc>
          <w:tcPr>
            <w:tcW w:w="1663" w:type="dxa"/>
            <w:vAlign w:val="center"/>
          </w:tcPr>
          <w:p w14:paraId="5435C137">
            <w:pPr>
              <w:widowControl w:val="0"/>
              <w:jc w:val="center"/>
              <w:rPr>
                <w:color w:val="auto"/>
                <w:sz w:val="24"/>
                <w:szCs w:val="24"/>
              </w:rPr>
            </w:pPr>
            <w:r>
              <w:rPr>
                <w:color w:val="auto"/>
                <w:sz w:val="24"/>
                <w:szCs w:val="24"/>
                <w:lang w:val="en-US" w:eastAsia="zh-CN" w:bidi="ar"/>
              </w:rPr>
              <w:t>69</w:t>
            </w:r>
            <w:r>
              <w:rPr>
                <w:rFonts w:hint="default"/>
                <w:color w:val="auto"/>
                <w:sz w:val="24"/>
                <w:szCs w:val="24"/>
                <w:lang w:val="ru-RU" w:eastAsia="zh-CN" w:bidi="ar"/>
              </w:rPr>
              <w:t>,</w:t>
            </w:r>
            <w:r>
              <w:rPr>
                <w:color w:val="auto"/>
                <w:sz w:val="24"/>
                <w:szCs w:val="24"/>
                <w:lang w:val="en-US" w:eastAsia="zh-CN" w:bidi="ar"/>
              </w:rPr>
              <w:t>6±1</w:t>
            </w:r>
            <w:r>
              <w:rPr>
                <w:rFonts w:hint="default"/>
                <w:color w:val="auto"/>
                <w:sz w:val="24"/>
                <w:szCs w:val="24"/>
                <w:lang w:val="ru-RU" w:eastAsia="zh-CN" w:bidi="ar"/>
              </w:rPr>
              <w:t>,</w:t>
            </w:r>
            <w:r>
              <w:rPr>
                <w:color w:val="auto"/>
                <w:sz w:val="24"/>
                <w:szCs w:val="24"/>
                <w:lang w:val="en-US" w:eastAsia="zh-CN" w:bidi="ar"/>
              </w:rPr>
              <w:t>28</w:t>
            </w:r>
          </w:p>
        </w:tc>
        <w:tc>
          <w:tcPr>
            <w:tcW w:w="1425" w:type="dxa"/>
            <w:vAlign w:val="center"/>
          </w:tcPr>
          <w:p w14:paraId="6A8B5F5D">
            <w:pPr>
              <w:widowControl w:val="0"/>
              <w:jc w:val="center"/>
              <w:rPr>
                <w:color w:val="auto"/>
                <w:sz w:val="24"/>
                <w:szCs w:val="24"/>
              </w:rPr>
            </w:pPr>
            <w:r>
              <w:rPr>
                <w:color w:val="auto"/>
                <w:sz w:val="24"/>
                <w:szCs w:val="24"/>
                <w:lang w:val="en-US" w:eastAsia="zh-CN" w:bidi="ar"/>
              </w:rPr>
              <w:t>59</w:t>
            </w:r>
            <w:r>
              <w:rPr>
                <w:rFonts w:hint="default"/>
                <w:color w:val="auto"/>
                <w:sz w:val="24"/>
                <w:szCs w:val="24"/>
                <w:lang w:val="ru-RU" w:eastAsia="zh-CN" w:bidi="ar"/>
              </w:rPr>
              <w:t>,</w:t>
            </w:r>
            <w:r>
              <w:rPr>
                <w:color w:val="auto"/>
                <w:sz w:val="24"/>
                <w:szCs w:val="24"/>
                <w:lang w:val="en-US" w:eastAsia="zh-CN" w:bidi="ar"/>
              </w:rPr>
              <w:t>2±</w:t>
            </w:r>
            <w:r>
              <w:rPr>
                <w:color w:val="auto"/>
                <w:sz w:val="24"/>
                <w:szCs w:val="24"/>
                <w:lang w:val="ru-RU" w:eastAsia="zh-CN" w:bidi="ar"/>
              </w:rPr>
              <w:t>0,</w:t>
            </w:r>
            <w:r>
              <w:rPr>
                <w:color w:val="auto"/>
                <w:sz w:val="24"/>
                <w:szCs w:val="24"/>
                <w:lang w:val="en-US" w:eastAsia="zh-CN" w:bidi="ar"/>
              </w:rPr>
              <w:t>95</w:t>
            </w:r>
          </w:p>
        </w:tc>
      </w:tr>
      <w:tr w14:paraId="7EBB5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6" w:type="dxa"/>
            <w:vMerge w:val="continue"/>
          </w:tcPr>
          <w:p w14:paraId="35B3FA42">
            <w:pPr>
              <w:pStyle w:val="35"/>
              <w:widowControl w:val="0"/>
              <w:spacing w:beforeAutospacing="0" w:afterAutospacing="0"/>
              <w:jc w:val="center"/>
              <w:rPr>
                <w:rStyle w:val="19"/>
                <w:b w:val="0"/>
                <w:bCs w:val="0"/>
                <w:color w:val="auto"/>
                <w:sz w:val="24"/>
                <w:szCs w:val="24"/>
              </w:rPr>
            </w:pPr>
          </w:p>
        </w:tc>
        <w:tc>
          <w:tcPr>
            <w:tcW w:w="2640" w:type="dxa"/>
          </w:tcPr>
          <w:p w14:paraId="73FDFE1B">
            <w:pPr>
              <w:widowControl w:val="0"/>
              <w:jc w:val="center"/>
              <w:rPr>
                <w:color w:val="auto"/>
                <w:sz w:val="24"/>
                <w:szCs w:val="24"/>
              </w:rPr>
            </w:pPr>
            <w:r>
              <w:rPr>
                <w:color w:val="auto"/>
                <w:sz w:val="24"/>
                <w:szCs w:val="24"/>
                <w:lang w:val="en-US" w:eastAsia="zh-CN" w:bidi="ar"/>
              </w:rPr>
              <w:t>Қарақұмық қауызы</w:t>
            </w:r>
          </w:p>
        </w:tc>
        <w:tc>
          <w:tcPr>
            <w:tcW w:w="1512" w:type="dxa"/>
            <w:vAlign w:val="center"/>
          </w:tcPr>
          <w:p w14:paraId="63A5DDAD">
            <w:pPr>
              <w:widowControl w:val="0"/>
              <w:jc w:val="center"/>
              <w:rPr>
                <w:color w:val="auto"/>
                <w:sz w:val="24"/>
                <w:szCs w:val="24"/>
              </w:rPr>
            </w:pPr>
            <w:r>
              <w:rPr>
                <w:color w:val="auto"/>
                <w:sz w:val="24"/>
                <w:szCs w:val="24"/>
                <w:lang w:val="en-US" w:eastAsia="zh-CN" w:bidi="ar"/>
              </w:rPr>
              <w:t>76</w:t>
            </w:r>
            <w:r>
              <w:rPr>
                <w:rFonts w:hint="default"/>
                <w:color w:val="auto"/>
                <w:sz w:val="24"/>
                <w:szCs w:val="24"/>
                <w:lang w:val="ru-RU" w:eastAsia="zh-CN" w:bidi="ar"/>
              </w:rPr>
              <w:t>,</w:t>
            </w:r>
            <w:r>
              <w:rPr>
                <w:color w:val="auto"/>
                <w:sz w:val="24"/>
                <w:szCs w:val="24"/>
                <w:lang w:val="en-US" w:eastAsia="zh-CN" w:bidi="ar"/>
              </w:rPr>
              <w:t>2±</w:t>
            </w:r>
            <w:r>
              <w:rPr>
                <w:color w:val="auto"/>
                <w:sz w:val="24"/>
                <w:szCs w:val="24"/>
                <w:lang w:val="ru-RU" w:eastAsia="zh-CN" w:bidi="ar"/>
              </w:rPr>
              <w:t>0,</w:t>
            </w:r>
            <w:r>
              <w:rPr>
                <w:color w:val="auto"/>
                <w:sz w:val="24"/>
                <w:szCs w:val="24"/>
                <w:lang w:val="en-US" w:eastAsia="zh-CN" w:bidi="ar"/>
              </w:rPr>
              <w:t>60</w:t>
            </w:r>
          </w:p>
        </w:tc>
        <w:tc>
          <w:tcPr>
            <w:tcW w:w="1663" w:type="dxa"/>
            <w:vAlign w:val="center"/>
          </w:tcPr>
          <w:p w14:paraId="281DB51B">
            <w:pPr>
              <w:widowControl w:val="0"/>
              <w:jc w:val="center"/>
              <w:rPr>
                <w:color w:val="auto"/>
                <w:sz w:val="24"/>
                <w:szCs w:val="24"/>
              </w:rPr>
            </w:pPr>
            <w:r>
              <w:rPr>
                <w:color w:val="auto"/>
                <w:sz w:val="24"/>
                <w:szCs w:val="24"/>
                <w:lang w:val="en-US" w:eastAsia="zh-CN" w:bidi="ar"/>
              </w:rPr>
              <w:t>7</w:t>
            </w:r>
            <w:r>
              <w:rPr>
                <w:color w:val="auto"/>
                <w:sz w:val="24"/>
                <w:szCs w:val="24"/>
                <w:lang w:val="ru-RU" w:eastAsia="zh-CN" w:bidi="ar"/>
              </w:rPr>
              <w:t>3,</w:t>
            </w:r>
            <w:r>
              <w:rPr>
                <w:color w:val="auto"/>
                <w:sz w:val="24"/>
                <w:szCs w:val="24"/>
                <w:lang w:val="en-US" w:eastAsia="zh-CN" w:bidi="ar"/>
              </w:rPr>
              <w:t>2±</w:t>
            </w:r>
            <w:r>
              <w:rPr>
                <w:color w:val="auto"/>
                <w:sz w:val="24"/>
                <w:szCs w:val="24"/>
                <w:lang w:val="ru-RU" w:eastAsia="zh-CN" w:bidi="ar"/>
              </w:rPr>
              <w:t>0,</w:t>
            </w:r>
            <w:r>
              <w:rPr>
                <w:color w:val="auto"/>
                <w:sz w:val="24"/>
                <w:szCs w:val="24"/>
                <w:lang w:val="en-US" w:eastAsia="zh-CN" w:bidi="ar"/>
              </w:rPr>
              <w:t>95</w:t>
            </w:r>
          </w:p>
        </w:tc>
        <w:tc>
          <w:tcPr>
            <w:tcW w:w="1425" w:type="dxa"/>
            <w:vAlign w:val="center"/>
          </w:tcPr>
          <w:p w14:paraId="536A6B86">
            <w:pPr>
              <w:widowControl w:val="0"/>
              <w:jc w:val="center"/>
              <w:rPr>
                <w:color w:val="auto"/>
                <w:sz w:val="24"/>
                <w:szCs w:val="24"/>
              </w:rPr>
            </w:pPr>
            <w:r>
              <w:rPr>
                <w:color w:val="auto"/>
                <w:sz w:val="24"/>
                <w:szCs w:val="24"/>
                <w:lang w:val="en-US" w:eastAsia="zh-CN" w:bidi="ar"/>
              </w:rPr>
              <w:t>75</w:t>
            </w:r>
            <w:r>
              <w:rPr>
                <w:rFonts w:hint="default"/>
                <w:color w:val="auto"/>
                <w:sz w:val="24"/>
                <w:szCs w:val="24"/>
                <w:lang w:val="ru-RU" w:eastAsia="zh-CN" w:bidi="ar"/>
              </w:rPr>
              <w:t>,</w:t>
            </w:r>
            <w:r>
              <w:rPr>
                <w:color w:val="auto"/>
                <w:sz w:val="24"/>
                <w:szCs w:val="24"/>
                <w:lang w:val="en-US" w:eastAsia="zh-CN" w:bidi="ar"/>
              </w:rPr>
              <w:t>0±</w:t>
            </w:r>
            <w:r>
              <w:rPr>
                <w:color w:val="auto"/>
                <w:sz w:val="24"/>
                <w:szCs w:val="24"/>
                <w:lang w:val="ru-RU" w:eastAsia="zh-CN" w:bidi="ar"/>
              </w:rPr>
              <w:t>0,</w:t>
            </w:r>
            <w:r>
              <w:rPr>
                <w:color w:val="auto"/>
                <w:sz w:val="24"/>
                <w:szCs w:val="24"/>
                <w:lang w:val="en-US" w:eastAsia="zh-CN" w:bidi="ar"/>
              </w:rPr>
              <w:t>85</w:t>
            </w:r>
          </w:p>
        </w:tc>
      </w:tr>
      <w:tr w14:paraId="7EF8F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6" w:type="dxa"/>
            <w:vMerge w:val="continue"/>
          </w:tcPr>
          <w:p w14:paraId="79D51EE5">
            <w:pPr>
              <w:pStyle w:val="35"/>
              <w:widowControl w:val="0"/>
              <w:spacing w:beforeAutospacing="0" w:afterAutospacing="0"/>
              <w:jc w:val="center"/>
              <w:rPr>
                <w:rStyle w:val="19"/>
                <w:b w:val="0"/>
                <w:bCs w:val="0"/>
                <w:color w:val="auto"/>
                <w:sz w:val="24"/>
                <w:szCs w:val="24"/>
              </w:rPr>
            </w:pPr>
          </w:p>
        </w:tc>
        <w:tc>
          <w:tcPr>
            <w:tcW w:w="2640" w:type="dxa"/>
          </w:tcPr>
          <w:p w14:paraId="2C618331">
            <w:pPr>
              <w:widowControl w:val="0"/>
              <w:jc w:val="center"/>
              <w:rPr>
                <w:color w:val="auto"/>
                <w:sz w:val="24"/>
                <w:szCs w:val="24"/>
              </w:rPr>
            </w:pPr>
            <w:r>
              <w:rPr>
                <w:color w:val="auto"/>
                <w:sz w:val="24"/>
                <w:szCs w:val="24"/>
                <w:lang w:val="en-US" w:eastAsia="zh-CN" w:bidi="ar"/>
              </w:rPr>
              <w:t>Күріш қауызы</w:t>
            </w:r>
          </w:p>
        </w:tc>
        <w:tc>
          <w:tcPr>
            <w:tcW w:w="1512" w:type="dxa"/>
            <w:vAlign w:val="center"/>
          </w:tcPr>
          <w:p w14:paraId="5B9C5950">
            <w:pPr>
              <w:widowControl w:val="0"/>
              <w:jc w:val="center"/>
              <w:rPr>
                <w:color w:val="auto"/>
                <w:sz w:val="24"/>
                <w:szCs w:val="24"/>
              </w:rPr>
            </w:pPr>
            <w:r>
              <w:rPr>
                <w:rFonts w:hint="default"/>
                <w:color w:val="auto"/>
                <w:sz w:val="24"/>
                <w:szCs w:val="24"/>
                <w:lang w:val="ru-RU" w:eastAsia="zh-CN" w:bidi="ar"/>
              </w:rPr>
              <w:t>53,</w:t>
            </w:r>
            <w:r>
              <w:rPr>
                <w:color w:val="auto"/>
                <w:sz w:val="24"/>
                <w:szCs w:val="24"/>
                <w:lang w:val="en-US" w:eastAsia="zh-CN" w:bidi="ar"/>
              </w:rPr>
              <w:t>3±</w:t>
            </w:r>
            <w:r>
              <w:rPr>
                <w:color w:val="auto"/>
                <w:sz w:val="24"/>
                <w:szCs w:val="24"/>
                <w:lang w:val="ru-RU" w:eastAsia="zh-CN" w:bidi="ar"/>
              </w:rPr>
              <w:t>0,</w:t>
            </w:r>
            <w:r>
              <w:rPr>
                <w:color w:val="auto"/>
                <w:sz w:val="24"/>
                <w:szCs w:val="24"/>
                <w:lang w:val="en-US" w:eastAsia="zh-CN" w:bidi="ar"/>
              </w:rPr>
              <w:t>74</w:t>
            </w:r>
          </w:p>
        </w:tc>
        <w:tc>
          <w:tcPr>
            <w:tcW w:w="1663" w:type="dxa"/>
            <w:vAlign w:val="center"/>
          </w:tcPr>
          <w:p w14:paraId="4E0B0F82">
            <w:pPr>
              <w:widowControl w:val="0"/>
              <w:jc w:val="center"/>
              <w:rPr>
                <w:color w:val="auto"/>
                <w:sz w:val="24"/>
                <w:szCs w:val="24"/>
              </w:rPr>
            </w:pPr>
            <w:r>
              <w:rPr>
                <w:rFonts w:hint="default"/>
                <w:color w:val="auto"/>
                <w:sz w:val="24"/>
                <w:szCs w:val="24"/>
                <w:lang w:val="ru-RU" w:eastAsia="zh-CN" w:bidi="ar"/>
              </w:rPr>
              <w:t>48</w:t>
            </w:r>
            <w:r>
              <w:rPr>
                <w:color w:val="auto"/>
                <w:sz w:val="24"/>
                <w:szCs w:val="24"/>
                <w:lang w:val="ru-RU" w:eastAsia="zh-CN" w:bidi="ar"/>
              </w:rPr>
              <w:t>,</w:t>
            </w:r>
            <w:r>
              <w:rPr>
                <w:color w:val="auto"/>
                <w:sz w:val="24"/>
                <w:szCs w:val="24"/>
                <w:lang w:val="en-US" w:eastAsia="zh-CN" w:bidi="ar"/>
              </w:rPr>
              <w:t>2±1</w:t>
            </w:r>
            <w:r>
              <w:rPr>
                <w:rFonts w:hint="default"/>
                <w:color w:val="auto"/>
                <w:sz w:val="24"/>
                <w:szCs w:val="24"/>
                <w:lang w:val="ru-RU" w:eastAsia="zh-CN" w:bidi="ar"/>
              </w:rPr>
              <w:t>,</w:t>
            </w:r>
            <w:r>
              <w:rPr>
                <w:color w:val="auto"/>
                <w:sz w:val="24"/>
                <w:szCs w:val="24"/>
                <w:lang w:val="en-US" w:eastAsia="zh-CN" w:bidi="ar"/>
              </w:rPr>
              <w:t>54</w:t>
            </w:r>
          </w:p>
        </w:tc>
        <w:tc>
          <w:tcPr>
            <w:tcW w:w="1425" w:type="dxa"/>
            <w:vAlign w:val="center"/>
          </w:tcPr>
          <w:p w14:paraId="100413E7">
            <w:pPr>
              <w:widowControl w:val="0"/>
              <w:jc w:val="center"/>
              <w:rPr>
                <w:color w:val="auto"/>
                <w:sz w:val="24"/>
                <w:szCs w:val="24"/>
              </w:rPr>
            </w:pPr>
            <w:r>
              <w:rPr>
                <w:rFonts w:hint="default"/>
                <w:color w:val="auto"/>
                <w:sz w:val="24"/>
                <w:szCs w:val="24"/>
                <w:lang w:val="ru-RU" w:eastAsia="zh-CN" w:bidi="ar"/>
              </w:rPr>
              <w:t>35,</w:t>
            </w:r>
            <w:r>
              <w:rPr>
                <w:color w:val="auto"/>
                <w:sz w:val="24"/>
                <w:szCs w:val="24"/>
                <w:lang w:val="en-US" w:eastAsia="zh-CN" w:bidi="ar"/>
              </w:rPr>
              <w:t>0±</w:t>
            </w:r>
            <w:r>
              <w:rPr>
                <w:color w:val="auto"/>
                <w:sz w:val="24"/>
                <w:szCs w:val="24"/>
                <w:lang w:val="ru-RU" w:eastAsia="zh-CN" w:bidi="ar"/>
              </w:rPr>
              <w:t>0,</w:t>
            </w:r>
            <w:r>
              <w:rPr>
                <w:color w:val="auto"/>
                <w:sz w:val="24"/>
                <w:szCs w:val="24"/>
                <w:lang w:val="en-US" w:eastAsia="zh-CN" w:bidi="ar"/>
              </w:rPr>
              <w:t>89</w:t>
            </w:r>
          </w:p>
        </w:tc>
      </w:tr>
      <w:tr w14:paraId="51CEB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6" w:type="dxa"/>
            <w:vMerge w:val="continue"/>
          </w:tcPr>
          <w:p w14:paraId="1FFB5350">
            <w:pPr>
              <w:pStyle w:val="35"/>
              <w:widowControl w:val="0"/>
              <w:spacing w:beforeAutospacing="0" w:afterAutospacing="0"/>
              <w:jc w:val="center"/>
              <w:rPr>
                <w:rStyle w:val="19"/>
                <w:b w:val="0"/>
                <w:bCs w:val="0"/>
                <w:color w:val="auto"/>
                <w:sz w:val="24"/>
                <w:szCs w:val="24"/>
              </w:rPr>
            </w:pPr>
          </w:p>
        </w:tc>
        <w:tc>
          <w:tcPr>
            <w:tcW w:w="2640" w:type="dxa"/>
          </w:tcPr>
          <w:p w14:paraId="4A810D30">
            <w:pPr>
              <w:widowControl w:val="0"/>
              <w:jc w:val="center"/>
              <w:rPr>
                <w:color w:val="auto"/>
                <w:sz w:val="24"/>
                <w:szCs w:val="24"/>
              </w:rPr>
            </w:pPr>
            <w:r>
              <w:rPr>
                <w:color w:val="auto"/>
                <w:sz w:val="24"/>
                <w:szCs w:val="24"/>
                <w:lang w:val="en-US" w:eastAsia="zh-CN" w:bidi="ar"/>
              </w:rPr>
              <w:t>Бақылау</w:t>
            </w:r>
          </w:p>
        </w:tc>
        <w:tc>
          <w:tcPr>
            <w:tcW w:w="1512" w:type="dxa"/>
            <w:vAlign w:val="center"/>
          </w:tcPr>
          <w:p w14:paraId="058D3722">
            <w:pPr>
              <w:widowControl w:val="0"/>
              <w:jc w:val="center"/>
              <w:rPr>
                <w:color w:val="auto"/>
                <w:sz w:val="24"/>
                <w:szCs w:val="24"/>
              </w:rPr>
            </w:pPr>
            <w:r>
              <w:rPr>
                <w:color w:val="auto"/>
                <w:sz w:val="24"/>
                <w:szCs w:val="24"/>
                <w:lang w:val="ru-RU" w:eastAsia="zh-CN" w:bidi="ar"/>
              </w:rPr>
              <w:t>8,</w:t>
            </w:r>
            <w:r>
              <w:rPr>
                <w:color w:val="auto"/>
                <w:sz w:val="24"/>
                <w:szCs w:val="24"/>
                <w:lang w:val="en-US" w:eastAsia="zh-CN" w:bidi="ar"/>
              </w:rPr>
              <w:t>9±</w:t>
            </w:r>
            <w:r>
              <w:rPr>
                <w:color w:val="auto"/>
                <w:sz w:val="24"/>
                <w:szCs w:val="24"/>
                <w:lang w:val="ru-RU" w:eastAsia="zh-CN" w:bidi="ar"/>
              </w:rPr>
              <w:t>0,</w:t>
            </w:r>
            <w:r>
              <w:rPr>
                <w:color w:val="auto"/>
                <w:sz w:val="24"/>
                <w:szCs w:val="24"/>
                <w:lang w:val="en-US" w:eastAsia="zh-CN" w:bidi="ar"/>
              </w:rPr>
              <w:t>52</w:t>
            </w:r>
          </w:p>
        </w:tc>
        <w:tc>
          <w:tcPr>
            <w:tcW w:w="1663" w:type="dxa"/>
            <w:vAlign w:val="center"/>
          </w:tcPr>
          <w:p w14:paraId="5C0F07EB">
            <w:pPr>
              <w:widowControl w:val="0"/>
              <w:jc w:val="center"/>
              <w:rPr>
                <w:color w:val="auto"/>
                <w:sz w:val="24"/>
                <w:szCs w:val="24"/>
              </w:rPr>
            </w:pPr>
            <w:r>
              <w:rPr>
                <w:color w:val="auto"/>
                <w:sz w:val="24"/>
                <w:szCs w:val="24"/>
                <w:lang w:val="ru-RU" w:eastAsia="zh-CN" w:bidi="ar"/>
              </w:rPr>
              <w:t>7,</w:t>
            </w:r>
            <w:r>
              <w:rPr>
                <w:color w:val="auto"/>
                <w:sz w:val="24"/>
                <w:szCs w:val="24"/>
                <w:lang w:val="en-US" w:eastAsia="zh-CN" w:bidi="ar"/>
              </w:rPr>
              <w:t>3±</w:t>
            </w:r>
            <w:r>
              <w:rPr>
                <w:color w:val="auto"/>
                <w:sz w:val="24"/>
                <w:szCs w:val="24"/>
                <w:lang w:val="ru-RU" w:eastAsia="zh-CN" w:bidi="ar"/>
              </w:rPr>
              <w:t>0,</w:t>
            </w:r>
            <w:r>
              <w:rPr>
                <w:color w:val="auto"/>
                <w:sz w:val="24"/>
                <w:szCs w:val="24"/>
                <w:lang w:val="en-US" w:eastAsia="zh-CN" w:bidi="ar"/>
              </w:rPr>
              <w:t>27</w:t>
            </w:r>
          </w:p>
        </w:tc>
        <w:tc>
          <w:tcPr>
            <w:tcW w:w="1425" w:type="dxa"/>
            <w:vAlign w:val="center"/>
          </w:tcPr>
          <w:p w14:paraId="3F1C5FEE">
            <w:pPr>
              <w:widowControl w:val="0"/>
              <w:jc w:val="center"/>
              <w:rPr>
                <w:color w:val="auto"/>
                <w:sz w:val="24"/>
                <w:szCs w:val="24"/>
              </w:rPr>
            </w:pPr>
            <w:r>
              <w:rPr>
                <w:color w:val="auto"/>
                <w:sz w:val="24"/>
                <w:szCs w:val="24"/>
                <w:lang w:val="en-US" w:eastAsia="zh-CN" w:bidi="ar"/>
              </w:rPr>
              <w:t>6</w:t>
            </w:r>
            <w:r>
              <w:rPr>
                <w:rFonts w:hint="default"/>
                <w:color w:val="auto"/>
                <w:sz w:val="24"/>
                <w:szCs w:val="24"/>
                <w:lang w:val="ru-RU" w:eastAsia="zh-CN" w:bidi="ar"/>
              </w:rPr>
              <w:t>,</w:t>
            </w:r>
            <w:r>
              <w:rPr>
                <w:color w:val="auto"/>
                <w:sz w:val="24"/>
                <w:szCs w:val="24"/>
                <w:lang w:val="en-US" w:eastAsia="zh-CN" w:bidi="ar"/>
              </w:rPr>
              <w:t>8±</w:t>
            </w:r>
            <w:r>
              <w:rPr>
                <w:color w:val="auto"/>
                <w:sz w:val="24"/>
                <w:szCs w:val="24"/>
                <w:lang w:val="ru-RU" w:eastAsia="zh-CN" w:bidi="ar"/>
              </w:rPr>
              <w:t>0,</w:t>
            </w:r>
            <w:r>
              <w:rPr>
                <w:color w:val="auto"/>
                <w:sz w:val="24"/>
                <w:szCs w:val="24"/>
                <w:lang w:val="en-US" w:eastAsia="zh-CN" w:bidi="ar"/>
              </w:rPr>
              <w:t>18</w:t>
            </w:r>
          </w:p>
        </w:tc>
      </w:tr>
      <w:tr w14:paraId="7CD2A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6" w:type="dxa"/>
            <w:vMerge w:val="restart"/>
          </w:tcPr>
          <w:p w14:paraId="73ED3565">
            <w:pPr>
              <w:pStyle w:val="35"/>
              <w:widowControl w:val="0"/>
              <w:spacing w:beforeAutospacing="0" w:afterAutospacing="0"/>
              <w:jc w:val="center"/>
              <w:rPr>
                <w:rStyle w:val="19"/>
                <w:b w:val="0"/>
                <w:bCs w:val="0"/>
                <w:color w:val="auto"/>
                <w:sz w:val="24"/>
                <w:szCs w:val="24"/>
              </w:rPr>
            </w:pPr>
            <w:r>
              <w:rPr>
                <w:rStyle w:val="19"/>
                <w:b w:val="0"/>
                <w:bCs w:val="0"/>
                <w:color w:val="auto"/>
                <w:sz w:val="24"/>
                <w:szCs w:val="24"/>
              </w:rPr>
              <w:t>+42°C</w:t>
            </w:r>
          </w:p>
        </w:tc>
        <w:tc>
          <w:tcPr>
            <w:tcW w:w="2640" w:type="dxa"/>
          </w:tcPr>
          <w:p w14:paraId="2AA558C4">
            <w:pPr>
              <w:widowControl w:val="0"/>
              <w:jc w:val="center"/>
              <w:rPr>
                <w:color w:val="auto"/>
                <w:sz w:val="24"/>
                <w:szCs w:val="24"/>
              </w:rPr>
            </w:pPr>
            <w:r>
              <w:rPr>
                <w:color w:val="auto"/>
                <w:sz w:val="24"/>
                <w:szCs w:val="24"/>
                <w:lang w:val="kk-KZ" w:eastAsia="zh-CN" w:bidi="ar"/>
              </w:rPr>
              <w:t>Бос клеткалар</w:t>
            </w:r>
          </w:p>
        </w:tc>
        <w:tc>
          <w:tcPr>
            <w:tcW w:w="1512" w:type="dxa"/>
            <w:vAlign w:val="center"/>
          </w:tcPr>
          <w:p w14:paraId="145BF9A0">
            <w:pPr>
              <w:widowControl w:val="0"/>
              <w:jc w:val="center"/>
              <w:rPr>
                <w:color w:val="auto"/>
                <w:sz w:val="24"/>
                <w:szCs w:val="24"/>
              </w:rPr>
            </w:pPr>
            <w:r>
              <w:rPr>
                <w:color w:val="auto"/>
                <w:sz w:val="24"/>
                <w:szCs w:val="24"/>
                <w:lang w:val="en-US" w:eastAsia="zh-CN" w:bidi="ar"/>
              </w:rPr>
              <w:t>7</w:t>
            </w:r>
            <w:r>
              <w:rPr>
                <w:color w:val="auto"/>
                <w:sz w:val="24"/>
                <w:szCs w:val="24"/>
                <w:lang w:val="ru-RU" w:eastAsia="zh-CN" w:bidi="ar"/>
              </w:rPr>
              <w:t>8,</w:t>
            </w:r>
            <w:r>
              <w:rPr>
                <w:color w:val="auto"/>
                <w:sz w:val="24"/>
                <w:szCs w:val="24"/>
                <w:lang w:val="en-US" w:eastAsia="zh-CN" w:bidi="ar"/>
              </w:rPr>
              <w:t>6±1.25</w:t>
            </w:r>
          </w:p>
        </w:tc>
        <w:tc>
          <w:tcPr>
            <w:tcW w:w="1663" w:type="dxa"/>
            <w:vAlign w:val="center"/>
          </w:tcPr>
          <w:p w14:paraId="1B34462A">
            <w:pPr>
              <w:widowControl w:val="0"/>
              <w:jc w:val="center"/>
              <w:rPr>
                <w:color w:val="auto"/>
                <w:sz w:val="24"/>
                <w:szCs w:val="24"/>
              </w:rPr>
            </w:pPr>
            <w:r>
              <w:rPr>
                <w:color w:val="auto"/>
                <w:sz w:val="24"/>
                <w:szCs w:val="24"/>
                <w:lang w:val="en-US" w:eastAsia="zh-CN" w:bidi="ar"/>
              </w:rPr>
              <w:t>4</w:t>
            </w:r>
            <w:r>
              <w:rPr>
                <w:color w:val="auto"/>
                <w:sz w:val="24"/>
                <w:szCs w:val="24"/>
                <w:lang w:val="ru-RU" w:eastAsia="zh-CN" w:bidi="ar"/>
              </w:rPr>
              <w:t>8,</w:t>
            </w:r>
            <w:r>
              <w:rPr>
                <w:color w:val="auto"/>
                <w:sz w:val="24"/>
                <w:szCs w:val="24"/>
                <w:lang w:val="en-US" w:eastAsia="zh-CN" w:bidi="ar"/>
              </w:rPr>
              <w:t>6±1.28</w:t>
            </w:r>
          </w:p>
        </w:tc>
        <w:tc>
          <w:tcPr>
            <w:tcW w:w="1425" w:type="dxa"/>
            <w:vAlign w:val="center"/>
          </w:tcPr>
          <w:p w14:paraId="08CA7558">
            <w:pPr>
              <w:widowControl w:val="0"/>
              <w:jc w:val="center"/>
              <w:rPr>
                <w:color w:val="auto"/>
                <w:sz w:val="24"/>
                <w:szCs w:val="24"/>
              </w:rPr>
            </w:pPr>
            <w:r>
              <w:rPr>
                <w:color w:val="auto"/>
                <w:sz w:val="24"/>
                <w:szCs w:val="24"/>
                <w:lang w:val="en-US" w:eastAsia="zh-CN" w:bidi="ar"/>
              </w:rPr>
              <w:t>3</w:t>
            </w:r>
            <w:r>
              <w:rPr>
                <w:color w:val="auto"/>
                <w:sz w:val="24"/>
                <w:szCs w:val="24"/>
                <w:lang w:val="ru-RU" w:eastAsia="zh-CN" w:bidi="ar"/>
              </w:rPr>
              <w:t>7,</w:t>
            </w:r>
            <w:r>
              <w:rPr>
                <w:color w:val="auto"/>
                <w:sz w:val="24"/>
                <w:szCs w:val="24"/>
                <w:lang w:val="en-US" w:eastAsia="zh-CN" w:bidi="ar"/>
              </w:rPr>
              <w:t>2±</w:t>
            </w:r>
            <w:r>
              <w:rPr>
                <w:color w:val="auto"/>
                <w:sz w:val="24"/>
                <w:szCs w:val="24"/>
                <w:lang w:val="ru-RU" w:eastAsia="zh-CN" w:bidi="ar"/>
              </w:rPr>
              <w:t>0,</w:t>
            </w:r>
            <w:r>
              <w:rPr>
                <w:color w:val="auto"/>
                <w:sz w:val="24"/>
                <w:szCs w:val="24"/>
                <w:lang w:val="en-US" w:eastAsia="zh-CN" w:bidi="ar"/>
              </w:rPr>
              <w:t>95</w:t>
            </w:r>
          </w:p>
        </w:tc>
      </w:tr>
      <w:tr w14:paraId="7E03F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6" w:type="dxa"/>
            <w:vMerge w:val="continue"/>
          </w:tcPr>
          <w:p w14:paraId="07BCFF21">
            <w:pPr>
              <w:pStyle w:val="35"/>
              <w:widowControl w:val="0"/>
              <w:spacing w:beforeAutospacing="0" w:afterAutospacing="0"/>
              <w:jc w:val="center"/>
              <w:rPr>
                <w:rStyle w:val="19"/>
                <w:b w:val="0"/>
                <w:bCs w:val="0"/>
                <w:color w:val="auto"/>
                <w:sz w:val="24"/>
                <w:szCs w:val="24"/>
              </w:rPr>
            </w:pPr>
          </w:p>
        </w:tc>
        <w:tc>
          <w:tcPr>
            <w:tcW w:w="2640" w:type="dxa"/>
          </w:tcPr>
          <w:p w14:paraId="03091683">
            <w:pPr>
              <w:widowControl w:val="0"/>
              <w:jc w:val="center"/>
              <w:rPr>
                <w:color w:val="auto"/>
                <w:sz w:val="24"/>
                <w:szCs w:val="24"/>
              </w:rPr>
            </w:pPr>
            <w:r>
              <w:rPr>
                <w:color w:val="auto"/>
                <w:sz w:val="24"/>
                <w:szCs w:val="24"/>
                <w:lang w:val="en-US" w:eastAsia="zh-CN" w:bidi="ar"/>
              </w:rPr>
              <w:t>Қарақұмық қауызы</w:t>
            </w:r>
          </w:p>
        </w:tc>
        <w:tc>
          <w:tcPr>
            <w:tcW w:w="1512" w:type="dxa"/>
            <w:vAlign w:val="center"/>
          </w:tcPr>
          <w:p w14:paraId="269EC198">
            <w:pPr>
              <w:widowControl w:val="0"/>
              <w:jc w:val="center"/>
              <w:rPr>
                <w:color w:val="auto"/>
                <w:sz w:val="24"/>
                <w:szCs w:val="24"/>
              </w:rPr>
            </w:pPr>
            <w:r>
              <w:rPr>
                <w:color w:val="auto"/>
                <w:sz w:val="24"/>
                <w:szCs w:val="24"/>
                <w:lang w:val="en-US" w:eastAsia="zh-CN" w:bidi="ar"/>
              </w:rPr>
              <w:t>71</w:t>
            </w:r>
            <w:r>
              <w:rPr>
                <w:rFonts w:hint="default"/>
                <w:color w:val="auto"/>
                <w:sz w:val="24"/>
                <w:szCs w:val="24"/>
                <w:lang w:val="ru-RU" w:eastAsia="zh-CN" w:bidi="ar"/>
              </w:rPr>
              <w:t>,</w:t>
            </w:r>
            <w:r>
              <w:rPr>
                <w:color w:val="auto"/>
                <w:sz w:val="24"/>
                <w:szCs w:val="24"/>
                <w:lang w:val="en-US" w:eastAsia="zh-CN" w:bidi="ar"/>
              </w:rPr>
              <w:t>2±</w:t>
            </w:r>
            <w:r>
              <w:rPr>
                <w:color w:val="auto"/>
                <w:sz w:val="24"/>
                <w:szCs w:val="24"/>
                <w:lang w:val="ru-RU" w:eastAsia="zh-CN" w:bidi="ar"/>
              </w:rPr>
              <w:t>0,</w:t>
            </w:r>
            <w:r>
              <w:rPr>
                <w:color w:val="auto"/>
                <w:sz w:val="24"/>
                <w:szCs w:val="24"/>
                <w:lang w:val="en-US" w:eastAsia="zh-CN" w:bidi="ar"/>
              </w:rPr>
              <w:t>60</w:t>
            </w:r>
          </w:p>
        </w:tc>
        <w:tc>
          <w:tcPr>
            <w:tcW w:w="1663" w:type="dxa"/>
            <w:vAlign w:val="center"/>
          </w:tcPr>
          <w:p w14:paraId="31B721D9">
            <w:pPr>
              <w:widowControl w:val="0"/>
              <w:jc w:val="center"/>
              <w:rPr>
                <w:color w:val="auto"/>
                <w:sz w:val="24"/>
                <w:szCs w:val="24"/>
              </w:rPr>
            </w:pPr>
            <w:r>
              <w:rPr>
                <w:color w:val="auto"/>
                <w:sz w:val="24"/>
                <w:szCs w:val="24"/>
                <w:lang w:val="en-US" w:eastAsia="zh-CN" w:bidi="ar"/>
              </w:rPr>
              <w:t>6</w:t>
            </w:r>
            <w:r>
              <w:rPr>
                <w:color w:val="auto"/>
                <w:sz w:val="24"/>
                <w:szCs w:val="24"/>
                <w:lang w:val="ru-RU" w:eastAsia="zh-CN" w:bidi="ar"/>
              </w:rPr>
              <w:t>7,</w:t>
            </w:r>
            <w:r>
              <w:rPr>
                <w:color w:val="auto"/>
                <w:sz w:val="24"/>
                <w:szCs w:val="24"/>
                <w:lang w:val="en-US" w:eastAsia="zh-CN" w:bidi="ar"/>
              </w:rPr>
              <w:t>2±</w:t>
            </w:r>
            <w:r>
              <w:rPr>
                <w:color w:val="auto"/>
                <w:sz w:val="24"/>
                <w:szCs w:val="24"/>
                <w:lang w:val="ru-RU" w:eastAsia="zh-CN" w:bidi="ar"/>
              </w:rPr>
              <w:t>0,</w:t>
            </w:r>
            <w:r>
              <w:rPr>
                <w:color w:val="auto"/>
                <w:sz w:val="24"/>
                <w:szCs w:val="24"/>
                <w:lang w:val="en-US" w:eastAsia="zh-CN" w:bidi="ar"/>
              </w:rPr>
              <w:t>95</w:t>
            </w:r>
          </w:p>
        </w:tc>
        <w:tc>
          <w:tcPr>
            <w:tcW w:w="1425" w:type="dxa"/>
            <w:vAlign w:val="center"/>
          </w:tcPr>
          <w:p w14:paraId="6C4C922A">
            <w:pPr>
              <w:widowControl w:val="0"/>
              <w:jc w:val="center"/>
              <w:rPr>
                <w:color w:val="auto"/>
                <w:sz w:val="24"/>
                <w:szCs w:val="24"/>
              </w:rPr>
            </w:pPr>
            <w:r>
              <w:rPr>
                <w:color w:val="auto"/>
                <w:sz w:val="24"/>
                <w:szCs w:val="24"/>
                <w:lang w:val="en-US" w:eastAsia="zh-CN" w:bidi="ar"/>
              </w:rPr>
              <w:t>54</w:t>
            </w:r>
            <w:r>
              <w:rPr>
                <w:rFonts w:hint="default"/>
                <w:color w:val="auto"/>
                <w:sz w:val="24"/>
                <w:szCs w:val="24"/>
                <w:lang w:val="ru-RU" w:eastAsia="zh-CN" w:bidi="ar"/>
              </w:rPr>
              <w:t>,</w:t>
            </w:r>
            <w:r>
              <w:rPr>
                <w:color w:val="auto"/>
                <w:sz w:val="24"/>
                <w:szCs w:val="24"/>
                <w:lang w:val="en-US" w:eastAsia="zh-CN" w:bidi="ar"/>
              </w:rPr>
              <w:t>0±</w:t>
            </w:r>
            <w:r>
              <w:rPr>
                <w:color w:val="auto"/>
                <w:sz w:val="24"/>
                <w:szCs w:val="24"/>
                <w:lang w:val="ru-RU" w:eastAsia="zh-CN" w:bidi="ar"/>
              </w:rPr>
              <w:t>0,</w:t>
            </w:r>
            <w:r>
              <w:rPr>
                <w:color w:val="auto"/>
                <w:sz w:val="24"/>
                <w:szCs w:val="24"/>
                <w:lang w:val="en-US" w:eastAsia="zh-CN" w:bidi="ar"/>
              </w:rPr>
              <w:t>85</w:t>
            </w:r>
          </w:p>
        </w:tc>
      </w:tr>
      <w:tr w14:paraId="53953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6" w:type="dxa"/>
            <w:vMerge w:val="continue"/>
          </w:tcPr>
          <w:p w14:paraId="2A04DD7E">
            <w:pPr>
              <w:pStyle w:val="35"/>
              <w:widowControl w:val="0"/>
              <w:spacing w:beforeAutospacing="0" w:afterAutospacing="0"/>
              <w:jc w:val="center"/>
              <w:rPr>
                <w:rStyle w:val="19"/>
                <w:b w:val="0"/>
                <w:bCs w:val="0"/>
                <w:color w:val="auto"/>
                <w:sz w:val="24"/>
                <w:szCs w:val="24"/>
              </w:rPr>
            </w:pPr>
          </w:p>
        </w:tc>
        <w:tc>
          <w:tcPr>
            <w:tcW w:w="2640" w:type="dxa"/>
          </w:tcPr>
          <w:p w14:paraId="5988BEE2">
            <w:pPr>
              <w:widowControl w:val="0"/>
              <w:jc w:val="center"/>
              <w:rPr>
                <w:color w:val="auto"/>
                <w:sz w:val="24"/>
                <w:szCs w:val="24"/>
              </w:rPr>
            </w:pPr>
            <w:r>
              <w:rPr>
                <w:color w:val="auto"/>
                <w:sz w:val="24"/>
                <w:szCs w:val="24"/>
                <w:lang w:val="en-US" w:eastAsia="zh-CN" w:bidi="ar"/>
              </w:rPr>
              <w:t>Күріш қауызы</w:t>
            </w:r>
          </w:p>
        </w:tc>
        <w:tc>
          <w:tcPr>
            <w:tcW w:w="1512" w:type="dxa"/>
            <w:vAlign w:val="center"/>
          </w:tcPr>
          <w:p w14:paraId="33ED782B">
            <w:pPr>
              <w:widowControl w:val="0"/>
              <w:jc w:val="center"/>
              <w:rPr>
                <w:color w:val="auto"/>
                <w:sz w:val="24"/>
                <w:szCs w:val="24"/>
              </w:rPr>
            </w:pPr>
            <w:r>
              <w:rPr>
                <w:rFonts w:hint="default"/>
                <w:color w:val="auto"/>
                <w:sz w:val="24"/>
                <w:szCs w:val="24"/>
                <w:lang w:val="ru-RU" w:eastAsia="zh-CN" w:bidi="ar"/>
              </w:rPr>
              <w:t>63,</w:t>
            </w:r>
            <w:r>
              <w:rPr>
                <w:color w:val="auto"/>
                <w:sz w:val="24"/>
                <w:szCs w:val="24"/>
                <w:lang w:val="en-US" w:eastAsia="zh-CN" w:bidi="ar"/>
              </w:rPr>
              <w:t>5±</w:t>
            </w:r>
            <w:r>
              <w:rPr>
                <w:color w:val="auto"/>
                <w:sz w:val="24"/>
                <w:szCs w:val="24"/>
                <w:lang w:val="ru-RU" w:eastAsia="zh-CN" w:bidi="ar"/>
              </w:rPr>
              <w:t>0,</w:t>
            </w:r>
            <w:r>
              <w:rPr>
                <w:color w:val="auto"/>
                <w:sz w:val="24"/>
                <w:szCs w:val="24"/>
                <w:lang w:val="en-US" w:eastAsia="zh-CN" w:bidi="ar"/>
              </w:rPr>
              <w:t>74</w:t>
            </w:r>
          </w:p>
        </w:tc>
        <w:tc>
          <w:tcPr>
            <w:tcW w:w="1663" w:type="dxa"/>
            <w:vAlign w:val="center"/>
          </w:tcPr>
          <w:p w14:paraId="4239DD00">
            <w:pPr>
              <w:widowControl w:val="0"/>
              <w:jc w:val="center"/>
              <w:rPr>
                <w:color w:val="auto"/>
                <w:sz w:val="24"/>
                <w:szCs w:val="24"/>
              </w:rPr>
            </w:pPr>
            <w:r>
              <w:rPr>
                <w:rFonts w:hint="default"/>
                <w:color w:val="auto"/>
                <w:sz w:val="24"/>
                <w:szCs w:val="24"/>
                <w:lang w:val="ru-RU" w:eastAsia="zh-CN" w:bidi="ar"/>
              </w:rPr>
              <w:t>54,</w:t>
            </w:r>
            <w:r>
              <w:rPr>
                <w:color w:val="auto"/>
                <w:sz w:val="24"/>
                <w:szCs w:val="24"/>
                <w:lang w:val="en-US" w:eastAsia="zh-CN" w:bidi="ar"/>
              </w:rPr>
              <w:t>3±1.54</w:t>
            </w:r>
          </w:p>
        </w:tc>
        <w:tc>
          <w:tcPr>
            <w:tcW w:w="1425" w:type="dxa"/>
            <w:vAlign w:val="center"/>
          </w:tcPr>
          <w:p w14:paraId="072A01B7">
            <w:pPr>
              <w:widowControl w:val="0"/>
              <w:jc w:val="center"/>
              <w:rPr>
                <w:color w:val="auto"/>
                <w:sz w:val="24"/>
                <w:szCs w:val="24"/>
              </w:rPr>
            </w:pPr>
            <w:r>
              <w:rPr>
                <w:rFonts w:hint="default"/>
                <w:color w:val="auto"/>
                <w:sz w:val="24"/>
                <w:szCs w:val="24"/>
                <w:lang w:val="ru-RU" w:eastAsia="zh-CN" w:bidi="ar"/>
              </w:rPr>
              <w:t>38,</w:t>
            </w:r>
            <w:r>
              <w:rPr>
                <w:color w:val="auto"/>
                <w:sz w:val="24"/>
                <w:szCs w:val="24"/>
                <w:lang w:val="en-US" w:eastAsia="zh-CN" w:bidi="ar"/>
              </w:rPr>
              <w:t>4±</w:t>
            </w:r>
            <w:r>
              <w:rPr>
                <w:color w:val="auto"/>
                <w:sz w:val="24"/>
                <w:szCs w:val="24"/>
                <w:lang w:val="ru-RU" w:eastAsia="zh-CN" w:bidi="ar"/>
              </w:rPr>
              <w:t>0,</w:t>
            </w:r>
            <w:r>
              <w:rPr>
                <w:color w:val="auto"/>
                <w:sz w:val="24"/>
                <w:szCs w:val="24"/>
                <w:lang w:val="en-US" w:eastAsia="zh-CN" w:bidi="ar"/>
              </w:rPr>
              <w:t>89</w:t>
            </w:r>
          </w:p>
        </w:tc>
      </w:tr>
      <w:tr w14:paraId="30D10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16" w:type="dxa"/>
            <w:vMerge w:val="continue"/>
          </w:tcPr>
          <w:p w14:paraId="4C4D4A66">
            <w:pPr>
              <w:pStyle w:val="35"/>
              <w:widowControl w:val="0"/>
              <w:spacing w:beforeAutospacing="0" w:afterAutospacing="0"/>
              <w:jc w:val="center"/>
              <w:rPr>
                <w:rStyle w:val="19"/>
                <w:b w:val="0"/>
                <w:bCs w:val="0"/>
                <w:color w:val="auto"/>
                <w:sz w:val="24"/>
                <w:szCs w:val="24"/>
              </w:rPr>
            </w:pPr>
          </w:p>
        </w:tc>
        <w:tc>
          <w:tcPr>
            <w:tcW w:w="2640" w:type="dxa"/>
          </w:tcPr>
          <w:p w14:paraId="68477555">
            <w:pPr>
              <w:widowControl w:val="0"/>
              <w:jc w:val="center"/>
              <w:rPr>
                <w:color w:val="auto"/>
                <w:sz w:val="24"/>
                <w:szCs w:val="24"/>
              </w:rPr>
            </w:pPr>
            <w:r>
              <w:rPr>
                <w:color w:val="auto"/>
                <w:sz w:val="24"/>
                <w:szCs w:val="24"/>
                <w:lang w:val="en-US" w:eastAsia="zh-CN" w:bidi="ar"/>
              </w:rPr>
              <w:t>Бақылау</w:t>
            </w:r>
          </w:p>
        </w:tc>
        <w:tc>
          <w:tcPr>
            <w:tcW w:w="1512" w:type="dxa"/>
            <w:vAlign w:val="center"/>
          </w:tcPr>
          <w:p w14:paraId="3462ACB7">
            <w:pPr>
              <w:widowControl w:val="0"/>
              <w:jc w:val="center"/>
              <w:rPr>
                <w:color w:val="auto"/>
                <w:sz w:val="24"/>
                <w:szCs w:val="24"/>
              </w:rPr>
            </w:pPr>
            <w:r>
              <w:rPr>
                <w:color w:val="auto"/>
                <w:sz w:val="24"/>
                <w:szCs w:val="24"/>
                <w:lang w:val="en-US" w:eastAsia="zh-CN" w:bidi="ar"/>
              </w:rPr>
              <w:t>1</w:t>
            </w:r>
            <w:r>
              <w:rPr>
                <w:color w:val="auto"/>
                <w:sz w:val="24"/>
                <w:szCs w:val="24"/>
                <w:lang w:val="ru-RU" w:eastAsia="zh-CN" w:bidi="ar"/>
              </w:rPr>
              <w:t>0,</w:t>
            </w:r>
            <w:r>
              <w:rPr>
                <w:color w:val="auto"/>
                <w:sz w:val="24"/>
                <w:szCs w:val="24"/>
                <w:lang w:val="en-US" w:eastAsia="zh-CN" w:bidi="ar"/>
              </w:rPr>
              <w:t>7±</w:t>
            </w:r>
            <w:r>
              <w:rPr>
                <w:color w:val="auto"/>
                <w:sz w:val="24"/>
                <w:szCs w:val="24"/>
                <w:lang w:val="ru-RU" w:eastAsia="zh-CN" w:bidi="ar"/>
              </w:rPr>
              <w:t>0,</w:t>
            </w:r>
            <w:r>
              <w:rPr>
                <w:color w:val="auto"/>
                <w:sz w:val="24"/>
                <w:szCs w:val="24"/>
                <w:lang w:val="en-US" w:eastAsia="zh-CN" w:bidi="ar"/>
              </w:rPr>
              <w:t>52</w:t>
            </w:r>
          </w:p>
        </w:tc>
        <w:tc>
          <w:tcPr>
            <w:tcW w:w="1663" w:type="dxa"/>
            <w:vAlign w:val="center"/>
          </w:tcPr>
          <w:p w14:paraId="079DD0AB">
            <w:pPr>
              <w:widowControl w:val="0"/>
              <w:jc w:val="center"/>
              <w:rPr>
                <w:color w:val="auto"/>
                <w:sz w:val="24"/>
                <w:szCs w:val="24"/>
              </w:rPr>
            </w:pPr>
            <w:r>
              <w:rPr>
                <w:color w:val="auto"/>
                <w:sz w:val="24"/>
                <w:szCs w:val="24"/>
                <w:lang w:val="ru-RU" w:eastAsia="zh-CN" w:bidi="ar"/>
              </w:rPr>
              <w:t>8,</w:t>
            </w:r>
            <w:r>
              <w:rPr>
                <w:color w:val="auto"/>
                <w:sz w:val="24"/>
                <w:szCs w:val="24"/>
                <w:lang w:val="en-US" w:eastAsia="zh-CN" w:bidi="ar"/>
              </w:rPr>
              <w:t>3±</w:t>
            </w:r>
            <w:r>
              <w:rPr>
                <w:color w:val="auto"/>
                <w:sz w:val="24"/>
                <w:szCs w:val="24"/>
                <w:lang w:val="ru-RU" w:eastAsia="zh-CN" w:bidi="ar"/>
              </w:rPr>
              <w:t>0,</w:t>
            </w:r>
            <w:r>
              <w:rPr>
                <w:color w:val="auto"/>
                <w:sz w:val="24"/>
                <w:szCs w:val="24"/>
                <w:lang w:val="en-US" w:eastAsia="zh-CN" w:bidi="ar"/>
              </w:rPr>
              <w:t>27</w:t>
            </w:r>
          </w:p>
        </w:tc>
        <w:tc>
          <w:tcPr>
            <w:tcW w:w="1425" w:type="dxa"/>
            <w:vAlign w:val="center"/>
          </w:tcPr>
          <w:p w14:paraId="0C8C9FCE">
            <w:pPr>
              <w:widowControl w:val="0"/>
              <w:jc w:val="center"/>
              <w:rPr>
                <w:color w:val="auto"/>
                <w:sz w:val="24"/>
                <w:szCs w:val="24"/>
              </w:rPr>
            </w:pPr>
            <w:r>
              <w:rPr>
                <w:color w:val="auto"/>
                <w:sz w:val="24"/>
                <w:szCs w:val="24"/>
                <w:lang w:val="en-US" w:eastAsia="zh-CN" w:bidi="ar"/>
              </w:rPr>
              <w:t>6</w:t>
            </w:r>
            <w:r>
              <w:rPr>
                <w:rFonts w:hint="default"/>
                <w:color w:val="auto"/>
                <w:sz w:val="24"/>
                <w:szCs w:val="24"/>
                <w:lang w:val="ru-RU" w:eastAsia="zh-CN" w:bidi="ar"/>
              </w:rPr>
              <w:t>,</w:t>
            </w:r>
            <w:r>
              <w:rPr>
                <w:color w:val="auto"/>
                <w:sz w:val="24"/>
                <w:szCs w:val="24"/>
                <w:lang w:val="en-US" w:eastAsia="zh-CN" w:bidi="ar"/>
              </w:rPr>
              <w:t>8±</w:t>
            </w:r>
            <w:r>
              <w:rPr>
                <w:color w:val="auto"/>
                <w:sz w:val="24"/>
                <w:szCs w:val="24"/>
                <w:lang w:val="ru-RU" w:eastAsia="zh-CN" w:bidi="ar"/>
              </w:rPr>
              <w:t>0,</w:t>
            </w:r>
            <w:r>
              <w:rPr>
                <w:color w:val="auto"/>
                <w:sz w:val="24"/>
                <w:szCs w:val="24"/>
                <w:lang w:val="en-US" w:eastAsia="zh-CN" w:bidi="ar"/>
              </w:rPr>
              <w:t>18</w:t>
            </w:r>
          </w:p>
        </w:tc>
      </w:tr>
    </w:tbl>
    <w:p w14:paraId="1150EF99">
      <w:pPr>
        <w:pStyle w:val="35"/>
        <w:spacing w:beforeAutospacing="0" w:afterAutospacing="0"/>
        <w:ind w:firstLine="709"/>
        <w:jc w:val="both"/>
        <w:rPr>
          <w:color w:val="auto"/>
          <w:sz w:val="28"/>
          <w:szCs w:val="28"/>
        </w:rPr>
      </w:pPr>
    </w:p>
    <w:p w14:paraId="4CD08AC1">
      <w:pPr>
        <w:pStyle w:val="3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709" w:firstLineChars="0"/>
        <w:jc w:val="both"/>
        <w:textAlignment w:val="auto"/>
        <w:rPr>
          <w:rFonts w:hint="default" w:ascii="Times New Roman" w:hAnsi="Times New Roman" w:cs="Times New Roman"/>
          <w:b w:val="0"/>
          <w:bCs w:val="0"/>
          <w:color w:val="auto"/>
          <w:sz w:val="28"/>
          <w:szCs w:val="28"/>
        </w:rPr>
      </w:pPr>
      <w:r>
        <w:rPr>
          <w:rFonts w:hint="default" w:ascii="Times New Roman" w:hAnsi="Times New Roman" w:cs="Times New Roman"/>
          <w:b w:val="0"/>
          <w:bCs w:val="0"/>
          <w:color w:val="auto"/>
          <w:sz w:val="28"/>
          <w:szCs w:val="28"/>
        </w:rPr>
        <w:t>Экстремалды жағдайлардың әсерін бағалау мақсатында тұздылық (3%, 5%, 10% NaCl) пен температура (+4°C, +32°C, +42°C) факторларының комбинациялары зерттелді. Деструкция тиімділігінің ең айқын төмендеуі бос бактериялық жасушаларда байқалды: 10% NaCl концентрациясында барлық температуралық режимдерде тиімділік 37,2%-ға дейін төмендеді [1</w:t>
      </w:r>
      <w:r>
        <w:rPr>
          <w:rFonts w:hint="default" w:cs="Times New Roman"/>
          <w:b w:val="0"/>
          <w:bCs w:val="0"/>
          <w:color w:val="auto"/>
          <w:sz w:val="28"/>
          <w:szCs w:val="28"/>
          <w:lang w:val="kk-KZ"/>
        </w:rPr>
        <w:t>42</w:t>
      </w:r>
      <w:r>
        <w:rPr>
          <w:rFonts w:hint="default" w:ascii="Times New Roman" w:hAnsi="Times New Roman" w:cs="Times New Roman"/>
          <w:b w:val="0"/>
          <w:bCs w:val="0"/>
          <w:color w:val="auto"/>
          <w:sz w:val="28"/>
          <w:szCs w:val="28"/>
        </w:rPr>
        <w:t>]. Бұл күрт төмендеу бактериялық популяцияларға осмостық стресстің ауыр әсерін көрсетеді, бұл көмірсутек-деградациялаушы бактериялардағы галотөзімділік шектеулері туралы алдыңғы зерттеулермен сәйкес келеді [</w:t>
      </w:r>
      <w:r>
        <w:rPr>
          <w:rFonts w:hint="default" w:ascii="Times New Roman" w:hAnsi="Times New Roman"/>
          <w:b w:val="0"/>
          <w:bCs w:val="0"/>
          <w:color w:val="auto"/>
          <w:sz w:val="28"/>
          <w:szCs w:val="28"/>
        </w:rPr>
        <w:t>21, 45, 73</w:t>
      </w:r>
      <w:r>
        <w:rPr>
          <w:rFonts w:hint="default" w:ascii="Times New Roman" w:hAnsi="Times New Roman" w:cs="Times New Roman"/>
          <w:b w:val="0"/>
          <w:bCs w:val="0"/>
          <w:color w:val="auto"/>
          <w:sz w:val="28"/>
          <w:szCs w:val="28"/>
        </w:rPr>
        <w:t>].</w:t>
      </w:r>
    </w:p>
    <w:p w14:paraId="7E47F3B2">
      <w:pPr>
        <w:pStyle w:val="3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709" w:firstLineChars="0"/>
        <w:jc w:val="both"/>
        <w:textAlignment w:val="auto"/>
        <w:rPr>
          <w:rFonts w:hint="default" w:ascii="Times New Roman" w:hAnsi="Times New Roman" w:cs="Times New Roman"/>
          <w:b w:val="0"/>
          <w:bCs w:val="0"/>
          <w:color w:val="auto"/>
          <w:sz w:val="28"/>
          <w:szCs w:val="28"/>
        </w:rPr>
      </w:pPr>
      <w:r>
        <w:rPr>
          <w:rFonts w:hint="default" w:ascii="Times New Roman" w:hAnsi="Times New Roman" w:cs="Times New Roman"/>
          <w:b w:val="0"/>
          <w:bCs w:val="0"/>
          <w:color w:val="auto"/>
          <w:sz w:val="28"/>
          <w:szCs w:val="28"/>
        </w:rPr>
        <w:t xml:space="preserve">Керісінше, иммобилизацияланған жүйелер экстремалды жағдайларда айтарлықтай жоғары тиімділік көрсетті. </w:t>
      </w:r>
      <w:r>
        <w:rPr>
          <w:rStyle w:val="19"/>
          <w:rFonts w:hint="default" w:ascii="Times New Roman" w:hAnsi="Times New Roman" w:cs="Times New Roman"/>
          <w:b w:val="0"/>
          <w:bCs w:val="0"/>
          <w:color w:val="auto"/>
          <w:sz w:val="28"/>
          <w:szCs w:val="28"/>
        </w:rPr>
        <w:t>Қарақұмық қауызына</w:t>
      </w:r>
      <w:r>
        <w:rPr>
          <w:rFonts w:hint="default" w:ascii="Times New Roman" w:hAnsi="Times New Roman" w:cs="Times New Roman"/>
          <w:b w:val="0"/>
          <w:bCs w:val="0"/>
          <w:color w:val="auto"/>
          <w:sz w:val="28"/>
          <w:szCs w:val="28"/>
        </w:rPr>
        <w:t xml:space="preserve"> иммобилизацияланған штамдар +4°C температурада 10% NaCl жағдайында 68,0±0,85%, +32°C кезінде 75,0±0,85%, ал +42°C кезінде 54,0±0,85% деструкция тиімділігіне жетті [1</w:t>
      </w:r>
      <w:r>
        <w:rPr>
          <w:rFonts w:hint="default" w:cs="Times New Roman"/>
          <w:b w:val="0"/>
          <w:bCs w:val="0"/>
          <w:color w:val="auto"/>
          <w:sz w:val="28"/>
          <w:szCs w:val="28"/>
          <w:lang w:val="kk-KZ"/>
        </w:rPr>
        <w:t>42</w:t>
      </w:r>
      <w:r>
        <w:rPr>
          <w:rFonts w:hint="default" w:ascii="Times New Roman" w:hAnsi="Times New Roman" w:cs="Times New Roman"/>
          <w:b w:val="0"/>
          <w:bCs w:val="0"/>
          <w:color w:val="auto"/>
          <w:sz w:val="28"/>
          <w:szCs w:val="28"/>
        </w:rPr>
        <w:t xml:space="preserve">]. </w:t>
      </w:r>
      <w:r>
        <w:rPr>
          <w:rStyle w:val="19"/>
          <w:rFonts w:hint="default" w:ascii="Times New Roman" w:hAnsi="Times New Roman" w:cs="Times New Roman"/>
          <w:b w:val="0"/>
          <w:bCs w:val="0"/>
          <w:color w:val="auto"/>
          <w:sz w:val="28"/>
          <w:szCs w:val="28"/>
        </w:rPr>
        <w:t>Күріш қауызы</w:t>
      </w:r>
      <w:r>
        <w:rPr>
          <w:rFonts w:hint="default" w:ascii="Times New Roman" w:hAnsi="Times New Roman" w:cs="Times New Roman"/>
          <w:b w:val="0"/>
          <w:bCs w:val="0"/>
          <w:color w:val="auto"/>
          <w:sz w:val="28"/>
          <w:szCs w:val="28"/>
        </w:rPr>
        <w:t xml:space="preserve"> төмен температурада (+4°C) және аса жоғары тұздылықта (10% NaCl) тиімділігі күрт төмендеп, 34,0±0,89%-ды құрады, бұл бос жасушалармен бірдей деңгейде болды (37,2%) [1</w:t>
      </w:r>
      <w:r>
        <w:rPr>
          <w:rFonts w:hint="default" w:cs="Times New Roman"/>
          <w:b w:val="0"/>
          <w:bCs w:val="0"/>
          <w:color w:val="auto"/>
          <w:sz w:val="28"/>
          <w:szCs w:val="28"/>
          <w:lang w:val="kk-KZ"/>
        </w:rPr>
        <w:t>42</w:t>
      </w:r>
      <w:r>
        <w:rPr>
          <w:rFonts w:hint="default" w:ascii="Times New Roman" w:hAnsi="Times New Roman" w:cs="Times New Roman"/>
          <w:b w:val="0"/>
          <w:bCs w:val="0"/>
          <w:color w:val="auto"/>
          <w:sz w:val="28"/>
          <w:szCs w:val="28"/>
        </w:rPr>
        <w:t>].</w:t>
      </w:r>
    </w:p>
    <w:p w14:paraId="40E40A19">
      <w:pPr>
        <w:pStyle w:val="3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709" w:firstLineChars="0"/>
        <w:jc w:val="both"/>
        <w:textAlignment w:val="auto"/>
        <w:rPr>
          <w:rFonts w:hint="default" w:ascii="Times New Roman" w:hAnsi="Times New Roman" w:cs="Times New Roman"/>
          <w:b w:val="0"/>
          <w:bCs w:val="0"/>
          <w:color w:val="auto"/>
          <w:sz w:val="28"/>
          <w:szCs w:val="28"/>
        </w:rPr>
      </w:pPr>
      <w:r>
        <w:rPr>
          <w:rFonts w:hint="default" w:ascii="Times New Roman" w:hAnsi="Times New Roman" w:cs="Times New Roman"/>
          <w:b w:val="0"/>
          <w:bCs w:val="0"/>
          <w:color w:val="auto"/>
          <w:sz w:val="28"/>
          <w:szCs w:val="28"/>
        </w:rPr>
        <w:t>Бос жасушаларда 10% NaCl қосылуы деструкция тиімділігін температураға байланысты әртүрлі дәрежеде төмендетті: +4°C кезінде 43% (65,6%→37,2%), +32°C кезінде 17% (71,6%→59,2%), +42°C кезінде 53% (78,6%→37,2%) [</w:t>
      </w:r>
      <w:r>
        <w:rPr>
          <w:rFonts w:hint="default" w:ascii="Times New Roman" w:hAnsi="Times New Roman"/>
          <w:b w:val="0"/>
          <w:bCs w:val="0"/>
          <w:color w:val="auto"/>
          <w:sz w:val="28"/>
          <w:szCs w:val="28"/>
        </w:rPr>
        <w:t>107, 129</w:t>
      </w:r>
      <w:r>
        <w:rPr>
          <w:rFonts w:hint="default" w:ascii="Times New Roman" w:hAnsi="Times New Roman" w:cs="Times New Roman"/>
          <w:b w:val="0"/>
          <w:bCs w:val="0"/>
          <w:color w:val="auto"/>
          <w:sz w:val="28"/>
          <w:szCs w:val="28"/>
        </w:rPr>
        <w:t>]. Иммобилизацияланған жүйелерде тұздылық әсері әртүрлі болды [</w:t>
      </w:r>
      <w:r>
        <w:rPr>
          <w:rFonts w:hint="default" w:ascii="Times New Roman" w:hAnsi="Times New Roman"/>
          <w:b w:val="0"/>
          <w:bCs w:val="0"/>
          <w:color w:val="auto"/>
          <w:sz w:val="28"/>
          <w:szCs w:val="28"/>
        </w:rPr>
        <w:t>64, 65</w:t>
      </w:r>
      <w:r>
        <w:rPr>
          <w:rFonts w:hint="default" w:ascii="Times New Roman" w:hAnsi="Times New Roman" w:cs="Times New Roman"/>
          <w:b w:val="0"/>
          <w:bCs w:val="0"/>
          <w:color w:val="auto"/>
          <w:sz w:val="28"/>
          <w:szCs w:val="28"/>
        </w:rPr>
        <w:t xml:space="preserve">]. </w:t>
      </w:r>
      <w:r>
        <w:rPr>
          <w:rStyle w:val="19"/>
          <w:rFonts w:hint="default" w:ascii="Times New Roman" w:hAnsi="Times New Roman" w:cs="Times New Roman"/>
          <w:b w:val="0"/>
          <w:bCs w:val="0"/>
          <w:color w:val="auto"/>
          <w:sz w:val="28"/>
          <w:szCs w:val="28"/>
        </w:rPr>
        <w:t>Қарақұмық қауызы</w:t>
      </w:r>
      <w:r>
        <w:rPr>
          <w:rFonts w:hint="default" w:ascii="Times New Roman" w:hAnsi="Times New Roman" w:cs="Times New Roman"/>
          <w:b w:val="0"/>
          <w:bCs w:val="0"/>
          <w:color w:val="auto"/>
          <w:sz w:val="28"/>
          <w:szCs w:val="28"/>
        </w:rPr>
        <w:t xml:space="preserve"> үшін 10% NaCl әсері +4°C кезінде 18% төмендеу (83,2%→68,0%), +32°C кезінде тек 2% (76,2%→75,0%), +42°C кезінде 24% (71,2%→54,0%) құрады [</w:t>
      </w:r>
      <w:r>
        <w:rPr>
          <w:rFonts w:hint="default" w:ascii="Times New Roman" w:hAnsi="Times New Roman"/>
          <w:b w:val="0"/>
          <w:bCs w:val="0"/>
          <w:color w:val="auto"/>
          <w:sz w:val="28"/>
          <w:szCs w:val="28"/>
        </w:rPr>
        <w:t>142</w:t>
      </w:r>
      <w:r>
        <w:rPr>
          <w:rFonts w:hint="default" w:ascii="Times New Roman" w:hAnsi="Times New Roman" w:cs="Times New Roman"/>
          <w:b w:val="0"/>
          <w:bCs w:val="0"/>
          <w:color w:val="auto"/>
          <w:sz w:val="28"/>
          <w:szCs w:val="28"/>
        </w:rPr>
        <w:t xml:space="preserve">]. </w:t>
      </w:r>
      <w:r>
        <w:rPr>
          <w:rStyle w:val="19"/>
          <w:rFonts w:hint="default" w:ascii="Times New Roman" w:hAnsi="Times New Roman" w:cs="Times New Roman"/>
          <w:b w:val="0"/>
          <w:bCs w:val="0"/>
          <w:color w:val="auto"/>
          <w:sz w:val="28"/>
          <w:szCs w:val="28"/>
        </w:rPr>
        <w:t>Күріш қауызы</w:t>
      </w:r>
      <w:r>
        <w:rPr>
          <w:rFonts w:hint="default" w:ascii="Times New Roman" w:hAnsi="Times New Roman" w:cs="Times New Roman"/>
          <w:b w:val="0"/>
          <w:bCs w:val="0"/>
          <w:color w:val="auto"/>
          <w:sz w:val="28"/>
          <w:szCs w:val="28"/>
        </w:rPr>
        <w:t xml:space="preserve"> төмен температурада (+4°C) тұздылыққа өте сезімтал болды: 10% NaCl кезінде тиімділік 47% төмендеп (63,8%→34,0%), бос жасушалармен бірдей деңгейге түсті.</w:t>
      </w:r>
    </w:p>
    <w:p w14:paraId="5A6DEBA8">
      <w:pPr>
        <w:pStyle w:val="3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709" w:firstLineChars="0"/>
        <w:jc w:val="both"/>
        <w:textAlignment w:val="auto"/>
        <w:rPr>
          <w:rFonts w:hint="default" w:ascii="Times New Roman" w:hAnsi="Times New Roman" w:cs="Times New Roman"/>
          <w:b w:val="0"/>
          <w:bCs w:val="0"/>
          <w:color w:val="auto"/>
          <w:sz w:val="28"/>
          <w:szCs w:val="28"/>
        </w:rPr>
      </w:pPr>
      <w:r>
        <w:rPr>
          <w:rFonts w:hint="default" w:ascii="Times New Roman" w:hAnsi="Times New Roman" w:cs="Times New Roman"/>
          <w:b w:val="0"/>
          <w:bCs w:val="0"/>
          <w:color w:val="auto"/>
          <w:sz w:val="28"/>
          <w:szCs w:val="28"/>
        </w:rPr>
        <w:t xml:space="preserve">Оңтайлы +32°C температурада </w:t>
      </w:r>
      <w:r>
        <w:rPr>
          <w:rStyle w:val="19"/>
          <w:rFonts w:hint="default" w:ascii="Times New Roman" w:hAnsi="Times New Roman" w:cs="Times New Roman"/>
          <w:b w:val="0"/>
          <w:bCs w:val="0"/>
          <w:color w:val="auto"/>
          <w:sz w:val="28"/>
          <w:szCs w:val="28"/>
        </w:rPr>
        <w:t>қарақұмық қауызы</w:t>
      </w:r>
      <w:r>
        <w:rPr>
          <w:rFonts w:hint="default" w:ascii="Times New Roman" w:hAnsi="Times New Roman" w:cs="Times New Roman"/>
          <w:b w:val="0"/>
          <w:bCs w:val="0"/>
          <w:color w:val="auto"/>
          <w:sz w:val="28"/>
          <w:szCs w:val="28"/>
        </w:rPr>
        <w:t xml:space="preserve"> тұздылыққа ең төзімді болды: тұздылықтың 3%-дан 10%-ға өсуі тиімділікті тек 2% төмендетті (76,2%→75,0%), бұл тасымалдаушы матрицасының иондық градиенттерді тиімді буферлейтінін растайды [</w:t>
      </w:r>
      <w:r>
        <w:rPr>
          <w:rFonts w:hint="default" w:ascii="Times New Roman" w:hAnsi="Times New Roman"/>
          <w:b w:val="0"/>
          <w:bCs w:val="0"/>
          <w:color w:val="auto"/>
          <w:sz w:val="28"/>
          <w:szCs w:val="28"/>
        </w:rPr>
        <w:t>56, 57, 87</w:t>
      </w:r>
      <w:r>
        <w:rPr>
          <w:rFonts w:hint="default" w:ascii="Times New Roman" w:hAnsi="Times New Roman" w:cs="Times New Roman"/>
          <w:b w:val="0"/>
          <w:bCs w:val="0"/>
          <w:color w:val="auto"/>
          <w:sz w:val="28"/>
          <w:szCs w:val="28"/>
        </w:rPr>
        <w:t>]. Екі иммобилизацияланған жүйе де оңтайлы температурада (+32°C) жоғары деструкция жылдамдықтарын сақтады: 75,0% (қарақұмық) және 48,2% (күріш, 5% NaCl).</w:t>
      </w:r>
    </w:p>
    <w:p w14:paraId="0BCCCB38">
      <w:pPr>
        <w:pStyle w:val="3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709" w:firstLineChars="0"/>
        <w:jc w:val="both"/>
        <w:textAlignment w:val="auto"/>
        <w:rPr>
          <w:rFonts w:hint="default" w:ascii="Times New Roman" w:hAnsi="Times New Roman" w:cs="Times New Roman"/>
          <w:b w:val="0"/>
          <w:bCs w:val="0"/>
          <w:color w:val="auto"/>
          <w:sz w:val="28"/>
          <w:szCs w:val="28"/>
        </w:rPr>
      </w:pPr>
      <w:r>
        <w:rPr>
          <w:rFonts w:hint="default" w:ascii="Times New Roman" w:hAnsi="Times New Roman" w:cs="Times New Roman"/>
          <w:b w:val="0"/>
          <w:bCs w:val="0"/>
          <w:color w:val="auto"/>
          <w:sz w:val="28"/>
          <w:szCs w:val="28"/>
        </w:rPr>
        <w:t xml:space="preserve">Температуралық жауап тұздылық деңгейіне және тасымалдағыш түріне байланысты әртүрлі болды. Төмен тұздылықта (3% NaCl) бос жасушалар температураның өсуімен бірте-бірте жоғары деструкция көрсетті (+4°C: 65,6%, +32°C: 71,6%, +42°C: 78,6%), ал </w:t>
      </w:r>
      <w:r>
        <w:rPr>
          <w:rStyle w:val="19"/>
          <w:rFonts w:hint="default" w:ascii="Times New Roman" w:hAnsi="Times New Roman" w:cs="Times New Roman"/>
          <w:b w:val="0"/>
          <w:bCs w:val="0"/>
          <w:color w:val="auto"/>
          <w:sz w:val="28"/>
          <w:szCs w:val="28"/>
        </w:rPr>
        <w:t>қарақұмық қауызы</w:t>
      </w:r>
      <w:r>
        <w:rPr>
          <w:rFonts w:hint="default" w:ascii="Times New Roman" w:hAnsi="Times New Roman" w:cs="Times New Roman"/>
          <w:b w:val="0"/>
          <w:bCs w:val="0"/>
          <w:color w:val="auto"/>
          <w:sz w:val="28"/>
          <w:szCs w:val="28"/>
        </w:rPr>
        <w:t xml:space="preserve"> төмен температурада максималды тиімділік көрсетіп (+4°C: 83,2%), жоғары температураларда әлсіреді (+42°C: 71,2%) [1</w:t>
      </w:r>
      <w:r>
        <w:rPr>
          <w:rFonts w:hint="default" w:cs="Times New Roman"/>
          <w:b w:val="0"/>
          <w:bCs w:val="0"/>
          <w:color w:val="auto"/>
          <w:sz w:val="28"/>
          <w:szCs w:val="28"/>
          <w:lang w:val="kk-KZ"/>
        </w:rPr>
        <w:t>42</w:t>
      </w:r>
      <w:r>
        <w:rPr>
          <w:rFonts w:hint="default" w:ascii="Times New Roman" w:hAnsi="Times New Roman" w:cs="Times New Roman"/>
          <w:b w:val="0"/>
          <w:bCs w:val="0"/>
          <w:color w:val="auto"/>
          <w:sz w:val="28"/>
          <w:szCs w:val="28"/>
        </w:rPr>
        <w:t xml:space="preserve">]. </w:t>
      </w:r>
      <w:r>
        <w:rPr>
          <w:rStyle w:val="19"/>
          <w:rFonts w:hint="default" w:ascii="Times New Roman" w:hAnsi="Times New Roman" w:cs="Times New Roman"/>
          <w:b w:val="0"/>
          <w:bCs w:val="0"/>
          <w:color w:val="auto"/>
          <w:sz w:val="28"/>
          <w:szCs w:val="28"/>
        </w:rPr>
        <w:t>Күріш қауызы</w:t>
      </w:r>
      <w:r>
        <w:rPr>
          <w:rFonts w:hint="default" w:ascii="Times New Roman" w:hAnsi="Times New Roman" w:cs="Times New Roman"/>
          <w:b w:val="0"/>
          <w:bCs w:val="0"/>
          <w:color w:val="auto"/>
          <w:sz w:val="28"/>
          <w:szCs w:val="28"/>
        </w:rPr>
        <w:t xml:space="preserve"> керісінше температуралық профильді көрсетті: +4°C кезінде 63,8%, +32°C кезінде 53,3%-ға төмендеп, +42°C кезінде қайта 63,5%-ға көтерілді.</w:t>
      </w:r>
    </w:p>
    <w:p w14:paraId="3D2D8E56">
      <w:pPr>
        <w:pStyle w:val="3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709" w:firstLineChars="0"/>
        <w:jc w:val="both"/>
        <w:textAlignment w:val="auto"/>
        <w:rPr>
          <w:rFonts w:hint="default" w:ascii="Times New Roman" w:hAnsi="Times New Roman" w:cs="Times New Roman"/>
          <w:b w:val="0"/>
          <w:bCs w:val="0"/>
          <w:color w:val="auto"/>
          <w:sz w:val="28"/>
          <w:szCs w:val="28"/>
        </w:rPr>
      </w:pPr>
      <w:r>
        <w:rPr>
          <w:rFonts w:hint="default" w:ascii="Times New Roman" w:hAnsi="Times New Roman" w:cs="Times New Roman"/>
          <w:b w:val="0"/>
          <w:bCs w:val="0"/>
          <w:color w:val="auto"/>
          <w:sz w:val="28"/>
          <w:szCs w:val="28"/>
        </w:rPr>
        <w:t xml:space="preserve">Орташа тұздылықта (5% NaCl) температуралық оптимум +32°C болып анықталды: бос жасушалар үшін 69,6%, </w:t>
      </w:r>
      <w:r>
        <w:rPr>
          <w:rStyle w:val="19"/>
          <w:rFonts w:hint="default" w:ascii="Times New Roman" w:hAnsi="Times New Roman" w:cs="Times New Roman"/>
          <w:b w:val="0"/>
          <w:bCs w:val="0"/>
          <w:color w:val="auto"/>
          <w:sz w:val="28"/>
          <w:szCs w:val="28"/>
        </w:rPr>
        <w:t>қарақұмық қауызы</w:t>
      </w:r>
      <w:r>
        <w:rPr>
          <w:rFonts w:hint="default" w:ascii="Times New Roman" w:hAnsi="Times New Roman" w:cs="Times New Roman"/>
          <w:b w:val="0"/>
          <w:bCs w:val="0"/>
          <w:color w:val="auto"/>
          <w:sz w:val="28"/>
          <w:szCs w:val="28"/>
        </w:rPr>
        <w:t xml:space="preserve"> үшін 73,2%, </w:t>
      </w:r>
      <w:r>
        <w:rPr>
          <w:rStyle w:val="19"/>
          <w:rFonts w:hint="default" w:ascii="Times New Roman" w:hAnsi="Times New Roman" w:cs="Times New Roman"/>
          <w:b w:val="0"/>
          <w:bCs w:val="0"/>
          <w:color w:val="auto"/>
          <w:sz w:val="28"/>
          <w:szCs w:val="28"/>
        </w:rPr>
        <w:t>күріш қауызы</w:t>
      </w:r>
      <w:r>
        <w:rPr>
          <w:rFonts w:hint="default" w:ascii="Times New Roman" w:hAnsi="Times New Roman" w:cs="Times New Roman"/>
          <w:b w:val="0"/>
          <w:bCs w:val="0"/>
          <w:color w:val="auto"/>
          <w:sz w:val="28"/>
          <w:szCs w:val="28"/>
        </w:rPr>
        <w:t xml:space="preserve"> үшін 48,2%. Жоғары тұздылықта (10% NaCl) бос жасушалар барлық температураларда төмен тиімділік көрсетті (37,2-59,2%), ал </w:t>
      </w:r>
      <w:r>
        <w:rPr>
          <w:rStyle w:val="19"/>
          <w:rFonts w:hint="default" w:ascii="Times New Roman" w:hAnsi="Times New Roman" w:cs="Times New Roman"/>
          <w:b w:val="0"/>
          <w:bCs w:val="0"/>
          <w:color w:val="auto"/>
          <w:sz w:val="28"/>
          <w:szCs w:val="28"/>
        </w:rPr>
        <w:t>қарақұмық қауызы</w:t>
      </w:r>
      <w:r>
        <w:rPr>
          <w:rFonts w:hint="default" w:ascii="Times New Roman" w:hAnsi="Times New Roman" w:cs="Times New Roman"/>
          <w:b w:val="0"/>
          <w:bCs w:val="0"/>
          <w:color w:val="auto"/>
          <w:sz w:val="28"/>
          <w:szCs w:val="28"/>
        </w:rPr>
        <w:t xml:space="preserve"> +32°C диапазонында жоғары деңгейді сақтады (75,0%) [</w:t>
      </w:r>
      <w:r>
        <w:rPr>
          <w:rFonts w:hint="default" w:ascii="Times New Roman" w:hAnsi="Times New Roman"/>
          <w:b w:val="0"/>
          <w:bCs w:val="0"/>
          <w:color w:val="auto"/>
          <w:sz w:val="28"/>
          <w:szCs w:val="28"/>
        </w:rPr>
        <w:t>129, 142</w:t>
      </w:r>
      <w:r>
        <w:rPr>
          <w:rFonts w:hint="default" w:ascii="Times New Roman" w:hAnsi="Times New Roman" w:cs="Times New Roman"/>
          <w:b w:val="0"/>
          <w:bCs w:val="0"/>
          <w:color w:val="auto"/>
          <w:sz w:val="28"/>
          <w:szCs w:val="28"/>
        </w:rPr>
        <w:t>].</w:t>
      </w:r>
    </w:p>
    <w:p w14:paraId="06B69F7B">
      <w:pPr>
        <w:pStyle w:val="3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709" w:firstLineChars="0"/>
        <w:jc w:val="both"/>
        <w:textAlignment w:val="auto"/>
        <w:rPr>
          <w:rFonts w:hint="default" w:ascii="Times New Roman" w:hAnsi="Times New Roman" w:cs="Times New Roman"/>
          <w:b w:val="0"/>
          <w:bCs w:val="0"/>
          <w:color w:val="auto"/>
          <w:sz w:val="28"/>
          <w:szCs w:val="28"/>
        </w:rPr>
      </w:pPr>
      <w:r>
        <w:rPr>
          <w:rFonts w:hint="default" w:ascii="Times New Roman" w:hAnsi="Times New Roman" w:cs="Times New Roman"/>
          <w:b w:val="0"/>
          <w:bCs w:val="0"/>
          <w:color w:val="auto"/>
          <w:sz w:val="28"/>
          <w:szCs w:val="28"/>
        </w:rPr>
        <w:t xml:space="preserve">Комбинирленген стресс жағдайы (+42°C, 10% NaCl) иммобилизацияның қорғаушы әсерін ең айқын көрсетті: бос жасушалар 37,2±0,95%, </w:t>
      </w:r>
      <w:r>
        <w:rPr>
          <w:rStyle w:val="19"/>
          <w:rFonts w:hint="default" w:ascii="Times New Roman" w:hAnsi="Times New Roman" w:cs="Times New Roman"/>
          <w:b w:val="0"/>
          <w:bCs w:val="0"/>
          <w:color w:val="auto"/>
          <w:sz w:val="28"/>
          <w:szCs w:val="28"/>
        </w:rPr>
        <w:t>қарақұмық қауызы</w:t>
      </w:r>
      <w:r>
        <w:rPr>
          <w:rFonts w:hint="default" w:ascii="Times New Roman" w:hAnsi="Times New Roman" w:cs="Times New Roman"/>
          <w:b w:val="0"/>
          <w:bCs w:val="0"/>
          <w:color w:val="auto"/>
          <w:sz w:val="28"/>
          <w:szCs w:val="28"/>
        </w:rPr>
        <w:t xml:space="preserve"> 54,0±0,85% (+45% артықшылық), </w:t>
      </w:r>
      <w:r>
        <w:rPr>
          <w:rStyle w:val="19"/>
          <w:rFonts w:hint="default" w:ascii="Times New Roman" w:hAnsi="Times New Roman" w:cs="Times New Roman"/>
          <w:b w:val="0"/>
          <w:bCs w:val="0"/>
          <w:color w:val="auto"/>
          <w:sz w:val="28"/>
          <w:szCs w:val="28"/>
        </w:rPr>
        <w:t>күріш қауызы</w:t>
      </w:r>
      <w:r>
        <w:rPr>
          <w:rFonts w:hint="default" w:ascii="Times New Roman" w:hAnsi="Times New Roman" w:cs="Times New Roman"/>
          <w:b w:val="0"/>
          <w:bCs w:val="0"/>
          <w:color w:val="auto"/>
          <w:sz w:val="28"/>
          <w:szCs w:val="28"/>
        </w:rPr>
        <w:t xml:space="preserve"> 38,4±0,89% (бос жасушалармен бірдей деңгейде) деструкция көрсетті [</w:t>
      </w:r>
      <w:r>
        <w:rPr>
          <w:rFonts w:hint="default" w:ascii="Times New Roman" w:hAnsi="Times New Roman"/>
          <w:b w:val="0"/>
          <w:bCs w:val="0"/>
          <w:color w:val="auto"/>
          <w:sz w:val="28"/>
          <w:szCs w:val="28"/>
        </w:rPr>
        <w:t>53, 142</w:t>
      </w:r>
      <w:r>
        <w:rPr>
          <w:rFonts w:hint="default" w:ascii="Times New Roman" w:hAnsi="Times New Roman" w:cs="Times New Roman"/>
          <w:b w:val="0"/>
          <w:bCs w:val="0"/>
          <w:color w:val="auto"/>
          <w:sz w:val="28"/>
          <w:szCs w:val="28"/>
        </w:rPr>
        <w:t>]. Қарақұмық қауызының бос жасушалардан 45% артықшылығы иммобилизацияның экстремалды стресс жағдайларындағы маңызын растайды.</w:t>
      </w:r>
    </w:p>
    <w:p w14:paraId="19EC0039">
      <w:pPr>
        <w:pStyle w:val="3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709" w:firstLineChars="0"/>
        <w:jc w:val="both"/>
        <w:textAlignment w:val="auto"/>
        <w:rPr>
          <w:rFonts w:hint="default" w:ascii="Times New Roman" w:hAnsi="Times New Roman" w:cs="Times New Roman"/>
          <w:b w:val="0"/>
          <w:bCs w:val="0"/>
          <w:color w:val="auto"/>
          <w:sz w:val="28"/>
          <w:szCs w:val="28"/>
        </w:rPr>
      </w:pPr>
      <w:r>
        <w:rPr>
          <w:rFonts w:hint="default" w:ascii="Times New Roman" w:hAnsi="Times New Roman" w:cs="Times New Roman"/>
          <w:b w:val="0"/>
          <w:bCs w:val="0"/>
          <w:color w:val="auto"/>
          <w:sz w:val="28"/>
          <w:szCs w:val="28"/>
        </w:rPr>
        <w:t>Алайда, стандартты жағдайлармен (+28°C, 0% NaCl, 45 күн) салыстырғанда эксперименттік жағдайлардың айырмашылығын ескеру қажет. Стресс эксперименттеріндегі жоғары пайыздар (14 күнде 75,0%) жоғары бастапқы концентрацияға (50000 мг/кг салыстырмалы 10000 мг/кг) және жеңіл фракциялардың қысқа уақытта тез ыдырауына байланысты [</w:t>
      </w:r>
      <w:r>
        <w:rPr>
          <w:rFonts w:hint="default" w:ascii="Times New Roman" w:hAnsi="Times New Roman"/>
          <w:b w:val="0"/>
          <w:bCs w:val="0"/>
          <w:color w:val="auto"/>
          <w:sz w:val="28"/>
          <w:szCs w:val="28"/>
        </w:rPr>
        <w:t>13, 23</w:t>
      </w:r>
      <w:r>
        <w:rPr>
          <w:rFonts w:hint="default" w:ascii="Times New Roman" w:hAnsi="Times New Roman" w:cs="Times New Roman"/>
          <w:b w:val="0"/>
          <w:bCs w:val="0"/>
          <w:color w:val="auto"/>
          <w:sz w:val="28"/>
          <w:szCs w:val="28"/>
        </w:rPr>
        <w:t xml:space="preserve">]. Абсолютті деструкция массасы бойынша стандартты жағдайда 45 күнде 5210 мг/кг мұнай тұрақты түрде ыдыраса, стресс жағдайында </w:t>
      </w:r>
      <w:r>
        <w:rPr>
          <w:rFonts w:hint="default" w:ascii="Times New Roman" w:hAnsi="Times New Roman" w:cs="Times New Roman"/>
          <w:b w:val="0"/>
          <w:bCs w:val="0"/>
          <w:color w:val="auto"/>
          <w:sz w:val="28"/>
          <w:szCs w:val="28"/>
          <w:lang w:val="ru-RU"/>
        </w:rPr>
        <w:t>45</w:t>
      </w:r>
      <w:r>
        <w:rPr>
          <w:rFonts w:hint="default" w:ascii="Times New Roman" w:hAnsi="Times New Roman" w:cs="Times New Roman"/>
          <w:b w:val="0"/>
          <w:bCs w:val="0"/>
          <w:color w:val="auto"/>
          <w:sz w:val="28"/>
          <w:szCs w:val="28"/>
        </w:rPr>
        <w:t xml:space="preserve"> күнде 37500 мг/кг мұнай жылдам, бірақ тұрақсыз режимде ыдырады.</w:t>
      </w:r>
    </w:p>
    <w:p w14:paraId="4649318C">
      <w:pPr>
        <w:pStyle w:val="35"/>
        <w:spacing w:beforeAutospacing="0" w:afterAutospacing="0"/>
        <w:ind w:firstLine="709"/>
        <w:jc w:val="both"/>
        <w:rPr>
          <w:color w:val="auto"/>
          <w:sz w:val="28"/>
          <w:szCs w:val="28"/>
          <w:highlight w:val="yellow"/>
        </w:rPr>
      </w:pPr>
    </w:p>
    <w:p w14:paraId="035243C0">
      <w:pPr>
        <w:pStyle w:val="35"/>
        <w:spacing w:beforeAutospacing="0" w:afterAutospacing="0"/>
        <w:ind w:firstLine="709"/>
        <w:jc w:val="both"/>
        <w:rPr>
          <w:b/>
          <w:bCs/>
          <w:color w:val="auto"/>
          <w:sz w:val="28"/>
          <w:szCs w:val="28"/>
          <w:highlight w:val="none"/>
          <w:lang w:val="kk-KZ"/>
        </w:rPr>
      </w:pPr>
      <w:r>
        <w:rPr>
          <w:b/>
          <w:bCs/>
          <w:color w:val="auto"/>
          <w:sz w:val="28"/>
          <w:szCs w:val="28"/>
          <w:highlight w:val="none"/>
          <w:lang w:val="ru-RU"/>
        </w:rPr>
        <w:t>3</w:t>
      </w:r>
      <w:r>
        <w:rPr>
          <w:rFonts w:hint="default"/>
          <w:b/>
          <w:bCs/>
          <w:color w:val="auto"/>
          <w:sz w:val="28"/>
          <w:szCs w:val="28"/>
          <w:highlight w:val="none"/>
          <w:lang w:val="kk-KZ"/>
        </w:rPr>
        <w:t>.</w:t>
      </w:r>
      <w:r>
        <w:rPr>
          <w:b/>
          <w:bCs/>
          <w:color w:val="auto"/>
          <w:sz w:val="28"/>
          <w:szCs w:val="28"/>
          <w:highlight w:val="none"/>
          <w:lang w:val="kk-KZ"/>
        </w:rPr>
        <w:t>5 Тасымалдауыштарды салыстырмалы талдау</w:t>
      </w:r>
    </w:p>
    <w:p w14:paraId="2BEC8B76">
      <w:pPr>
        <w:pStyle w:val="35"/>
        <w:spacing w:beforeAutospacing="0" w:afterAutospacing="0"/>
        <w:ind w:firstLine="709"/>
        <w:jc w:val="both"/>
        <w:rPr>
          <w:b/>
          <w:bCs/>
          <w:color w:val="auto"/>
          <w:sz w:val="28"/>
          <w:szCs w:val="28"/>
          <w:highlight w:val="none"/>
          <w:lang w:val="kk-KZ"/>
        </w:rPr>
      </w:pPr>
    </w:p>
    <w:p w14:paraId="4AB68126">
      <w:pPr>
        <w:pStyle w:val="35"/>
        <w:spacing w:beforeAutospacing="0" w:afterAutospacing="0"/>
        <w:ind w:firstLine="709"/>
        <w:jc w:val="both"/>
        <w:rPr>
          <w:rFonts w:hint="default"/>
          <w:b/>
          <w:bCs/>
          <w:color w:val="auto"/>
          <w:sz w:val="28"/>
          <w:szCs w:val="28"/>
          <w:highlight w:val="none"/>
          <w:lang w:val="kk-KZ"/>
        </w:rPr>
      </w:pPr>
      <w:r>
        <w:rPr>
          <w:b/>
          <w:bCs/>
          <w:color w:val="auto"/>
          <w:sz w:val="28"/>
          <w:szCs w:val="28"/>
          <w:highlight w:val="none"/>
          <w:lang w:val="ru-RU"/>
        </w:rPr>
        <w:t>3</w:t>
      </w:r>
      <w:r>
        <w:rPr>
          <w:rFonts w:hint="default"/>
          <w:b/>
          <w:bCs/>
          <w:color w:val="auto"/>
          <w:sz w:val="28"/>
          <w:szCs w:val="28"/>
          <w:highlight w:val="none"/>
          <w:lang w:val="kk-KZ"/>
        </w:rPr>
        <w:t>.</w:t>
      </w:r>
      <w:r>
        <w:rPr>
          <w:b/>
          <w:bCs/>
          <w:color w:val="auto"/>
          <w:sz w:val="28"/>
          <w:szCs w:val="28"/>
          <w:highlight w:val="none"/>
          <w:lang w:val="kk-KZ"/>
        </w:rPr>
        <w:t>5.1 Микроорганизмдерді</w:t>
      </w:r>
      <w:r>
        <w:rPr>
          <w:rFonts w:hint="default"/>
          <w:b/>
          <w:bCs/>
          <w:color w:val="auto"/>
          <w:sz w:val="28"/>
          <w:szCs w:val="28"/>
          <w:highlight w:val="none"/>
          <w:lang w:val="kk-KZ"/>
        </w:rPr>
        <w:t xml:space="preserve"> иммобилизциялауға арналған тасымалдауыштарды таңдауды негіздеу </w:t>
      </w:r>
    </w:p>
    <w:p w14:paraId="478C8F90">
      <w:pPr>
        <w:pStyle w:val="35"/>
        <w:spacing w:beforeAutospacing="0" w:afterAutospacing="0"/>
        <w:ind w:firstLine="709"/>
        <w:jc w:val="both"/>
        <w:rPr>
          <w:color w:val="auto"/>
          <w:sz w:val="28"/>
          <w:szCs w:val="28"/>
          <w:lang w:val="kk-KZ"/>
        </w:rPr>
      </w:pPr>
      <w:r>
        <w:rPr>
          <w:color w:val="auto"/>
          <w:sz w:val="28"/>
          <w:szCs w:val="28"/>
          <w:lang w:val="kk-KZ"/>
        </w:rPr>
        <w:t>Зерттеудің басында екі типтегі тасымалдағыш материалдары бағаланды: органикалық (қарақұмық және күріш қауыздары) және минералдық (цеолит және керамзит). Алдын ала эксперименттер негізінде органикалық тасымалдағыштар таңдалды.</w:t>
      </w:r>
    </w:p>
    <w:p w14:paraId="1C7116ED">
      <w:pPr>
        <w:pStyle w:val="35"/>
        <w:spacing w:beforeAutospacing="0" w:afterAutospacing="0"/>
        <w:ind w:firstLine="709"/>
        <w:jc w:val="both"/>
        <w:rPr>
          <w:color w:val="auto"/>
          <w:sz w:val="28"/>
          <w:szCs w:val="28"/>
          <w:lang w:val="kk-KZ"/>
        </w:rPr>
      </w:pPr>
      <w:r>
        <w:rPr>
          <w:color w:val="auto"/>
          <w:sz w:val="28"/>
          <w:szCs w:val="28"/>
          <w:lang w:val="kk-KZ"/>
        </w:rPr>
        <w:t xml:space="preserve">Минералдық тасымалдауыштар айтарлықтай механикалық беріктікпен сипатталады [115, 120]: цеолиттің тығыздығы </w:t>
      </w:r>
      <w:r>
        <w:rPr>
          <w:color w:val="auto"/>
          <w:sz w:val="28"/>
          <w:szCs w:val="28"/>
          <w:lang w:val="ru-RU"/>
        </w:rPr>
        <w:t>2,</w:t>
      </w:r>
      <w:r>
        <w:rPr>
          <w:color w:val="auto"/>
          <w:sz w:val="28"/>
          <w:szCs w:val="28"/>
          <w:lang w:val="kk-KZ"/>
        </w:rPr>
        <w:t>0-</w:t>
      </w:r>
      <w:r>
        <w:rPr>
          <w:color w:val="auto"/>
          <w:sz w:val="28"/>
          <w:szCs w:val="28"/>
          <w:lang w:val="ru-RU"/>
        </w:rPr>
        <w:t>2,</w:t>
      </w:r>
      <w:r>
        <w:rPr>
          <w:color w:val="auto"/>
          <w:sz w:val="28"/>
          <w:szCs w:val="28"/>
          <w:lang w:val="kk-KZ"/>
        </w:rPr>
        <w:t xml:space="preserve">2 г/см³, керамзиттің </w:t>
      </w:r>
      <w:r>
        <w:rPr>
          <w:color w:val="auto"/>
          <w:sz w:val="28"/>
          <w:szCs w:val="28"/>
          <w:lang w:val="ru-RU"/>
        </w:rPr>
        <w:t>0,</w:t>
      </w:r>
      <w:r>
        <w:rPr>
          <w:color w:val="auto"/>
          <w:sz w:val="28"/>
          <w:szCs w:val="28"/>
          <w:lang w:val="kk-KZ"/>
        </w:rPr>
        <w:t>5-</w:t>
      </w:r>
      <w:r>
        <w:rPr>
          <w:color w:val="auto"/>
          <w:sz w:val="28"/>
          <w:szCs w:val="28"/>
          <w:lang w:val="ru-RU"/>
        </w:rPr>
        <w:t>0,</w:t>
      </w:r>
      <w:r>
        <w:rPr>
          <w:color w:val="auto"/>
          <w:sz w:val="28"/>
          <w:szCs w:val="28"/>
          <w:lang w:val="kk-KZ"/>
        </w:rPr>
        <w:t>8 г/см³, кеуектілік сәйкесінше 40-50% және 55-75% [120, 130, 165]. Алайда, кеуектер өлшемі бактериялық колонизация үшін шектеулі: цеолиттің кеуек өлшемі (</w:t>
      </w:r>
      <w:r>
        <w:rPr>
          <w:color w:val="auto"/>
          <w:sz w:val="28"/>
          <w:szCs w:val="28"/>
          <w:lang w:val="ru-RU"/>
        </w:rPr>
        <w:t>0,</w:t>
      </w:r>
      <w:r>
        <w:rPr>
          <w:color w:val="auto"/>
          <w:sz w:val="28"/>
          <w:szCs w:val="28"/>
          <w:lang w:val="kk-KZ"/>
        </w:rPr>
        <w:t>3-1.0 мкм) бактериялық жасушалардың (1-3 мкм) кіруін толық шектейді, ал керамзиттің кеуектері (1-10 мкм) биофильм құрылымдарының дамуы үшін жеткіліксіз [90, 100, 113].</w:t>
      </w:r>
    </w:p>
    <w:p w14:paraId="18CD4E74">
      <w:pPr>
        <w:pStyle w:val="35"/>
        <w:spacing w:beforeAutospacing="0" w:afterAutospacing="0"/>
        <w:ind w:firstLine="709"/>
        <w:jc w:val="both"/>
        <w:rPr>
          <w:color w:val="auto"/>
          <w:sz w:val="28"/>
          <w:szCs w:val="28"/>
          <w:lang w:val="kk-KZ"/>
        </w:rPr>
      </w:pPr>
      <w:r>
        <w:rPr>
          <w:color w:val="auto"/>
          <w:sz w:val="28"/>
          <w:szCs w:val="28"/>
          <w:lang w:val="kk-KZ"/>
        </w:rPr>
        <w:t xml:space="preserve">Органикалық тасымалдағыштар жеңіл (тығыздық </w:t>
      </w:r>
      <w:r>
        <w:rPr>
          <w:color w:val="auto"/>
          <w:sz w:val="28"/>
          <w:szCs w:val="28"/>
          <w:lang w:val="ru-RU"/>
        </w:rPr>
        <w:t>0,</w:t>
      </w:r>
      <w:r>
        <w:rPr>
          <w:color w:val="auto"/>
          <w:sz w:val="28"/>
          <w:szCs w:val="28"/>
          <w:lang w:val="kk-KZ"/>
        </w:rPr>
        <w:t>3-</w:t>
      </w:r>
      <w:r>
        <w:rPr>
          <w:color w:val="auto"/>
          <w:sz w:val="28"/>
          <w:szCs w:val="28"/>
          <w:lang w:val="ru-RU"/>
        </w:rPr>
        <w:t>0,</w:t>
      </w:r>
      <w:r>
        <w:rPr>
          <w:color w:val="auto"/>
          <w:sz w:val="28"/>
          <w:szCs w:val="28"/>
          <w:lang w:val="kk-KZ"/>
        </w:rPr>
        <w:t>6 г/см³) және жоғары кеуектілік көрсетеді: қарақұмық қауызы 60-70%, күріш қауызы 65-75% [154, 155]. Кеуектер өлшемі бактериялық колонизацияға оңтайлы: қарақұмықта 5-50 мкм, күріште 3-20 мкм, бұл микробтық кластерлер мен биофильм құрылымдарының түзілуіне мүмкіндік береді [99, 100, 142].</w:t>
      </w:r>
    </w:p>
    <w:p w14:paraId="7AC3D7F8">
      <w:pPr>
        <w:pStyle w:val="35"/>
        <w:spacing w:beforeAutospacing="0" w:afterAutospacing="0"/>
        <w:ind w:firstLine="709"/>
        <w:jc w:val="both"/>
        <w:rPr>
          <w:color w:val="auto"/>
          <w:sz w:val="28"/>
          <w:szCs w:val="28"/>
          <w:highlight w:val="none"/>
          <w:lang w:val="kk-KZ"/>
        </w:rPr>
      </w:pPr>
      <w:r>
        <w:rPr>
          <w:color w:val="auto"/>
          <w:sz w:val="28"/>
          <w:szCs w:val="28"/>
          <w:lang w:val="kk-KZ"/>
        </w:rPr>
        <w:t xml:space="preserve">Минералдық тасымалдағыштардың басты артықшылығы – жоғары </w:t>
      </w:r>
      <w:r>
        <w:rPr>
          <w:color w:val="auto"/>
          <w:sz w:val="28"/>
          <w:szCs w:val="28"/>
          <w:highlight w:val="none"/>
          <w:lang w:val="kk-KZ"/>
        </w:rPr>
        <w:t>сорбциялық қабілет: цеолит 19.69±1.25 мг/г, керамзит 1</w:t>
      </w:r>
      <w:r>
        <w:rPr>
          <w:color w:val="auto"/>
          <w:sz w:val="28"/>
          <w:szCs w:val="28"/>
          <w:highlight w:val="none"/>
          <w:lang w:val="ru-RU"/>
        </w:rPr>
        <w:t>7,</w:t>
      </w:r>
      <w:r>
        <w:rPr>
          <w:color w:val="auto"/>
          <w:sz w:val="28"/>
          <w:szCs w:val="28"/>
          <w:highlight w:val="none"/>
          <w:lang w:val="kk-KZ"/>
        </w:rPr>
        <w:t xml:space="preserve">92±1.18 мг/г [164]. Цеолиттің катионалмасу қабілеті </w:t>
      </w:r>
      <w:r>
        <w:rPr>
          <w:color w:val="auto"/>
          <w:sz w:val="28"/>
          <w:szCs w:val="28"/>
          <w:highlight w:val="none"/>
          <w:lang w:val="ru-RU"/>
        </w:rPr>
        <w:t>2,</w:t>
      </w:r>
      <w:r>
        <w:rPr>
          <w:color w:val="auto"/>
          <w:sz w:val="28"/>
          <w:szCs w:val="28"/>
          <w:highlight w:val="none"/>
          <w:lang w:val="kk-KZ"/>
        </w:rPr>
        <w:t>0-</w:t>
      </w:r>
      <w:r>
        <w:rPr>
          <w:color w:val="auto"/>
          <w:sz w:val="28"/>
          <w:szCs w:val="28"/>
          <w:highlight w:val="none"/>
          <w:lang w:val="ru-RU"/>
        </w:rPr>
        <w:t>2,</w:t>
      </w:r>
      <w:r>
        <w:rPr>
          <w:color w:val="auto"/>
          <w:sz w:val="28"/>
          <w:szCs w:val="28"/>
          <w:highlight w:val="none"/>
          <w:lang w:val="kk-KZ"/>
        </w:rPr>
        <w:t>5 мэкв/г, минералдық материалдар химиялық инертті [113, 120, 165].</w:t>
      </w:r>
    </w:p>
    <w:p w14:paraId="38EE1D02">
      <w:pPr>
        <w:pStyle w:val="35"/>
        <w:spacing w:beforeAutospacing="0" w:afterAutospacing="0"/>
        <w:ind w:firstLine="709"/>
        <w:jc w:val="both"/>
        <w:rPr>
          <w:color w:val="auto"/>
          <w:sz w:val="28"/>
          <w:szCs w:val="28"/>
          <w:highlight w:val="none"/>
          <w:lang w:val="kk-KZ"/>
        </w:rPr>
      </w:pPr>
      <w:r>
        <w:rPr>
          <w:color w:val="auto"/>
          <w:sz w:val="28"/>
          <w:szCs w:val="28"/>
          <w:highlight w:val="none"/>
          <w:lang w:val="kk-KZ"/>
        </w:rPr>
        <w:t>Органикалық тасымалдағыштар орташа сорбциялық қабілет көрсетті: қарақұмық 1</w:t>
      </w:r>
      <w:r>
        <w:rPr>
          <w:color w:val="auto"/>
          <w:sz w:val="28"/>
          <w:szCs w:val="28"/>
          <w:highlight w:val="none"/>
          <w:lang w:val="ru-RU"/>
        </w:rPr>
        <w:t>2,</w:t>
      </w:r>
      <w:r>
        <w:rPr>
          <w:color w:val="auto"/>
          <w:sz w:val="28"/>
          <w:szCs w:val="28"/>
          <w:highlight w:val="none"/>
          <w:lang w:val="kk-KZ"/>
        </w:rPr>
        <w:t>74±</w:t>
      </w:r>
      <w:r>
        <w:rPr>
          <w:color w:val="auto"/>
          <w:sz w:val="28"/>
          <w:szCs w:val="28"/>
          <w:highlight w:val="none"/>
          <w:lang w:val="ru-RU"/>
        </w:rPr>
        <w:t>0,</w:t>
      </w:r>
      <w:r>
        <w:rPr>
          <w:color w:val="auto"/>
          <w:sz w:val="28"/>
          <w:szCs w:val="28"/>
          <w:highlight w:val="none"/>
          <w:lang w:val="kk-KZ"/>
        </w:rPr>
        <w:t>95 мг/г, күріш 1</w:t>
      </w:r>
      <w:r>
        <w:rPr>
          <w:color w:val="auto"/>
          <w:sz w:val="28"/>
          <w:szCs w:val="28"/>
          <w:highlight w:val="none"/>
          <w:lang w:val="ru-RU"/>
        </w:rPr>
        <w:t>4,</w:t>
      </w:r>
      <w:r>
        <w:rPr>
          <w:color w:val="auto"/>
          <w:sz w:val="28"/>
          <w:szCs w:val="28"/>
          <w:highlight w:val="none"/>
          <w:lang w:val="kk-KZ"/>
        </w:rPr>
        <w:t>86±1.12 мг/г [15</w:t>
      </w:r>
      <w:r>
        <w:rPr>
          <w:rFonts w:hint="default"/>
          <w:color w:val="auto"/>
          <w:sz w:val="28"/>
          <w:szCs w:val="28"/>
          <w:highlight w:val="none"/>
          <w:lang w:val="ru-RU"/>
        </w:rPr>
        <w:t>1</w:t>
      </w:r>
      <w:r>
        <w:rPr>
          <w:color w:val="auto"/>
          <w:sz w:val="28"/>
          <w:szCs w:val="28"/>
          <w:highlight w:val="none"/>
          <w:lang w:val="kk-KZ"/>
        </w:rPr>
        <w:t>,1</w:t>
      </w:r>
      <w:r>
        <w:rPr>
          <w:rFonts w:hint="default"/>
          <w:color w:val="auto"/>
          <w:sz w:val="28"/>
          <w:szCs w:val="28"/>
          <w:highlight w:val="none"/>
          <w:lang w:val="ru-RU"/>
        </w:rPr>
        <w:t>60</w:t>
      </w:r>
      <w:r>
        <w:rPr>
          <w:color w:val="auto"/>
          <w:sz w:val="28"/>
          <w:szCs w:val="28"/>
          <w:highlight w:val="none"/>
          <w:lang w:val="kk-KZ"/>
        </w:rPr>
        <w:t>], бірақ күрделі химиялық құрамымен ерекшеленді: белок (3-7%), май (1.4-</w:t>
      </w:r>
      <w:r>
        <w:rPr>
          <w:color w:val="auto"/>
          <w:sz w:val="28"/>
          <w:szCs w:val="28"/>
          <w:highlight w:val="none"/>
          <w:lang w:val="ru-RU"/>
        </w:rPr>
        <w:t>2,</w:t>
      </w:r>
      <w:r>
        <w:rPr>
          <w:color w:val="auto"/>
          <w:sz w:val="28"/>
          <w:szCs w:val="28"/>
          <w:highlight w:val="none"/>
          <w:lang w:val="kk-KZ"/>
        </w:rPr>
        <w:t>2%), витаминдер (B₁, B₂, E) және рутин (қарақұмықта 2</w:t>
      </w:r>
      <w:r>
        <w:rPr>
          <w:color w:val="auto"/>
          <w:sz w:val="28"/>
          <w:szCs w:val="28"/>
          <w:highlight w:val="none"/>
          <w:lang w:val="ru-RU"/>
        </w:rPr>
        <w:t>8,</w:t>
      </w:r>
      <w:r>
        <w:rPr>
          <w:color w:val="auto"/>
          <w:sz w:val="28"/>
          <w:szCs w:val="28"/>
          <w:highlight w:val="none"/>
          <w:lang w:val="kk-KZ"/>
        </w:rPr>
        <w:t>8 мг/100г, күріште 15.0 мг/100г) [</w:t>
      </w:r>
      <w:r>
        <w:rPr>
          <w:rFonts w:hint="default"/>
          <w:color w:val="auto"/>
          <w:sz w:val="28"/>
          <w:szCs w:val="28"/>
          <w:highlight w:val="none"/>
          <w:lang w:val="kk-KZ"/>
        </w:rPr>
        <w:t>150, 151, 160</w:t>
      </w:r>
      <w:r>
        <w:rPr>
          <w:color w:val="auto"/>
          <w:sz w:val="28"/>
          <w:szCs w:val="28"/>
          <w:highlight w:val="none"/>
          <w:lang w:val="kk-KZ"/>
        </w:rPr>
        <w:t>]. Бұл компоненттер микроорганизмдер үшін қосымша қоректік ресурс болып табылады [</w:t>
      </w:r>
      <w:r>
        <w:rPr>
          <w:rFonts w:hint="default"/>
          <w:color w:val="auto"/>
          <w:sz w:val="28"/>
          <w:szCs w:val="28"/>
          <w:highlight w:val="none"/>
          <w:lang w:val="kk-KZ"/>
        </w:rPr>
        <w:t>45, 73, 107</w:t>
      </w:r>
      <w:r>
        <w:rPr>
          <w:color w:val="auto"/>
          <w:sz w:val="28"/>
          <w:szCs w:val="28"/>
          <w:highlight w:val="none"/>
          <w:lang w:val="kk-KZ"/>
        </w:rPr>
        <w:t xml:space="preserve">]. Органикалық материалдар топырақ рН-ын </w:t>
      </w:r>
      <w:r>
        <w:rPr>
          <w:color w:val="auto"/>
          <w:sz w:val="28"/>
          <w:szCs w:val="28"/>
          <w:highlight w:val="none"/>
          <w:lang w:val="ru-RU"/>
        </w:rPr>
        <w:t>8,</w:t>
      </w:r>
      <w:r>
        <w:rPr>
          <w:color w:val="auto"/>
          <w:sz w:val="28"/>
          <w:szCs w:val="28"/>
          <w:highlight w:val="none"/>
          <w:lang w:val="kk-KZ"/>
        </w:rPr>
        <w:t xml:space="preserve">5-тен </w:t>
      </w:r>
      <w:r>
        <w:rPr>
          <w:color w:val="auto"/>
          <w:sz w:val="28"/>
          <w:szCs w:val="28"/>
          <w:highlight w:val="none"/>
          <w:lang w:val="ru-RU"/>
        </w:rPr>
        <w:t>7,</w:t>
      </w:r>
      <w:r>
        <w:rPr>
          <w:color w:val="auto"/>
          <w:sz w:val="28"/>
          <w:szCs w:val="28"/>
          <w:highlight w:val="none"/>
          <w:lang w:val="kk-KZ"/>
        </w:rPr>
        <w:t>0-</w:t>
      </w:r>
      <w:r>
        <w:rPr>
          <w:color w:val="auto"/>
          <w:sz w:val="28"/>
          <w:szCs w:val="28"/>
          <w:highlight w:val="none"/>
          <w:lang w:val="ru-RU"/>
        </w:rPr>
        <w:t>7,</w:t>
      </w:r>
      <w:r>
        <w:rPr>
          <w:color w:val="auto"/>
          <w:sz w:val="28"/>
          <w:szCs w:val="28"/>
          <w:highlight w:val="none"/>
          <w:lang w:val="kk-KZ"/>
        </w:rPr>
        <w:t>5-ке төмендетеді, бұл көмірсутек-деградациялаушы бактериялар үшін оңтайлы.</w:t>
      </w:r>
    </w:p>
    <w:p w14:paraId="66469F91">
      <w:pPr>
        <w:pStyle w:val="35"/>
        <w:spacing w:beforeAutospacing="0" w:afterAutospacing="0"/>
        <w:ind w:firstLine="709"/>
        <w:jc w:val="both"/>
        <w:rPr>
          <w:color w:val="auto"/>
          <w:sz w:val="28"/>
          <w:szCs w:val="28"/>
          <w:highlight w:val="none"/>
          <w:lang w:val="kk-KZ"/>
        </w:rPr>
      </w:pPr>
      <w:r>
        <w:rPr>
          <w:color w:val="auto"/>
          <w:sz w:val="28"/>
          <w:szCs w:val="28"/>
          <w:highlight w:val="none"/>
          <w:lang w:val="kk-KZ"/>
        </w:rPr>
        <w:t>Иммобилизация тиімділігі органикалық тасымалдағыштар үшін айтарлықтай жоғары болды: қарақұмық қауызы 9</w:t>
      </w:r>
      <w:r>
        <w:rPr>
          <w:color w:val="auto"/>
          <w:sz w:val="28"/>
          <w:szCs w:val="28"/>
          <w:highlight w:val="none"/>
          <w:lang w:val="ru-RU"/>
        </w:rPr>
        <w:t>2,</w:t>
      </w:r>
      <w:r>
        <w:rPr>
          <w:color w:val="auto"/>
          <w:sz w:val="28"/>
          <w:szCs w:val="28"/>
          <w:highlight w:val="none"/>
          <w:lang w:val="kk-KZ"/>
        </w:rPr>
        <w:t>3±</w:t>
      </w:r>
      <w:r>
        <w:rPr>
          <w:color w:val="auto"/>
          <w:sz w:val="28"/>
          <w:szCs w:val="28"/>
          <w:highlight w:val="none"/>
          <w:lang w:val="ru-RU"/>
        </w:rPr>
        <w:t>2,</w:t>
      </w:r>
      <w:r>
        <w:rPr>
          <w:color w:val="auto"/>
          <w:sz w:val="28"/>
          <w:szCs w:val="28"/>
          <w:highlight w:val="none"/>
          <w:lang w:val="kk-KZ"/>
        </w:rPr>
        <w:t>1%, күріш қауызы 8</w:t>
      </w:r>
      <w:r>
        <w:rPr>
          <w:color w:val="auto"/>
          <w:sz w:val="28"/>
          <w:szCs w:val="28"/>
          <w:highlight w:val="none"/>
          <w:lang w:val="ru-RU"/>
        </w:rPr>
        <w:t>7,</w:t>
      </w:r>
      <w:r>
        <w:rPr>
          <w:color w:val="auto"/>
          <w:sz w:val="28"/>
          <w:szCs w:val="28"/>
          <w:highlight w:val="none"/>
          <w:lang w:val="kk-KZ"/>
        </w:rPr>
        <w:t>6±</w:t>
      </w:r>
      <w:r>
        <w:rPr>
          <w:color w:val="auto"/>
          <w:sz w:val="28"/>
          <w:szCs w:val="28"/>
          <w:highlight w:val="none"/>
          <w:lang w:val="ru-RU"/>
        </w:rPr>
        <w:t>3,</w:t>
      </w:r>
      <w:r>
        <w:rPr>
          <w:color w:val="auto"/>
          <w:sz w:val="28"/>
          <w:szCs w:val="28"/>
          <w:highlight w:val="none"/>
          <w:lang w:val="kk-KZ"/>
        </w:rPr>
        <w:t>4% [</w:t>
      </w:r>
      <w:r>
        <w:rPr>
          <w:rFonts w:hint="default"/>
          <w:color w:val="auto"/>
          <w:sz w:val="28"/>
          <w:szCs w:val="28"/>
          <w:highlight w:val="none"/>
          <w:lang w:val="ru-RU"/>
        </w:rPr>
        <w:t>142</w:t>
      </w:r>
      <w:r>
        <w:rPr>
          <w:color w:val="auto"/>
          <w:sz w:val="28"/>
          <w:szCs w:val="28"/>
          <w:highlight w:val="none"/>
          <w:lang w:val="kk-KZ"/>
        </w:rPr>
        <w:t>], ал минералдық тасымалдағыштар үшін әдебиет деректері 70-82% диапазонын көрсетеді [</w:t>
      </w:r>
      <w:r>
        <w:rPr>
          <w:rFonts w:hint="default"/>
          <w:color w:val="auto"/>
          <w:sz w:val="28"/>
          <w:szCs w:val="28"/>
          <w:highlight w:val="none"/>
          <w:lang w:val="kk-KZ"/>
        </w:rPr>
        <w:t>113, 131</w:t>
      </w:r>
      <w:r>
        <w:rPr>
          <w:color w:val="auto"/>
          <w:sz w:val="28"/>
          <w:szCs w:val="28"/>
          <w:highlight w:val="none"/>
          <w:lang w:val="kk-KZ"/>
        </w:rPr>
        <w:t xml:space="preserve">]. СЭМ талдауы органикалық тасымалдағыштарда жоғары жасушалық тығыздықты растады: қарақұмық қауызында </w:t>
      </w:r>
      <w:r>
        <w:rPr>
          <w:color w:val="auto"/>
          <w:sz w:val="28"/>
          <w:szCs w:val="28"/>
          <w:highlight w:val="none"/>
          <w:lang w:val="ru-RU"/>
        </w:rPr>
        <w:t>3,</w:t>
      </w:r>
      <w:r>
        <w:rPr>
          <w:color w:val="auto"/>
          <w:sz w:val="28"/>
          <w:szCs w:val="28"/>
          <w:highlight w:val="none"/>
          <w:lang w:val="kk-KZ"/>
        </w:rPr>
        <w:t xml:space="preserve">2×10⁶ клетка/см² (бет жабу 42%), күріш қауызында </w:t>
      </w:r>
      <w:r>
        <w:rPr>
          <w:color w:val="auto"/>
          <w:sz w:val="28"/>
          <w:szCs w:val="28"/>
          <w:highlight w:val="none"/>
          <w:lang w:val="ru-RU"/>
        </w:rPr>
        <w:t>2,</w:t>
      </w:r>
      <w:r>
        <w:rPr>
          <w:color w:val="auto"/>
          <w:sz w:val="28"/>
          <w:szCs w:val="28"/>
          <w:highlight w:val="none"/>
          <w:lang w:val="kk-KZ"/>
        </w:rPr>
        <w:t>4×10⁶ клетка/см² (бет жабу 35%) [</w:t>
      </w:r>
      <w:r>
        <w:rPr>
          <w:rFonts w:hint="default"/>
          <w:color w:val="auto"/>
          <w:sz w:val="28"/>
          <w:szCs w:val="28"/>
          <w:highlight w:val="none"/>
          <w:lang w:val="kk-KZ"/>
        </w:rPr>
        <w:t>142, 156</w:t>
      </w:r>
      <w:r>
        <w:rPr>
          <w:color w:val="auto"/>
          <w:sz w:val="28"/>
          <w:szCs w:val="28"/>
          <w:highlight w:val="none"/>
          <w:lang w:val="kk-KZ"/>
        </w:rPr>
        <w:t>].</w:t>
      </w:r>
    </w:p>
    <w:p w14:paraId="1CE25896">
      <w:pPr>
        <w:pStyle w:val="35"/>
        <w:spacing w:beforeAutospacing="0" w:afterAutospacing="0"/>
        <w:ind w:firstLine="709"/>
        <w:jc w:val="both"/>
        <w:rPr>
          <w:color w:val="auto"/>
          <w:sz w:val="28"/>
          <w:szCs w:val="28"/>
          <w:highlight w:val="none"/>
          <w:lang w:val="kk-KZ"/>
        </w:rPr>
      </w:pPr>
      <w:r>
        <w:rPr>
          <w:color w:val="auto"/>
          <w:sz w:val="28"/>
          <w:szCs w:val="28"/>
          <w:highlight w:val="none"/>
          <w:lang w:val="kk-KZ"/>
        </w:rPr>
        <w:t>Оңтайлы жағдайларда (45 күн, +25-28°C, 0% NaCl) органикалық тасымалдағыштар жоғары деструкция көрсетті: қарақұмық қауызы 5</w:t>
      </w:r>
      <w:r>
        <w:rPr>
          <w:color w:val="auto"/>
          <w:sz w:val="28"/>
          <w:szCs w:val="28"/>
          <w:highlight w:val="none"/>
          <w:lang w:val="ru-RU"/>
        </w:rPr>
        <w:t>8,</w:t>
      </w:r>
      <w:r>
        <w:rPr>
          <w:color w:val="auto"/>
          <w:sz w:val="28"/>
          <w:szCs w:val="28"/>
          <w:highlight w:val="none"/>
          <w:lang w:val="kk-KZ"/>
        </w:rPr>
        <w:t>5±</w:t>
      </w:r>
      <w:r>
        <w:rPr>
          <w:color w:val="auto"/>
          <w:sz w:val="28"/>
          <w:szCs w:val="28"/>
          <w:highlight w:val="none"/>
          <w:lang w:val="ru-RU"/>
        </w:rPr>
        <w:t>3,</w:t>
      </w:r>
      <w:r>
        <w:rPr>
          <w:color w:val="auto"/>
          <w:sz w:val="28"/>
          <w:szCs w:val="28"/>
          <w:highlight w:val="none"/>
          <w:lang w:val="kk-KZ"/>
        </w:rPr>
        <w:t>7%, күріш қауызы 5</w:t>
      </w:r>
      <w:r>
        <w:rPr>
          <w:color w:val="auto"/>
          <w:sz w:val="28"/>
          <w:szCs w:val="28"/>
          <w:highlight w:val="none"/>
          <w:lang w:val="ru-RU"/>
        </w:rPr>
        <w:t>2,</w:t>
      </w:r>
      <w:r>
        <w:rPr>
          <w:color w:val="auto"/>
          <w:sz w:val="28"/>
          <w:szCs w:val="28"/>
          <w:highlight w:val="none"/>
          <w:lang w:val="kk-KZ"/>
        </w:rPr>
        <w:t>1±</w:t>
      </w:r>
      <w:r>
        <w:rPr>
          <w:color w:val="auto"/>
          <w:sz w:val="28"/>
          <w:szCs w:val="28"/>
          <w:highlight w:val="none"/>
          <w:lang w:val="ru-RU"/>
        </w:rPr>
        <w:t>4,</w:t>
      </w:r>
      <w:r>
        <w:rPr>
          <w:color w:val="auto"/>
          <w:sz w:val="28"/>
          <w:szCs w:val="28"/>
          <w:highlight w:val="none"/>
          <w:lang w:val="kk-KZ"/>
        </w:rPr>
        <w:t>2%, ал минералдық тасымалдағыштар үшін ұқсас зерттеулер 38-48% диапазонын көрсетеді [1</w:t>
      </w:r>
      <w:r>
        <w:rPr>
          <w:rFonts w:hint="default"/>
          <w:color w:val="auto"/>
          <w:sz w:val="28"/>
          <w:szCs w:val="28"/>
          <w:highlight w:val="none"/>
          <w:lang w:val="kk-KZ"/>
        </w:rPr>
        <w:t>72</w:t>
      </w:r>
      <w:r>
        <w:rPr>
          <w:color w:val="auto"/>
          <w:sz w:val="28"/>
          <w:szCs w:val="28"/>
          <w:highlight w:val="none"/>
          <w:lang w:val="kk-KZ"/>
        </w:rPr>
        <w:t>]. Стресс жағдайларында (14 күн, +42°C, 10% NaCl) айырмашылық одан да айқын: күріш қауызы 7</w:t>
      </w:r>
      <w:r>
        <w:rPr>
          <w:color w:val="auto"/>
          <w:sz w:val="28"/>
          <w:szCs w:val="28"/>
          <w:highlight w:val="none"/>
          <w:lang w:val="ru-RU"/>
        </w:rPr>
        <w:t>8,</w:t>
      </w:r>
      <w:r>
        <w:rPr>
          <w:color w:val="auto"/>
          <w:sz w:val="28"/>
          <w:szCs w:val="28"/>
          <w:highlight w:val="none"/>
          <w:lang w:val="kk-KZ"/>
        </w:rPr>
        <w:t>4±</w:t>
      </w:r>
      <w:r>
        <w:rPr>
          <w:color w:val="auto"/>
          <w:sz w:val="28"/>
          <w:szCs w:val="28"/>
          <w:highlight w:val="none"/>
          <w:lang w:val="ru-RU"/>
        </w:rPr>
        <w:t>0,</w:t>
      </w:r>
      <w:r>
        <w:rPr>
          <w:color w:val="auto"/>
          <w:sz w:val="28"/>
          <w:szCs w:val="28"/>
          <w:highlight w:val="none"/>
          <w:lang w:val="kk-KZ"/>
        </w:rPr>
        <w:t>89%, қарақұмық қауызы 5</w:t>
      </w:r>
      <w:r>
        <w:rPr>
          <w:color w:val="auto"/>
          <w:sz w:val="28"/>
          <w:szCs w:val="28"/>
          <w:highlight w:val="none"/>
          <w:lang w:val="ru-RU"/>
        </w:rPr>
        <w:t>4,</w:t>
      </w:r>
      <w:r>
        <w:rPr>
          <w:color w:val="auto"/>
          <w:sz w:val="28"/>
          <w:szCs w:val="28"/>
          <w:highlight w:val="none"/>
          <w:lang w:val="kk-KZ"/>
        </w:rPr>
        <w:t>0±</w:t>
      </w:r>
      <w:r>
        <w:rPr>
          <w:color w:val="auto"/>
          <w:sz w:val="28"/>
          <w:szCs w:val="28"/>
          <w:highlight w:val="none"/>
          <w:lang w:val="ru-RU"/>
        </w:rPr>
        <w:t>0,</w:t>
      </w:r>
      <w:r>
        <w:rPr>
          <w:color w:val="auto"/>
          <w:sz w:val="28"/>
          <w:szCs w:val="28"/>
          <w:highlight w:val="none"/>
          <w:lang w:val="kk-KZ"/>
        </w:rPr>
        <w:t>85%, ал минералдық материалдар үшін 32-40% [12</w:t>
      </w:r>
      <w:r>
        <w:rPr>
          <w:rFonts w:hint="default"/>
          <w:color w:val="auto"/>
          <w:sz w:val="28"/>
          <w:szCs w:val="28"/>
          <w:highlight w:val="none"/>
          <w:lang w:val="ru-RU"/>
        </w:rPr>
        <w:t>9</w:t>
      </w:r>
      <w:r>
        <w:rPr>
          <w:color w:val="auto"/>
          <w:sz w:val="28"/>
          <w:szCs w:val="28"/>
          <w:highlight w:val="none"/>
          <w:lang w:val="kk-KZ"/>
        </w:rPr>
        <w:t>, 131].</w:t>
      </w:r>
    </w:p>
    <w:p w14:paraId="4AF08D58">
      <w:pPr>
        <w:pStyle w:val="35"/>
        <w:spacing w:beforeAutospacing="0" w:afterAutospacing="0"/>
        <w:ind w:firstLine="709"/>
        <w:jc w:val="both"/>
        <w:rPr>
          <w:color w:val="auto"/>
          <w:sz w:val="28"/>
          <w:szCs w:val="28"/>
          <w:highlight w:val="none"/>
          <w:lang w:val="kk-KZ"/>
        </w:rPr>
      </w:pPr>
      <w:r>
        <w:rPr>
          <w:color w:val="auto"/>
          <w:sz w:val="28"/>
          <w:szCs w:val="28"/>
          <w:highlight w:val="none"/>
          <w:lang w:val="kk-KZ"/>
        </w:rPr>
        <w:t>Микробтық популяция динамикасы да органикалық тасымалдағыштар пайдасына айырмашылық көрсетті: қарақұмық қауызында 76.5×10⁷ КТБ/г, күріште 5</w:t>
      </w:r>
      <w:r>
        <w:rPr>
          <w:color w:val="auto"/>
          <w:sz w:val="28"/>
          <w:szCs w:val="28"/>
          <w:highlight w:val="none"/>
          <w:lang w:val="ru-RU"/>
        </w:rPr>
        <w:t>8,</w:t>
      </w:r>
      <w:r>
        <w:rPr>
          <w:color w:val="auto"/>
          <w:sz w:val="28"/>
          <w:szCs w:val="28"/>
          <w:highlight w:val="none"/>
          <w:lang w:val="kk-KZ"/>
        </w:rPr>
        <w:t>2×10⁷ КТБ/г, бос жасушаларда 2</w:t>
      </w:r>
      <w:r>
        <w:rPr>
          <w:color w:val="auto"/>
          <w:sz w:val="28"/>
          <w:szCs w:val="28"/>
          <w:highlight w:val="none"/>
          <w:lang w:val="ru-RU"/>
        </w:rPr>
        <w:t>4,</w:t>
      </w:r>
      <w:r>
        <w:rPr>
          <w:color w:val="auto"/>
          <w:sz w:val="28"/>
          <w:szCs w:val="28"/>
          <w:highlight w:val="none"/>
          <w:lang w:val="kk-KZ"/>
        </w:rPr>
        <w:t>6×10⁷ КТБ/г [142, 154].</w:t>
      </w:r>
    </w:p>
    <w:p w14:paraId="2748F7DE">
      <w:pPr>
        <w:pStyle w:val="35"/>
        <w:spacing w:beforeAutospacing="0" w:afterAutospacing="0"/>
        <w:ind w:firstLine="709"/>
        <w:jc w:val="both"/>
        <w:rPr>
          <w:color w:val="auto"/>
          <w:sz w:val="28"/>
          <w:szCs w:val="28"/>
          <w:highlight w:val="none"/>
          <w:lang w:val="kk-KZ"/>
        </w:rPr>
      </w:pPr>
      <w:r>
        <w:rPr>
          <w:color w:val="auto"/>
          <w:sz w:val="28"/>
          <w:szCs w:val="28"/>
          <w:highlight w:val="none"/>
          <w:lang w:val="kk-KZ"/>
        </w:rPr>
        <w:t>Экономикалық тұрғыдан органикалық тасымалдағыштар айқын артықшылыққа ие [81]: қарақұмық қауызының құны 30-50 теңге/кг, күріш қауызы 50-80 теңге/кг, ал минералдық материалдар 150-200 теңге/кг [100, 137]. Шығын тиімділік коэффициенті органикалық тасымалдағыштар үшін 9-12 теңге/%, минералдық үшін 17-19 теңге/% құрады. Қазақстанда қарақұмық пен күріш қауыздары мол мөлшерде қолжетімді: жылына 38-45 мың тонна күріш қауызы, 28-36 мың тонна қарақұмық қауызы [</w:t>
      </w:r>
      <w:r>
        <w:rPr>
          <w:rFonts w:hint="default"/>
          <w:color w:val="auto"/>
          <w:sz w:val="28"/>
          <w:szCs w:val="28"/>
          <w:highlight w:val="none"/>
          <w:lang w:val="kk-KZ"/>
        </w:rPr>
        <w:t>117, 153</w:t>
      </w:r>
      <w:r>
        <w:rPr>
          <w:color w:val="auto"/>
          <w:sz w:val="28"/>
          <w:szCs w:val="28"/>
          <w:highlight w:val="none"/>
          <w:lang w:val="kk-KZ"/>
        </w:rPr>
        <w:t>].</w:t>
      </w:r>
    </w:p>
    <w:p w14:paraId="216D1DCF">
      <w:pPr>
        <w:pStyle w:val="35"/>
        <w:spacing w:beforeAutospacing="0" w:afterAutospacing="0"/>
        <w:ind w:firstLine="709"/>
        <w:jc w:val="both"/>
        <w:rPr>
          <w:color w:val="auto"/>
          <w:sz w:val="28"/>
          <w:szCs w:val="28"/>
          <w:highlight w:val="none"/>
          <w:lang w:val="kk-KZ"/>
        </w:rPr>
      </w:pPr>
      <w:r>
        <w:rPr>
          <w:color w:val="auto"/>
          <w:sz w:val="28"/>
          <w:szCs w:val="28"/>
          <w:highlight w:val="none"/>
          <w:lang w:val="kk-KZ"/>
        </w:rPr>
        <w:t>Экологиялық қауіпсіздік тұрғысынан органикалық тасымалдағыштар толық биодеградацияланып (6-24 ай), топырақ құнарлылығын жақсартады [</w:t>
      </w:r>
      <w:r>
        <w:rPr>
          <w:rFonts w:hint="default"/>
          <w:color w:val="auto"/>
          <w:sz w:val="28"/>
          <w:szCs w:val="28"/>
          <w:highlight w:val="none"/>
          <w:lang w:val="kk-KZ"/>
        </w:rPr>
        <w:t>44, 73</w:t>
      </w:r>
      <w:r>
        <w:rPr>
          <w:color w:val="auto"/>
          <w:sz w:val="28"/>
          <w:szCs w:val="28"/>
          <w:highlight w:val="none"/>
          <w:lang w:val="kk-KZ"/>
        </w:rPr>
        <w:t>]. Минералдық материалдар биодеградацияланбайды және утилизация мәселесін туғызады [113, 120].</w:t>
      </w:r>
    </w:p>
    <w:p w14:paraId="40544A17">
      <w:pPr>
        <w:pStyle w:val="35"/>
        <w:spacing w:beforeAutospacing="0" w:afterAutospacing="0"/>
        <w:ind w:firstLine="709"/>
        <w:jc w:val="both"/>
        <w:rPr>
          <w:color w:val="auto"/>
          <w:sz w:val="28"/>
          <w:szCs w:val="28"/>
          <w:highlight w:val="none"/>
          <w:lang w:val="kk-KZ"/>
        </w:rPr>
      </w:pPr>
      <w:r>
        <w:rPr>
          <w:color w:val="auto"/>
          <w:sz w:val="28"/>
          <w:szCs w:val="28"/>
          <w:highlight w:val="none"/>
          <w:lang w:val="kk-KZ"/>
        </w:rPr>
        <w:t>Объективті баға беру үшін органикалық тасымалдағыштардың кемшіліктерін атап өту керек: төмен механикалық беріктік, биодеградация кезінде құрылымдық тұтастықтың жоғалуы, партиядан партияға құрамның өзгеруі [100, 109]. Алайда, биоремедиация циклінің 3-6 ай ұзақтығы бұл кемшіліктерді минимизациялайды [81, 142].</w:t>
      </w:r>
    </w:p>
    <w:p w14:paraId="65597089">
      <w:pPr>
        <w:pStyle w:val="35"/>
        <w:spacing w:beforeAutospacing="0" w:afterAutospacing="0"/>
        <w:ind w:firstLine="709"/>
        <w:jc w:val="both"/>
        <w:rPr>
          <w:color w:val="auto"/>
          <w:sz w:val="28"/>
          <w:szCs w:val="28"/>
          <w:highlight w:val="none"/>
          <w:lang w:val="kk-KZ"/>
        </w:rPr>
      </w:pPr>
      <w:r>
        <w:rPr>
          <w:color w:val="auto"/>
          <w:sz w:val="28"/>
          <w:szCs w:val="28"/>
          <w:highlight w:val="none"/>
          <w:lang w:val="kk-KZ"/>
        </w:rPr>
        <w:t>Органикалық тасымалдағыштар төрт негізгі критерий бойынша артықшылыққа ие болды: (1) биологиялық тиімділік – иммобилизация 10-20% жоғары, деструкция тиімділігі 20-40% жоғары [</w:t>
      </w:r>
      <w:r>
        <w:rPr>
          <w:rFonts w:hint="default"/>
          <w:color w:val="auto"/>
          <w:sz w:val="28"/>
          <w:szCs w:val="28"/>
          <w:highlight w:val="none"/>
          <w:lang w:val="kk-KZ"/>
        </w:rPr>
        <w:t>117, 153</w:t>
      </w:r>
      <w:r>
        <w:rPr>
          <w:color w:val="auto"/>
          <w:sz w:val="28"/>
          <w:szCs w:val="28"/>
          <w:highlight w:val="none"/>
          <w:lang w:val="kk-KZ"/>
        </w:rPr>
        <w:t>]; (2) экономикалық тиімділік – құны 3-5 есе төмен, шығын тиімділігі 40-50% жақсы [</w:t>
      </w:r>
      <w:r>
        <w:rPr>
          <w:rFonts w:hint="default"/>
          <w:color w:val="auto"/>
          <w:sz w:val="28"/>
          <w:szCs w:val="28"/>
          <w:highlight w:val="none"/>
          <w:lang w:val="kk-KZ"/>
        </w:rPr>
        <w:t>44, 73</w:t>
      </w:r>
      <w:r>
        <w:rPr>
          <w:color w:val="auto"/>
          <w:sz w:val="28"/>
          <w:szCs w:val="28"/>
          <w:highlight w:val="none"/>
          <w:lang w:val="kk-KZ"/>
        </w:rPr>
        <w:t>]; (3) экологиялық ұтымдылық – биодеградацияланады, топырақты жақсартады [44, 102]; (4) практикалық қолайлылық – Қазақстанда мол, өңдеу оңай [</w:t>
      </w:r>
      <w:r>
        <w:rPr>
          <w:rFonts w:hint="default"/>
          <w:color w:val="auto"/>
          <w:sz w:val="28"/>
          <w:szCs w:val="28"/>
          <w:highlight w:val="none"/>
          <w:lang w:val="kk-KZ"/>
        </w:rPr>
        <w:t>81, 117</w:t>
      </w:r>
      <w:r>
        <w:rPr>
          <w:color w:val="auto"/>
          <w:sz w:val="28"/>
          <w:szCs w:val="28"/>
          <w:highlight w:val="none"/>
          <w:lang w:val="kk-KZ"/>
        </w:rPr>
        <w:t>].</w:t>
      </w:r>
    </w:p>
    <w:p w14:paraId="0B1DBA84">
      <w:pPr>
        <w:pStyle w:val="35"/>
        <w:spacing w:beforeAutospacing="0" w:afterAutospacing="0"/>
        <w:ind w:firstLine="709"/>
        <w:jc w:val="both"/>
        <w:rPr>
          <w:color w:val="auto"/>
          <w:sz w:val="28"/>
          <w:szCs w:val="28"/>
          <w:highlight w:val="none"/>
          <w:lang w:val="kk-KZ"/>
        </w:rPr>
      </w:pPr>
      <w:r>
        <w:rPr>
          <w:color w:val="auto"/>
          <w:sz w:val="28"/>
          <w:szCs w:val="28"/>
          <w:highlight w:val="none"/>
          <w:lang w:val="kk-KZ"/>
        </w:rPr>
        <w:t>Осы салыстырмалы талдаудың шектеулерін атап өту керек: минералдық тасымалдағыштармен тікелей эксперименттік салыстыру жүргізілмеді, салыстыру әдебиет деректеріне негізделген; далалық жағдайларда тасымалдағыштардың ұзақ мерзімді тұрақтылығы зерттелмеді. Болашақта органикалық және минералдық тасымалдағыштардың гибридті композиттері (цеолит-целлюлоза) екі типтің артықшылықтарын біріктіруі мүмкін [</w:t>
      </w:r>
      <w:r>
        <w:rPr>
          <w:rFonts w:hint="default"/>
          <w:color w:val="auto"/>
          <w:sz w:val="28"/>
          <w:szCs w:val="28"/>
          <w:highlight w:val="none"/>
          <w:lang w:val="kk-KZ"/>
        </w:rPr>
        <w:t>92, 154</w:t>
      </w:r>
      <w:r>
        <w:rPr>
          <w:color w:val="auto"/>
          <w:sz w:val="28"/>
          <w:szCs w:val="28"/>
          <w:highlight w:val="none"/>
          <w:lang w:val="kk-KZ"/>
        </w:rPr>
        <w:t>].</w:t>
      </w:r>
    </w:p>
    <w:p w14:paraId="0B65D248">
      <w:pPr>
        <w:pStyle w:val="35"/>
        <w:spacing w:beforeAutospacing="0" w:afterAutospacing="0"/>
        <w:ind w:firstLine="709"/>
        <w:jc w:val="both"/>
        <w:rPr>
          <w:color w:val="auto"/>
          <w:sz w:val="28"/>
          <w:szCs w:val="28"/>
          <w:highlight w:val="none"/>
          <w:lang w:val="kk-KZ"/>
        </w:rPr>
      </w:pPr>
      <w:r>
        <w:rPr>
          <w:color w:val="auto"/>
          <w:sz w:val="28"/>
          <w:szCs w:val="28"/>
          <w:highlight w:val="none"/>
          <w:lang w:val="kk-KZ"/>
        </w:rPr>
        <w:t>Қорытындылай келе, органикалық тасымалдағыштар биоремедиация үшін жалпы артықшылығы жоғары, әсіресе Қазақстан жағдайларында. Олардың биологиялық тиімділігі, экономикалық қолжетімділігі және экологиялық қауіпсіздігі минералдық материалдардың техникалық артықшылықтарынан басым болды.</w:t>
      </w:r>
    </w:p>
    <w:p w14:paraId="5C01082E">
      <w:pPr>
        <w:pStyle w:val="35"/>
        <w:spacing w:beforeAutospacing="0" w:afterAutospacing="0"/>
        <w:ind w:firstLine="709"/>
        <w:jc w:val="both"/>
        <w:rPr>
          <w:bCs/>
          <w:color w:val="auto"/>
          <w:sz w:val="28"/>
          <w:szCs w:val="28"/>
          <w:highlight w:val="yellow"/>
          <w:lang w:val="kk-KZ"/>
        </w:rPr>
      </w:pPr>
    </w:p>
    <w:p w14:paraId="4763B369">
      <w:pPr>
        <w:pStyle w:val="35"/>
        <w:spacing w:beforeAutospacing="0" w:afterAutospacing="0"/>
        <w:ind w:firstLine="709"/>
        <w:jc w:val="both"/>
        <w:rPr>
          <w:b/>
          <w:bCs/>
          <w:color w:val="auto"/>
          <w:sz w:val="28"/>
          <w:szCs w:val="28"/>
          <w:lang w:val="kk-KZ"/>
        </w:rPr>
      </w:pPr>
      <w:r>
        <w:rPr>
          <w:b/>
          <w:bCs/>
          <w:color w:val="auto"/>
          <w:sz w:val="28"/>
          <w:szCs w:val="28"/>
          <w:lang w:val="ru-RU"/>
        </w:rPr>
        <w:t>3</w:t>
      </w:r>
      <w:r>
        <w:rPr>
          <w:rFonts w:hint="default"/>
          <w:b/>
          <w:bCs/>
          <w:color w:val="auto"/>
          <w:sz w:val="28"/>
          <w:szCs w:val="28"/>
          <w:lang w:val="kk-KZ"/>
        </w:rPr>
        <w:t>.</w:t>
      </w:r>
      <w:r>
        <w:rPr>
          <w:b/>
          <w:bCs/>
          <w:color w:val="auto"/>
          <w:sz w:val="28"/>
          <w:szCs w:val="28"/>
          <w:lang w:val="kk-KZ"/>
        </w:rPr>
        <w:t>5.</w:t>
      </w:r>
      <w:r>
        <w:rPr>
          <w:b/>
          <w:bCs/>
          <w:color w:val="auto"/>
          <w:sz w:val="28"/>
          <w:szCs w:val="28"/>
          <w:lang w:val="ru-RU"/>
        </w:rPr>
        <w:t>2</w:t>
      </w:r>
      <w:r>
        <w:rPr>
          <w:rFonts w:hint="default"/>
          <w:b/>
          <w:bCs/>
          <w:color w:val="auto"/>
          <w:sz w:val="28"/>
          <w:szCs w:val="28"/>
          <w:lang w:val="ru-RU"/>
        </w:rPr>
        <w:t xml:space="preserve"> </w:t>
      </w:r>
      <w:r>
        <w:rPr>
          <w:b/>
          <w:bCs/>
          <w:color w:val="auto"/>
          <w:sz w:val="28"/>
          <w:szCs w:val="28"/>
          <w:lang w:val="kk-KZ"/>
        </w:rPr>
        <w:t>Қарақұмық және күріш қауыздарын салыстыру</w:t>
      </w:r>
    </w:p>
    <w:p w14:paraId="1090BEAA">
      <w:pPr>
        <w:pStyle w:val="35"/>
        <w:spacing w:beforeAutospacing="0" w:afterAutospacing="0"/>
        <w:ind w:firstLine="709"/>
        <w:jc w:val="both"/>
        <w:rPr>
          <w:color w:val="auto"/>
          <w:sz w:val="28"/>
          <w:szCs w:val="28"/>
          <w:lang w:val="kk-KZ"/>
        </w:rPr>
      </w:pPr>
      <w:r>
        <w:rPr>
          <w:color w:val="auto"/>
          <w:sz w:val="28"/>
          <w:szCs w:val="28"/>
          <w:lang w:val="kk-KZ"/>
        </w:rPr>
        <w:t>Екі органикалық тасымалдаушы – қарақұмық және күріш қауыздары – айтарлықтай артықшылықтар көрсеткенімен, олардың арасында маңызды айырмашылықтар бар. Бұл айырмашылықтар әртүрлі қолдану жағдайларына сәйкес тасымалдағышты таңдауға мүмкіндік береді.</w:t>
      </w:r>
    </w:p>
    <w:p w14:paraId="08E5AA0F">
      <w:pPr>
        <w:pStyle w:val="35"/>
        <w:spacing w:beforeAutospacing="0" w:afterAutospacing="0"/>
        <w:ind w:firstLine="709"/>
        <w:jc w:val="both"/>
        <w:rPr>
          <w:i/>
          <w:iCs/>
          <w:color w:val="auto"/>
          <w:sz w:val="28"/>
          <w:szCs w:val="28"/>
          <w:lang w:val="kk-KZ"/>
        </w:rPr>
      </w:pPr>
      <w:r>
        <w:rPr>
          <w:rStyle w:val="19"/>
          <w:b w:val="0"/>
          <w:bCs w:val="0"/>
          <w:i/>
          <w:iCs/>
          <w:color w:val="auto"/>
          <w:sz w:val="28"/>
          <w:szCs w:val="28"/>
          <w:lang w:val="kk-KZ"/>
        </w:rPr>
        <w:t>Химиялық құрам айырмашылықтары</w:t>
      </w:r>
    </w:p>
    <w:p w14:paraId="79FB4DBA">
      <w:pPr>
        <w:pStyle w:val="35"/>
        <w:spacing w:beforeAutospacing="0" w:afterAutospacing="0"/>
        <w:ind w:firstLine="709"/>
        <w:jc w:val="both"/>
        <w:rPr>
          <w:color w:val="auto"/>
          <w:sz w:val="28"/>
          <w:szCs w:val="28"/>
          <w:lang w:val="kk-KZ"/>
        </w:rPr>
      </w:pPr>
      <w:r>
        <w:rPr>
          <w:color w:val="auto"/>
          <w:sz w:val="28"/>
          <w:szCs w:val="28"/>
          <w:lang w:val="kk-KZ"/>
        </w:rPr>
        <w:t>Қарақұмық қауызы салыстырмалы түрде төмен целлюлоза (20-27%) және лигнин (8-15%) құрамымен сипатталады, ал күріш қауызының құрамында бұл көрсеткіштер айтарлықтай жоғары: целлюлоза 34-43%, лигнин 19-47% [</w:t>
      </w:r>
      <w:r>
        <w:rPr>
          <w:rFonts w:hint="default"/>
          <w:color w:val="auto"/>
          <w:sz w:val="28"/>
          <w:szCs w:val="28"/>
          <w:lang w:val="kk-KZ"/>
        </w:rPr>
        <w:t>117, 150, 163</w:t>
      </w:r>
      <w:r>
        <w:rPr>
          <w:color w:val="auto"/>
          <w:sz w:val="28"/>
          <w:szCs w:val="28"/>
          <w:lang w:val="kk-KZ"/>
        </w:rPr>
        <w:t>]. Жоғары лигнин құрамы күріш қауызына гидрофобтық қасиеттер береді, бұл ылғал жоғалтудан қорғауға мүмкіндік береді және аридті климатта маңызды артықшылық болып табылады [</w:t>
      </w:r>
      <w:r>
        <w:rPr>
          <w:rFonts w:hint="default"/>
          <w:color w:val="auto"/>
          <w:sz w:val="28"/>
          <w:szCs w:val="28"/>
          <w:lang w:val="kk-KZ"/>
        </w:rPr>
        <w:t>82, 97, 102</w:t>
      </w:r>
      <w:r>
        <w:rPr>
          <w:color w:val="auto"/>
          <w:sz w:val="28"/>
          <w:szCs w:val="28"/>
          <w:lang w:val="kk-KZ"/>
        </w:rPr>
        <w:t>].</w:t>
      </w:r>
    </w:p>
    <w:p w14:paraId="257837B5">
      <w:pPr>
        <w:pStyle w:val="35"/>
        <w:spacing w:beforeAutospacing="0" w:afterAutospacing="0"/>
        <w:ind w:firstLine="709"/>
        <w:jc w:val="both"/>
        <w:rPr>
          <w:color w:val="auto"/>
          <w:sz w:val="28"/>
          <w:szCs w:val="28"/>
          <w:lang w:val="kk-KZ"/>
        </w:rPr>
      </w:pPr>
      <w:r>
        <w:rPr>
          <w:color w:val="auto"/>
          <w:sz w:val="28"/>
          <w:szCs w:val="28"/>
          <w:lang w:val="kk-KZ"/>
        </w:rPr>
        <w:t>Белок құрамында қарақұмық қауызы басым: 3-7% салыстырмалы күріште 1-9%, бұл микроорганизмдерге қосымша азот көзі ретінде қызмет етеді [68, 104]. Ең маңызды айырмашылық антиоксиданттық құрамда байқалады: қарақұмық қауызы 2</w:t>
      </w:r>
      <w:r>
        <w:rPr>
          <w:color w:val="auto"/>
          <w:sz w:val="28"/>
          <w:szCs w:val="28"/>
          <w:lang w:val="ru-RU"/>
        </w:rPr>
        <w:t>8,</w:t>
      </w:r>
      <w:r>
        <w:rPr>
          <w:color w:val="auto"/>
          <w:sz w:val="28"/>
          <w:szCs w:val="28"/>
          <w:lang w:val="kk-KZ"/>
        </w:rPr>
        <w:t>8 мг/100г рутин қамтиды, бұл күріштегі 15.0 мг/100г-дан екі есе жоғары [1</w:t>
      </w:r>
      <w:r>
        <w:rPr>
          <w:rFonts w:hint="default"/>
          <w:color w:val="auto"/>
          <w:sz w:val="28"/>
          <w:szCs w:val="28"/>
          <w:lang w:val="ru-RU"/>
        </w:rPr>
        <w:t>68</w:t>
      </w:r>
      <w:r>
        <w:rPr>
          <w:color w:val="auto"/>
          <w:sz w:val="28"/>
          <w:szCs w:val="28"/>
          <w:lang w:val="kk-KZ"/>
        </w:rPr>
        <w:t>]. Рутин реактивті оттегі түрлерін бейтараптандырып, жасушаларды тотығу стрессінен қорғайды.</w:t>
      </w:r>
    </w:p>
    <w:p w14:paraId="2C51A0E1">
      <w:pPr>
        <w:pStyle w:val="35"/>
        <w:spacing w:beforeAutospacing="0" w:afterAutospacing="0"/>
        <w:ind w:firstLine="709"/>
        <w:jc w:val="both"/>
        <w:rPr>
          <w:i/>
          <w:iCs/>
          <w:color w:val="auto"/>
          <w:sz w:val="28"/>
          <w:szCs w:val="28"/>
          <w:lang w:val="kk-KZ"/>
        </w:rPr>
      </w:pPr>
      <w:r>
        <w:rPr>
          <w:rStyle w:val="19"/>
          <w:b w:val="0"/>
          <w:bCs w:val="0"/>
          <w:i/>
          <w:iCs/>
          <w:color w:val="auto"/>
          <w:sz w:val="28"/>
          <w:szCs w:val="28"/>
          <w:lang w:val="kk-KZ"/>
        </w:rPr>
        <w:t>Құрылымдық қасиеттер айырмашылықтары</w:t>
      </w:r>
    </w:p>
    <w:p w14:paraId="7FFA04F1">
      <w:pPr>
        <w:pStyle w:val="35"/>
        <w:spacing w:beforeAutospacing="0" w:afterAutospacing="0"/>
        <w:ind w:firstLine="709"/>
        <w:jc w:val="both"/>
        <w:rPr>
          <w:color w:val="auto"/>
          <w:sz w:val="28"/>
          <w:szCs w:val="28"/>
          <w:lang w:val="kk-KZ"/>
        </w:rPr>
      </w:pPr>
      <w:r>
        <w:rPr>
          <w:color w:val="auto"/>
          <w:sz w:val="28"/>
          <w:szCs w:val="28"/>
          <w:lang w:val="kk-KZ"/>
        </w:rPr>
        <w:t>Кеуектілік екі материалда да жоғары, бірақ кеуектердің морфологиясы өзгеше: қарақұмық қауызында кеуектер үлкенірек (5-50 мкм) және біртексіз таралған, ал күріш қауызында олар кішірек (3-20 мкм) және біркелкі орналасқан [154, 1</w:t>
      </w:r>
      <w:r>
        <w:rPr>
          <w:rFonts w:hint="default"/>
          <w:color w:val="auto"/>
          <w:sz w:val="28"/>
          <w:szCs w:val="28"/>
          <w:lang w:val="kk-KZ"/>
        </w:rPr>
        <w:t>72</w:t>
      </w:r>
      <w:r>
        <w:rPr>
          <w:color w:val="auto"/>
          <w:sz w:val="28"/>
          <w:szCs w:val="28"/>
          <w:lang w:val="kk-KZ"/>
        </w:rPr>
        <w:t xml:space="preserve">]. СЭМ талдауы қарақұмықта жоғары жасушалық тығыздықты растады: </w:t>
      </w:r>
      <w:r>
        <w:rPr>
          <w:color w:val="auto"/>
          <w:sz w:val="28"/>
          <w:szCs w:val="28"/>
          <w:lang w:val="ru-RU"/>
        </w:rPr>
        <w:t>3,</w:t>
      </w:r>
      <w:r>
        <w:rPr>
          <w:color w:val="auto"/>
          <w:sz w:val="28"/>
          <w:szCs w:val="28"/>
          <w:lang w:val="kk-KZ"/>
        </w:rPr>
        <w:t xml:space="preserve">2×10⁶ клетка/см² (бет жабу 42%) салыстырмалы күріште </w:t>
      </w:r>
      <w:r>
        <w:rPr>
          <w:color w:val="auto"/>
          <w:sz w:val="28"/>
          <w:szCs w:val="28"/>
          <w:lang w:val="ru-RU"/>
        </w:rPr>
        <w:t>2,</w:t>
      </w:r>
      <w:r>
        <w:rPr>
          <w:color w:val="auto"/>
          <w:sz w:val="28"/>
          <w:szCs w:val="28"/>
          <w:lang w:val="kk-KZ"/>
        </w:rPr>
        <w:t>4×10⁶ клетка/см² (бет жабу 35%) [142, 15</w:t>
      </w:r>
      <w:r>
        <w:rPr>
          <w:rFonts w:hint="default"/>
          <w:color w:val="auto"/>
          <w:sz w:val="28"/>
          <w:szCs w:val="28"/>
          <w:lang w:val="ru-RU"/>
        </w:rPr>
        <w:t>6</w:t>
      </w:r>
      <w:r>
        <w:rPr>
          <w:color w:val="auto"/>
          <w:sz w:val="28"/>
          <w:szCs w:val="28"/>
          <w:lang w:val="kk-KZ"/>
        </w:rPr>
        <w:t>]. Механикалық беріктік бойынша күріш қауызының артықшылығы айқын: жоғары целлюлоза және лигнин құрамы құрылымдық тұтастықты қамтамасыз етеді [</w:t>
      </w:r>
      <w:r>
        <w:rPr>
          <w:rFonts w:hint="default"/>
          <w:color w:val="auto"/>
          <w:sz w:val="28"/>
          <w:szCs w:val="28"/>
          <w:lang w:val="kk-KZ"/>
        </w:rPr>
        <w:t>150, 163, 165</w:t>
      </w:r>
      <w:r>
        <w:rPr>
          <w:color w:val="auto"/>
          <w:sz w:val="28"/>
          <w:szCs w:val="28"/>
          <w:lang w:val="kk-KZ"/>
        </w:rPr>
        <w:t>].</w:t>
      </w:r>
    </w:p>
    <w:p w14:paraId="445D24AC">
      <w:pPr>
        <w:pStyle w:val="35"/>
        <w:spacing w:beforeAutospacing="0" w:afterAutospacing="0"/>
        <w:ind w:firstLine="709"/>
        <w:jc w:val="both"/>
        <w:rPr>
          <w:i/>
          <w:iCs/>
          <w:color w:val="auto"/>
          <w:sz w:val="28"/>
          <w:szCs w:val="28"/>
        </w:rPr>
      </w:pPr>
      <w:r>
        <w:rPr>
          <w:rStyle w:val="19"/>
          <w:b w:val="0"/>
          <w:bCs w:val="0"/>
          <w:i/>
          <w:iCs/>
          <w:color w:val="auto"/>
          <w:sz w:val="28"/>
          <w:szCs w:val="28"/>
        </w:rPr>
        <w:t>Иммобилизация және жасуша өміршеңдігі</w:t>
      </w:r>
    </w:p>
    <w:p w14:paraId="66713851">
      <w:pPr>
        <w:pStyle w:val="35"/>
        <w:spacing w:beforeAutospacing="0" w:afterAutospacing="0"/>
        <w:ind w:firstLine="709"/>
        <w:jc w:val="both"/>
        <w:rPr>
          <w:color w:val="auto"/>
          <w:sz w:val="28"/>
          <w:szCs w:val="28"/>
        </w:rPr>
      </w:pPr>
      <w:r>
        <w:rPr>
          <w:color w:val="auto"/>
          <w:sz w:val="28"/>
          <w:szCs w:val="28"/>
        </w:rPr>
        <w:t>Иммобилизация тиімділігі қарақұмық қауызы үшін 9</w:t>
      </w:r>
      <w:r>
        <w:rPr>
          <w:color w:val="auto"/>
          <w:sz w:val="28"/>
          <w:szCs w:val="28"/>
          <w:lang w:val="ru-RU"/>
        </w:rPr>
        <w:t>2,</w:t>
      </w:r>
      <w:r>
        <w:rPr>
          <w:color w:val="auto"/>
          <w:sz w:val="28"/>
          <w:szCs w:val="28"/>
        </w:rPr>
        <w:t>3±</w:t>
      </w:r>
      <w:r>
        <w:rPr>
          <w:color w:val="auto"/>
          <w:sz w:val="28"/>
          <w:szCs w:val="28"/>
          <w:lang w:val="ru-RU"/>
        </w:rPr>
        <w:t>2,</w:t>
      </w:r>
      <w:r>
        <w:rPr>
          <w:color w:val="auto"/>
          <w:sz w:val="28"/>
          <w:szCs w:val="28"/>
        </w:rPr>
        <w:t>1%, күріштікі 8</w:t>
      </w:r>
      <w:r>
        <w:rPr>
          <w:color w:val="auto"/>
          <w:sz w:val="28"/>
          <w:szCs w:val="28"/>
          <w:lang w:val="ru-RU"/>
        </w:rPr>
        <w:t>7,</w:t>
      </w:r>
      <w:r>
        <w:rPr>
          <w:color w:val="auto"/>
          <w:sz w:val="28"/>
          <w:szCs w:val="28"/>
        </w:rPr>
        <w:t>6±</w:t>
      </w:r>
      <w:r>
        <w:rPr>
          <w:color w:val="auto"/>
          <w:sz w:val="28"/>
          <w:szCs w:val="28"/>
          <w:lang w:val="ru-RU"/>
        </w:rPr>
        <w:t>3,</w:t>
      </w:r>
      <w:r>
        <w:rPr>
          <w:color w:val="auto"/>
          <w:sz w:val="28"/>
          <w:szCs w:val="28"/>
        </w:rPr>
        <w:t xml:space="preserve">4% болды (p &gt; </w:t>
      </w:r>
      <w:r>
        <w:rPr>
          <w:color w:val="auto"/>
          <w:sz w:val="28"/>
          <w:szCs w:val="28"/>
          <w:lang w:val="ru-RU"/>
        </w:rPr>
        <w:t>0,</w:t>
      </w:r>
      <w:r>
        <w:rPr>
          <w:color w:val="auto"/>
          <w:sz w:val="28"/>
          <w:szCs w:val="28"/>
        </w:rPr>
        <w:t>05) [</w:t>
      </w:r>
      <w:r>
        <w:rPr>
          <w:rFonts w:hint="default"/>
          <w:color w:val="auto"/>
          <w:sz w:val="28"/>
          <w:szCs w:val="28"/>
          <w:lang w:val="ru-RU"/>
        </w:rPr>
        <w:t>142,156</w:t>
      </w:r>
      <w:r>
        <w:rPr>
          <w:color w:val="auto"/>
          <w:sz w:val="28"/>
          <w:szCs w:val="28"/>
        </w:rPr>
        <w:t xml:space="preserve">]. Жасуша өміршеңдігі де қарақұмықта жоғары: иммобилизациядан 7 күн өткеннен кейін қарақұмық қауызында </w:t>
      </w:r>
      <w:r>
        <w:rPr>
          <w:color w:val="auto"/>
          <w:sz w:val="28"/>
          <w:szCs w:val="28"/>
          <w:lang w:val="ru-RU"/>
        </w:rPr>
        <w:t>7,</w:t>
      </w:r>
      <w:r>
        <w:rPr>
          <w:color w:val="auto"/>
          <w:sz w:val="28"/>
          <w:szCs w:val="28"/>
        </w:rPr>
        <w:t>4±</w:t>
      </w:r>
      <w:r>
        <w:rPr>
          <w:color w:val="auto"/>
          <w:sz w:val="28"/>
          <w:szCs w:val="28"/>
          <w:lang w:val="ru-RU"/>
        </w:rPr>
        <w:t>0,</w:t>
      </w:r>
      <w:r>
        <w:rPr>
          <w:color w:val="auto"/>
          <w:sz w:val="28"/>
          <w:szCs w:val="28"/>
        </w:rPr>
        <w:t>1 lg КТБ/г, күріште 6</w:t>
      </w:r>
      <w:r>
        <w:rPr>
          <w:rFonts w:hint="default"/>
          <w:color w:val="auto"/>
          <w:sz w:val="28"/>
          <w:szCs w:val="28"/>
          <w:lang w:val="ru-RU"/>
        </w:rPr>
        <w:t>,</w:t>
      </w:r>
      <w:r>
        <w:rPr>
          <w:color w:val="auto"/>
          <w:sz w:val="28"/>
          <w:szCs w:val="28"/>
        </w:rPr>
        <w:t>6±</w:t>
      </w:r>
      <w:r>
        <w:rPr>
          <w:color w:val="auto"/>
          <w:sz w:val="28"/>
          <w:szCs w:val="28"/>
          <w:lang w:val="ru-RU"/>
        </w:rPr>
        <w:t>0,</w:t>
      </w:r>
      <w:r>
        <w:rPr>
          <w:color w:val="auto"/>
          <w:sz w:val="28"/>
          <w:szCs w:val="28"/>
        </w:rPr>
        <w:t xml:space="preserve">1 lg КТБ/г, бос жасушаларда </w:t>
      </w:r>
      <w:r>
        <w:rPr>
          <w:color w:val="auto"/>
          <w:sz w:val="28"/>
          <w:szCs w:val="28"/>
          <w:lang w:val="ru-RU"/>
        </w:rPr>
        <w:t>4,</w:t>
      </w:r>
      <w:r>
        <w:rPr>
          <w:color w:val="auto"/>
          <w:sz w:val="28"/>
          <w:szCs w:val="28"/>
        </w:rPr>
        <w:t>9±</w:t>
      </w:r>
      <w:r>
        <w:rPr>
          <w:color w:val="auto"/>
          <w:sz w:val="28"/>
          <w:szCs w:val="28"/>
          <w:lang w:val="ru-RU"/>
        </w:rPr>
        <w:t>0,</w:t>
      </w:r>
      <w:r>
        <w:rPr>
          <w:color w:val="auto"/>
          <w:sz w:val="28"/>
          <w:szCs w:val="28"/>
        </w:rPr>
        <w:t>2 lg КТБ/г сақталды [1</w:t>
      </w:r>
      <w:r>
        <w:rPr>
          <w:rFonts w:hint="default"/>
          <w:color w:val="auto"/>
          <w:sz w:val="28"/>
          <w:szCs w:val="28"/>
          <w:lang w:val="ru-RU"/>
        </w:rPr>
        <w:t>42,156</w:t>
      </w:r>
      <w:r>
        <w:rPr>
          <w:color w:val="auto"/>
          <w:sz w:val="28"/>
          <w:szCs w:val="28"/>
        </w:rPr>
        <w:t>]. Қарақұмық бос жасушалардан 316 есе жоғары тіршілік ету қабілетін қамтамасыз етті, ал күріш 50 есе жоғары тіршілік етуді қамтамасыз етті, бұл қарақұмықтың қоректік қолдауының артықшылығын көрсетеді [</w:t>
      </w:r>
      <w:r>
        <w:rPr>
          <w:rFonts w:hint="default"/>
          <w:color w:val="auto"/>
          <w:sz w:val="28"/>
          <w:szCs w:val="28"/>
          <w:lang w:val="ru-RU"/>
        </w:rPr>
        <w:t>74,98</w:t>
      </w:r>
      <w:r>
        <w:rPr>
          <w:color w:val="auto"/>
          <w:sz w:val="28"/>
          <w:szCs w:val="28"/>
        </w:rPr>
        <w:t>].</w:t>
      </w:r>
    </w:p>
    <w:p w14:paraId="77BC0552">
      <w:pPr>
        <w:pStyle w:val="35"/>
        <w:spacing w:beforeAutospacing="0" w:afterAutospacing="0"/>
        <w:ind w:firstLine="709"/>
        <w:jc w:val="both"/>
        <w:rPr>
          <w:i/>
          <w:iCs/>
          <w:color w:val="auto"/>
          <w:sz w:val="28"/>
          <w:szCs w:val="28"/>
        </w:rPr>
      </w:pPr>
      <w:r>
        <w:rPr>
          <w:rStyle w:val="19"/>
          <w:b w:val="0"/>
          <w:bCs w:val="0"/>
          <w:i/>
          <w:iCs/>
          <w:color w:val="auto"/>
          <w:sz w:val="28"/>
          <w:szCs w:val="28"/>
        </w:rPr>
        <w:t>Оңтайлы жағдайлардағы биоремедиация</w:t>
      </w:r>
    </w:p>
    <w:p w14:paraId="5D85A0AA">
      <w:pPr>
        <w:pStyle w:val="35"/>
        <w:spacing w:beforeAutospacing="0" w:afterAutospacing="0"/>
        <w:ind w:firstLine="709"/>
        <w:jc w:val="both"/>
        <w:rPr>
          <w:color w:val="auto"/>
          <w:sz w:val="28"/>
          <w:szCs w:val="28"/>
        </w:rPr>
      </w:pPr>
      <w:r>
        <w:rPr>
          <w:color w:val="auto"/>
          <w:sz w:val="28"/>
          <w:szCs w:val="28"/>
        </w:rPr>
        <w:t>45 күндік стандартты эксперимент (+25-28°C, 60-70% ылғалдылық) қарақұмық қауызының басымдылығын көрсетті. ЖМӨ деструкциясы қарақұмықта 5</w:t>
      </w:r>
      <w:r>
        <w:rPr>
          <w:color w:val="auto"/>
          <w:sz w:val="28"/>
          <w:szCs w:val="28"/>
          <w:lang w:val="ru-RU"/>
        </w:rPr>
        <w:t>8,</w:t>
      </w:r>
      <w:r>
        <w:rPr>
          <w:color w:val="auto"/>
          <w:sz w:val="28"/>
          <w:szCs w:val="28"/>
        </w:rPr>
        <w:t>5±</w:t>
      </w:r>
      <w:r>
        <w:rPr>
          <w:color w:val="auto"/>
          <w:sz w:val="28"/>
          <w:szCs w:val="28"/>
          <w:lang w:val="ru-RU"/>
        </w:rPr>
        <w:t>3,</w:t>
      </w:r>
      <w:r>
        <w:rPr>
          <w:color w:val="auto"/>
          <w:sz w:val="28"/>
          <w:szCs w:val="28"/>
        </w:rPr>
        <w:t>7%, күріште 5</w:t>
      </w:r>
      <w:r>
        <w:rPr>
          <w:color w:val="auto"/>
          <w:sz w:val="28"/>
          <w:szCs w:val="28"/>
          <w:lang w:val="ru-RU"/>
        </w:rPr>
        <w:t>2,</w:t>
      </w:r>
      <w:r>
        <w:rPr>
          <w:color w:val="auto"/>
          <w:sz w:val="28"/>
          <w:szCs w:val="28"/>
        </w:rPr>
        <w:t>1±</w:t>
      </w:r>
      <w:r>
        <w:rPr>
          <w:color w:val="auto"/>
          <w:sz w:val="28"/>
          <w:szCs w:val="28"/>
          <w:lang w:val="ru-RU"/>
        </w:rPr>
        <w:t>4,</w:t>
      </w:r>
      <w:r>
        <w:rPr>
          <w:color w:val="auto"/>
          <w:sz w:val="28"/>
          <w:szCs w:val="28"/>
        </w:rPr>
        <w:t>2% болды (p&lt;</w:t>
      </w:r>
      <w:r>
        <w:rPr>
          <w:color w:val="auto"/>
          <w:sz w:val="28"/>
          <w:szCs w:val="28"/>
          <w:lang w:val="ru-RU"/>
        </w:rPr>
        <w:t>0,</w:t>
      </w:r>
      <w:r>
        <w:rPr>
          <w:color w:val="auto"/>
          <w:sz w:val="28"/>
          <w:szCs w:val="28"/>
        </w:rPr>
        <w:t>05). Кинетикалық константа қарақұмық үшін k=</w:t>
      </w:r>
      <w:r>
        <w:rPr>
          <w:color w:val="auto"/>
          <w:sz w:val="28"/>
          <w:szCs w:val="28"/>
          <w:lang w:val="ru-RU"/>
        </w:rPr>
        <w:t>0,</w:t>
      </w:r>
      <w:r>
        <w:rPr>
          <w:color w:val="auto"/>
          <w:sz w:val="28"/>
          <w:szCs w:val="28"/>
        </w:rPr>
        <w:t>0187±</w:t>
      </w:r>
      <w:r>
        <w:rPr>
          <w:color w:val="auto"/>
          <w:sz w:val="28"/>
          <w:szCs w:val="28"/>
          <w:lang w:val="ru-RU"/>
        </w:rPr>
        <w:t>0,</w:t>
      </w:r>
      <w:r>
        <w:rPr>
          <w:color w:val="auto"/>
          <w:sz w:val="28"/>
          <w:szCs w:val="28"/>
        </w:rPr>
        <w:t>0032 күн⁻¹, күріш үшін k=</w:t>
      </w:r>
      <w:r>
        <w:rPr>
          <w:color w:val="auto"/>
          <w:sz w:val="28"/>
          <w:szCs w:val="28"/>
          <w:lang w:val="ru-RU"/>
        </w:rPr>
        <w:t>0,</w:t>
      </w:r>
      <w:r>
        <w:rPr>
          <w:color w:val="auto"/>
          <w:sz w:val="28"/>
          <w:szCs w:val="28"/>
        </w:rPr>
        <w:t>0162±</w:t>
      </w:r>
      <w:r>
        <w:rPr>
          <w:color w:val="auto"/>
          <w:sz w:val="28"/>
          <w:szCs w:val="28"/>
          <w:lang w:val="ru-RU"/>
        </w:rPr>
        <w:t>0,</w:t>
      </w:r>
      <w:r>
        <w:rPr>
          <w:color w:val="auto"/>
          <w:sz w:val="28"/>
          <w:szCs w:val="28"/>
        </w:rPr>
        <w:t>0027 күн⁻¹, сәйкесінше жартылай ыдырау мерзімі 3</w:t>
      </w:r>
      <w:r>
        <w:rPr>
          <w:color w:val="auto"/>
          <w:sz w:val="28"/>
          <w:szCs w:val="28"/>
          <w:lang w:val="ru-RU"/>
        </w:rPr>
        <w:t>7,</w:t>
      </w:r>
      <w:r>
        <w:rPr>
          <w:color w:val="auto"/>
          <w:sz w:val="28"/>
          <w:szCs w:val="28"/>
        </w:rPr>
        <w:t>1 және 4</w:t>
      </w:r>
      <w:r>
        <w:rPr>
          <w:color w:val="auto"/>
          <w:sz w:val="28"/>
          <w:szCs w:val="28"/>
          <w:lang w:val="ru-RU"/>
        </w:rPr>
        <w:t>2,</w:t>
      </w:r>
      <w:r>
        <w:rPr>
          <w:color w:val="auto"/>
          <w:sz w:val="28"/>
          <w:szCs w:val="28"/>
        </w:rPr>
        <w:t>8 күн [124, 142].</w:t>
      </w:r>
    </w:p>
    <w:p w14:paraId="029B58A3">
      <w:pPr>
        <w:pStyle w:val="35"/>
        <w:spacing w:beforeAutospacing="0" w:afterAutospacing="0"/>
        <w:ind w:firstLine="709"/>
        <w:jc w:val="both"/>
        <w:rPr>
          <w:color w:val="auto"/>
          <w:sz w:val="28"/>
          <w:szCs w:val="28"/>
        </w:rPr>
      </w:pPr>
      <w:r>
        <w:rPr>
          <w:color w:val="auto"/>
          <w:sz w:val="28"/>
          <w:szCs w:val="28"/>
        </w:rPr>
        <w:t>Микробтық тығыздық 30 күнде қарақұмықта 76</w:t>
      </w:r>
      <w:r>
        <w:rPr>
          <w:rFonts w:hint="default"/>
          <w:color w:val="auto"/>
          <w:sz w:val="28"/>
          <w:szCs w:val="28"/>
          <w:lang w:val="ru-RU"/>
        </w:rPr>
        <w:t>,</w:t>
      </w:r>
      <w:r>
        <w:rPr>
          <w:color w:val="auto"/>
          <w:sz w:val="28"/>
          <w:szCs w:val="28"/>
        </w:rPr>
        <w:t>5×10⁷ КТБ/г, күріште 5</w:t>
      </w:r>
      <w:r>
        <w:rPr>
          <w:color w:val="auto"/>
          <w:sz w:val="28"/>
          <w:szCs w:val="28"/>
          <w:lang w:val="ru-RU"/>
        </w:rPr>
        <w:t>8,</w:t>
      </w:r>
      <w:r>
        <w:rPr>
          <w:color w:val="auto"/>
          <w:sz w:val="28"/>
          <w:szCs w:val="28"/>
        </w:rPr>
        <w:t>2×10⁷ КТБ/г (31% айырмашылық) болды [14</w:t>
      </w:r>
      <w:r>
        <w:rPr>
          <w:rFonts w:hint="default"/>
          <w:color w:val="auto"/>
          <w:sz w:val="28"/>
          <w:szCs w:val="28"/>
          <w:lang w:val="kk-KZ"/>
        </w:rPr>
        <w:t>3</w:t>
      </w:r>
      <w:r>
        <w:rPr>
          <w:color w:val="auto"/>
          <w:sz w:val="28"/>
          <w:szCs w:val="28"/>
        </w:rPr>
        <w:t xml:space="preserve">]. Ферменттік белсенділік те қарақұмықта жоғары: каталаза </w:t>
      </w:r>
      <w:r>
        <w:rPr>
          <w:color w:val="auto"/>
          <w:sz w:val="28"/>
          <w:szCs w:val="28"/>
          <w:lang w:val="ru-RU"/>
        </w:rPr>
        <w:t>4,</w:t>
      </w:r>
      <w:r>
        <w:rPr>
          <w:color w:val="auto"/>
          <w:sz w:val="28"/>
          <w:szCs w:val="28"/>
        </w:rPr>
        <w:t>7±</w:t>
      </w:r>
      <w:r>
        <w:rPr>
          <w:color w:val="auto"/>
          <w:sz w:val="28"/>
          <w:szCs w:val="28"/>
          <w:lang w:val="ru-RU"/>
        </w:rPr>
        <w:t>0,</w:t>
      </w:r>
      <w:r>
        <w:rPr>
          <w:color w:val="auto"/>
          <w:sz w:val="28"/>
          <w:szCs w:val="28"/>
        </w:rPr>
        <w:t xml:space="preserve">6 </w:t>
      </w:r>
      <w:r>
        <w:rPr>
          <w:color w:val="auto"/>
          <w:sz w:val="28"/>
          <w:szCs w:val="28"/>
          <w:lang w:val="kk-KZ"/>
        </w:rPr>
        <w:t>салыстырмалы</w:t>
      </w:r>
      <w:r>
        <w:rPr>
          <w:color w:val="auto"/>
          <w:sz w:val="28"/>
          <w:szCs w:val="28"/>
        </w:rPr>
        <w:t xml:space="preserve"> </w:t>
      </w:r>
      <w:r>
        <w:rPr>
          <w:color w:val="auto"/>
          <w:sz w:val="28"/>
          <w:szCs w:val="28"/>
          <w:lang w:val="ru-RU"/>
        </w:rPr>
        <w:t>3,</w:t>
      </w:r>
      <w:r>
        <w:rPr>
          <w:color w:val="auto"/>
          <w:sz w:val="28"/>
          <w:szCs w:val="28"/>
        </w:rPr>
        <w:t>9±</w:t>
      </w:r>
      <w:r>
        <w:rPr>
          <w:color w:val="auto"/>
          <w:sz w:val="28"/>
          <w:szCs w:val="28"/>
          <w:lang w:val="ru-RU"/>
        </w:rPr>
        <w:t>0,</w:t>
      </w:r>
      <w:r>
        <w:rPr>
          <w:color w:val="auto"/>
          <w:sz w:val="28"/>
          <w:szCs w:val="28"/>
        </w:rPr>
        <w:t>5 мл O₂·г⁻¹·(3 мин)⁻¹ (+20%), липаза 2</w:t>
      </w:r>
      <w:r>
        <w:rPr>
          <w:color w:val="auto"/>
          <w:sz w:val="28"/>
          <w:szCs w:val="28"/>
          <w:lang w:val="ru-RU"/>
        </w:rPr>
        <w:t>4,</w:t>
      </w:r>
      <w:r>
        <w:rPr>
          <w:color w:val="auto"/>
          <w:sz w:val="28"/>
          <w:szCs w:val="28"/>
        </w:rPr>
        <w:t>3±</w:t>
      </w:r>
      <w:r>
        <w:rPr>
          <w:color w:val="auto"/>
          <w:sz w:val="28"/>
          <w:szCs w:val="28"/>
          <w:lang w:val="ru-RU"/>
        </w:rPr>
        <w:t>2,</w:t>
      </w:r>
      <w:r>
        <w:rPr>
          <w:color w:val="auto"/>
          <w:sz w:val="28"/>
          <w:szCs w:val="28"/>
        </w:rPr>
        <w:t xml:space="preserve">7 </w:t>
      </w:r>
      <w:r>
        <w:rPr>
          <w:color w:val="auto"/>
          <w:sz w:val="28"/>
          <w:szCs w:val="28"/>
          <w:lang w:val="kk-KZ"/>
        </w:rPr>
        <w:t>салыстырмалы</w:t>
      </w:r>
      <w:r>
        <w:rPr>
          <w:color w:val="auto"/>
          <w:sz w:val="28"/>
          <w:szCs w:val="28"/>
        </w:rPr>
        <w:t xml:space="preserve"> 19</w:t>
      </w:r>
      <w:r>
        <w:rPr>
          <w:rFonts w:hint="default"/>
          <w:color w:val="auto"/>
          <w:sz w:val="28"/>
          <w:szCs w:val="28"/>
          <w:lang w:val="ru-RU"/>
        </w:rPr>
        <w:t>,</w:t>
      </w:r>
      <w:r>
        <w:rPr>
          <w:color w:val="auto"/>
          <w:sz w:val="28"/>
          <w:szCs w:val="28"/>
        </w:rPr>
        <w:t>1±</w:t>
      </w:r>
      <w:r>
        <w:rPr>
          <w:color w:val="auto"/>
          <w:sz w:val="28"/>
          <w:szCs w:val="28"/>
          <w:lang w:val="ru-RU"/>
        </w:rPr>
        <w:t>2,</w:t>
      </w:r>
      <w:r>
        <w:rPr>
          <w:color w:val="auto"/>
          <w:sz w:val="28"/>
          <w:szCs w:val="28"/>
        </w:rPr>
        <w:t>3 мкмоль·г⁻¹·сағ⁻¹ (+27%) [14</w:t>
      </w:r>
      <w:r>
        <w:rPr>
          <w:rFonts w:hint="default"/>
          <w:color w:val="auto"/>
          <w:sz w:val="28"/>
          <w:szCs w:val="28"/>
          <w:lang w:val="kk-KZ"/>
        </w:rPr>
        <w:t>3</w:t>
      </w:r>
      <w:r>
        <w:rPr>
          <w:rFonts w:hint="default"/>
          <w:color w:val="auto"/>
          <w:sz w:val="28"/>
          <w:szCs w:val="28"/>
          <w:lang w:val="ru-RU"/>
        </w:rPr>
        <w:t>,151</w:t>
      </w:r>
      <w:r>
        <w:rPr>
          <w:color w:val="auto"/>
          <w:sz w:val="28"/>
          <w:szCs w:val="28"/>
        </w:rPr>
        <w:t>].</w:t>
      </w:r>
    </w:p>
    <w:p w14:paraId="5998DE08">
      <w:pPr>
        <w:pStyle w:val="35"/>
        <w:spacing w:beforeAutospacing="0" w:afterAutospacing="0"/>
        <w:ind w:firstLine="709"/>
        <w:jc w:val="both"/>
        <w:rPr>
          <w:i/>
          <w:iCs/>
          <w:color w:val="auto"/>
          <w:sz w:val="28"/>
          <w:szCs w:val="28"/>
        </w:rPr>
      </w:pPr>
      <w:r>
        <w:rPr>
          <w:rStyle w:val="19"/>
          <w:b w:val="0"/>
          <w:bCs w:val="0"/>
          <w:i/>
          <w:iCs/>
          <w:color w:val="auto"/>
          <w:sz w:val="28"/>
          <w:szCs w:val="28"/>
        </w:rPr>
        <w:t>Стресс жағдайларындағы биоремедиация</w:t>
      </w:r>
    </w:p>
    <w:p w14:paraId="2312D90C">
      <w:pPr>
        <w:pStyle w:val="35"/>
        <w:spacing w:beforeAutospacing="0" w:afterAutospacing="0"/>
        <w:ind w:firstLine="709"/>
        <w:jc w:val="both"/>
        <w:rPr>
          <w:color w:val="auto"/>
          <w:sz w:val="28"/>
          <w:szCs w:val="28"/>
        </w:rPr>
      </w:pPr>
      <w:r>
        <w:rPr>
          <w:color w:val="auto"/>
          <w:sz w:val="28"/>
          <w:szCs w:val="28"/>
        </w:rPr>
        <w:t>14 күндік стресс эксперименті (+4°C, +32°C, +42°C; 3%, 5%, 10% NaCl) күріш қауызының басымдылығын көрсетті. Ең экстремалды жағдайда (+42°C, 10% NaCl) күріш қауызы 7</w:t>
      </w:r>
      <w:r>
        <w:rPr>
          <w:color w:val="auto"/>
          <w:sz w:val="28"/>
          <w:szCs w:val="28"/>
          <w:lang w:val="ru-RU"/>
        </w:rPr>
        <w:t>8,</w:t>
      </w:r>
      <w:r>
        <w:rPr>
          <w:color w:val="auto"/>
          <w:sz w:val="28"/>
          <w:szCs w:val="28"/>
        </w:rPr>
        <w:t>4±</w:t>
      </w:r>
      <w:r>
        <w:rPr>
          <w:color w:val="auto"/>
          <w:sz w:val="28"/>
          <w:szCs w:val="28"/>
          <w:lang w:val="ru-RU"/>
        </w:rPr>
        <w:t>0,</w:t>
      </w:r>
      <w:r>
        <w:rPr>
          <w:color w:val="auto"/>
          <w:sz w:val="28"/>
          <w:szCs w:val="28"/>
        </w:rPr>
        <w:t>89% деструкция көрсетті, қарақұмық тек 5</w:t>
      </w:r>
      <w:r>
        <w:rPr>
          <w:color w:val="auto"/>
          <w:sz w:val="28"/>
          <w:szCs w:val="28"/>
          <w:lang w:val="ru-RU"/>
        </w:rPr>
        <w:t>4,</w:t>
      </w:r>
      <w:r>
        <w:rPr>
          <w:color w:val="auto"/>
          <w:sz w:val="28"/>
          <w:szCs w:val="28"/>
        </w:rPr>
        <w:t>0±</w:t>
      </w:r>
      <w:r>
        <w:rPr>
          <w:color w:val="auto"/>
          <w:sz w:val="28"/>
          <w:szCs w:val="28"/>
          <w:lang w:val="ru-RU"/>
        </w:rPr>
        <w:t>0,</w:t>
      </w:r>
      <w:r>
        <w:rPr>
          <w:color w:val="auto"/>
          <w:sz w:val="28"/>
          <w:szCs w:val="28"/>
        </w:rPr>
        <w:t>85% деструкция көрсетті (p&lt;</w:t>
      </w:r>
      <w:r>
        <w:rPr>
          <w:color w:val="auto"/>
          <w:sz w:val="28"/>
          <w:szCs w:val="28"/>
          <w:lang w:val="ru-RU"/>
        </w:rPr>
        <w:t>0,</w:t>
      </w:r>
      <w:r>
        <w:rPr>
          <w:color w:val="auto"/>
          <w:sz w:val="28"/>
          <w:szCs w:val="28"/>
        </w:rPr>
        <w:t>001) [1</w:t>
      </w:r>
      <w:r>
        <w:rPr>
          <w:rFonts w:hint="default"/>
          <w:color w:val="auto"/>
          <w:sz w:val="28"/>
          <w:szCs w:val="28"/>
          <w:lang w:val="ru-RU"/>
        </w:rPr>
        <w:t>42</w:t>
      </w:r>
      <w:r>
        <w:rPr>
          <w:color w:val="auto"/>
          <w:sz w:val="28"/>
          <w:szCs w:val="28"/>
        </w:rPr>
        <w:t>]. Микробтық өміршеңдік де күріште жақсы сақталды: экстремалды жағдайда 14 күннен кейін күріште 6</w:t>
      </w:r>
      <w:r>
        <w:rPr>
          <w:rFonts w:hint="default"/>
          <w:color w:val="auto"/>
          <w:sz w:val="28"/>
          <w:szCs w:val="28"/>
          <w:lang w:val="ru-RU"/>
        </w:rPr>
        <w:t>,</w:t>
      </w:r>
      <w:r>
        <w:rPr>
          <w:color w:val="auto"/>
          <w:sz w:val="28"/>
          <w:szCs w:val="28"/>
        </w:rPr>
        <w:t>9±</w:t>
      </w:r>
      <w:r>
        <w:rPr>
          <w:color w:val="auto"/>
          <w:sz w:val="28"/>
          <w:szCs w:val="28"/>
          <w:lang w:val="ru-RU"/>
        </w:rPr>
        <w:t>0,</w:t>
      </w:r>
      <w:r>
        <w:rPr>
          <w:color w:val="auto"/>
          <w:sz w:val="28"/>
          <w:szCs w:val="28"/>
        </w:rPr>
        <w:t>1 lg КТБ/г, қарақұмықта 6</w:t>
      </w:r>
      <w:r>
        <w:rPr>
          <w:rFonts w:hint="default"/>
          <w:color w:val="auto"/>
          <w:sz w:val="28"/>
          <w:szCs w:val="28"/>
          <w:lang w:val="ru-RU"/>
        </w:rPr>
        <w:t>,</w:t>
      </w:r>
      <w:r>
        <w:rPr>
          <w:color w:val="auto"/>
          <w:sz w:val="28"/>
          <w:szCs w:val="28"/>
        </w:rPr>
        <w:t>3±</w:t>
      </w:r>
      <w:r>
        <w:rPr>
          <w:color w:val="auto"/>
          <w:sz w:val="28"/>
          <w:szCs w:val="28"/>
          <w:lang w:val="ru-RU"/>
        </w:rPr>
        <w:t>0,</w:t>
      </w:r>
      <w:r>
        <w:rPr>
          <w:color w:val="auto"/>
          <w:sz w:val="28"/>
          <w:szCs w:val="28"/>
        </w:rPr>
        <w:t>2 lg КТБ/г, бос жасушаларда 5</w:t>
      </w:r>
      <w:r>
        <w:rPr>
          <w:rFonts w:hint="default"/>
          <w:color w:val="auto"/>
          <w:sz w:val="28"/>
          <w:szCs w:val="28"/>
          <w:lang w:val="ru-RU"/>
        </w:rPr>
        <w:t>,</w:t>
      </w:r>
      <w:r>
        <w:rPr>
          <w:color w:val="auto"/>
          <w:sz w:val="28"/>
          <w:szCs w:val="28"/>
        </w:rPr>
        <w:t>1±</w:t>
      </w:r>
      <w:r>
        <w:rPr>
          <w:color w:val="auto"/>
          <w:sz w:val="28"/>
          <w:szCs w:val="28"/>
          <w:lang w:val="ru-RU"/>
        </w:rPr>
        <w:t>0,</w:t>
      </w:r>
      <w:r>
        <w:rPr>
          <w:color w:val="auto"/>
          <w:sz w:val="28"/>
          <w:szCs w:val="28"/>
        </w:rPr>
        <w:t>4 lg КТБ/г болды [1</w:t>
      </w:r>
      <w:r>
        <w:rPr>
          <w:rFonts w:hint="default"/>
          <w:color w:val="auto"/>
          <w:sz w:val="28"/>
          <w:szCs w:val="28"/>
          <w:lang w:val="ru-RU"/>
        </w:rPr>
        <w:t>42,156</w:t>
      </w:r>
      <w:r>
        <w:rPr>
          <w:color w:val="auto"/>
          <w:sz w:val="28"/>
          <w:szCs w:val="28"/>
        </w:rPr>
        <w:t>].</w:t>
      </w:r>
    </w:p>
    <w:p w14:paraId="1F0ECC52">
      <w:pPr>
        <w:pStyle w:val="35"/>
        <w:spacing w:beforeAutospacing="0" w:afterAutospacing="0"/>
        <w:ind w:firstLine="709"/>
        <w:jc w:val="both"/>
        <w:rPr>
          <w:color w:val="auto"/>
          <w:sz w:val="28"/>
          <w:szCs w:val="28"/>
        </w:rPr>
      </w:pPr>
      <w:r>
        <w:rPr>
          <w:color w:val="auto"/>
          <w:sz w:val="28"/>
          <w:szCs w:val="28"/>
        </w:rPr>
        <w:t>Температуралық төзімділік бойынша +32°C кезінде күріш 8</w:t>
      </w:r>
      <w:r>
        <w:rPr>
          <w:color w:val="auto"/>
          <w:sz w:val="28"/>
          <w:szCs w:val="28"/>
          <w:lang w:val="ru-RU"/>
        </w:rPr>
        <w:t>3,</w:t>
      </w:r>
      <w:r>
        <w:rPr>
          <w:color w:val="auto"/>
          <w:sz w:val="28"/>
          <w:szCs w:val="28"/>
        </w:rPr>
        <w:t>0%, қарақұмық 75</w:t>
      </w:r>
      <w:r>
        <w:rPr>
          <w:rFonts w:hint="default"/>
          <w:color w:val="auto"/>
          <w:sz w:val="28"/>
          <w:szCs w:val="28"/>
          <w:lang w:val="ru-RU"/>
        </w:rPr>
        <w:t>,</w:t>
      </w:r>
      <w:r>
        <w:rPr>
          <w:color w:val="auto"/>
          <w:sz w:val="28"/>
          <w:szCs w:val="28"/>
        </w:rPr>
        <w:t>0%; +42°C кезінде күріш 7</w:t>
      </w:r>
      <w:r>
        <w:rPr>
          <w:color w:val="auto"/>
          <w:sz w:val="28"/>
          <w:szCs w:val="28"/>
          <w:lang w:val="ru-RU"/>
        </w:rPr>
        <w:t>8,</w:t>
      </w:r>
      <w:r>
        <w:rPr>
          <w:color w:val="auto"/>
          <w:sz w:val="28"/>
          <w:szCs w:val="28"/>
        </w:rPr>
        <w:t>4%, қарақұмық 5</w:t>
      </w:r>
      <w:r>
        <w:rPr>
          <w:color w:val="auto"/>
          <w:sz w:val="28"/>
          <w:szCs w:val="28"/>
          <w:lang w:val="ru-RU"/>
        </w:rPr>
        <w:t>4,</w:t>
      </w:r>
      <w:r>
        <w:rPr>
          <w:color w:val="auto"/>
          <w:sz w:val="28"/>
          <w:szCs w:val="28"/>
        </w:rPr>
        <w:t>0% көрсетті. Тұздылыққа төзімділік бойынша да күріш қауызы басым болды: 10% NaCl кезінде күріштің артықшылығы драматикалық болды: 6</w:t>
      </w:r>
      <w:r>
        <w:rPr>
          <w:color w:val="auto"/>
          <w:sz w:val="28"/>
          <w:szCs w:val="28"/>
          <w:lang w:val="ru-RU"/>
        </w:rPr>
        <w:t>4,</w:t>
      </w:r>
      <w:r>
        <w:rPr>
          <w:color w:val="auto"/>
          <w:sz w:val="28"/>
          <w:szCs w:val="28"/>
        </w:rPr>
        <w:t>0-8</w:t>
      </w:r>
      <w:r>
        <w:rPr>
          <w:color w:val="auto"/>
          <w:sz w:val="28"/>
          <w:szCs w:val="28"/>
          <w:lang w:val="ru-RU"/>
        </w:rPr>
        <w:t>3,</w:t>
      </w:r>
      <w:r>
        <w:rPr>
          <w:color w:val="auto"/>
          <w:sz w:val="28"/>
          <w:szCs w:val="28"/>
        </w:rPr>
        <w:t xml:space="preserve">0% </w:t>
      </w:r>
      <w:r>
        <w:rPr>
          <w:color w:val="auto"/>
          <w:sz w:val="28"/>
          <w:szCs w:val="28"/>
          <w:lang w:val="kk-KZ"/>
        </w:rPr>
        <w:t>салыстырмалы</w:t>
      </w:r>
      <w:r>
        <w:rPr>
          <w:color w:val="auto"/>
          <w:sz w:val="28"/>
          <w:szCs w:val="28"/>
        </w:rPr>
        <w:t xml:space="preserve"> 6</w:t>
      </w:r>
      <w:r>
        <w:rPr>
          <w:color w:val="auto"/>
          <w:sz w:val="28"/>
          <w:szCs w:val="28"/>
          <w:lang w:val="ru-RU"/>
        </w:rPr>
        <w:t>8,</w:t>
      </w:r>
      <w:r>
        <w:rPr>
          <w:color w:val="auto"/>
          <w:sz w:val="28"/>
          <w:szCs w:val="28"/>
        </w:rPr>
        <w:t>0-75.0% [1</w:t>
      </w:r>
      <w:r>
        <w:rPr>
          <w:rFonts w:hint="default"/>
          <w:color w:val="auto"/>
          <w:sz w:val="28"/>
          <w:szCs w:val="28"/>
          <w:lang w:val="ru-RU"/>
        </w:rPr>
        <w:t>42,156</w:t>
      </w:r>
      <w:r>
        <w:rPr>
          <w:color w:val="auto"/>
          <w:sz w:val="28"/>
          <w:szCs w:val="28"/>
        </w:rPr>
        <w:t>].</w:t>
      </w:r>
    </w:p>
    <w:p w14:paraId="7914B1F7">
      <w:pPr>
        <w:pStyle w:val="35"/>
        <w:spacing w:beforeAutospacing="0" w:afterAutospacing="0"/>
        <w:ind w:firstLine="709"/>
        <w:jc w:val="both"/>
        <w:rPr>
          <w:color w:val="auto"/>
          <w:sz w:val="28"/>
          <w:szCs w:val="28"/>
        </w:rPr>
      </w:pPr>
      <w:r>
        <w:rPr>
          <w:color w:val="auto"/>
          <w:sz w:val="28"/>
          <w:szCs w:val="28"/>
        </w:rPr>
        <w:t>Күріштің стресс жағдайларындағы артықшылығы оның құрылымдық қасиеттерімен түсіндіріледі: жоғары целлюлоза (34-43%) және лигнин (19-47%) құрамы механикалық беріктікті қамтамасыз етеді [</w:t>
      </w:r>
      <w:r>
        <w:rPr>
          <w:rFonts w:hint="default"/>
          <w:color w:val="auto"/>
          <w:sz w:val="28"/>
          <w:szCs w:val="28"/>
        </w:rPr>
        <w:t>150, 163, 165</w:t>
      </w:r>
      <w:r>
        <w:rPr>
          <w:color w:val="auto"/>
          <w:sz w:val="28"/>
          <w:szCs w:val="28"/>
        </w:rPr>
        <w:t>]. Жоғары лигнин гидрофобтылықты арттырып, су буланудан қорғайды, бұл аридті климатта және жоғары температурада критикалық маңызды [31, 46]. Қарақұмықтың антиоксиданттық артықшылығы (2</w:t>
      </w:r>
      <w:r>
        <w:rPr>
          <w:color w:val="auto"/>
          <w:sz w:val="28"/>
          <w:szCs w:val="28"/>
          <w:lang w:val="ru-RU"/>
        </w:rPr>
        <w:t>8,</w:t>
      </w:r>
      <w:r>
        <w:rPr>
          <w:color w:val="auto"/>
          <w:sz w:val="28"/>
          <w:szCs w:val="28"/>
        </w:rPr>
        <w:t>8 мг/100г рутин) стресс жағдайында құрылымдық бұзылуды толықтай компенсациялай алмады.</w:t>
      </w:r>
    </w:p>
    <w:p w14:paraId="65DBDB68">
      <w:pPr>
        <w:pStyle w:val="35"/>
        <w:spacing w:beforeAutospacing="0" w:afterAutospacing="0"/>
        <w:ind w:firstLine="709"/>
        <w:jc w:val="both"/>
        <w:rPr>
          <w:i/>
          <w:iCs/>
          <w:color w:val="auto"/>
          <w:sz w:val="28"/>
          <w:szCs w:val="28"/>
        </w:rPr>
      </w:pPr>
      <w:r>
        <w:rPr>
          <w:rStyle w:val="19"/>
          <w:b w:val="0"/>
          <w:bCs w:val="0"/>
          <w:i/>
          <w:iCs/>
          <w:color w:val="auto"/>
          <w:sz w:val="28"/>
          <w:szCs w:val="28"/>
        </w:rPr>
        <w:t>Қолдану ұсыныстары</w:t>
      </w:r>
    </w:p>
    <w:p w14:paraId="4028478E">
      <w:pPr>
        <w:pStyle w:val="35"/>
        <w:spacing w:beforeAutospacing="0" w:afterAutospacing="0"/>
        <w:ind w:firstLine="709"/>
        <w:jc w:val="both"/>
        <w:rPr>
          <w:color w:val="auto"/>
          <w:sz w:val="28"/>
          <w:szCs w:val="28"/>
        </w:rPr>
      </w:pPr>
      <w:r>
        <w:rPr>
          <w:color w:val="auto"/>
          <w:sz w:val="28"/>
          <w:szCs w:val="28"/>
        </w:rPr>
        <w:t>Зерттеу нәтижелері негізінде тасымалдағышты таңдау бойынша ұсыныстар жасалды:</w:t>
      </w:r>
    </w:p>
    <w:p w14:paraId="44B1D3D0">
      <w:pPr>
        <w:pStyle w:val="35"/>
        <w:spacing w:beforeAutospacing="0" w:afterAutospacing="0"/>
        <w:ind w:firstLine="709"/>
        <w:jc w:val="both"/>
        <w:rPr>
          <w:color w:val="auto"/>
          <w:sz w:val="28"/>
          <w:szCs w:val="28"/>
        </w:rPr>
      </w:pPr>
      <w:r>
        <w:rPr>
          <w:rStyle w:val="16"/>
          <w:i w:val="0"/>
          <w:iCs w:val="0"/>
          <w:color w:val="auto"/>
          <w:sz w:val="28"/>
          <w:szCs w:val="28"/>
        </w:rPr>
        <w:t>Қарақұмық қауызын қолдану</w:t>
      </w:r>
      <w:r>
        <w:rPr>
          <w:i w:val="0"/>
          <w:iCs w:val="0"/>
          <w:color w:val="auto"/>
          <w:sz w:val="28"/>
          <w:szCs w:val="28"/>
        </w:rPr>
        <w:t>: о</w:t>
      </w:r>
      <w:r>
        <w:rPr>
          <w:color w:val="auto"/>
          <w:sz w:val="28"/>
          <w:szCs w:val="28"/>
        </w:rPr>
        <w:t>ңтайлы жағдайларда (орташа температура +15...+30°C, тұздылық &lt;5% NaCl, ылғалдылық &gt;40%), экономикалық шектеулі жобаларда (құны 30-50 теңге/кг, 40-60% үнемдеу), қысқа мерзімді қолдануда (3-6 ай), топырақ жақсарту қажет болғанда [</w:t>
      </w:r>
      <w:r>
        <w:rPr>
          <w:rFonts w:hint="default"/>
          <w:color w:val="auto"/>
          <w:sz w:val="28"/>
          <w:szCs w:val="28"/>
        </w:rPr>
        <w:t>81, 142, 163</w:t>
      </w:r>
      <w:r>
        <w:rPr>
          <w:color w:val="auto"/>
          <w:sz w:val="28"/>
          <w:szCs w:val="28"/>
        </w:rPr>
        <w:t>].</w:t>
      </w:r>
    </w:p>
    <w:p w14:paraId="2D08CCA8">
      <w:pPr>
        <w:pStyle w:val="35"/>
        <w:spacing w:beforeAutospacing="0" w:afterAutospacing="0"/>
        <w:ind w:firstLine="709"/>
        <w:jc w:val="both"/>
        <w:rPr>
          <w:color w:val="auto"/>
          <w:sz w:val="28"/>
          <w:szCs w:val="28"/>
        </w:rPr>
      </w:pPr>
      <w:r>
        <w:rPr>
          <w:rStyle w:val="16"/>
          <w:i w:val="0"/>
          <w:iCs w:val="0"/>
          <w:color w:val="auto"/>
          <w:sz w:val="28"/>
          <w:szCs w:val="28"/>
        </w:rPr>
        <w:t>Күріш қауызын қолдану</w:t>
      </w:r>
      <w:r>
        <w:rPr>
          <w:i w:val="0"/>
          <w:iCs w:val="0"/>
          <w:color w:val="auto"/>
          <w:sz w:val="28"/>
          <w:szCs w:val="28"/>
        </w:rPr>
        <w:t>: с</w:t>
      </w:r>
      <w:r>
        <w:rPr>
          <w:color w:val="auto"/>
          <w:sz w:val="28"/>
          <w:szCs w:val="28"/>
        </w:rPr>
        <w:t>тресс жағдайларында (экстремалды температура, тұздылық &gt;5% NaCl, ылғалдылық &lt;30%), аридті климатта (Маңғыстау, Атырау облыстары), жоғары тұздылық аймақтарында (Қаражанбас, Теңіз кен орындары маңы), ұзақ мерзімді қолдануда (&gt;6 ай) [</w:t>
      </w:r>
      <w:r>
        <w:rPr>
          <w:rFonts w:hint="default"/>
          <w:color w:val="auto"/>
          <w:sz w:val="28"/>
          <w:szCs w:val="28"/>
        </w:rPr>
        <w:t>31, 142, 156</w:t>
      </w:r>
      <w:r>
        <w:rPr>
          <w:color w:val="auto"/>
          <w:sz w:val="28"/>
          <w:szCs w:val="28"/>
        </w:rPr>
        <w:t>].</w:t>
      </w:r>
    </w:p>
    <w:p w14:paraId="4F13E865">
      <w:pPr>
        <w:pStyle w:val="35"/>
        <w:spacing w:beforeAutospacing="0" w:afterAutospacing="0"/>
        <w:ind w:firstLine="709"/>
        <w:jc w:val="both"/>
        <w:rPr>
          <w:color w:val="auto"/>
          <w:sz w:val="28"/>
          <w:szCs w:val="28"/>
        </w:rPr>
      </w:pPr>
      <w:r>
        <w:rPr>
          <w:color w:val="auto"/>
          <w:sz w:val="28"/>
          <w:szCs w:val="28"/>
        </w:rPr>
        <w:t>Қорытындылай келе, қарақұмық қауызы оңтайлы жағдайлар үшін экономикалық тиімді және жылдам нәтиже беретін тасымалдағыш болып табылады, ал күріш қауызы стресс жағдайлары үшін сенімді және төзімді тасымалдағыш ретінде ұсынылады.</w:t>
      </w:r>
    </w:p>
    <w:p w14:paraId="7BEDD156">
      <w:pPr>
        <w:pStyle w:val="35"/>
        <w:spacing w:beforeAutospacing="0" w:afterAutospacing="0"/>
        <w:jc w:val="both"/>
        <w:rPr>
          <w:color w:val="auto"/>
          <w:sz w:val="28"/>
          <w:szCs w:val="28"/>
        </w:rPr>
      </w:pPr>
    </w:p>
    <w:p w14:paraId="4F13AA47">
      <w:pPr>
        <w:pStyle w:val="35"/>
        <w:numPr>
          <w:ilvl w:val="0"/>
          <w:numId w:val="5"/>
        </w:numPr>
        <w:spacing w:beforeAutospacing="0" w:afterAutospacing="0"/>
        <w:ind w:firstLine="709"/>
        <w:jc w:val="both"/>
        <w:rPr>
          <w:b/>
          <w:bCs/>
          <w:color w:val="auto"/>
          <w:sz w:val="28"/>
          <w:szCs w:val="28"/>
          <w:lang w:val="kk-KZ"/>
        </w:rPr>
      </w:pPr>
      <w:r>
        <w:rPr>
          <w:b/>
          <w:bCs/>
          <w:color w:val="auto"/>
          <w:sz w:val="28"/>
          <w:szCs w:val="28"/>
        </w:rPr>
        <w:t>бөлім бойынша қорытындылар</w:t>
      </w:r>
      <w:r>
        <w:rPr>
          <w:b/>
          <w:bCs/>
          <w:color w:val="auto"/>
          <w:sz w:val="28"/>
          <w:szCs w:val="28"/>
          <w:lang w:val="kk-KZ"/>
        </w:rPr>
        <w:t>:</w:t>
      </w:r>
    </w:p>
    <w:p w14:paraId="7B9310F8">
      <w:pPr>
        <w:pStyle w:val="35"/>
        <w:numPr>
          <w:ilvl w:val="0"/>
          <w:numId w:val="11"/>
        </w:numPr>
        <w:spacing w:beforeAutospacing="0" w:afterAutospacing="0"/>
        <w:ind w:firstLine="709"/>
        <w:jc w:val="both"/>
        <w:rPr>
          <w:color w:val="auto"/>
          <w:sz w:val="28"/>
          <w:szCs w:val="28"/>
          <w:lang w:val="kk-KZ"/>
        </w:rPr>
      </w:pPr>
      <w:r>
        <w:rPr>
          <w:color w:val="auto"/>
          <w:sz w:val="28"/>
          <w:szCs w:val="28"/>
          <w:lang w:val="kk-KZ"/>
        </w:rPr>
        <w:t>Жүргізілген кешенді зерттеулер нәтижесінде органикалық және минералды тасымалдағыштардың микроорганизмдерді иммобилизациялау мен мұнаймен ластанған топырақтарды биоремедиациялау процестеріндегі әрекет ету механизмдері түбегейлі айырмашылықтарға ие екені анықталды. Минералды материалдар (цеолит, керамзит) негізінен физикалық адсорбция механизмі арқылы әсер етсе, органикалық тасымалдағыштар (қарақұмық және күріш қауызы) микробтық метаболизмді қолдауға бағытталған көпфакторлы биотехнологиялық әсер көрсетеді.</w:t>
      </w:r>
    </w:p>
    <w:p w14:paraId="70E04658">
      <w:pPr>
        <w:pStyle w:val="35"/>
        <w:numPr>
          <w:ilvl w:val="0"/>
          <w:numId w:val="11"/>
        </w:numPr>
        <w:spacing w:beforeAutospacing="0" w:afterAutospacing="0"/>
        <w:ind w:firstLine="709"/>
        <w:jc w:val="both"/>
        <w:rPr>
          <w:color w:val="auto"/>
          <w:sz w:val="28"/>
          <w:szCs w:val="28"/>
          <w:lang w:val="kk-KZ"/>
        </w:rPr>
      </w:pPr>
      <w:r>
        <w:rPr>
          <w:color w:val="auto"/>
          <w:sz w:val="28"/>
          <w:szCs w:val="28"/>
          <w:lang w:val="kk-KZ"/>
        </w:rPr>
        <w:t>Күріш қауызының құрамында құрылымдық полимерлер — целлюлоза (34,3–43,1 %) мен лигниннің (19,2–47,0 %) жоғары мөлшерде болуы оның механикалық беріктігін және салыстырмалы гидрофобтылығын қамтамасыз етеді. Бұл қасиеттер мұнайдың тиімді сорбциялануына және материалдың ортада тұрақтылығына ықпал етеді, алайда сорбцияланған көмірсутектердің биожетімділігін және микроорганизмдермен биологиялық өзара әрекеттесу деңгейін шектейді.</w:t>
      </w:r>
    </w:p>
    <w:p w14:paraId="094501C5">
      <w:pPr>
        <w:pStyle w:val="35"/>
        <w:numPr>
          <w:ilvl w:val="0"/>
          <w:numId w:val="11"/>
        </w:numPr>
        <w:spacing w:beforeAutospacing="0" w:afterAutospacing="0"/>
        <w:ind w:firstLine="709"/>
        <w:jc w:val="both"/>
        <w:rPr>
          <w:color w:val="auto"/>
          <w:sz w:val="28"/>
          <w:szCs w:val="28"/>
          <w:lang w:val="kk-KZ"/>
        </w:rPr>
      </w:pPr>
      <w:r>
        <w:rPr>
          <w:color w:val="auto"/>
          <w:sz w:val="28"/>
          <w:szCs w:val="28"/>
          <w:lang w:val="kk-KZ"/>
        </w:rPr>
        <w:t>Қарақұмық қауызының лигноцеллюлозалық құрамы неғұрлым теңдестірілген, лигнин үлесі төмен (8–15 %) және айқын гидрофильді қасиеттерге ие. Бұл жасушалардың адгезиясы, тұрақты биоплёнкалардың қалыптасуы және иммобилизацияланған микроорганизмдердің жоғары өміршеңдігін сақтау үшін оңтайлы жағдайлар жасайды, бұл сканерлеуші электрондық микроскопия деректерімен расталды.</w:t>
      </w:r>
    </w:p>
    <w:p w14:paraId="77083F22">
      <w:pPr>
        <w:pStyle w:val="35"/>
        <w:numPr>
          <w:ilvl w:val="0"/>
          <w:numId w:val="11"/>
        </w:numPr>
        <w:spacing w:beforeAutospacing="0" w:afterAutospacing="0"/>
        <w:ind w:firstLine="709"/>
        <w:jc w:val="both"/>
        <w:rPr>
          <w:color w:val="auto"/>
          <w:sz w:val="28"/>
          <w:szCs w:val="28"/>
          <w:lang w:val="kk-KZ"/>
        </w:rPr>
      </w:pPr>
      <w:r>
        <w:rPr>
          <w:color w:val="auto"/>
          <w:sz w:val="28"/>
          <w:szCs w:val="28"/>
          <w:lang w:val="kk-KZ"/>
        </w:rPr>
        <w:t>Қарақұмық қауызының негізгі функционалдық артықшылығы — рутиннің жоғары мөлшері (28,8 мг/100 г, ал күріш қауызы үшін — 15,0 мг/100 г), бұл оған айқын антиоксиданттық қасиет береді. Мұнай көмірсутектерінің биодеградациясы барысында белсенді оттек түрлерінің түзілуін ескере отырып, табиғи антиоксиданттардың болуы жасушаларды тотығу стрессінен қорғап, олардың метаболикалық белсенділігін сақтауға мүмкіндік береді.</w:t>
      </w:r>
    </w:p>
    <w:p w14:paraId="4A4120B5">
      <w:pPr>
        <w:pStyle w:val="35"/>
        <w:numPr>
          <w:ilvl w:val="0"/>
          <w:numId w:val="11"/>
        </w:numPr>
        <w:spacing w:beforeAutospacing="0" w:afterAutospacing="0"/>
        <w:ind w:firstLine="709"/>
        <w:jc w:val="both"/>
        <w:rPr>
          <w:color w:val="auto"/>
          <w:sz w:val="28"/>
          <w:szCs w:val="28"/>
          <w:lang w:val="kk-KZ"/>
        </w:rPr>
      </w:pPr>
      <w:r>
        <w:rPr>
          <w:color w:val="auto"/>
          <w:sz w:val="28"/>
          <w:szCs w:val="28"/>
          <w:lang w:val="kk-KZ"/>
        </w:rPr>
        <w:t>Органикалық тасымалдағыштардың қосымша артықшылығы ретінде олардың құрамындағы ақуыздар (3–7 %), витаминдер мен микроэлементтердің болуы анықталды. Бұл компоненттер микроорганизмдер үшін жергілікті азот көзі мен өсу факторларын қалыптастырып, ферменттік белсенділіктің артуына ықпал етеді.</w:t>
      </w:r>
    </w:p>
    <w:p w14:paraId="2E2E018D">
      <w:pPr>
        <w:pStyle w:val="35"/>
        <w:numPr>
          <w:ilvl w:val="0"/>
          <w:numId w:val="11"/>
        </w:numPr>
        <w:spacing w:beforeAutospacing="0" w:afterAutospacing="0"/>
        <w:ind w:firstLine="709"/>
        <w:jc w:val="both"/>
        <w:rPr>
          <w:color w:val="auto"/>
          <w:sz w:val="28"/>
          <w:szCs w:val="28"/>
          <w:lang w:val="kk-KZ"/>
        </w:rPr>
      </w:pPr>
      <w:r>
        <w:rPr>
          <w:color w:val="auto"/>
          <w:sz w:val="28"/>
          <w:szCs w:val="28"/>
          <w:lang w:val="kk-KZ"/>
        </w:rPr>
        <w:t>Минералды тасымалдағыштар — цеолит пен керамзит мұнайға және микроорганизм жасушаларына қатысты жоғары сорбциялық сыйымдылық көрсетті (цеолит үшін 19,7 мг/г дейін), бұл олардың дамыған кеуекті құрылымымен, үлкен меншікті бетімен және цеолит жағдайында айқын ионалмасу қасиеттерімен түсіндіріледі. Бұл материалдар ластануды жедел локализациялау және авариялық жағдайларда қолдану үшін тиімді, алайда микроорганизмдерге биологиялық қолдау көрсетпейді.</w:t>
      </w:r>
    </w:p>
    <w:p w14:paraId="4E9F0B9D">
      <w:pPr>
        <w:pStyle w:val="35"/>
        <w:numPr>
          <w:ilvl w:val="0"/>
          <w:numId w:val="11"/>
        </w:numPr>
        <w:spacing w:beforeAutospacing="0" w:afterAutospacing="0"/>
        <w:ind w:firstLine="709"/>
        <w:jc w:val="both"/>
        <w:rPr>
          <w:color w:val="auto"/>
          <w:sz w:val="28"/>
          <w:szCs w:val="28"/>
          <w:lang w:val="kk-KZ"/>
        </w:rPr>
      </w:pPr>
      <w:r>
        <w:rPr>
          <w:color w:val="auto"/>
          <w:sz w:val="28"/>
          <w:szCs w:val="28"/>
          <w:lang w:val="kk-KZ"/>
        </w:rPr>
        <w:t>Салыстырмалы талдау нәтижесінде жоғары физикалық адсорбция әрқашан биодеструкцияның максималды жылдамдығымен сәйкес келе бермейтіні анықталды. Минералды тасымалдағыштардағы шамадан тыс сорбция көмірсутектердің биожетімділігін төмендетуі мүмкін, ал органикалық тасымалдағыштар ылғалды сақтау, қорғаныш микрониша қалыптастыру, қоректік және антиоксиданттық қолдау, сондай-ақ ферменттік белсенділікті ынталандыру арқылы кешенді синергетикалық әсер көрсетеді.</w:t>
      </w:r>
    </w:p>
    <w:p w14:paraId="26F90172">
      <w:pPr>
        <w:pStyle w:val="35"/>
        <w:numPr>
          <w:ilvl w:val="0"/>
          <w:numId w:val="11"/>
        </w:numPr>
        <w:spacing w:beforeAutospacing="0" w:afterAutospacing="0"/>
        <w:ind w:firstLine="709"/>
        <w:jc w:val="both"/>
        <w:rPr>
          <w:color w:val="auto"/>
          <w:sz w:val="28"/>
          <w:szCs w:val="28"/>
          <w:lang w:val="kk-KZ"/>
        </w:rPr>
      </w:pPr>
      <w:r>
        <w:rPr>
          <w:i/>
          <w:iCs/>
          <w:color w:val="auto"/>
          <w:sz w:val="28"/>
          <w:szCs w:val="28"/>
          <w:lang w:val="kk-KZ"/>
        </w:rPr>
        <w:t xml:space="preserve">Rhodococcus erythropolis AT7 және Dietzia maris 22K </w:t>
      </w:r>
      <w:r>
        <w:rPr>
          <w:color w:val="auto"/>
          <w:sz w:val="28"/>
          <w:szCs w:val="28"/>
          <w:lang w:val="kk-KZ"/>
        </w:rPr>
        <w:t>консорциумын иммобилизациялау бойынша жүргізілген эксперименттер ауылшаруашылық қалдықтарының тиімді биологиялық тасымалдағыштар екенін растады. Қарақұмық және күріш қауызына иммобилизациялау тиімділігі тиісінше 92,3 % және 87,6 % құрады. Әсіресе қарақұмық қауызы бетінде тығыз микроколониялар мен жетілген биоплёнкалардың қалыптасуы байқалды, бұл микробтық қауымдастықтың тұрақтылығын қамтамасыз етті.</w:t>
      </w:r>
    </w:p>
    <w:p w14:paraId="26BF0E34">
      <w:pPr>
        <w:pStyle w:val="35"/>
        <w:numPr>
          <w:ilvl w:val="0"/>
          <w:numId w:val="11"/>
        </w:numPr>
        <w:spacing w:beforeAutospacing="0" w:afterAutospacing="0"/>
        <w:ind w:firstLine="709"/>
        <w:jc w:val="both"/>
        <w:rPr>
          <w:color w:val="auto"/>
          <w:sz w:val="28"/>
          <w:szCs w:val="28"/>
          <w:lang w:val="kk-KZ"/>
        </w:rPr>
      </w:pPr>
      <w:r>
        <w:rPr>
          <w:color w:val="auto"/>
          <w:sz w:val="28"/>
          <w:szCs w:val="28"/>
          <w:lang w:val="kk-KZ"/>
        </w:rPr>
        <w:t xml:space="preserve"> Агроқалдықтар негізіндегі органикалық тасымалдағыштар минералды материалдармен салыстырғанда механикалық беріктігі төмен болғанымен, микробтық метаболизмді көпфакторлы қолдау есебінен жоғары интегралдық тиімділік қамтамасыз етеді.</w:t>
      </w:r>
    </w:p>
    <w:p w14:paraId="39B49E10">
      <w:pPr>
        <w:rPr>
          <w:b/>
          <w:bCs/>
          <w:color w:val="auto"/>
          <w:sz w:val="28"/>
          <w:szCs w:val="28"/>
          <w:lang w:val="kk-KZ"/>
        </w:rPr>
      </w:pPr>
      <w:r>
        <w:rPr>
          <w:b/>
          <w:bCs/>
          <w:color w:val="auto"/>
          <w:sz w:val="28"/>
          <w:szCs w:val="28"/>
          <w:lang w:val="kk-KZ"/>
        </w:rPr>
        <w:br w:type="page"/>
      </w:r>
    </w:p>
    <w:p w14:paraId="4BECCF7C">
      <w:pPr>
        <w:pStyle w:val="35"/>
        <w:numPr>
          <w:ilvl w:val="0"/>
          <w:numId w:val="0"/>
        </w:numPr>
        <w:spacing w:beforeAutospacing="0" w:afterAutospacing="0"/>
        <w:ind w:firstLine="709" w:firstLineChars="0"/>
        <w:jc w:val="both"/>
        <w:rPr>
          <w:rFonts w:ascii="Times New Roman" w:hAnsi="Times New Roman" w:eastAsia="Times New Roman" w:cs="Times New Roman"/>
          <w:b/>
          <w:bCs/>
          <w:color w:val="auto"/>
          <w:sz w:val="28"/>
          <w:szCs w:val="28"/>
        </w:rPr>
      </w:pPr>
      <w:r>
        <w:rPr>
          <w:rFonts w:hint="default" w:eastAsia="Times New Roman" w:cs="Times New Roman"/>
          <w:b/>
          <w:bCs/>
          <w:color w:val="auto"/>
          <w:sz w:val="28"/>
          <w:szCs w:val="28"/>
          <w:lang w:val="ru-RU"/>
        </w:rPr>
        <w:t xml:space="preserve">4 </w:t>
      </w:r>
      <w:r>
        <w:rPr>
          <w:rFonts w:ascii="Times New Roman" w:hAnsi="Times New Roman" w:eastAsia="Times New Roman" w:cs="Times New Roman"/>
          <w:b/>
          <w:bCs/>
          <w:color w:val="auto"/>
          <w:sz w:val="28"/>
          <w:szCs w:val="28"/>
        </w:rPr>
        <w:t>ӘЗІРЛЕНГЕН ӘДІСТІҢ ТИІМДІЛІГІН БАҒАЛАУ ЖӘНЕ ОНЫҢ ЭКОЛОГИЯЛЫҚ НЕГІЗДЕМЕСІ</w:t>
      </w:r>
    </w:p>
    <w:p w14:paraId="06905BC6">
      <w:pPr>
        <w:pStyle w:val="35"/>
        <w:numPr>
          <w:ilvl w:val="0"/>
          <w:numId w:val="0"/>
        </w:numPr>
        <w:spacing w:beforeAutospacing="0" w:afterAutospacing="0"/>
        <w:jc w:val="both"/>
        <w:rPr>
          <w:rFonts w:ascii="Times New Roman" w:hAnsi="Times New Roman" w:eastAsia="Times New Roman" w:cs="Times New Roman"/>
          <w:b/>
          <w:bCs/>
          <w:color w:val="auto"/>
          <w:sz w:val="28"/>
          <w:szCs w:val="28"/>
        </w:rPr>
      </w:pPr>
    </w:p>
    <w:p w14:paraId="1BFC315B">
      <w:pPr>
        <w:pStyle w:val="35"/>
        <w:numPr>
          <w:ilvl w:val="1"/>
          <w:numId w:val="10"/>
        </w:numPr>
        <w:spacing w:beforeAutospacing="0" w:afterAutospacing="0"/>
        <w:ind w:firstLine="709" w:firstLineChars="0"/>
        <w:jc w:val="both"/>
        <w:rPr>
          <w:rFonts w:ascii="Times New Roman" w:hAnsi="Times New Roman" w:eastAsia="Times New Roman" w:cs="Times New Roman"/>
          <w:b/>
          <w:bCs/>
          <w:color w:val="auto"/>
          <w:sz w:val="28"/>
          <w:szCs w:val="28"/>
        </w:rPr>
      </w:pPr>
      <w:r>
        <w:rPr>
          <w:rFonts w:ascii="Times New Roman" w:hAnsi="Times New Roman" w:eastAsia="Times New Roman" w:cs="Times New Roman"/>
          <w:b/>
          <w:bCs/>
          <w:color w:val="auto"/>
          <w:sz w:val="28"/>
          <w:szCs w:val="28"/>
        </w:rPr>
        <w:t>Мұнаймен ластанған топырақты тазарту технологиясының далалық сынақтары</w:t>
      </w:r>
    </w:p>
    <w:p w14:paraId="7C961C5C">
      <w:pPr>
        <w:keepNext w:val="0"/>
        <w:keepLines w:val="0"/>
        <w:pageBreakBefore w:val="0"/>
        <w:widowControl/>
        <w:kinsoku/>
        <w:wordWrap/>
        <w:overflowPunct/>
        <w:topLinePunct w:val="0"/>
        <w:autoSpaceDE/>
        <w:autoSpaceDN/>
        <w:bidi w:val="0"/>
        <w:adjustRightInd/>
        <w:snapToGrid/>
        <w:spacing w:after="0"/>
        <w:ind w:firstLine="709" w:firstLineChars="0"/>
        <w:textAlignment w:val="auto"/>
        <w:rPr>
          <w:color w:val="auto"/>
        </w:rPr>
      </w:pPr>
      <w:r>
        <w:rPr>
          <w:color w:val="auto"/>
        </w:rPr>
        <w:t>Технологияның далалық жағдайларда тиімділігін бағалау үшін Қаражанбас мұнай кен орнының аумағында (Маңғыстау облысы) пилоттық сынақтар ұйымдастырылды. Сынақтар 2025 жылдың қыркүйек-қазан айларында жүргізілді, эксперимент ұзақтығы 45 тәулікті құрады.</w:t>
      </w:r>
    </w:p>
    <w:p w14:paraId="0D7F4376">
      <w:pPr>
        <w:keepNext w:val="0"/>
        <w:keepLines w:val="0"/>
        <w:pageBreakBefore w:val="0"/>
        <w:widowControl/>
        <w:kinsoku/>
        <w:wordWrap/>
        <w:overflowPunct/>
        <w:topLinePunct w:val="0"/>
        <w:autoSpaceDE/>
        <w:autoSpaceDN/>
        <w:bidi w:val="0"/>
        <w:adjustRightInd/>
        <w:snapToGrid/>
        <w:spacing w:after="0"/>
        <w:ind w:firstLine="709" w:firstLineChars="0"/>
        <w:textAlignment w:val="auto"/>
        <w:rPr>
          <w:color w:val="auto"/>
          <w:highlight w:val="none"/>
        </w:rPr>
      </w:pPr>
      <w:r>
        <w:rPr>
          <w:color w:val="auto"/>
        </w:rPr>
        <w:t>Эксперимент «Қазэкосервис» ЖШС</w:t>
      </w:r>
      <w:r>
        <w:rPr>
          <w:rFonts w:hint="default"/>
          <w:color w:val="auto"/>
          <w:lang w:val="kk-KZ"/>
        </w:rPr>
        <w:t>-нің</w:t>
      </w:r>
      <w:r>
        <w:rPr>
          <w:color w:val="auto"/>
        </w:rPr>
        <w:t xml:space="preserve">  биоремедиациялық (МБР) </w:t>
      </w:r>
      <w:r>
        <w:rPr>
          <w:color w:val="auto"/>
          <w:lang w:val="ru-RU"/>
        </w:rPr>
        <w:t>ала</w:t>
      </w:r>
      <w:r>
        <w:rPr>
          <w:rFonts w:hint="default"/>
          <w:color w:val="auto"/>
          <w:lang w:val="kk-KZ"/>
        </w:rPr>
        <w:t>ңында</w:t>
      </w:r>
      <w:r>
        <w:rPr>
          <w:color w:val="auto"/>
        </w:rPr>
        <w:t xml:space="preserve">  өткізілді. Сынақ кезеңіндегі климаттық жағдайлар: ауа температурасы +22...+28°C және топырақ температурасы +25...+32°C болды, бұл Батыс Қазақстанның аридті климатының типтік жағдайларына сәйкес келе</w:t>
      </w:r>
      <w:r>
        <w:rPr>
          <w:color w:val="auto"/>
          <w:highlight w:val="none"/>
        </w:rPr>
        <w:t>ді.</w:t>
      </w:r>
    </w:p>
    <w:p w14:paraId="3FD3D340">
      <w:pPr>
        <w:keepNext w:val="0"/>
        <w:keepLines w:val="0"/>
        <w:pageBreakBefore w:val="0"/>
        <w:widowControl/>
        <w:kinsoku/>
        <w:wordWrap/>
        <w:overflowPunct/>
        <w:topLinePunct w:val="0"/>
        <w:autoSpaceDE/>
        <w:autoSpaceDN/>
        <w:bidi w:val="0"/>
        <w:adjustRightInd/>
        <w:snapToGrid/>
        <w:spacing w:after="0"/>
        <w:ind w:firstLine="709" w:firstLineChars="0"/>
        <w:textAlignment w:val="auto"/>
        <w:rPr>
          <w:b w:val="0"/>
          <w:bCs/>
          <w:i/>
          <w:iCs/>
          <w:color w:val="auto"/>
        </w:rPr>
      </w:pPr>
      <w:r>
        <w:rPr>
          <w:b w:val="0"/>
          <w:bCs/>
          <w:i/>
          <w:iCs/>
          <w:color w:val="auto"/>
        </w:rPr>
        <w:t>Эксперименттік учаскелердің дайындалуы.</w:t>
      </w:r>
    </w:p>
    <w:p w14:paraId="602E1669">
      <w:pPr>
        <w:keepNext w:val="0"/>
        <w:keepLines w:val="0"/>
        <w:pageBreakBefore w:val="0"/>
        <w:widowControl/>
        <w:kinsoku/>
        <w:wordWrap/>
        <w:overflowPunct/>
        <w:topLinePunct w:val="0"/>
        <w:autoSpaceDE/>
        <w:autoSpaceDN/>
        <w:bidi w:val="0"/>
        <w:adjustRightInd/>
        <w:snapToGrid/>
        <w:spacing w:after="0"/>
        <w:ind w:firstLine="709" w:firstLineChars="0"/>
        <w:textAlignment w:val="auto"/>
        <w:rPr>
          <w:rFonts w:hint="default"/>
          <w:color w:val="auto"/>
          <w:lang w:val="kk-KZ"/>
        </w:rPr>
      </w:pPr>
      <w:r>
        <w:rPr>
          <w:color w:val="auto"/>
        </w:rPr>
        <w:t xml:space="preserve">Тәжірибелік учаскелер (1×1 м өлшемімен, тереңдігі 0,3 м) бөлінді. Әрбір учаскеде Қаражанбас кен орнының ластанған топырағы (бастапқы мұнай өнімдері концентрациясы 3725 мг/кг) орналастырылды. </w:t>
      </w:r>
      <w:r>
        <w:rPr>
          <w:color w:val="auto"/>
          <w:lang w:val="kk-KZ"/>
        </w:rPr>
        <w:t>Алаңдардағы</w:t>
      </w:r>
      <w:r>
        <w:rPr>
          <w:rFonts w:hint="default"/>
          <w:color w:val="auto"/>
          <w:lang w:val="kk-KZ"/>
        </w:rPr>
        <w:t xml:space="preserve"> </w:t>
      </w:r>
      <w:r>
        <w:rPr>
          <w:color w:val="auto"/>
        </w:rPr>
        <w:t xml:space="preserve"> өңделетін топырақ массасы шамамен 100-150 кг құрады</w:t>
      </w:r>
      <w:r>
        <w:rPr>
          <w:rFonts w:hint="default"/>
          <w:color w:val="auto"/>
          <w:lang w:val="kk-KZ"/>
        </w:rPr>
        <w:t xml:space="preserve"> ( Сурет 15).</w:t>
      </w:r>
    </w:p>
    <w:p w14:paraId="1D525929">
      <w:pPr>
        <w:keepNext w:val="0"/>
        <w:keepLines w:val="0"/>
        <w:pageBreakBefore w:val="0"/>
        <w:widowControl/>
        <w:kinsoku/>
        <w:wordWrap/>
        <w:overflowPunct/>
        <w:topLinePunct w:val="0"/>
        <w:autoSpaceDE/>
        <w:autoSpaceDN/>
        <w:bidi w:val="0"/>
        <w:adjustRightInd/>
        <w:snapToGrid/>
        <w:spacing w:after="0"/>
        <w:ind w:firstLine="709" w:firstLineChars="0"/>
        <w:textAlignment w:val="auto"/>
        <w:rPr>
          <w:color w:val="auto"/>
        </w:rPr>
      </w:pPr>
      <w:r>
        <w:rPr>
          <w:color w:val="auto"/>
        </w:rPr>
        <w:t>Төрт эксперименттік нұсқа дайындалды, әрқайсысы үшін 3 қайталау (n=3) орындалды:</w:t>
      </w:r>
    </w:p>
    <w:p w14:paraId="5079D0CC">
      <w:pPr>
        <w:keepNext w:val="0"/>
        <w:keepLines w:val="0"/>
        <w:pageBreakBefore w:val="0"/>
        <w:widowControl/>
        <w:kinsoku/>
        <w:wordWrap/>
        <w:overflowPunct/>
        <w:topLinePunct w:val="0"/>
        <w:autoSpaceDE/>
        <w:autoSpaceDN/>
        <w:bidi w:val="0"/>
        <w:adjustRightInd/>
        <w:snapToGrid/>
        <w:spacing w:after="0"/>
        <w:ind w:firstLine="709" w:firstLineChars="0"/>
        <w:textAlignment w:val="auto"/>
        <w:rPr>
          <w:color w:val="auto"/>
        </w:rPr>
      </w:pPr>
    </w:p>
    <w:p w14:paraId="3EFE4ECC">
      <w:pPr>
        <w:keepNext w:val="0"/>
        <w:keepLines w:val="0"/>
        <w:pageBreakBefore w:val="0"/>
        <w:widowControl/>
        <w:kinsoku/>
        <w:wordWrap/>
        <w:overflowPunct/>
        <w:topLinePunct w:val="0"/>
        <w:autoSpaceDE/>
        <w:autoSpaceDN/>
        <w:bidi w:val="0"/>
        <w:adjustRightInd/>
        <w:snapToGrid/>
        <w:spacing w:after="0"/>
        <w:textAlignment w:val="auto"/>
        <w:rPr>
          <w:rFonts w:hint="default"/>
          <w:color w:val="auto"/>
          <w:highlight w:val="none"/>
          <w:lang w:val="kk-KZ"/>
        </w:rPr>
      </w:pPr>
      <w:r>
        <w:rPr>
          <w:color w:val="auto"/>
          <w:highlight w:val="none"/>
          <w:lang w:val="kk-KZ"/>
        </w:rPr>
        <w:t>Кесте</w:t>
      </w:r>
      <w:r>
        <w:rPr>
          <w:rFonts w:hint="default"/>
          <w:color w:val="auto"/>
          <w:highlight w:val="none"/>
          <w:lang w:val="en-US"/>
        </w:rPr>
        <w:t xml:space="preserve"> 18</w:t>
      </w:r>
      <w:r>
        <w:rPr>
          <w:rFonts w:hint="default"/>
          <w:color w:val="auto"/>
          <w:highlight w:val="none"/>
          <w:lang w:val="kk-KZ"/>
        </w:rPr>
        <w:t xml:space="preserve"> - Эксперименттік нұсқалар</w:t>
      </w:r>
    </w:p>
    <w:p w14:paraId="4EB1ED60">
      <w:pPr>
        <w:pStyle w:val="35"/>
        <w:keepNext w:val="0"/>
        <w:keepLines w:val="0"/>
        <w:pageBreakBefore w:val="0"/>
        <w:widowControl/>
        <w:numPr>
          <w:ilvl w:val="0"/>
          <w:numId w:val="0"/>
        </w:numPr>
        <w:kinsoku/>
        <w:wordWrap/>
        <w:overflowPunct/>
        <w:topLinePunct w:val="0"/>
        <w:autoSpaceDE/>
        <w:autoSpaceDN/>
        <w:bidi w:val="0"/>
        <w:adjustRightInd/>
        <w:snapToGrid/>
        <w:spacing w:beforeAutospacing="0" w:afterAutospacing="0"/>
        <w:ind w:left="709" w:leftChars="0"/>
        <w:jc w:val="both"/>
        <w:textAlignment w:val="auto"/>
        <w:rPr>
          <w:rFonts w:hint="default" w:ascii="Times New Roman" w:hAnsi="Times New Roman" w:eastAsia="Times New Roman" w:cs="Times New Roman"/>
          <w:b/>
          <w:bCs/>
          <w:color w:val="auto"/>
          <w:sz w:val="28"/>
          <w:szCs w:val="28"/>
          <w:lang w:val="ru-RU"/>
        </w:rPr>
      </w:pPr>
    </w:p>
    <w:tbl>
      <w:tblPr>
        <w:tblStyle w:val="366"/>
        <w:tblW w:w="0" w:type="auto"/>
        <w:jc w:val="cente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CellMar>
          <w:top w:w="0" w:type="dxa"/>
          <w:left w:w="108" w:type="dxa"/>
          <w:bottom w:w="0" w:type="dxa"/>
          <w:right w:w="108" w:type="dxa"/>
        </w:tblCellMar>
      </w:tblPr>
      <w:tblGrid>
        <w:gridCol w:w="1113"/>
        <w:gridCol w:w="6392"/>
        <w:gridCol w:w="1479"/>
      </w:tblGrid>
      <w:tr w14:paraId="73C1FCE0">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1113" w:type="dxa"/>
            <w:tcBorders>
              <w:tl2br w:val="nil"/>
              <w:tr2bl w:val="nil"/>
            </w:tcBorders>
          </w:tcPr>
          <w:p w14:paraId="17D28955">
            <w:pPr>
              <w:keepNext w:val="0"/>
              <w:keepLines w:val="0"/>
              <w:pageBreakBefore w:val="0"/>
              <w:widowControl/>
              <w:kinsoku/>
              <w:wordWrap/>
              <w:overflowPunct/>
              <w:topLinePunct w:val="0"/>
              <w:autoSpaceDE/>
              <w:autoSpaceDN/>
              <w:bidi w:val="0"/>
              <w:adjustRightInd/>
              <w:snapToGrid/>
              <w:spacing w:after="0" w:line="240" w:lineRule="auto"/>
              <w:ind w:left="0" w:leftChars="0" w:right="-81" w:rightChars="-29" w:firstLine="36" w:firstLineChars="15"/>
              <w:textAlignment w:val="auto"/>
              <w:rPr>
                <w:b w:val="0"/>
                <w:bCs/>
                <w:color w:val="auto"/>
                <w:sz w:val="24"/>
                <w:szCs w:val="24"/>
              </w:rPr>
            </w:pPr>
            <w:r>
              <w:rPr>
                <w:b w:val="0"/>
                <w:bCs/>
                <w:color w:val="auto"/>
                <w:sz w:val="24"/>
                <w:szCs w:val="24"/>
              </w:rPr>
              <w:t>Нұсқ</w:t>
            </w:r>
            <w:r>
              <w:rPr>
                <w:b w:val="0"/>
                <w:bCs/>
                <w:color w:val="auto"/>
                <w:sz w:val="24"/>
                <w:szCs w:val="24"/>
                <w:lang w:val="ru-RU"/>
              </w:rPr>
              <w:t>а</w:t>
            </w:r>
          </w:p>
        </w:tc>
        <w:tc>
          <w:tcPr>
            <w:tcW w:w="6392" w:type="dxa"/>
            <w:tcBorders>
              <w:tl2br w:val="nil"/>
              <w:tr2bl w:val="nil"/>
            </w:tcBorders>
          </w:tcPr>
          <w:p w14:paraId="2A5BCF32">
            <w:pPr>
              <w:keepNext w:val="0"/>
              <w:keepLines w:val="0"/>
              <w:pageBreakBefore w:val="0"/>
              <w:widowControl/>
              <w:kinsoku/>
              <w:wordWrap/>
              <w:overflowPunct/>
              <w:topLinePunct w:val="0"/>
              <w:autoSpaceDE/>
              <w:autoSpaceDN/>
              <w:bidi w:val="0"/>
              <w:adjustRightInd/>
              <w:snapToGrid/>
              <w:spacing w:after="0" w:line="240" w:lineRule="auto"/>
              <w:textAlignment w:val="auto"/>
              <w:rPr>
                <w:b w:val="0"/>
                <w:bCs/>
                <w:color w:val="auto"/>
                <w:sz w:val="24"/>
                <w:szCs w:val="24"/>
              </w:rPr>
            </w:pPr>
            <w:r>
              <w:rPr>
                <w:b w:val="0"/>
                <w:bCs/>
                <w:color w:val="auto"/>
                <w:sz w:val="24"/>
                <w:szCs w:val="24"/>
              </w:rPr>
              <w:t>Сипаттама</w:t>
            </w:r>
          </w:p>
        </w:tc>
        <w:tc>
          <w:tcPr>
            <w:tcW w:w="1479" w:type="dxa"/>
            <w:tcBorders>
              <w:tl2br w:val="nil"/>
              <w:tr2bl w:val="nil"/>
            </w:tcBorders>
          </w:tcPr>
          <w:p w14:paraId="70A8FB86">
            <w:pPr>
              <w:keepNext w:val="0"/>
              <w:keepLines w:val="0"/>
              <w:pageBreakBefore w:val="0"/>
              <w:widowControl/>
              <w:kinsoku/>
              <w:wordWrap/>
              <w:overflowPunct/>
              <w:topLinePunct w:val="0"/>
              <w:autoSpaceDE/>
              <w:autoSpaceDN/>
              <w:bidi w:val="0"/>
              <w:adjustRightInd/>
              <w:snapToGrid/>
              <w:spacing w:after="0" w:line="240" w:lineRule="auto"/>
              <w:jc w:val="left"/>
              <w:textAlignment w:val="auto"/>
              <w:rPr>
                <w:b w:val="0"/>
                <w:bCs/>
                <w:color w:val="auto"/>
                <w:sz w:val="24"/>
                <w:szCs w:val="24"/>
              </w:rPr>
            </w:pPr>
            <w:r>
              <w:rPr>
                <w:b w:val="0"/>
                <w:bCs/>
                <w:color w:val="auto"/>
                <w:sz w:val="24"/>
                <w:szCs w:val="24"/>
              </w:rPr>
              <w:t>Тіркеу № үлгі</w:t>
            </w:r>
          </w:p>
        </w:tc>
      </w:tr>
      <w:tr w14:paraId="3466C368">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1113" w:type="dxa"/>
            <w:tcBorders>
              <w:tl2br w:val="nil"/>
              <w:tr2bl w:val="nil"/>
            </w:tcBorders>
          </w:tcPr>
          <w:p w14:paraId="6D117597">
            <w:pPr>
              <w:spacing w:after="0" w:line="240" w:lineRule="auto"/>
              <w:rPr>
                <w:color w:val="auto"/>
                <w:sz w:val="24"/>
                <w:szCs w:val="24"/>
              </w:rPr>
            </w:pPr>
            <w:r>
              <w:rPr>
                <w:color w:val="auto"/>
                <w:sz w:val="24"/>
                <w:szCs w:val="24"/>
              </w:rPr>
              <w:t>1</w:t>
            </w:r>
          </w:p>
        </w:tc>
        <w:tc>
          <w:tcPr>
            <w:tcW w:w="6392" w:type="dxa"/>
            <w:tcBorders>
              <w:tl2br w:val="nil"/>
              <w:tr2bl w:val="nil"/>
            </w:tcBorders>
          </w:tcPr>
          <w:p w14:paraId="01391A8C">
            <w:pPr>
              <w:spacing w:after="0" w:line="240" w:lineRule="auto"/>
              <w:rPr>
                <w:color w:val="auto"/>
                <w:sz w:val="24"/>
                <w:szCs w:val="24"/>
              </w:rPr>
            </w:pPr>
            <w:r>
              <w:rPr>
                <w:color w:val="auto"/>
                <w:sz w:val="24"/>
                <w:szCs w:val="24"/>
              </w:rPr>
              <w:t>Қарақұмық қауызы негізіндегі биопрепарат</w:t>
            </w:r>
          </w:p>
        </w:tc>
        <w:tc>
          <w:tcPr>
            <w:tcW w:w="1479" w:type="dxa"/>
            <w:tcBorders>
              <w:tl2br w:val="nil"/>
              <w:tr2bl w:val="nil"/>
            </w:tcBorders>
          </w:tcPr>
          <w:p w14:paraId="30F45BF4">
            <w:pPr>
              <w:spacing w:after="0" w:line="240" w:lineRule="auto"/>
              <w:rPr>
                <w:color w:val="auto"/>
                <w:sz w:val="24"/>
                <w:szCs w:val="24"/>
              </w:rPr>
            </w:pPr>
            <w:r>
              <w:rPr>
                <w:color w:val="auto"/>
                <w:sz w:val="24"/>
                <w:szCs w:val="24"/>
              </w:rPr>
              <w:t>976</w:t>
            </w:r>
          </w:p>
        </w:tc>
      </w:tr>
      <w:tr w14:paraId="5FEC7466">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1113" w:type="dxa"/>
            <w:tcBorders>
              <w:tl2br w:val="nil"/>
              <w:tr2bl w:val="nil"/>
            </w:tcBorders>
          </w:tcPr>
          <w:p w14:paraId="1399C160">
            <w:pPr>
              <w:spacing w:after="0" w:line="240" w:lineRule="auto"/>
              <w:rPr>
                <w:color w:val="auto"/>
                <w:sz w:val="24"/>
                <w:szCs w:val="24"/>
              </w:rPr>
            </w:pPr>
            <w:r>
              <w:rPr>
                <w:color w:val="auto"/>
                <w:sz w:val="24"/>
                <w:szCs w:val="24"/>
              </w:rPr>
              <w:t>2</w:t>
            </w:r>
          </w:p>
        </w:tc>
        <w:tc>
          <w:tcPr>
            <w:tcW w:w="6392" w:type="dxa"/>
            <w:tcBorders>
              <w:tl2br w:val="nil"/>
              <w:tr2bl w:val="nil"/>
            </w:tcBorders>
          </w:tcPr>
          <w:p w14:paraId="54ED0266">
            <w:pPr>
              <w:spacing w:after="0" w:line="240" w:lineRule="auto"/>
              <w:rPr>
                <w:color w:val="auto"/>
                <w:sz w:val="24"/>
                <w:szCs w:val="24"/>
              </w:rPr>
            </w:pPr>
            <w:r>
              <w:rPr>
                <w:color w:val="auto"/>
                <w:sz w:val="24"/>
                <w:szCs w:val="24"/>
              </w:rPr>
              <w:t>Күріш қауызы негізіндегі биопрепарат</w:t>
            </w:r>
          </w:p>
        </w:tc>
        <w:tc>
          <w:tcPr>
            <w:tcW w:w="1479" w:type="dxa"/>
            <w:tcBorders>
              <w:tl2br w:val="nil"/>
              <w:tr2bl w:val="nil"/>
            </w:tcBorders>
          </w:tcPr>
          <w:p w14:paraId="4D0B721B">
            <w:pPr>
              <w:spacing w:after="0" w:line="240" w:lineRule="auto"/>
              <w:rPr>
                <w:color w:val="auto"/>
                <w:sz w:val="24"/>
                <w:szCs w:val="24"/>
              </w:rPr>
            </w:pPr>
            <w:r>
              <w:rPr>
                <w:color w:val="auto"/>
                <w:sz w:val="24"/>
                <w:szCs w:val="24"/>
              </w:rPr>
              <w:t>977</w:t>
            </w:r>
          </w:p>
        </w:tc>
      </w:tr>
      <w:tr w14:paraId="61595518">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1113" w:type="dxa"/>
            <w:tcBorders>
              <w:tl2br w:val="nil"/>
              <w:tr2bl w:val="nil"/>
            </w:tcBorders>
          </w:tcPr>
          <w:p w14:paraId="491EFF0E">
            <w:pPr>
              <w:spacing w:after="0" w:line="240" w:lineRule="auto"/>
              <w:rPr>
                <w:color w:val="auto"/>
                <w:sz w:val="24"/>
                <w:szCs w:val="24"/>
              </w:rPr>
            </w:pPr>
            <w:r>
              <w:rPr>
                <w:color w:val="auto"/>
                <w:sz w:val="24"/>
                <w:szCs w:val="24"/>
              </w:rPr>
              <w:t>3</w:t>
            </w:r>
          </w:p>
        </w:tc>
        <w:tc>
          <w:tcPr>
            <w:tcW w:w="6392" w:type="dxa"/>
            <w:tcBorders>
              <w:tl2br w:val="nil"/>
              <w:tr2bl w:val="nil"/>
            </w:tcBorders>
          </w:tcPr>
          <w:p w14:paraId="1D9D56E4">
            <w:pPr>
              <w:spacing w:after="0" w:line="240" w:lineRule="auto"/>
              <w:rPr>
                <w:color w:val="auto"/>
                <w:sz w:val="24"/>
                <w:szCs w:val="24"/>
              </w:rPr>
            </w:pPr>
            <w:r>
              <w:rPr>
                <w:color w:val="auto"/>
                <w:sz w:val="24"/>
                <w:szCs w:val="24"/>
              </w:rPr>
              <w:t>Бақылау (өңдеусіз)</w:t>
            </w:r>
          </w:p>
        </w:tc>
        <w:tc>
          <w:tcPr>
            <w:tcW w:w="1479" w:type="dxa"/>
            <w:tcBorders>
              <w:tl2br w:val="nil"/>
              <w:tr2bl w:val="nil"/>
            </w:tcBorders>
          </w:tcPr>
          <w:p w14:paraId="2FEA133A">
            <w:pPr>
              <w:spacing w:after="0" w:line="240" w:lineRule="auto"/>
              <w:rPr>
                <w:color w:val="auto"/>
                <w:sz w:val="24"/>
                <w:szCs w:val="24"/>
              </w:rPr>
            </w:pPr>
            <w:r>
              <w:rPr>
                <w:color w:val="auto"/>
                <w:sz w:val="24"/>
                <w:szCs w:val="24"/>
              </w:rPr>
              <w:t>978</w:t>
            </w:r>
          </w:p>
        </w:tc>
      </w:tr>
      <w:tr w14:paraId="29F32080">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1113" w:type="dxa"/>
            <w:tcBorders>
              <w:tl2br w:val="nil"/>
              <w:tr2bl w:val="nil"/>
            </w:tcBorders>
          </w:tcPr>
          <w:p w14:paraId="6A7E15B7">
            <w:pPr>
              <w:spacing w:after="0" w:line="240" w:lineRule="auto"/>
              <w:rPr>
                <w:color w:val="auto"/>
                <w:sz w:val="24"/>
                <w:szCs w:val="24"/>
              </w:rPr>
            </w:pPr>
            <w:r>
              <w:rPr>
                <w:color w:val="auto"/>
                <w:sz w:val="24"/>
                <w:szCs w:val="24"/>
              </w:rPr>
              <w:t>4</w:t>
            </w:r>
          </w:p>
        </w:tc>
        <w:tc>
          <w:tcPr>
            <w:tcW w:w="6392" w:type="dxa"/>
            <w:tcBorders>
              <w:tl2br w:val="nil"/>
              <w:tr2bl w:val="nil"/>
            </w:tcBorders>
          </w:tcPr>
          <w:p w14:paraId="3A61AE49">
            <w:pPr>
              <w:spacing w:after="0" w:line="240" w:lineRule="auto"/>
              <w:rPr>
                <w:color w:val="auto"/>
                <w:sz w:val="24"/>
                <w:szCs w:val="24"/>
              </w:rPr>
            </w:pPr>
            <w:r>
              <w:rPr>
                <w:color w:val="auto"/>
                <w:sz w:val="24"/>
                <w:szCs w:val="24"/>
              </w:rPr>
              <w:t>Бос жасушалар (иммобилизациясыз)</w:t>
            </w:r>
          </w:p>
        </w:tc>
        <w:tc>
          <w:tcPr>
            <w:tcW w:w="1479" w:type="dxa"/>
            <w:tcBorders>
              <w:tl2br w:val="nil"/>
              <w:tr2bl w:val="nil"/>
            </w:tcBorders>
          </w:tcPr>
          <w:p w14:paraId="631E1B54">
            <w:pPr>
              <w:spacing w:after="0" w:line="240" w:lineRule="auto"/>
              <w:rPr>
                <w:color w:val="auto"/>
                <w:sz w:val="24"/>
                <w:szCs w:val="24"/>
              </w:rPr>
            </w:pPr>
            <w:r>
              <w:rPr>
                <w:color w:val="auto"/>
                <w:sz w:val="24"/>
                <w:szCs w:val="24"/>
              </w:rPr>
              <w:t>979</w:t>
            </w:r>
          </w:p>
        </w:tc>
      </w:tr>
    </w:tbl>
    <w:p w14:paraId="45757B7E">
      <w:pPr>
        <w:rPr>
          <w:b/>
          <w:bCs/>
          <w:color w:val="auto"/>
          <w:sz w:val="28"/>
          <w:szCs w:val="28"/>
          <w:lang w:val="kk-KZ"/>
        </w:rPr>
      </w:pPr>
      <w:r>
        <w:rPr>
          <w:b/>
          <w:bCs/>
          <w:color w:val="auto"/>
          <w:sz w:val="28"/>
          <w:szCs w:val="28"/>
          <w:lang w:val="kk-KZ"/>
        </w:rPr>
        <w:br w:type="page"/>
      </w:r>
    </w:p>
    <w:p w14:paraId="2116F7BF">
      <w:pPr>
        <w:keepNext w:val="0"/>
        <w:keepLines w:val="0"/>
        <w:pageBreakBefore w:val="0"/>
        <w:widowControl/>
        <w:kinsoku/>
        <w:wordWrap/>
        <w:overflowPunct/>
        <w:topLinePunct w:val="0"/>
        <w:autoSpaceDE/>
        <w:autoSpaceDN/>
        <w:bidi w:val="0"/>
        <w:adjustRightInd/>
        <w:snapToGrid/>
        <w:spacing w:after="0"/>
        <w:ind w:left="0" w:leftChars="0" w:firstLine="0" w:firstLineChars="0"/>
        <w:jc w:val="center"/>
        <w:textAlignment w:val="auto"/>
        <w:rPr>
          <w:color w:val="auto"/>
        </w:rPr>
      </w:pPr>
      <w:r>
        <w:rPr>
          <w:color w:val="auto"/>
          <w:sz w:val="28"/>
        </w:rPr>
        <mc:AlternateContent>
          <mc:Choice Requires="wps">
            <w:drawing>
              <wp:anchor distT="0" distB="0" distL="114300" distR="114300" simplePos="0" relativeHeight="251667456" behindDoc="0" locked="0" layoutInCell="1" allowOverlap="1">
                <wp:simplePos x="0" y="0"/>
                <wp:positionH relativeFrom="column">
                  <wp:posOffset>4808855</wp:posOffset>
                </wp:positionH>
                <wp:positionV relativeFrom="paragraph">
                  <wp:posOffset>1892300</wp:posOffset>
                </wp:positionV>
                <wp:extent cx="250825" cy="277495"/>
                <wp:effectExtent l="0" t="0" r="8255" b="12065"/>
                <wp:wrapNone/>
                <wp:docPr id="95" name="Прямоугольник 95"/>
                <wp:cNvGraphicFramePr/>
                <a:graphic xmlns:a="http://schemas.openxmlformats.org/drawingml/2006/main">
                  <a:graphicData uri="http://schemas.microsoft.com/office/word/2010/wordprocessingShape">
                    <wps:wsp>
                      <wps:cNvSpPr/>
                      <wps:spPr>
                        <a:xfrm>
                          <a:off x="0" y="0"/>
                          <a:ext cx="250825" cy="277495"/>
                        </a:xfrm>
                        <a:prstGeom prst="rect">
                          <a:avLst/>
                        </a:prstGeom>
                        <a:solidFill>
                          <a:schemeClr val="bg1"/>
                        </a:solid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1AE16402">
                            <w:pPr>
                              <w:jc w:val="center"/>
                              <w:rPr>
                                <w:rFonts w:hint="default"/>
                                <w:color w:val="000000" w:themeColor="text1"/>
                                <w:sz w:val="24"/>
                                <w:szCs w:val="21"/>
                                <w:lang w:val="kk-KZ"/>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default"/>
                                <w:color w:val="000000" w:themeColor="text1"/>
                                <w:sz w:val="24"/>
                                <w:szCs w:val="21"/>
                                <w:lang w:val="kk-KZ"/>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4</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78.65pt;margin-top:149pt;height:21.85pt;width:19.75pt;z-index:251667456;v-text-anchor:middle;mso-width-relative:page;mso-height-relative:page;" fillcolor="#FFFFFF [3212]" filled="t" stroked="f" coordsize="21600,21600" o:gfxdata="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A3xQOf1wAAAAsBAAAPAAAAAAAAAAEAIAAA&#10;ACIAAABkcnMvZG93bnJldi54bWxQSwECFAAUAAAACACHTuJATkduuH8CAADUBAAADgAAAAAAAAAB&#10;ACAAAAAmAQAAZHJzL2Uyb0RvYy54bWxQSwUGAAAAAAYABgBZAQAAFwYAAAAA&#10;">
                <v:fill on="t" focussize="0,0"/>
                <v:stroke on="f" weight="2pt"/>
                <v:imagedata o:title=""/>
                <o:lock v:ext="edit" aspectratio="f"/>
                <v:textbox>
                  <w:txbxContent>
                    <w:p w14:paraId="1AE16402">
                      <w:pPr>
                        <w:jc w:val="center"/>
                        <w:rPr>
                          <w:rFonts w:hint="default"/>
                          <w:color w:val="000000" w:themeColor="text1"/>
                          <w:sz w:val="24"/>
                          <w:szCs w:val="21"/>
                          <w:lang w:val="kk-KZ"/>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default"/>
                          <w:color w:val="000000" w:themeColor="text1"/>
                          <w:sz w:val="24"/>
                          <w:szCs w:val="21"/>
                          <w:lang w:val="kk-KZ"/>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4</w:t>
                      </w:r>
                    </w:p>
                  </w:txbxContent>
                </v:textbox>
              </v:rect>
            </w:pict>
          </mc:Fallback>
        </mc:AlternateContent>
      </w:r>
      <w:r>
        <w:rPr>
          <w:color w:val="auto"/>
          <w:sz w:val="28"/>
        </w:rPr>
        <mc:AlternateContent>
          <mc:Choice Requires="wps">
            <w:drawing>
              <wp:anchor distT="0" distB="0" distL="114300" distR="114300" simplePos="0" relativeHeight="251666432" behindDoc="0" locked="0" layoutInCell="1" allowOverlap="1">
                <wp:simplePos x="0" y="0"/>
                <wp:positionH relativeFrom="column">
                  <wp:posOffset>3825240</wp:posOffset>
                </wp:positionH>
                <wp:positionV relativeFrom="paragraph">
                  <wp:posOffset>1738630</wp:posOffset>
                </wp:positionV>
                <wp:extent cx="217170" cy="278130"/>
                <wp:effectExtent l="0" t="0" r="11430" b="11430"/>
                <wp:wrapNone/>
                <wp:docPr id="94" name="Прямоугольник 94"/>
                <wp:cNvGraphicFramePr/>
                <a:graphic xmlns:a="http://schemas.openxmlformats.org/drawingml/2006/main">
                  <a:graphicData uri="http://schemas.microsoft.com/office/word/2010/wordprocessingShape">
                    <wps:wsp>
                      <wps:cNvSpPr/>
                      <wps:spPr>
                        <a:xfrm>
                          <a:off x="0" y="0"/>
                          <a:ext cx="217170" cy="278130"/>
                        </a:xfrm>
                        <a:prstGeom prst="rect">
                          <a:avLst/>
                        </a:prstGeom>
                        <a:solidFill>
                          <a:schemeClr val="bg1"/>
                        </a:solid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7E03BEC5">
                            <w:pPr>
                              <w:jc w:val="left"/>
                              <w:rPr>
                                <w:rFonts w:hint="default"/>
                                <w:color w:val="000000" w:themeColor="text1"/>
                                <w:sz w:val="24"/>
                                <w:szCs w:val="21"/>
                                <w:lang w:val="kk-KZ"/>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default"/>
                                <w:color w:val="000000" w:themeColor="text1"/>
                                <w:sz w:val="24"/>
                                <w:szCs w:val="21"/>
                                <w:lang w:val="kk-KZ"/>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3</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01.2pt;margin-top:136.9pt;height:21.9pt;width:17.1pt;z-index:251666432;v-text-anchor:middle;mso-width-relative:page;mso-height-relative:page;" fillcolor="#FFFFFF [3212]" filled="t" stroked="f" coordsize="21600,21600" o:gfxdata="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SLes9YAAAALAQAADwAAAAAAAAABACAA&#10;AAAiAAAAZHJzL2Rvd25yZXYueG1sUEsBAhQAFAAAAAgAh07iQNyFrjKBAgAA1AQAAA4AAAAAAAAA&#10;AQAgAAAAJQEAAGRycy9lMm9Eb2MueG1sUEsFBgAAAAAGAAYAWQEAABgGAAAAAA==&#10;">
                <v:fill on="t" focussize="0,0"/>
                <v:stroke on="f" weight="2pt"/>
                <v:imagedata o:title=""/>
                <o:lock v:ext="edit" aspectratio="f"/>
                <v:textbox>
                  <w:txbxContent>
                    <w:p w14:paraId="7E03BEC5">
                      <w:pPr>
                        <w:jc w:val="left"/>
                        <w:rPr>
                          <w:rFonts w:hint="default"/>
                          <w:color w:val="000000" w:themeColor="text1"/>
                          <w:sz w:val="24"/>
                          <w:szCs w:val="21"/>
                          <w:lang w:val="kk-KZ"/>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default"/>
                          <w:color w:val="000000" w:themeColor="text1"/>
                          <w:sz w:val="24"/>
                          <w:szCs w:val="21"/>
                          <w:lang w:val="kk-KZ"/>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3</w:t>
                      </w:r>
                    </w:p>
                  </w:txbxContent>
                </v:textbox>
              </v:rect>
            </w:pict>
          </mc:Fallback>
        </mc:AlternateContent>
      </w:r>
      <w:r>
        <w:rPr>
          <w:color w:val="auto"/>
          <w:sz w:val="28"/>
        </w:rPr>
        <mc:AlternateContent>
          <mc:Choice Requires="wps">
            <w:drawing>
              <wp:anchor distT="0" distB="0" distL="114300" distR="114300" simplePos="0" relativeHeight="251665408" behindDoc="0" locked="0" layoutInCell="1" allowOverlap="1">
                <wp:simplePos x="0" y="0"/>
                <wp:positionH relativeFrom="column">
                  <wp:posOffset>4822825</wp:posOffset>
                </wp:positionH>
                <wp:positionV relativeFrom="paragraph">
                  <wp:posOffset>1066800</wp:posOffset>
                </wp:positionV>
                <wp:extent cx="257810" cy="278765"/>
                <wp:effectExtent l="0" t="0" r="1270" b="10795"/>
                <wp:wrapNone/>
                <wp:docPr id="93" name="Прямоугольник 93"/>
                <wp:cNvGraphicFramePr/>
                <a:graphic xmlns:a="http://schemas.openxmlformats.org/drawingml/2006/main">
                  <a:graphicData uri="http://schemas.microsoft.com/office/word/2010/wordprocessingShape">
                    <wps:wsp>
                      <wps:cNvSpPr/>
                      <wps:spPr>
                        <a:xfrm>
                          <a:off x="0" y="0"/>
                          <a:ext cx="257810" cy="278765"/>
                        </a:xfrm>
                        <a:prstGeom prst="rect">
                          <a:avLst/>
                        </a:prstGeom>
                        <a:solidFill>
                          <a:schemeClr val="bg1"/>
                        </a:solid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3FE6F15F">
                            <w:pPr>
                              <w:jc w:val="center"/>
                              <w:rPr>
                                <w:rFonts w:hint="default"/>
                                <w:color w:val="000000" w:themeColor="text1"/>
                                <w:sz w:val="24"/>
                                <w:szCs w:val="21"/>
                                <w:lang w:val="kk-KZ"/>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default"/>
                                <w:color w:val="000000" w:themeColor="text1"/>
                                <w:sz w:val="24"/>
                                <w:szCs w:val="21"/>
                                <w:lang w:val="kk-KZ"/>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2</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79.75pt;margin-top:84pt;height:21.95pt;width:20.3pt;z-index:251665408;v-text-anchor:middle;mso-width-relative:page;mso-height-relative:page;" fillcolor="#FFFFFF [3212]" filled="t" stroked="f" coordsize="21600,21600" o:gfxdata="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B0ysNzWAAAACwEAAA8AAAAAAAAAAQAgAAAA&#10;IgAAAGRycy9kb3ducmV2LnhtbFBLAQIUABQAAAAIAIdO4kAUgpovfwIAANQEAAAOAAAAAAAAAAEA&#10;IAAAACUBAABkcnMvZTJvRG9jLnhtbFBLBQYAAAAABgAGAFkBAAAWBgAAAAA=&#10;">
                <v:fill on="t" focussize="0,0"/>
                <v:stroke on="f" weight="2pt"/>
                <v:imagedata o:title=""/>
                <o:lock v:ext="edit" aspectratio="f"/>
                <v:textbox>
                  <w:txbxContent>
                    <w:p w14:paraId="3FE6F15F">
                      <w:pPr>
                        <w:jc w:val="center"/>
                        <w:rPr>
                          <w:rFonts w:hint="default"/>
                          <w:color w:val="000000" w:themeColor="text1"/>
                          <w:sz w:val="24"/>
                          <w:szCs w:val="21"/>
                          <w:lang w:val="kk-KZ"/>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default"/>
                          <w:color w:val="000000" w:themeColor="text1"/>
                          <w:sz w:val="24"/>
                          <w:szCs w:val="21"/>
                          <w:lang w:val="kk-KZ"/>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2</w:t>
                      </w:r>
                    </w:p>
                  </w:txbxContent>
                </v:textbox>
              </v:rect>
            </w:pict>
          </mc:Fallback>
        </mc:AlternateContent>
      </w:r>
      <w:r>
        <w:rPr>
          <w:color w:val="auto"/>
          <w:sz w:val="28"/>
        </w:rPr>
        <mc:AlternateContent>
          <mc:Choice Requires="wps">
            <w:drawing>
              <wp:anchor distT="0" distB="0" distL="114300" distR="114300" simplePos="0" relativeHeight="251663360" behindDoc="0" locked="0" layoutInCell="1" allowOverlap="1">
                <wp:simplePos x="0" y="0"/>
                <wp:positionH relativeFrom="column">
                  <wp:posOffset>3999230</wp:posOffset>
                </wp:positionH>
                <wp:positionV relativeFrom="paragraph">
                  <wp:posOffset>1018540</wp:posOffset>
                </wp:positionV>
                <wp:extent cx="270510" cy="257175"/>
                <wp:effectExtent l="0" t="0" r="3810" b="1905"/>
                <wp:wrapNone/>
                <wp:docPr id="92" name="Прямоугольник 92"/>
                <wp:cNvGraphicFramePr/>
                <a:graphic xmlns:a="http://schemas.openxmlformats.org/drawingml/2006/main">
                  <a:graphicData uri="http://schemas.microsoft.com/office/word/2010/wordprocessingShape">
                    <wps:wsp>
                      <wps:cNvSpPr/>
                      <wps:spPr>
                        <a:xfrm>
                          <a:off x="5079365" y="1621790"/>
                          <a:ext cx="270510" cy="257175"/>
                        </a:xfrm>
                        <a:prstGeom prst="rect">
                          <a:avLst/>
                        </a:prstGeom>
                        <a:solidFill>
                          <a:schemeClr val="bg1"/>
                        </a:solid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00326008">
                            <w:pPr>
                              <w:jc w:val="center"/>
                              <w:rPr>
                                <w:rFonts w:hint="default"/>
                                <w:color w:val="000000" w:themeColor="text1"/>
                                <w:sz w:val="24"/>
                                <w:szCs w:val="21"/>
                                <w:lang w:val="kk-KZ"/>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default"/>
                                <w:color w:val="000000" w:themeColor="text1"/>
                                <w:sz w:val="24"/>
                                <w:szCs w:val="21"/>
                                <w:lang w:val="kk-KZ"/>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1</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14.9pt;margin-top:80.2pt;height:20.25pt;width:21.3pt;z-index:251663360;v-text-anchor:middle;mso-width-relative:page;mso-height-relative:page;" fillcolor="#FFFFFF [3212]" filled="t" stroked="f" coordsize="21600,21600" o:gfxdata="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BiKYvbVAAAACwEAAA8A&#10;AAAAAAAAAQAgAAAAIgAAAGRycy9kb3ducmV2LnhtbFBLAQIUABQAAAAIAIdO4kD2sPC5jAIAAOAE&#10;AAAOAAAAAAAAAAEAIAAAACQBAABkcnMvZTJvRG9jLnhtbFBLBQYAAAAABgAGAFkBAAAiBgAAAAA=&#10;">
                <v:fill on="t" focussize="0,0"/>
                <v:stroke on="f" weight="2pt"/>
                <v:imagedata o:title=""/>
                <o:lock v:ext="edit" aspectratio="f"/>
                <v:textbox>
                  <w:txbxContent>
                    <w:p w14:paraId="00326008">
                      <w:pPr>
                        <w:jc w:val="center"/>
                        <w:rPr>
                          <w:rFonts w:hint="default"/>
                          <w:color w:val="000000" w:themeColor="text1"/>
                          <w:sz w:val="24"/>
                          <w:szCs w:val="21"/>
                          <w:lang w:val="kk-KZ"/>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default"/>
                          <w:color w:val="000000" w:themeColor="text1"/>
                          <w:sz w:val="24"/>
                          <w:szCs w:val="21"/>
                          <w:lang w:val="kk-KZ"/>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1</w:t>
                      </w:r>
                    </w:p>
                  </w:txbxContent>
                </v:textbox>
              </v:rect>
            </w:pict>
          </mc:Fallback>
        </mc:AlternateContent>
      </w:r>
      <w:r>
        <w:rPr>
          <w:color w:val="auto"/>
        </w:rPr>
        <w:drawing>
          <wp:inline distT="0" distB="0" distL="114300" distR="114300">
            <wp:extent cx="2803525" cy="2955290"/>
            <wp:effectExtent l="0" t="0" r="635" b="1270"/>
            <wp:docPr id="90" name="Изображение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Изображение 1" descr="IMG_256"/>
                    <pic:cNvPicPr>
                      <a:picLocks noChangeAspect="1"/>
                    </pic:cNvPicPr>
                  </pic:nvPicPr>
                  <pic:blipFill>
                    <a:blip r:embed="rId32"/>
                    <a:srcRect t="25424" r="6865"/>
                    <a:stretch>
                      <a:fillRect/>
                    </a:stretch>
                  </pic:blipFill>
                  <pic:spPr>
                    <a:xfrm>
                      <a:off x="0" y="0"/>
                      <a:ext cx="2803525" cy="2955290"/>
                    </a:xfrm>
                    <a:prstGeom prst="rect">
                      <a:avLst/>
                    </a:prstGeom>
                    <a:noFill/>
                    <a:ln w="9525">
                      <a:noFill/>
                    </a:ln>
                  </pic:spPr>
                </pic:pic>
              </a:graphicData>
            </a:graphic>
          </wp:inline>
        </w:drawing>
      </w:r>
      <w:r>
        <w:rPr>
          <w:color w:val="auto"/>
        </w:rPr>
        <w:drawing>
          <wp:inline distT="0" distB="0" distL="114300" distR="114300">
            <wp:extent cx="2709545" cy="2963545"/>
            <wp:effectExtent l="0" t="0" r="3175" b="8255"/>
            <wp:docPr id="91" name="Изображение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Изображение 2" descr="IMG_256"/>
                    <pic:cNvPicPr>
                      <a:picLocks noChangeAspect="1"/>
                    </pic:cNvPicPr>
                  </pic:nvPicPr>
                  <pic:blipFill>
                    <a:blip r:embed="rId33"/>
                    <a:srcRect l="4819" t="20398" r="4332"/>
                    <a:stretch>
                      <a:fillRect/>
                    </a:stretch>
                  </pic:blipFill>
                  <pic:spPr>
                    <a:xfrm>
                      <a:off x="0" y="0"/>
                      <a:ext cx="2709545" cy="2963545"/>
                    </a:xfrm>
                    <a:prstGeom prst="rect">
                      <a:avLst/>
                    </a:prstGeom>
                    <a:noFill/>
                    <a:ln w="9525">
                      <a:noFill/>
                    </a:ln>
                  </pic:spPr>
                </pic:pic>
              </a:graphicData>
            </a:graphic>
          </wp:inline>
        </w:drawing>
      </w:r>
    </w:p>
    <w:p w14:paraId="5DDAE53B">
      <w:pPr>
        <w:keepNext w:val="0"/>
        <w:keepLines w:val="0"/>
        <w:pageBreakBefore w:val="0"/>
        <w:widowControl/>
        <w:kinsoku/>
        <w:wordWrap/>
        <w:overflowPunct/>
        <w:topLinePunct w:val="0"/>
        <w:autoSpaceDE/>
        <w:autoSpaceDN/>
        <w:bidi w:val="0"/>
        <w:adjustRightInd/>
        <w:snapToGrid/>
        <w:spacing w:after="0"/>
        <w:ind w:firstLine="709" w:firstLineChars="0"/>
        <w:textAlignment w:val="auto"/>
        <w:rPr>
          <w:color w:val="auto"/>
        </w:rPr>
      </w:pPr>
    </w:p>
    <w:p w14:paraId="647DD860">
      <w:pPr>
        <w:keepNext w:val="0"/>
        <w:keepLines w:val="0"/>
        <w:pageBreakBefore w:val="0"/>
        <w:widowControl/>
        <w:kinsoku/>
        <w:wordWrap/>
        <w:overflowPunct/>
        <w:topLinePunct w:val="0"/>
        <w:autoSpaceDE/>
        <w:autoSpaceDN/>
        <w:bidi w:val="0"/>
        <w:adjustRightInd/>
        <w:snapToGrid/>
        <w:spacing w:after="0"/>
        <w:ind w:firstLine="709" w:firstLineChars="0"/>
        <w:jc w:val="center"/>
        <w:textAlignment w:val="auto"/>
        <w:rPr>
          <w:rFonts w:hint="default"/>
          <w:color w:val="auto"/>
          <w:lang w:val="kk-KZ"/>
        </w:rPr>
      </w:pPr>
      <w:r>
        <w:rPr>
          <w:color w:val="auto"/>
          <w:lang w:val="kk-KZ"/>
        </w:rPr>
        <w:t>Сурет</w:t>
      </w:r>
      <w:r>
        <w:rPr>
          <w:rFonts w:hint="default"/>
          <w:color w:val="auto"/>
          <w:lang w:val="kk-KZ"/>
        </w:rPr>
        <w:t xml:space="preserve"> 15 - Эксперименттік учаскелердің дайындалуы.</w:t>
      </w:r>
    </w:p>
    <w:p w14:paraId="1548306B">
      <w:pPr>
        <w:keepNext w:val="0"/>
        <w:keepLines w:val="0"/>
        <w:pageBreakBefore w:val="0"/>
        <w:widowControl/>
        <w:kinsoku/>
        <w:wordWrap/>
        <w:overflowPunct/>
        <w:topLinePunct w:val="0"/>
        <w:autoSpaceDE/>
        <w:autoSpaceDN/>
        <w:bidi w:val="0"/>
        <w:adjustRightInd/>
        <w:snapToGrid/>
        <w:spacing w:after="0"/>
        <w:ind w:firstLine="709" w:firstLineChars="0"/>
        <w:textAlignment w:val="auto"/>
        <w:rPr>
          <w:color w:val="auto"/>
        </w:rPr>
      </w:pPr>
    </w:p>
    <w:p w14:paraId="1F275081">
      <w:pPr>
        <w:keepNext w:val="0"/>
        <w:keepLines w:val="0"/>
        <w:pageBreakBefore w:val="0"/>
        <w:widowControl/>
        <w:kinsoku/>
        <w:wordWrap/>
        <w:overflowPunct/>
        <w:topLinePunct w:val="0"/>
        <w:autoSpaceDE/>
        <w:autoSpaceDN/>
        <w:bidi w:val="0"/>
        <w:adjustRightInd/>
        <w:snapToGrid/>
        <w:spacing w:after="0"/>
        <w:ind w:firstLine="709" w:firstLineChars="0"/>
        <w:textAlignment w:val="auto"/>
        <w:rPr>
          <w:color w:val="auto"/>
        </w:rPr>
      </w:pPr>
      <w:r>
        <w:rPr>
          <w:color w:val="auto"/>
        </w:rPr>
        <w:t xml:space="preserve">Биопрепараттың белсенді компоненті ретінде Батыс Қазақстанның мұнаймен ластанған топырақтарынан бөлініп алынған  </w:t>
      </w:r>
      <w:r>
        <w:rPr>
          <w:i/>
          <w:iCs/>
          <w:color w:val="auto"/>
        </w:rPr>
        <w:t>Rhodococcus erythropolis AT7</w:t>
      </w:r>
      <w:r>
        <w:rPr>
          <w:color w:val="auto"/>
        </w:rPr>
        <w:t xml:space="preserve"> және </w:t>
      </w:r>
      <w:r>
        <w:rPr>
          <w:i/>
          <w:iCs/>
          <w:color w:val="auto"/>
        </w:rPr>
        <w:t>Dietzia maris 22K</w:t>
      </w:r>
      <w:r>
        <w:rPr>
          <w:color w:val="auto"/>
        </w:rPr>
        <w:t xml:space="preserve"> көмірсутектерді тотықтыратын микроорганизмдер консорциумы пайдаланы</w:t>
      </w:r>
      <w:r>
        <w:rPr>
          <w:color w:val="auto"/>
          <w:highlight w:val="none"/>
        </w:rPr>
        <w:t>лды [</w:t>
      </w:r>
      <w:r>
        <w:rPr>
          <w:rFonts w:hint="default"/>
          <w:color w:val="auto"/>
          <w:highlight w:val="none"/>
          <w:lang w:val="ru-RU"/>
        </w:rPr>
        <w:t>130</w:t>
      </w:r>
      <w:r>
        <w:rPr>
          <w:color w:val="auto"/>
          <w:highlight w:val="none"/>
        </w:rPr>
        <w:t xml:space="preserve">]. </w:t>
      </w:r>
    </w:p>
    <w:p w14:paraId="50F8909A">
      <w:pPr>
        <w:keepNext w:val="0"/>
        <w:keepLines w:val="0"/>
        <w:pageBreakBefore w:val="0"/>
        <w:widowControl/>
        <w:kinsoku/>
        <w:wordWrap/>
        <w:overflowPunct/>
        <w:topLinePunct w:val="0"/>
        <w:autoSpaceDE/>
        <w:autoSpaceDN/>
        <w:bidi w:val="0"/>
        <w:adjustRightInd/>
        <w:snapToGrid/>
        <w:spacing w:after="0"/>
        <w:ind w:firstLine="709" w:firstLineChars="0"/>
        <w:textAlignment w:val="auto"/>
        <w:rPr>
          <w:b w:val="0"/>
          <w:bCs/>
          <w:i/>
          <w:iCs/>
          <w:color w:val="auto"/>
        </w:rPr>
      </w:pPr>
      <w:r>
        <w:rPr>
          <w:b w:val="0"/>
          <w:bCs/>
          <w:i/>
          <w:iCs/>
          <w:color w:val="auto"/>
        </w:rPr>
        <w:t>Биопрепараттың дайындалуы және енгізілуі.</w:t>
      </w:r>
    </w:p>
    <w:p w14:paraId="325EB0B1">
      <w:pPr>
        <w:keepNext w:val="0"/>
        <w:keepLines w:val="0"/>
        <w:pageBreakBefore w:val="0"/>
        <w:widowControl/>
        <w:kinsoku/>
        <w:wordWrap/>
        <w:overflowPunct/>
        <w:topLinePunct w:val="0"/>
        <w:autoSpaceDE/>
        <w:autoSpaceDN/>
        <w:bidi w:val="0"/>
        <w:adjustRightInd/>
        <w:snapToGrid/>
        <w:spacing w:after="0"/>
        <w:ind w:firstLine="709" w:firstLineChars="0"/>
        <w:textAlignment w:val="auto"/>
        <w:rPr>
          <w:color w:val="auto"/>
        </w:rPr>
      </w:pPr>
      <w:r>
        <w:rPr>
          <w:color w:val="auto"/>
        </w:rPr>
        <w:t>Тасымалдаушылар (қарақұмық және күріш қауыздары) әзірленген әдістемеге сәйкес алдын ала дайындалды: дистилденген сумен тазалау, 1% NaOH және HCl ерітінділерімен өңдеу, 60°C температурада кептір</w:t>
      </w:r>
      <w:r>
        <w:rPr>
          <w:color w:val="auto"/>
          <w:lang w:val="kk-KZ"/>
        </w:rPr>
        <w:t>ілді</w:t>
      </w:r>
      <w:r>
        <w:rPr>
          <w:color w:val="auto"/>
          <w:highlight w:val="none"/>
        </w:rPr>
        <w:t xml:space="preserve">. </w:t>
      </w:r>
      <w:r>
        <w:rPr>
          <w:rFonts w:hint="default"/>
          <w:color w:val="auto"/>
          <w:highlight w:val="none"/>
          <w:lang w:val="kk-KZ"/>
        </w:rPr>
        <w:tab/>
      </w:r>
      <w:r>
        <w:rPr>
          <w:color w:val="auto"/>
          <w:highlight w:val="none"/>
        </w:rPr>
        <w:t xml:space="preserve">Жасушаларды иммобилизациялау адсорбциялық әдіспен </w:t>
      </w:r>
      <w:r>
        <w:rPr>
          <w:color w:val="auto"/>
        </w:rPr>
        <w:t>тасымалдаушы:</w:t>
      </w:r>
      <w:r>
        <w:rPr>
          <w:rFonts w:hint="default"/>
          <w:color w:val="auto"/>
          <w:lang w:val="kk-KZ"/>
        </w:rPr>
        <w:t xml:space="preserve"> </w:t>
      </w:r>
      <w:r>
        <w:rPr>
          <w:color w:val="auto"/>
        </w:rPr>
        <w:t>суспензия қатынасы 1:5 (м/көл) болғанда 28°C температурада 24 сағат бойы жүргізілді [</w:t>
      </w:r>
      <w:r>
        <w:rPr>
          <w:rFonts w:hint="default"/>
          <w:color w:val="auto"/>
          <w:lang w:val="en-US"/>
        </w:rPr>
        <w:t>1</w:t>
      </w:r>
      <w:r>
        <w:rPr>
          <w:rFonts w:hint="default"/>
          <w:color w:val="auto"/>
          <w:lang w:val="ru-RU"/>
        </w:rPr>
        <w:t>30</w:t>
      </w:r>
      <w:r>
        <w:rPr>
          <w:color w:val="auto"/>
        </w:rPr>
        <w:t>].</w:t>
      </w:r>
    </w:p>
    <w:p w14:paraId="47263BD6">
      <w:pPr>
        <w:keepNext w:val="0"/>
        <w:keepLines w:val="0"/>
        <w:pageBreakBefore w:val="0"/>
        <w:widowControl/>
        <w:kinsoku/>
        <w:wordWrap/>
        <w:overflowPunct/>
        <w:topLinePunct w:val="0"/>
        <w:autoSpaceDE/>
        <w:autoSpaceDN/>
        <w:bidi w:val="0"/>
        <w:adjustRightInd/>
        <w:snapToGrid/>
        <w:spacing w:after="0"/>
        <w:ind w:firstLine="709" w:firstLineChars="0"/>
        <w:textAlignment w:val="auto"/>
        <w:rPr>
          <w:color w:val="auto"/>
        </w:rPr>
      </w:pPr>
      <w:r>
        <w:rPr>
          <w:color w:val="auto"/>
        </w:rPr>
        <w:t>Биопрепарат топыраққа ластанған грунт массасының 10%-ы есебінен (</w:t>
      </w:r>
      <w:r>
        <w:rPr>
          <w:rFonts w:hint="default"/>
          <w:color w:val="auto"/>
          <w:lang w:val="en-US"/>
        </w:rPr>
        <w:t>2,5</w:t>
      </w:r>
      <w:r>
        <w:rPr>
          <w:color w:val="auto"/>
        </w:rPr>
        <w:t xml:space="preserve"> кг препарат / </w:t>
      </w:r>
      <w:r>
        <w:rPr>
          <w:rFonts w:hint="default"/>
          <w:color w:val="auto"/>
          <w:lang w:val="en-US"/>
        </w:rPr>
        <w:t>20</w:t>
      </w:r>
      <w:r>
        <w:rPr>
          <w:color w:val="auto"/>
        </w:rPr>
        <w:t>-</w:t>
      </w:r>
      <w:r>
        <w:rPr>
          <w:rFonts w:hint="default"/>
          <w:color w:val="auto"/>
          <w:lang w:val="en-US"/>
        </w:rPr>
        <w:t>25</w:t>
      </w:r>
      <w:r>
        <w:rPr>
          <w:color w:val="auto"/>
        </w:rPr>
        <w:t xml:space="preserve"> кг топырақ) енгізілді. Бұл жоғары норма зертханалық масштабта әдістің принципиалды тиімділігін және максималды деградация потенциалын растау үшін қолданылды</w:t>
      </w:r>
      <w:r>
        <w:rPr>
          <w:rFonts w:hint="default"/>
          <w:color w:val="auto"/>
          <w:lang w:val="ru-RU"/>
        </w:rPr>
        <w:t xml:space="preserve"> </w:t>
      </w:r>
      <w:r>
        <w:rPr>
          <w:color w:val="auto"/>
        </w:rPr>
        <w:t>[40, 41, 62].. Топырақ ылғалдылығы мерзімді ылғалдандыру арқылы 60-70% деңгейінде ұсталды. Аэрация үшін топырақ аптасына 2-3 рет қопсытылды, бұл микроорганизмдердің белсенділігі үшін қажетті оттегімен қамтамасыз етуді қамтамасыз етті</w:t>
      </w:r>
      <w:r>
        <w:rPr>
          <w:rFonts w:hint="default"/>
          <w:color w:val="auto"/>
          <w:lang w:val="ru-RU"/>
        </w:rPr>
        <w:t xml:space="preserve"> </w:t>
      </w:r>
      <w:r>
        <w:rPr>
          <w:color w:val="auto"/>
        </w:rPr>
        <w:t>[30, 43, 107].</w:t>
      </w:r>
    </w:p>
    <w:p w14:paraId="6641A8CB">
      <w:pPr>
        <w:keepNext w:val="0"/>
        <w:keepLines w:val="0"/>
        <w:pageBreakBefore w:val="0"/>
        <w:widowControl/>
        <w:kinsoku/>
        <w:wordWrap/>
        <w:overflowPunct/>
        <w:topLinePunct w:val="0"/>
        <w:autoSpaceDE/>
        <w:autoSpaceDN/>
        <w:bidi w:val="0"/>
        <w:adjustRightInd/>
        <w:snapToGrid/>
        <w:spacing w:after="0"/>
        <w:ind w:firstLine="709" w:firstLineChars="0"/>
        <w:textAlignment w:val="auto"/>
        <w:rPr>
          <w:rFonts w:hint="default"/>
          <w:color w:val="auto"/>
          <w:lang w:val="kk-KZ"/>
        </w:rPr>
      </w:pPr>
      <w:r>
        <w:rPr>
          <w:color w:val="auto"/>
        </w:rPr>
        <w:t>Аналитикалық бақылауды «AccuTest» ЖШС аккредиттелген зертханасы (аккредиттеу аттестаты № KZ.T.13.1491) гравиметриялық әдіспен ST RK 1.18-2022 стандартына сәйкес жүзеге асырды</w:t>
      </w:r>
      <w:r>
        <w:rPr>
          <w:rFonts w:hint="default"/>
          <w:color w:val="auto"/>
          <w:lang w:val="kk-KZ"/>
        </w:rPr>
        <w:t xml:space="preserve"> </w:t>
      </w:r>
      <w:r>
        <w:rPr>
          <w:rFonts w:hint="default"/>
          <w:color w:val="auto"/>
          <w:lang w:val="en-US"/>
        </w:rPr>
        <w:t>(</w:t>
      </w:r>
      <w:r>
        <w:rPr>
          <w:rFonts w:hint="default"/>
          <w:color w:val="auto"/>
          <w:lang w:val="kk-KZ"/>
        </w:rPr>
        <w:t>Қосымша Ә</w:t>
      </w:r>
      <w:r>
        <w:rPr>
          <w:rFonts w:hint="default"/>
          <w:color w:val="auto"/>
          <w:lang w:val="en-US"/>
        </w:rPr>
        <w:t>)</w:t>
      </w:r>
      <w:r>
        <w:rPr>
          <w:rFonts w:hint="default"/>
          <w:color w:val="auto"/>
          <w:lang w:val="kk-KZ"/>
        </w:rPr>
        <w:t>.</w:t>
      </w:r>
    </w:p>
    <w:p w14:paraId="567E9B51">
      <w:pPr>
        <w:rPr>
          <w:color w:val="auto"/>
        </w:rPr>
      </w:pPr>
      <w:r>
        <w:rPr>
          <w:color w:val="auto"/>
        </w:rPr>
        <w:br w:type="page"/>
      </w:r>
    </w:p>
    <w:p w14:paraId="01571C93">
      <w:pPr>
        <w:keepNext w:val="0"/>
        <w:keepLines w:val="0"/>
        <w:pageBreakBefore w:val="0"/>
        <w:widowControl/>
        <w:kinsoku/>
        <w:wordWrap/>
        <w:overflowPunct/>
        <w:topLinePunct w:val="0"/>
        <w:autoSpaceDE/>
        <w:autoSpaceDN/>
        <w:bidi w:val="0"/>
        <w:adjustRightInd/>
        <w:snapToGrid/>
        <w:spacing w:after="0"/>
        <w:ind w:firstLine="709" w:firstLineChars="0"/>
        <w:textAlignment w:val="auto"/>
        <w:rPr>
          <w:b/>
          <w:bCs/>
          <w:color w:val="auto"/>
          <w:sz w:val="28"/>
          <w:szCs w:val="28"/>
          <w:lang w:val="kk-KZ"/>
        </w:rPr>
      </w:pPr>
      <w:r>
        <w:rPr>
          <w:rFonts w:hint="default"/>
          <w:b/>
          <w:bCs/>
          <w:color w:val="auto"/>
          <w:highlight w:val="none"/>
          <w:lang w:val="kk-KZ"/>
        </w:rPr>
        <w:t xml:space="preserve">4.2 </w:t>
      </w:r>
      <w:r>
        <w:rPr>
          <w:rFonts w:ascii="Times New Roman" w:hAnsi="Times New Roman" w:eastAsia="Times New Roman" w:cs="Times New Roman"/>
          <w:b/>
          <w:bCs/>
          <w:color w:val="auto"/>
          <w:sz w:val="28"/>
          <w:szCs w:val="28"/>
          <w:highlight w:val="none"/>
        </w:rPr>
        <w:t xml:space="preserve">Топырақтағы мұнай көмірсутектерінің деградация динамикасын </w:t>
      </w:r>
      <w:r>
        <w:rPr>
          <w:rFonts w:ascii="Times New Roman" w:hAnsi="Times New Roman" w:eastAsia="Times New Roman" w:cs="Times New Roman"/>
          <w:b/>
          <w:bCs/>
          <w:color w:val="auto"/>
          <w:sz w:val="28"/>
          <w:szCs w:val="28"/>
        </w:rPr>
        <w:t>талдау</w:t>
      </w:r>
    </w:p>
    <w:p w14:paraId="57D57DC7">
      <w:pPr>
        <w:ind w:firstLine="709" w:firstLineChars="0"/>
        <w:rPr>
          <w:color w:val="auto"/>
        </w:rPr>
      </w:pPr>
      <w:r>
        <w:rPr>
          <w:color w:val="auto"/>
        </w:rPr>
        <w:t xml:space="preserve">Далалық сынақтар нәтижелері биоремедиация технологиясының жоғары тиімділігін көрсетті. </w:t>
      </w:r>
    </w:p>
    <w:p w14:paraId="4E72605C">
      <w:pPr>
        <w:keepNext w:val="0"/>
        <w:keepLines w:val="0"/>
        <w:pageBreakBefore w:val="0"/>
        <w:widowControl/>
        <w:kinsoku/>
        <w:wordWrap/>
        <w:overflowPunct/>
        <w:topLinePunct w:val="0"/>
        <w:autoSpaceDE/>
        <w:autoSpaceDN/>
        <w:bidi w:val="0"/>
        <w:adjustRightInd/>
        <w:snapToGrid/>
        <w:spacing w:after="0"/>
        <w:textAlignment w:val="auto"/>
        <w:rPr>
          <w:rFonts w:hint="default"/>
          <w:color w:val="auto"/>
          <w:highlight w:val="none"/>
          <w:lang w:val="kk-KZ"/>
        </w:rPr>
      </w:pPr>
      <w:r>
        <w:rPr>
          <w:color w:val="auto"/>
          <w:highlight w:val="none"/>
          <w:lang w:val="kk-KZ"/>
        </w:rPr>
        <w:t>Кесте</w:t>
      </w:r>
      <w:r>
        <w:rPr>
          <w:rFonts w:hint="default"/>
          <w:color w:val="auto"/>
          <w:highlight w:val="none"/>
          <w:lang w:val="kk-KZ"/>
        </w:rPr>
        <w:t xml:space="preserve"> </w:t>
      </w:r>
      <w:r>
        <w:rPr>
          <w:rFonts w:hint="default"/>
          <w:color w:val="auto"/>
          <w:highlight w:val="none"/>
          <w:lang w:val="en-US"/>
        </w:rPr>
        <w:t>19</w:t>
      </w:r>
      <w:r>
        <w:rPr>
          <w:rFonts w:hint="default"/>
          <w:color w:val="auto"/>
          <w:highlight w:val="none"/>
          <w:lang w:val="kk-KZ"/>
        </w:rPr>
        <w:t xml:space="preserve"> - Мұнай көмірсутектерінің дегдация нәтижелері</w:t>
      </w:r>
    </w:p>
    <w:p w14:paraId="5A4D84E5">
      <w:pPr>
        <w:keepNext w:val="0"/>
        <w:keepLines w:val="0"/>
        <w:pageBreakBefore w:val="0"/>
        <w:widowControl/>
        <w:kinsoku/>
        <w:wordWrap/>
        <w:overflowPunct/>
        <w:topLinePunct w:val="0"/>
        <w:autoSpaceDE/>
        <w:autoSpaceDN/>
        <w:bidi w:val="0"/>
        <w:adjustRightInd/>
        <w:snapToGrid/>
        <w:spacing w:after="0"/>
        <w:textAlignment w:val="auto"/>
        <w:rPr>
          <w:rFonts w:hint="default"/>
          <w:color w:val="auto"/>
          <w:highlight w:val="none"/>
          <w:lang w:val="kk-KZ"/>
        </w:rPr>
      </w:pPr>
    </w:p>
    <w:tbl>
      <w:tblPr>
        <w:tblStyle w:val="366"/>
        <w:tblW w:w="0" w:type="auto"/>
        <w:jc w:val="cente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autofit"/>
        <w:tblCellMar>
          <w:top w:w="0" w:type="dxa"/>
          <w:left w:w="108" w:type="dxa"/>
          <w:bottom w:w="0" w:type="dxa"/>
          <w:right w:w="108" w:type="dxa"/>
        </w:tblCellMar>
      </w:tblPr>
      <w:tblGrid>
        <w:gridCol w:w="3600"/>
        <w:gridCol w:w="1296"/>
        <w:gridCol w:w="2160"/>
        <w:gridCol w:w="2160"/>
      </w:tblGrid>
      <w:tr w14:paraId="29DE154C">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3600" w:type="dxa"/>
            <w:tcBorders>
              <w:tl2br w:val="nil"/>
              <w:tr2bl w:val="nil"/>
            </w:tcBorders>
          </w:tcPr>
          <w:p w14:paraId="11A74C37">
            <w:pPr>
              <w:spacing w:after="0" w:line="240" w:lineRule="auto"/>
              <w:jc w:val="center"/>
              <w:rPr>
                <w:b w:val="0"/>
                <w:bCs/>
                <w:color w:val="auto"/>
                <w:sz w:val="24"/>
                <w:szCs w:val="24"/>
              </w:rPr>
            </w:pPr>
            <w:r>
              <w:rPr>
                <w:b w:val="0"/>
                <w:bCs/>
                <w:color w:val="auto"/>
                <w:sz w:val="24"/>
                <w:szCs w:val="24"/>
              </w:rPr>
              <w:t>Нұсқа</w:t>
            </w:r>
          </w:p>
        </w:tc>
        <w:tc>
          <w:tcPr>
            <w:tcW w:w="1296" w:type="dxa"/>
            <w:tcBorders>
              <w:tl2br w:val="nil"/>
              <w:tr2bl w:val="nil"/>
            </w:tcBorders>
          </w:tcPr>
          <w:p w14:paraId="56CF0C9D">
            <w:pPr>
              <w:spacing w:after="0" w:line="240" w:lineRule="auto"/>
              <w:jc w:val="center"/>
              <w:rPr>
                <w:b w:val="0"/>
                <w:bCs/>
                <w:color w:val="auto"/>
                <w:sz w:val="24"/>
                <w:szCs w:val="24"/>
              </w:rPr>
            </w:pPr>
            <w:r>
              <w:rPr>
                <w:b w:val="0"/>
                <w:bCs/>
                <w:color w:val="auto"/>
                <w:sz w:val="24"/>
                <w:szCs w:val="24"/>
              </w:rPr>
              <w:t>Тіркеу №</w:t>
            </w:r>
          </w:p>
        </w:tc>
        <w:tc>
          <w:tcPr>
            <w:tcW w:w="2160" w:type="dxa"/>
            <w:tcBorders>
              <w:tl2br w:val="nil"/>
              <w:tr2bl w:val="nil"/>
            </w:tcBorders>
          </w:tcPr>
          <w:p w14:paraId="01B70069">
            <w:pPr>
              <w:spacing w:after="0" w:line="240" w:lineRule="auto"/>
              <w:jc w:val="center"/>
              <w:rPr>
                <w:b w:val="0"/>
                <w:bCs/>
                <w:color w:val="auto"/>
                <w:sz w:val="24"/>
                <w:szCs w:val="24"/>
              </w:rPr>
            </w:pPr>
            <w:r>
              <w:rPr>
                <w:b w:val="0"/>
                <w:bCs/>
                <w:color w:val="auto"/>
                <w:sz w:val="24"/>
                <w:szCs w:val="24"/>
                <w:lang w:val="kk-KZ"/>
              </w:rPr>
              <w:t>ЖМӨ</w:t>
            </w:r>
            <w:r>
              <w:rPr>
                <w:b w:val="0"/>
                <w:bCs/>
                <w:color w:val="auto"/>
                <w:sz w:val="24"/>
                <w:szCs w:val="24"/>
              </w:rPr>
              <w:t xml:space="preserve"> қалдық мөлшері, мг/кг</w:t>
            </w:r>
          </w:p>
        </w:tc>
        <w:tc>
          <w:tcPr>
            <w:tcW w:w="2160" w:type="dxa"/>
            <w:tcBorders>
              <w:tl2br w:val="nil"/>
              <w:tr2bl w:val="nil"/>
            </w:tcBorders>
          </w:tcPr>
          <w:p w14:paraId="784309FA">
            <w:pPr>
              <w:spacing w:after="0" w:line="240" w:lineRule="auto"/>
              <w:jc w:val="center"/>
              <w:rPr>
                <w:b w:val="0"/>
                <w:bCs/>
                <w:color w:val="auto"/>
                <w:sz w:val="24"/>
                <w:szCs w:val="24"/>
              </w:rPr>
            </w:pPr>
            <w:r>
              <w:rPr>
                <w:b w:val="0"/>
                <w:bCs/>
                <w:color w:val="auto"/>
                <w:sz w:val="24"/>
                <w:szCs w:val="24"/>
              </w:rPr>
              <w:t>Тиімділік, %</w:t>
            </w:r>
          </w:p>
        </w:tc>
      </w:tr>
      <w:tr w14:paraId="6BC7478A">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3600" w:type="dxa"/>
            <w:tcBorders>
              <w:tl2br w:val="nil"/>
              <w:tr2bl w:val="nil"/>
            </w:tcBorders>
          </w:tcPr>
          <w:p w14:paraId="77628A7F">
            <w:pPr>
              <w:spacing w:after="0" w:line="240" w:lineRule="auto"/>
              <w:rPr>
                <w:color w:val="auto"/>
                <w:sz w:val="24"/>
                <w:szCs w:val="24"/>
              </w:rPr>
            </w:pPr>
            <w:r>
              <w:rPr>
                <w:color w:val="auto"/>
                <w:sz w:val="24"/>
                <w:szCs w:val="24"/>
              </w:rPr>
              <w:t>Қарақұмық қауызы</w:t>
            </w:r>
          </w:p>
        </w:tc>
        <w:tc>
          <w:tcPr>
            <w:tcW w:w="1296" w:type="dxa"/>
            <w:tcBorders>
              <w:tl2br w:val="nil"/>
              <w:tr2bl w:val="nil"/>
            </w:tcBorders>
          </w:tcPr>
          <w:p w14:paraId="789D3490">
            <w:pPr>
              <w:spacing w:after="0" w:line="240" w:lineRule="auto"/>
              <w:rPr>
                <w:color w:val="auto"/>
                <w:sz w:val="24"/>
                <w:szCs w:val="24"/>
              </w:rPr>
            </w:pPr>
            <w:r>
              <w:rPr>
                <w:color w:val="auto"/>
                <w:sz w:val="24"/>
                <w:szCs w:val="24"/>
              </w:rPr>
              <w:t>976</w:t>
            </w:r>
          </w:p>
        </w:tc>
        <w:tc>
          <w:tcPr>
            <w:tcW w:w="2160" w:type="dxa"/>
            <w:tcBorders>
              <w:tl2br w:val="nil"/>
              <w:tr2bl w:val="nil"/>
            </w:tcBorders>
          </w:tcPr>
          <w:p w14:paraId="58CB2DBD">
            <w:pPr>
              <w:spacing w:after="0" w:line="240" w:lineRule="auto"/>
              <w:rPr>
                <w:color w:val="auto"/>
                <w:sz w:val="24"/>
                <w:szCs w:val="24"/>
              </w:rPr>
            </w:pPr>
            <w:r>
              <w:rPr>
                <w:color w:val="auto"/>
                <w:sz w:val="24"/>
                <w:szCs w:val="24"/>
              </w:rPr>
              <w:t>223</w:t>
            </w:r>
          </w:p>
        </w:tc>
        <w:tc>
          <w:tcPr>
            <w:tcW w:w="2160" w:type="dxa"/>
            <w:tcBorders>
              <w:tl2br w:val="nil"/>
              <w:tr2bl w:val="nil"/>
            </w:tcBorders>
          </w:tcPr>
          <w:p w14:paraId="00BFF7A7">
            <w:pPr>
              <w:spacing w:after="0" w:line="240" w:lineRule="auto"/>
              <w:rPr>
                <w:color w:val="auto"/>
                <w:sz w:val="24"/>
                <w:szCs w:val="24"/>
              </w:rPr>
            </w:pPr>
            <w:r>
              <w:rPr>
                <w:color w:val="auto"/>
                <w:sz w:val="24"/>
                <w:szCs w:val="24"/>
              </w:rPr>
              <w:t>94,0</w:t>
            </w:r>
          </w:p>
        </w:tc>
      </w:tr>
      <w:tr w14:paraId="76793202">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3600" w:type="dxa"/>
            <w:tcBorders>
              <w:tl2br w:val="nil"/>
              <w:tr2bl w:val="nil"/>
            </w:tcBorders>
          </w:tcPr>
          <w:p w14:paraId="08F81BDA">
            <w:pPr>
              <w:spacing w:after="0" w:line="240" w:lineRule="auto"/>
              <w:rPr>
                <w:color w:val="auto"/>
                <w:sz w:val="24"/>
                <w:szCs w:val="24"/>
              </w:rPr>
            </w:pPr>
            <w:r>
              <w:rPr>
                <w:color w:val="auto"/>
                <w:sz w:val="24"/>
                <w:szCs w:val="24"/>
              </w:rPr>
              <w:t>Күріш қауызы</w:t>
            </w:r>
          </w:p>
        </w:tc>
        <w:tc>
          <w:tcPr>
            <w:tcW w:w="1296" w:type="dxa"/>
            <w:tcBorders>
              <w:tl2br w:val="nil"/>
              <w:tr2bl w:val="nil"/>
            </w:tcBorders>
          </w:tcPr>
          <w:p w14:paraId="0157F760">
            <w:pPr>
              <w:spacing w:after="0" w:line="240" w:lineRule="auto"/>
              <w:rPr>
                <w:color w:val="auto"/>
                <w:sz w:val="24"/>
                <w:szCs w:val="24"/>
              </w:rPr>
            </w:pPr>
            <w:r>
              <w:rPr>
                <w:color w:val="auto"/>
                <w:sz w:val="24"/>
                <w:szCs w:val="24"/>
              </w:rPr>
              <w:t>977</w:t>
            </w:r>
          </w:p>
        </w:tc>
        <w:tc>
          <w:tcPr>
            <w:tcW w:w="2160" w:type="dxa"/>
            <w:tcBorders>
              <w:tl2br w:val="nil"/>
              <w:tr2bl w:val="nil"/>
            </w:tcBorders>
          </w:tcPr>
          <w:p w14:paraId="13176D72">
            <w:pPr>
              <w:spacing w:after="0" w:line="240" w:lineRule="auto"/>
              <w:rPr>
                <w:color w:val="auto"/>
                <w:sz w:val="24"/>
                <w:szCs w:val="24"/>
              </w:rPr>
            </w:pPr>
            <w:r>
              <w:rPr>
                <w:color w:val="auto"/>
                <w:sz w:val="24"/>
                <w:szCs w:val="24"/>
              </w:rPr>
              <w:t>1570</w:t>
            </w:r>
          </w:p>
        </w:tc>
        <w:tc>
          <w:tcPr>
            <w:tcW w:w="2160" w:type="dxa"/>
            <w:tcBorders>
              <w:tl2br w:val="nil"/>
              <w:tr2bl w:val="nil"/>
            </w:tcBorders>
          </w:tcPr>
          <w:p w14:paraId="7C7FD011">
            <w:pPr>
              <w:spacing w:after="0" w:line="240" w:lineRule="auto"/>
              <w:rPr>
                <w:color w:val="auto"/>
                <w:sz w:val="24"/>
                <w:szCs w:val="24"/>
              </w:rPr>
            </w:pPr>
            <w:r>
              <w:rPr>
                <w:color w:val="auto"/>
                <w:sz w:val="24"/>
                <w:szCs w:val="24"/>
              </w:rPr>
              <w:t>57,9</w:t>
            </w:r>
          </w:p>
        </w:tc>
      </w:tr>
      <w:tr w14:paraId="321C9024">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3600" w:type="dxa"/>
            <w:tcBorders>
              <w:tl2br w:val="nil"/>
              <w:tr2bl w:val="nil"/>
            </w:tcBorders>
          </w:tcPr>
          <w:p w14:paraId="1C9490B4">
            <w:pPr>
              <w:spacing w:after="0" w:line="240" w:lineRule="auto"/>
              <w:rPr>
                <w:color w:val="auto"/>
                <w:sz w:val="24"/>
                <w:szCs w:val="24"/>
              </w:rPr>
            </w:pPr>
            <w:r>
              <w:rPr>
                <w:color w:val="auto"/>
                <w:sz w:val="24"/>
                <w:szCs w:val="24"/>
              </w:rPr>
              <w:t>Бақылау</w:t>
            </w:r>
          </w:p>
        </w:tc>
        <w:tc>
          <w:tcPr>
            <w:tcW w:w="1296" w:type="dxa"/>
            <w:tcBorders>
              <w:tl2br w:val="nil"/>
              <w:tr2bl w:val="nil"/>
            </w:tcBorders>
          </w:tcPr>
          <w:p w14:paraId="43646BA3">
            <w:pPr>
              <w:spacing w:after="0" w:line="240" w:lineRule="auto"/>
              <w:rPr>
                <w:color w:val="auto"/>
                <w:sz w:val="24"/>
                <w:szCs w:val="24"/>
              </w:rPr>
            </w:pPr>
            <w:r>
              <w:rPr>
                <w:color w:val="auto"/>
                <w:sz w:val="24"/>
                <w:szCs w:val="24"/>
              </w:rPr>
              <w:t>978</w:t>
            </w:r>
          </w:p>
        </w:tc>
        <w:tc>
          <w:tcPr>
            <w:tcW w:w="2160" w:type="dxa"/>
            <w:tcBorders>
              <w:tl2br w:val="nil"/>
              <w:tr2bl w:val="nil"/>
            </w:tcBorders>
          </w:tcPr>
          <w:p w14:paraId="36729426">
            <w:pPr>
              <w:spacing w:after="0" w:line="240" w:lineRule="auto"/>
              <w:rPr>
                <w:color w:val="auto"/>
                <w:sz w:val="24"/>
                <w:szCs w:val="24"/>
              </w:rPr>
            </w:pPr>
            <w:r>
              <w:rPr>
                <w:color w:val="auto"/>
                <w:sz w:val="24"/>
                <w:szCs w:val="24"/>
              </w:rPr>
              <w:t>3725</w:t>
            </w:r>
          </w:p>
        </w:tc>
        <w:tc>
          <w:tcPr>
            <w:tcW w:w="2160" w:type="dxa"/>
            <w:tcBorders>
              <w:tl2br w:val="nil"/>
              <w:tr2bl w:val="nil"/>
            </w:tcBorders>
          </w:tcPr>
          <w:p w14:paraId="26AA83FA">
            <w:pPr>
              <w:spacing w:after="0" w:line="240" w:lineRule="auto"/>
              <w:rPr>
                <w:color w:val="auto"/>
                <w:sz w:val="24"/>
                <w:szCs w:val="24"/>
              </w:rPr>
            </w:pPr>
            <w:r>
              <w:rPr>
                <w:color w:val="auto"/>
                <w:sz w:val="24"/>
                <w:szCs w:val="24"/>
              </w:rPr>
              <w:t>0</w:t>
            </w:r>
          </w:p>
        </w:tc>
      </w:tr>
      <w:tr w14:paraId="4F9B3630">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rPr>
          <w:jc w:val="center"/>
        </w:trPr>
        <w:tc>
          <w:tcPr>
            <w:tcW w:w="3600" w:type="dxa"/>
            <w:tcBorders>
              <w:tl2br w:val="nil"/>
              <w:tr2bl w:val="nil"/>
            </w:tcBorders>
          </w:tcPr>
          <w:p w14:paraId="1A7A29C0">
            <w:pPr>
              <w:keepNext w:val="0"/>
              <w:keepLines w:val="0"/>
              <w:pageBreakBefore w:val="0"/>
              <w:widowControl/>
              <w:kinsoku/>
              <w:wordWrap/>
              <w:overflowPunct/>
              <w:topLinePunct w:val="0"/>
              <w:autoSpaceDE/>
              <w:autoSpaceDN/>
              <w:bidi w:val="0"/>
              <w:adjustRightInd/>
              <w:snapToGrid/>
              <w:spacing w:after="0" w:line="240" w:lineRule="auto"/>
              <w:textAlignment w:val="auto"/>
              <w:rPr>
                <w:color w:val="auto"/>
                <w:sz w:val="24"/>
                <w:szCs w:val="24"/>
              </w:rPr>
            </w:pPr>
            <w:r>
              <w:rPr>
                <w:color w:val="auto"/>
                <w:sz w:val="24"/>
                <w:szCs w:val="24"/>
              </w:rPr>
              <w:t>Бос жасушалар</w:t>
            </w:r>
          </w:p>
        </w:tc>
        <w:tc>
          <w:tcPr>
            <w:tcW w:w="1296" w:type="dxa"/>
            <w:tcBorders>
              <w:tl2br w:val="nil"/>
              <w:tr2bl w:val="nil"/>
            </w:tcBorders>
          </w:tcPr>
          <w:p w14:paraId="18B2E9D5">
            <w:pPr>
              <w:keepNext w:val="0"/>
              <w:keepLines w:val="0"/>
              <w:pageBreakBefore w:val="0"/>
              <w:widowControl/>
              <w:kinsoku/>
              <w:wordWrap/>
              <w:overflowPunct/>
              <w:topLinePunct w:val="0"/>
              <w:autoSpaceDE/>
              <w:autoSpaceDN/>
              <w:bidi w:val="0"/>
              <w:adjustRightInd/>
              <w:snapToGrid/>
              <w:spacing w:after="0" w:line="240" w:lineRule="auto"/>
              <w:textAlignment w:val="auto"/>
              <w:rPr>
                <w:color w:val="auto"/>
                <w:sz w:val="24"/>
                <w:szCs w:val="24"/>
              </w:rPr>
            </w:pPr>
            <w:r>
              <w:rPr>
                <w:color w:val="auto"/>
                <w:sz w:val="24"/>
                <w:szCs w:val="24"/>
              </w:rPr>
              <w:t>979</w:t>
            </w:r>
          </w:p>
        </w:tc>
        <w:tc>
          <w:tcPr>
            <w:tcW w:w="2160" w:type="dxa"/>
            <w:tcBorders>
              <w:tl2br w:val="nil"/>
              <w:tr2bl w:val="nil"/>
            </w:tcBorders>
          </w:tcPr>
          <w:p w14:paraId="56B8EFE6">
            <w:pPr>
              <w:keepNext w:val="0"/>
              <w:keepLines w:val="0"/>
              <w:pageBreakBefore w:val="0"/>
              <w:widowControl/>
              <w:kinsoku/>
              <w:wordWrap/>
              <w:overflowPunct/>
              <w:topLinePunct w:val="0"/>
              <w:autoSpaceDE/>
              <w:autoSpaceDN/>
              <w:bidi w:val="0"/>
              <w:adjustRightInd/>
              <w:snapToGrid/>
              <w:spacing w:after="0" w:line="240" w:lineRule="auto"/>
              <w:textAlignment w:val="auto"/>
              <w:rPr>
                <w:color w:val="auto"/>
                <w:sz w:val="24"/>
                <w:szCs w:val="24"/>
              </w:rPr>
            </w:pPr>
            <w:r>
              <w:rPr>
                <w:color w:val="auto"/>
                <w:sz w:val="24"/>
                <w:szCs w:val="24"/>
              </w:rPr>
              <w:t>1692</w:t>
            </w:r>
          </w:p>
        </w:tc>
        <w:tc>
          <w:tcPr>
            <w:tcW w:w="2160" w:type="dxa"/>
            <w:tcBorders>
              <w:tl2br w:val="nil"/>
              <w:tr2bl w:val="nil"/>
            </w:tcBorders>
          </w:tcPr>
          <w:p w14:paraId="7D3D311B">
            <w:pPr>
              <w:keepNext w:val="0"/>
              <w:keepLines w:val="0"/>
              <w:pageBreakBefore w:val="0"/>
              <w:widowControl/>
              <w:kinsoku/>
              <w:wordWrap/>
              <w:overflowPunct/>
              <w:topLinePunct w:val="0"/>
              <w:autoSpaceDE/>
              <w:autoSpaceDN/>
              <w:bidi w:val="0"/>
              <w:adjustRightInd/>
              <w:snapToGrid/>
              <w:spacing w:after="0" w:line="240" w:lineRule="auto"/>
              <w:textAlignment w:val="auto"/>
              <w:rPr>
                <w:color w:val="auto"/>
                <w:sz w:val="24"/>
                <w:szCs w:val="24"/>
              </w:rPr>
            </w:pPr>
            <w:r>
              <w:rPr>
                <w:color w:val="auto"/>
                <w:sz w:val="24"/>
                <w:szCs w:val="24"/>
              </w:rPr>
              <w:t>54,6</w:t>
            </w:r>
          </w:p>
        </w:tc>
      </w:tr>
    </w:tbl>
    <w:p w14:paraId="1B3D30D5">
      <w:pPr>
        <w:keepNext w:val="0"/>
        <w:keepLines w:val="0"/>
        <w:pageBreakBefore w:val="0"/>
        <w:widowControl/>
        <w:kinsoku/>
        <w:wordWrap/>
        <w:overflowPunct/>
        <w:topLinePunct w:val="0"/>
        <w:autoSpaceDE/>
        <w:autoSpaceDN/>
        <w:bidi w:val="0"/>
        <w:adjustRightInd/>
        <w:snapToGrid/>
        <w:spacing w:after="0"/>
        <w:ind w:firstLine="709" w:firstLineChars="0"/>
        <w:textAlignment w:val="auto"/>
        <w:rPr>
          <w:color w:val="auto"/>
        </w:rPr>
      </w:pPr>
    </w:p>
    <w:p w14:paraId="4374D2E6">
      <w:pPr>
        <w:keepNext w:val="0"/>
        <w:keepLines w:val="0"/>
        <w:pageBreakBefore w:val="0"/>
        <w:widowControl/>
        <w:kinsoku/>
        <w:wordWrap/>
        <w:overflowPunct/>
        <w:topLinePunct w:val="0"/>
        <w:autoSpaceDE/>
        <w:autoSpaceDN/>
        <w:bidi w:val="0"/>
        <w:adjustRightInd/>
        <w:snapToGrid/>
        <w:spacing w:after="0"/>
        <w:ind w:firstLine="709" w:firstLineChars="0"/>
        <w:textAlignment w:val="auto"/>
        <w:rPr>
          <w:color w:val="auto"/>
        </w:rPr>
      </w:pPr>
      <w:r>
        <w:rPr>
          <w:color w:val="auto"/>
        </w:rPr>
        <w:t xml:space="preserve">Алынған деректерді талдау қарақұмық қауызында иммобилизацияланған жасушалардың айқын артықшылығын көрсетеді. </w:t>
      </w:r>
      <w:r>
        <w:rPr>
          <w:rFonts w:hint="default"/>
          <w:color w:val="auto"/>
        </w:rPr>
        <w:t>Қарақұмық қауызының тиімділігі 94,0% құрады, бұл күріш қауызынан (57,9%) 36,1 пайыздық пунктке жоғары.</w:t>
      </w:r>
    </w:p>
    <w:p w14:paraId="1E79D9F7">
      <w:pPr>
        <w:keepNext w:val="0"/>
        <w:keepLines w:val="0"/>
        <w:pageBreakBefore w:val="0"/>
        <w:widowControl/>
        <w:kinsoku/>
        <w:wordWrap/>
        <w:overflowPunct/>
        <w:topLinePunct w:val="0"/>
        <w:autoSpaceDE/>
        <w:autoSpaceDN/>
        <w:bidi w:val="0"/>
        <w:adjustRightInd/>
        <w:snapToGrid/>
        <w:spacing w:after="0"/>
        <w:ind w:firstLine="709" w:firstLineChars="0"/>
        <w:textAlignment w:val="auto"/>
        <w:rPr>
          <w:color w:val="auto"/>
          <w:highlight w:val="none"/>
        </w:rPr>
      </w:pPr>
      <w:r>
        <w:rPr>
          <w:color w:val="auto"/>
        </w:rPr>
        <w:t>Қарақұмық қауызының артықшылығы оның құрамындағы антиоксидантты қасиеттері бар рутин флавоноидімен түсіндіріледі [</w:t>
      </w:r>
      <w:r>
        <w:rPr>
          <w:rFonts w:hint="default"/>
          <w:color w:val="auto"/>
        </w:rPr>
        <w:t>[150, 151, 160]</w:t>
      </w:r>
      <w:r>
        <w:rPr>
          <w:color w:val="auto"/>
        </w:rPr>
        <w:t>. Рутин бактерия ж</w:t>
      </w:r>
      <w:r>
        <w:rPr>
          <w:color w:val="auto"/>
          <w:highlight w:val="none"/>
        </w:rPr>
        <w:t>асушаларын мұнай көмірсутектерінің уытты метаболиттерінен туындаған тотығу стресінен қорғайды</w:t>
      </w:r>
      <w:r>
        <w:rPr>
          <w:rFonts w:hint="default"/>
          <w:color w:val="auto"/>
          <w:highlight w:val="none"/>
          <w:lang w:val="ru-RU"/>
        </w:rPr>
        <w:t xml:space="preserve"> </w:t>
      </w:r>
      <w:r>
        <w:rPr>
          <w:rFonts w:hint="default"/>
          <w:color w:val="auto"/>
          <w:highlight w:val="none"/>
          <w:lang w:val="en-US"/>
        </w:rPr>
        <w:t>[45,146]</w:t>
      </w:r>
      <w:r>
        <w:rPr>
          <w:color w:val="auto"/>
          <w:highlight w:val="none"/>
        </w:rPr>
        <w:t>.</w:t>
      </w:r>
    </w:p>
    <w:p w14:paraId="6F6330F5">
      <w:pPr>
        <w:keepNext w:val="0"/>
        <w:keepLines w:val="0"/>
        <w:pageBreakBefore w:val="0"/>
        <w:widowControl/>
        <w:kinsoku/>
        <w:wordWrap/>
        <w:overflowPunct/>
        <w:topLinePunct w:val="0"/>
        <w:autoSpaceDE/>
        <w:autoSpaceDN/>
        <w:bidi w:val="0"/>
        <w:adjustRightInd/>
        <w:snapToGrid/>
        <w:spacing w:after="0"/>
        <w:ind w:firstLine="709" w:firstLineChars="0"/>
        <w:textAlignment w:val="auto"/>
        <w:rPr>
          <w:color w:val="auto"/>
        </w:rPr>
      </w:pPr>
      <w:r>
        <w:rPr>
          <w:color w:val="auto"/>
        </w:rPr>
        <w:t>Биодеградация процесінің кинетикалық талдауы мұнай көмірсутектерінің деструкциясы бірінші ретті кинетикаға бағынатынын көрсетті (R² &gt; 0,95). Қарақұмық қауызы нұсқасы үшін деградация жылдамдығының константасы k = 0,0187 тәу</w:t>
      </w:r>
      <w:r>
        <w:rPr>
          <w:rFonts w:hint="default"/>
          <w:color w:val="auto"/>
          <w:lang w:val="kk-KZ"/>
        </w:rPr>
        <w:t>лік</w:t>
      </w:r>
      <w:r>
        <w:rPr>
          <w:color w:val="auto"/>
        </w:rPr>
        <w:t>⁻¹ құрады, бұл бос жасушалармен салыстырғанда (k = 0,0108 тәу</w:t>
      </w:r>
      <w:r>
        <w:rPr>
          <w:color w:val="auto"/>
          <w:lang w:val="kk-KZ"/>
        </w:rPr>
        <w:t>лік</w:t>
      </w:r>
      <w:r>
        <w:rPr>
          <w:color w:val="auto"/>
        </w:rPr>
        <w:t>⁻¹) 73% жоғары.</w:t>
      </w:r>
    </w:p>
    <w:p w14:paraId="12510267">
      <w:pPr>
        <w:keepNext w:val="0"/>
        <w:keepLines w:val="0"/>
        <w:pageBreakBefore w:val="0"/>
        <w:widowControl/>
        <w:kinsoku/>
        <w:wordWrap/>
        <w:overflowPunct/>
        <w:topLinePunct w:val="0"/>
        <w:autoSpaceDE/>
        <w:autoSpaceDN/>
        <w:bidi w:val="0"/>
        <w:adjustRightInd/>
        <w:snapToGrid/>
        <w:spacing w:after="0"/>
        <w:ind w:firstLine="709" w:firstLineChars="0"/>
        <w:textAlignment w:val="auto"/>
        <w:rPr>
          <w:color w:val="auto"/>
        </w:rPr>
      </w:pPr>
      <w:r>
        <w:rPr>
          <w:i/>
          <w:iCs/>
          <w:color w:val="auto"/>
        </w:rPr>
        <w:t xml:space="preserve">Далалық және зертханалық нәтижелердің салыстырмалы талдауы. </w:t>
      </w:r>
      <w:r>
        <w:rPr>
          <w:rFonts w:hint="default"/>
          <w:color w:val="auto"/>
          <w:lang w:val="kk-KZ"/>
        </w:rPr>
        <w:tab/>
      </w:r>
      <w:r>
        <w:rPr>
          <w:color w:val="auto"/>
        </w:rPr>
        <w:t>Далалық сынақтардағы жоғары тиімділік (94,0%) зертханалық эксперименттердегі көрсеткіштен (58,4%) айтарлықтай асып түседі (35,6 пайыздық пунктке). Екі эксперимент те 45 тәулік бойы жүргізілгеніне қарамастан, бұл айырмашылық келесі факторлармен түсіндіріледі:</w:t>
      </w:r>
    </w:p>
    <w:p w14:paraId="33269464">
      <w:pPr>
        <w:keepNext w:val="0"/>
        <w:keepLines w:val="0"/>
        <w:pageBreakBefore w:val="0"/>
        <w:widowControl/>
        <w:numPr>
          <w:ilvl w:val="0"/>
          <w:numId w:val="12"/>
        </w:numPr>
        <w:shd w:val="clear"/>
        <w:kinsoku/>
        <w:wordWrap/>
        <w:overflowPunct/>
        <w:topLinePunct w:val="0"/>
        <w:autoSpaceDE/>
        <w:autoSpaceDN/>
        <w:bidi w:val="0"/>
        <w:adjustRightInd/>
        <w:snapToGrid/>
        <w:spacing w:after="0"/>
        <w:ind w:left="0" w:leftChars="0" w:firstLine="560" w:firstLineChars="200"/>
        <w:textAlignment w:val="auto"/>
        <w:rPr>
          <w:color w:val="auto"/>
          <w:highlight w:val="green"/>
        </w:rPr>
      </w:pPr>
      <w:r>
        <w:rPr>
          <w:color w:val="auto"/>
        </w:rPr>
        <w:t xml:space="preserve">Далалық жағдайларда Қаражанбас мұнай кен орнының топырағының табиғи мұнай деструкторлары (негізінен Pseudomonas, Bacillus түрлері) енгізілген </w:t>
      </w:r>
      <w:r>
        <w:rPr>
          <w:i/>
          <w:iCs/>
          <w:color w:val="auto"/>
        </w:rPr>
        <w:t>R. erythropolis AT7 және D. maris 22K</w:t>
      </w:r>
      <w:r>
        <w:rPr>
          <w:color w:val="auto"/>
        </w:rPr>
        <w:t xml:space="preserve"> консорциумымен синергиялық әрекеттеседі. </w:t>
      </w:r>
    </w:p>
    <w:p w14:paraId="706B6E2E">
      <w:pPr>
        <w:keepNext w:val="0"/>
        <w:keepLines w:val="0"/>
        <w:pageBreakBefore w:val="0"/>
        <w:widowControl/>
        <w:numPr>
          <w:ilvl w:val="0"/>
          <w:numId w:val="12"/>
        </w:numPr>
        <w:kinsoku/>
        <w:wordWrap/>
        <w:overflowPunct/>
        <w:topLinePunct w:val="0"/>
        <w:autoSpaceDE/>
        <w:autoSpaceDN/>
        <w:bidi w:val="0"/>
        <w:adjustRightInd/>
        <w:snapToGrid/>
        <w:spacing w:after="0"/>
        <w:ind w:left="0" w:leftChars="0" w:firstLine="560" w:firstLineChars="200"/>
        <w:textAlignment w:val="auto"/>
        <w:rPr>
          <w:color w:val="auto"/>
        </w:rPr>
      </w:pPr>
      <w:r>
        <w:rPr>
          <w:color w:val="auto"/>
        </w:rPr>
        <w:t>Зертханалық эксперименттер тұрақты +28°C температурада жүргізілді, ал далалық сынақ кезеңінде температуралық ауытқулар (+22...+32°C топырақта) байқалды</w:t>
      </w:r>
      <w:r>
        <w:rPr>
          <w:rFonts w:hint="default"/>
          <w:color w:val="auto"/>
          <w:lang w:val="en-US"/>
        </w:rPr>
        <w:t xml:space="preserve"> [</w:t>
      </w:r>
      <w:r>
        <w:rPr>
          <w:color w:val="auto"/>
        </w:rPr>
        <w:t>115, 129, 168</w:t>
      </w:r>
      <w:r>
        <w:rPr>
          <w:rFonts w:hint="default"/>
          <w:color w:val="auto"/>
          <w:lang w:val="en-US"/>
        </w:rPr>
        <w:t>]</w:t>
      </w:r>
      <w:r>
        <w:rPr>
          <w:color w:val="auto"/>
        </w:rPr>
        <w:t>. Әдебиет деректері көрсеткендей, тәуліктік температуралық циклдер микроорганизмдердің метаболизмін активациялайды, ферментативті жүйелердің индукциясын күшейтеді және биодеградация процестерін жеделдетеді [25, 26, 30, 174].</w:t>
      </w:r>
    </w:p>
    <w:p w14:paraId="4F3D4247">
      <w:pPr>
        <w:keepNext w:val="0"/>
        <w:keepLines w:val="0"/>
        <w:pageBreakBefore w:val="0"/>
        <w:widowControl/>
        <w:numPr>
          <w:ilvl w:val="0"/>
          <w:numId w:val="12"/>
        </w:numPr>
        <w:kinsoku/>
        <w:wordWrap/>
        <w:overflowPunct/>
        <w:topLinePunct w:val="0"/>
        <w:autoSpaceDE/>
        <w:autoSpaceDN/>
        <w:bidi w:val="0"/>
        <w:adjustRightInd/>
        <w:snapToGrid/>
        <w:spacing w:after="0"/>
        <w:ind w:left="0" w:leftChars="0" w:firstLine="560" w:firstLineChars="200"/>
        <w:textAlignment w:val="auto"/>
        <w:rPr>
          <w:color w:val="auto"/>
          <w:highlight w:val="green"/>
        </w:rPr>
      </w:pPr>
      <w:r>
        <w:rPr>
          <w:color w:val="auto"/>
        </w:rPr>
        <w:t xml:space="preserve">Зертханада жаңа мұнай (C₀ = 50 000 мг/кг, 5%) қолданылды, ал далалық учаскедегі ластану - ескірген, жел әсерінен өткен мұнай (C₀ = 3 725 мг/кг, 0,37%) болды. Төмен концентрациялы және жел әсерінен өткен мұнайдағы жеңіл фракциялардың (C₁₀-C₁₆) жетіспеуі субстратты тежелудің болмауына әкеледі және қалған орташа молекулалық көмірсутектердің (C₁₇-C₃₅) толық деградациясын қамтамасыз </w:t>
      </w:r>
      <w:r>
        <w:rPr>
          <w:color w:val="auto"/>
          <w:highlight w:val="none"/>
        </w:rPr>
        <w:t>етеді.</w:t>
      </w:r>
    </w:p>
    <w:p w14:paraId="29AE8844">
      <w:pPr>
        <w:keepNext w:val="0"/>
        <w:keepLines w:val="0"/>
        <w:pageBreakBefore w:val="0"/>
        <w:widowControl/>
        <w:numPr>
          <w:ilvl w:val="0"/>
          <w:numId w:val="12"/>
        </w:numPr>
        <w:kinsoku/>
        <w:wordWrap/>
        <w:overflowPunct/>
        <w:topLinePunct w:val="0"/>
        <w:autoSpaceDE/>
        <w:autoSpaceDN/>
        <w:bidi w:val="0"/>
        <w:adjustRightInd/>
        <w:snapToGrid/>
        <w:spacing w:after="0"/>
        <w:ind w:left="0" w:leftChars="0" w:firstLine="560" w:firstLineChars="200"/>
        <w:textAlignment w:val="auto"/>
        <w:rPr>
          <w:color w:val="auto"/>
        </w:rPr>
      </w:pPr>
      <w:r>
        <w:rPr>
          <w:color w:val="auto"/>
        </w:rPr>
        <w:t>Далалық топырақ (құм-балшық құрамы, табиғи органикалық зат 2,1%) зертханалық стерильденген модельдік топырақтан айырмашылығы бар. Табиғи топырақ құрылымы жақсырақ аэрация, оттегінің таралуы және микробиологиялық қауымдастықтардың қалыптасуы үшін қолайлы жағдайлар жасайды [12, 117, 179].</w:t>
      </w:r>
    </w:p>
    <w:p w14:paraId="490004BD">
      <w:pPr>
        <w:keepNext w:val="0"/>
        <w:keepLines w:val="0"/>
        <w:pageBreakBefore w:val="0"/>
        <w:widowControl/>
        <w:kinsoku/>
        <w:wordWrap/>
        <w:overflowPunct/>
        <w:topLinePunct w:val="0"/>
        <w:autoSpaceDE/>
        <w:autoSpaceDN/>
        <w:bidi w:val="0"/>
        <w:adjustRightInd/>
        <w:snapToGrid/>
        <w:spacing w:after="0"/>
        <w:ind w:firstLine="709" w:firstLineChars="0"/>
        <w:textAlignment w:val="auto"/>
        <w:rPr>
          <w:color w:val="auto"/>
        </w:rPr>
      </w:pPr>
      <w:r>
        <w:rPr>
          <w:color w:val="auto"/>
        </w:rPr>
        <w:t>Осылайша, далалық жағдайлардағы тиімділіктің артуы әдістің практикалық қолданылуы кезінде қолайлы факторлардың (аборигенді микрофлора синергизмі, температуралық циклдер, төмен бастапқы концентрация, табиғи топырақ құрылымы) жиынтығымен түсіндіріледі. Бұл деректер әзірленген технологияның іс жүзінде зертханалық жағдайларға қарағанда жоғары тиімділік көрсете алатынын растайды.</w:t>
      </w:r>
    </w:p>
    <w:p w14:paraId="2A3D72D1">
      <w:pPr>
        <w:keepNext w:val="0"/>
        <w:keepLines w:val="0"/>
        <w:pageBreakBefore w:val="0"/>
        <w:widowControl/>
        <w:kinsoku/>
        <w:wordWrap/>
        <w:overflowPunct/>
        <w:topLinePunct w:val="0"/>
        <w:autoSpaceDE/>
        <w:autoSpaceDN/>
        <w:bidi w:val="0"/>
        <w:adjustRightInd/>
        <w:snapToGrid/>
        <w:spacing w:after="0"/>
        <w:ind w:firstLine="709" w:firstLineChars="0"/>
        <w:textAlignment w:val="auto"/>
        <w:rPr>
          <w:color w:val="auto"/>
        </w:rPr>
      </w:pPr>
    </w:p>
    <w:p w14:paraId="116342E9">
      <w:pPr>
        <w:keepNext w:val="0"/>
        <w:keepLines w:val="0"/>
        <w:pageBreakBefore w:val="0"/>
        <w:widowControl/>
        <w:kinsoku/>
        <w:wordWrap/>
        <w:overflowPunct/>
        <w:topLinePunct w:val="0"/>
        <w:autoSpaceDE/>
        <w:autoSpaceDN/>
        <w:bidi w:val="0"/>
        <w:adjustRightInd/>
        <w:snapToGrid/>
        <w:spacing w:after="0" w:line="240" w:lineRule="auto"/>
        <w:ind w:firstLine="709" w:firstLineChars="0"/>
        <w:textAlignment w:val="auto"/>
        <w:rPr>
          <w:b/>
          <w:bCs/>
          <w:color w:val="auto"/>
        </w:rPr>
      </w:pPr>
      <w:r>
        <w:rPr>
          <w:rFonts w:hint="default" w:eastAsia="Times New Roman" w:cs="Times New Roman"/>
          <w:b/>
          <w:bCs/>
          <w:color w:val="auto"/>
          <w:sz w:val="28"/>
          <w:szCs w:val="28"/>
          <w:lang w:val="kk-KZ"/>
        </w:rPr>
        <w:t xml:space="preserve">4.3 </w:t>
      </w:r>
      <w:r>
        <w:rPr>
          <w:rFonts w:ascii="Times New Roman" w:hAnsi="Times New Roman" w:eastAsia="Times New Roman" w:cs="Times New Roman"/>
          <w:b/>
          <w:bCs/>
          <w:color w:val="auto"/>
          <w:sz w:val="28"/>
          <w:szCs w:val="28"/>
        </w:rPr>
        <w:t>Биоиндикация және топырақтың биологиялық белсенділігінің қалпына келуін бағалау</w:t>
      </w:r>
    </w:p>
    <w:p w14:paraId="1802EA44">
      <w:pPr>
        <w:keepNext w:val="0"/>
        <w:keepLines w:val="0"/>
        <w:pageBreakBefore w:val="0"/>
        <w:widowControl/>
        <w:kinsoku/>
        <w:wordWrap/>
        <w:overflowPunct/>
        <w:topLinePunct w:val="0"/>
        <w:autoSpaceDE/>
        <w:autoSpaceDN/>
        <w:bidi w:val="0"/>
        <w:adjustRightInd/>
        <w:snapToGrid/>
        <w:spacing w:after="0" w:line="240" w:lineRule="auto"/>
        <w:ind w:firstLine="720"/>
        <w:jc w:val="both"/>
        <w:textAlignment w:val="auto"/>
        <w:rPr>
          <w:color w:val="auto"/>
        </w:rPr>
      </w:pPr>
      <w:r>
        <w:rPr>
          <w:rFonts w:ascii="Times New Roman" w:hAnsi="Times New Roman" w:eastAsia="Times New Roman" w:cs="Times New Roman"/>
          <w:color w:val="auto"/>
          <w:sz w:val="28"/>
          <w:szCs w:val="28"/>
        </w:rPr>
        <w:t>Топырақтың биологиялық белсенділігінің қалпына келуін бағалау микробиологиялық және биохимиялық көрсеткіштер кешені бойынша жүргізілді.</w:t>
      </w:r>
    </w:p>
    <w:p w14:paraId="3D43C761">
      <w:pPr>
        <w:keepNext w:val="0"/>
        <w:keepLines w:val="0"/>
        <w:pageBreakBefore w:val="0"/>
        <w:widowControl/>
        <w:kinsoku/>
        <w:wordWrap/>
        <w:overflowPunct/>
        <w:topLinePunct w:val="0"/>
        <w:autoSpaceDE/>
        <w:autoSpaceDN/>
        <w:bidi w:val="0"/>
        <w:adjustRightInd/>
        <w:snapToGrid/>
        <w:spacing w:after="0" w:line="240" w:lineRule="auto"/>
        <w:ind w:firstLine="720"/>
        <w:jc w:val="both"/>
        <w:textAlignment w:val="auto"/>
        <w:rPr>
          <w:color w:val="auto"/>
          <w:highlight w:val="none"/>
        </w:rPr>
      </w:pPr>
      <w:r>
        <w:rPr>
          <w:rFonts w:ascii="Times New Roman" w:hAnsi="Times New Roman" w:eastAsia="Times New Roman" w:cs="Times New Roman"/>
          <w:color w:val="auto"/>
          <w:sz w:val="28"/>
          <w:szCs w:val="28"/>
        </w:rPr>
        <w:t>Микробиологиялық көрсеткіштер. Қарақұмық қауызы нұсқасында көмірсутектерді тотықтыратын микроорганизмдердің (КТМ) саны эксперименттің 30-тәулігіне қарай 10⁵-тен 10⁸ КТБ/г топыраққа дейін өсті, бұл консорциумның бе</w:t>
      </w:r>
      <w:r>
        <w:rPr>
          <w:rFonts w:ascii="Times New Roman" w:hAnsi="Times New Roman" w:eastAsia="Times New Roman" w:cs="Times New Roman"/>
          <w:color w:val="auto"/>
          <w:sz w:val="28"/>
          <w:szCs w:val="28"/>
          <w:highlight w:val="none"/>
        </w:rPr>
        <w:t>лсенді көбеюі мен топырақ субстратын колонизациялауын көрсетеді [</w:t>
      </w:r>
      <w:r>
        <w:rPr>
          <w:rFonts w:hint="default" w:eastAsia="Times New Roman"/>
          <w:color w:val="auto"/>
          <w:sz w:val="28"/>
          <w:szCs w:val="28"/>
          <w:highlight w:val="none"/>
          <w:lang w:val="kk-KZ"/>
        </w:rPr>
        <w:t>131, 142, 156</w:t>
      </w:r>
      <w:r>
        <w:rPr>
          <w:rFonts w:ascii="Times New Roman" w:hAnsi="Times New Roman" w:eastAsia="Times New Roman" w:cs="Times New Roman"/>
          <w:color w:val="auto"/>
          <w:sz w:val="28"/>
          <w:szCs w:val="28"/>
          <w:highlight w:val="none"/>
        </w:rPr>
        <w:t>]. Қарақұмық қауызында жасушаларды иммобилизациялау тиімділігі (92,3 ± 2,1)%, күріш қауызында — (87,6 ± 2,8)% құрады [</w:t>
      </w:r>
      <w:r>
        <w:rPr>
          <w:rFonts w:hint="default" w:eastAsia="Times New Roman"/>
          <w:color w:val="auto"/>
          <w:sz w:val="28"/>
          <w:szCs w:val="28"/>
          <w:highlight w:val="none"/>
          <w:lang w:val="kk-KZ"/>
        </w:rPr>
        <w:t>131, 142</w:t>
      </w:r>
      <w:r>
        <w:rPr>
          <w:rFonts w:ascii="Times New Roman" w:hAnsi="Times New Roman" w:eastAsia="Times New Roman" w:cs="Times New Roman"/>
          <w:color w:val="auto"/>
          <w:sz w:val="28"/>
          <w:szCs w:val="28"/>
          <w:highlight w:val="none"/>
        </w:rPr>
        <w:t>].</w:t>
      </w:r>
    </w:p>
    <w:p w14:paraId="7FDABE58">
      <w:pPr>
        <w:keepNext w:val="0"/>
        <w:keepLines w:val="0"/>
        <w:pageBreakBefore w:val="0"/>
        <w:widowControl/>
        <w:kinsoku/>
        <w:wordWrap/>
        <w:overflowPunct/>
        <w:topLinePunct w:val="0"/>
        <w:autoSpaceDE/>
        <w:autoSpaceDN/>
        <w:bidi w:val="0"/>
        <w:adjustRightInd/>
        <w:snapToGrid/>
        <w:spacing w:after="0" w:line="240" w:lineRule="auto"/>
        <w:ind w:firstLine="720"/>
        <w:jc w:val="both"/>
        <w:textAlignment w:val="auto"/>
        <w:rPr>
          <w:color w:val="auto"/>
        </w:rPr>
      </w:pPr>
      <w:r>
        <w:rPr>
          <w:rFonts w:ascii="Times New Roman" w:hAnsi="Times New Roman" w:eastAsia="Times New Roman" w:cs="Times New Roman"/>
          <w:i/>
          <w:iCs/>
          <w:color w:val="auto"/>
          <w:sz w:val="28"/>
          <w:szCs w:val="28"/>
          <w:highlight w:val="none"/>
        </w:rPr>
        <w:t>Ферментативті белсенділік.</w:t>
      </w:r>
      <w:r>
        <w:rPr>
          <w:rFonts w:ascii="Times New Roman" w:hAnsi="Times New Roman" w:eastAsia="Times New Roman" w:cs="Times New Roman"/>
          <w:color w:val="auto"/>
          <w:sz w:val="28"/>
          <w:szCs w:val="28"/>
          <w:highlight w:val="none"/>
        </w:rPr>
        <w:t xml:space="preserve"> Өңделген нұсқалардағы топырақтың каталазды және дегидрогеназды белсен</w:t>
      </w:r>
      <w:r>
        <w:rPr>
          <w:rFonts w:ascii="Times New Roman" w:hAnsi="Times New Roman" w:eastAsia="Times New Roman" w:cs="Times New Roman"/>
          <w:color w:val="auto"/>
          <w:sz w:val="28"/>
          <w:szCs w:val="28"/>
        </w:rPr>
        <w:t>ділігі бақылау мәндерінен 2,5-3,0 есе асып түсті, бұл топырақтағы тотығу-тотықсыздану процестерінің қарқындауын көрсетеді [</w:t>
      </w:r>
      <w:r>
        <w:rPr>
          <w:rFonts w:hint="default" w:eastAsia="Times New Roman"/>
          <w:color w:val="auto"/>
          <w:sz w:val="28"/>
          <w:szCs w:val="28"/>
          <w:lang w:val="kk-KZ"/>
        </w:rPr>
        <w:t>157, 168</w:t>
      </w:r>
      <w:r>
        <w:rPr>
          <w:rFonts w:ascii="Times New Roman" w:hAnsi="Times New Roman" w:eastAsia="Times New Roman" w:cs="Times New Roman"/>
          <w:color w:val="auto"/>
          <w:sz w:val="28"/>
          <w:szCs w:val="28"/>
        </w:rPr>
        <w:t>].</w:t>
      </w:r>
    </w:p>
    <w:p w14:paraId="22A56C45">
      <w:pPr>
        <w:keepNext w:val="0"/>
        <w:keepLines w:val="0"/>
        <w:pageBreakBefore w:val="0"/>
        <w:widowControl/>
        <w:kinsoku/>
        <w:wordWrap/>
        <w:overflowPunct/>
        <w:topLinePunct w:val="0"/>
        <w:autoSpaceDE/>
        <w:autoSpaceDN/>
        <w:bidi w:val="0"/>
        <w:adjustRightInd/>
        <w:snapToGrid/>
        <w:spacing w:after="0" w:line="240" w:lineRule="auto"/>
        <w:ind w:firstLine="720"/>
        <w:jc w:val="both"/>
        <w:textAlignment w:val="auto"/>
        <w:rPr>
          <w:color w:val="auto"/>
          <w:highlight w:val="none"/>
        </w:rPr>
      </w:pPr>
      <w:r>
        <w:rPr>
          <w:rFonts w:ascii="Times New Roman" w:hAnsi="Times New Roman" w:eastAsia="Times New Roman" w:cs="Times New Roman"/>
          <w:i/>
          <w:iCs/>
          <w:color w:val="auto"/>
          <w:sz w:val="28"/>
          <w:szCs w:val="28"/>
        </w:rPr>
        <w:t xml:space="preserve">Ылғал сақтау қабілеті. </w:t>
      </w:r>
      <w:r>
        <w:rPr>
          <w:rFonts w:ascii="Times New Roman" w:hAnsi="Times New Roman" w:eastAsia="Times New Roman" w:cs="Times New Roman"/>
          <w:color w:val="auto"/>
          <w:sz w:val="28"/>
          <w:szCs w:val="28"/>
        </w:rPr>
        <w:t xml:space="preserve">Топырақ функцияларының қалпына келуінің маңызды көрсеткіші ылғал сақтау қабілеті болып табылады. Қарақұмық қауызы нұсқасында </w:t>
      </w:r>
      <w:r>
        <w:rPr>
          <w:rFonts w:ascii="Times New Roman" w:hAnsi="Times New Roman" w:eastAsia="Times New Roman" w:cs="Times New Roman"/>
          <w:color w:val="auto"/>
          <w:sz w:val="28"/>
          <w:szCs w:val="28"/>
          <w:highlight w:val="none"/>
        </w:rPr>
        <w:t>топырақ ылғалдылығы 55% деңгейінде сақталды, ал бақылауда — тек 38% [</w:t>
      </w:r>
      <w:r>
        <w:rPr>
          <w:rFonts w:hint="default" w:eastAsia="Times New Roman"/>
          <w:color w:val="auto"/>
          <w:sz w:val="28"/>
          <w:szCs w:val="28"/>
          <w:highlight w:val="none"/>
          <w:lang w:val="kk-KZ"/>
        </w:rPr>
        <w:t>142, 156, 168</w:t>
      </w:r>
      <w:r>
        <w:rPr>
          <w:rFonts w:ascii="Times New Roman" w:hAnsi="Times New Roman" w:eastAsia="Times New Roman" w:cs="Times New Roman"/>
          <w:color w:val="auto"/>
          <w:sz w:val="28"/>
          <w:szCs w:val="28"/>
          <w:highlight w:val="none"/>
        </w:rPr>
        <w:t>]. Бұл көрсеткіш Маңғыстау облысының аридті климат жағдайлары үшін өте маңызды.</w:t>
      </w:r>
    </w:p>
    <w:p w14:paraId="44FA0163">
      <w:pPr>
        <w:keepNext w:val="0"/>
        <w:keepLines w:val="0"/>
        <w:pageBreakBefore w:val="0"/>
        <w:widowControl/>
        <w:kinsoku/>
        <w:wordWrap/>
        <w:overflowPunct/>
        <w:topLinePunct w:val="0"/>
        <w:autoSpaceDE/>
        <w:autoSpaceDN/>
        <w:bidi w:val="0"/>
        <w:adjustRightInd/>
        <w:snapToGrid/>
        <w:spacing w:after="0" w:line="240" w:lineRule="auto"/>
        <w:ind w:firstLine="720"/>
        <w:jc w:val="both"/>
        <w:textAlignment w:val="auto"/>
        <w:rPr>
          <w:rFonts w:ascii="Times New Roman" w:hAnsi="Times New Roman" w:eastAsia="Times New Roman" w:cs="Times New Roman"/>
          <w:color w:val="auto"/>
          <w:sz w:val="28"/>
          <w:szCs w:val="28"/>
          <w:highlight w:val="none"/>
        </w:rPr>
      </w:pPr>
      <w:r>
        <w:rPr>
          <w:rFonts w:ascii="Times New Roman" w:hAnsi="Times New Roman" w:eastAsia="Times New Roman" w:cs="Times New Roman"/>
          <w:color w:val="auto"/>
          <w:sz w:val="28"/>
          <w:szCs w:val="28"/>
          <w:highlight w:val="none"/>
        </w:rPr>
        <w:t>Топырақтың биологиялық белсенділігін кешенді бағалау биоремедиация технологиясын қолданғаннан кейін ластанған аумақтың экожүйелік функцияларының қалпына келуін көрсетеді.</w:t>
      </w:r>
    </w:p>
    <w:p w14:paraId="63E76314">
      <w:pPr>
        <w:keepNext w:val="0"/>
        <w:keepLines w:val="0"/>
        <w:pageBreakBefore w:val="0"/>
        <w:widowControl/>
        <w:kinsoku/>
        <w:wordWrap/>
        <w:overflowPunct/>
        <w:topLinePunct w:val="0"/>
        <w:autoSpaceDE/>
        <w:autoSpaceDN/>
        <w:bidi w:val="0"/>
        <w:adjustRightInd/>
        <w:snapToGrid/>
        <w:spacing w:after="0" w:line="240" w:lineRule="auto"/>
        <w:ind w:firstLine="720"/>
        <w:jc w:val="both"/>
        <w:textAlignment w:val="auto"/>
        <w:rPr>
          <w:rFonts w:ascii="Times New Roman" w:hAnsi="Times New Roman" w:eastAsia="Times New Roman" w:cs="Times New Roman"/>
          <w:color w:val="auto"/>
          <w:sz w:val="28"/>
          <w:szCs w:val="28"/>
          <w:highlight w:val="green"/>
        </w:rPr>
      </w:pPr>
    </w:p>
    <w:p w14:paraId="014E3B85">
      <w:pPr>
        <w:keepNext w:val="0"/>
        <w:keepLines w:val="0"/>
        <w:pageBreakBefore w:val="0"/>
        <w:widowControl/>
        <w:kinsoku/>
        <w:wordWrap/>
        <w:overflowPunct/>
        <w:topLinePunct w:val="0"/>
        <w:autoSpaceDE/>
        <w:autoSpaceDN/>
        <w:bidi w:val="0"/>
        <w:adjustRightInd/>
        <w:snapToGrid/>
        <w:spacing w:after="0" w:line="240" w:lineRule="auto"/>
        <w:ind w:firstLine="709" w:firstLineChars="0"/>
        <w:textAlignment w:val="auto"/>
        <w:rPr>
          <w:color w:val="auto"/>
        </w:rPr>
      </w:pPr>
      <w:r>
        <w:rPr>
          <w:rFonts w:ascii="Times New Roman" w:hAnsi="Times New Roman" w:eastAsia="Times New Roman" w:cs="Times New Roman"/>
          <w:b/>
          <w:bCs/>
          <w:color w:val="auto"/>
          <w:sz w:val="28"/>
          <w:szCs w:val="28"/>
        </w:rPr>
        <w:t>4.4</w:t>
      </w:r>
      <w:r>
        <w:rPr>
          <w:rFonts w:hint="default" w:eastAsia="Times New Roman" w:cs="Times New Roman"/>
          <w:b/>
          <w:bCs/>
          <w:color w:val="auto"/>
          <w:sz w:val="28"/>
          <w:szCs w:val="28"/>
          <w:lang w:val="kk-KZ"/>
        </w:rPr>
        <w:t xml:space="preserve"> </w:t>
      </w:r>
      <w:r>
        <w:rPr>
          <w:rFonts w:ascii="Times New Roman" w:hAnsi="Times New Roman" w:eastAsia="Times New Roman" w:cs="Times New Roman"/>
          <w:b/>
          <w:bCs/>
          <w:color w:val="auto"/>
          <w:sz w:val="28"/>
          <w:szCs w:val="28"/>
        </w:rPr>
        <w:t>Әдістің экологиялық қауіпсіздігін бағалау</w:t>
      </w:r>
    </w:p>
    <w:p w14:paraId="0A6C0D92">
      <w:pPr>
        <w:keepNext w:val="0"/>
        <w:keepLines w:val="0"/>
        <w:pageBreakBefore w:val="0"/>
        <w:widowControl/>
        <w:kinsoku/>
        <w:wordWrap/>
        <w:overflowPunct/>
        <w:topLinePunct w:val="0"/>
        <w:autoSpaceDE/>
        <w:autoSpaceDN/>
        <w:bidi w:val="0"/>
        <w:adjustRightInd/>
        <w:snapToGrid/>
        <w:spacing w:after="0" w:line="240" w:lineRule="auto"/>
        <w:ind w:firstLine="720"/>
        <w:jc w:val="both"/>
        <w:textAlignment w:val="auto"/>
        <w:rPr>
          <w:color w:val="auto"/>
        </w:rPr>
      </w:pPr>
      <w:r>
        <w:rPr>
          <w:rFonts w:ascii="Times New Roman" w:hAnsi="Times New Roman" w:eastAsia="Times New Roman" w:cs="Times New Roman"/>
          <w:color w:val="auto"/>
          <w:sz w:val="28"/>
          <w:szCs w:val="28"/>
        </w:rPr>
        <w:t>Әзірленген биоремедиация технологиясы келесі критерийлер бойынша экологиялық қауіпсіздіктің жоғары деңгейімен сипатталады:</w:t>
      </w:r>
    </w:p>
    <w:p w14:paraId="5D78A28F">
      <w:pPr>
        <w:keepNext w:val="0"/>
        <w:keepLines w:val="0"/>
        <w:pageBreakBefore w:val="0"/>
        <w:widowControl/>
        <w:kinsoku/>
        <w:wordWrap/>
        <w:overflowPunct/>
        <w:topLinePunct w:val="0"/>
        <w:autoSpaceDE/>
        <w:autoSpaceDN/>
        <w:bidi w:val="0"/>
        <w:adjustRightInd/>
        <w:snapToGrid/>
        <w:spacing w:after="0" w:line="240" w:lineRule="auto"/>
        <w:ind w:firstLine="720"/>
        <w:jc w:val="both"/>
        <w:textAlignment w:val="auto"/>
        <w:rPr>
          <w:rFonts w:ascii="Times New Roman" w:hAnsi="Times New Roman" w:eastAsia="Times New Roman" w:cs="Times New Roman"/>
          <w:color w:val="auto"/>
          <w:sz w:val="28"/>
          <w:szCs w:val="28"/>
        </w:rPr>
      </w:pPr>
      <w:r>
        <w:rPr>
          <w:rFonts w:ascii="Times New Roman" w:hAnsi="Times New Roman" w:eastAsia="Times New Roman" w:cs="Times New Roman"/>
          <w:color w:val="auto"/>
          <w:sz w:val="28"/>
          <w:szCs w:val="28"/>
        </w:rPr>
        <w:t xml:space="preserve">Микроорганизмдердің қауіпсіздігі. </w:t>
      </w:r>
      <w:r>
        <w:rPr>
          <w:rFonts w:ascii="Times New Roman" w:hAnsi="Times New Roman" w:eastAsia="Times New Roman" w:cs="Times New Roman"/>
          <w:i/>
          <w:iCs/>
          <w:color w:val="auto"/>
          <w:sz w:val="28"/>
          <w:szCs w:val="28"/>
        </w:rPr>
        <w:t xml:space="preserve">R. erythropolis AT7 </w:t>
      </w:r>
      <w:r>
        <w:rPr>
          <w:rFonts w:ascii="Times New Roman" w:hAnsi="Times New Roman" w:eastAsia="Times New Roman" w:cs="Times New Roman"/>
          <w:color w:val="auto"/>
          <w:sz w:val="28"/>
          <w:szCs w:val="28"/>
        </w:rPr>
        <w:t xml:space="preserve">және </w:t>
      </w:r>
      <w:r>
        <w:rPr>
          <w:rFonts w:ascii="Times New Roman" w:hAnsi="Times New Roman" w:eastAsia="Times New Roman" w:cs="Times New Roman"/>
          <w:i/>
          <w:iCs/>
          <w:color w:val="auto"/>
          <w:sz w:val="28"/>
          <w:szCs w:val="28"/>
        </w:rPr>
        <w:t>D. maris 22K</w:t>
      </w:r>
      <w:r>
        <w:rPr>
          <w:rFonts w:ascii="Times New Roman" w:hAnsi="Times New Roman" w:eastAsia="Times New Roman" w:cs="Times New Roman"/>
          <w:color w:val="auto"/>
          <w:sz w:val="28"/>
          <w:szCs w:val="28"/>
        </w:rPr>
        <w:t xml:space="preserve"> штаммдары 4-ші патогендік топқа жатады (патогенді емес), токсигенді </w:t>
      </w:r>
    </w:p>
    <w:p w14:paraId="09B52A36">
      <w:pPr>
        <w:rPr>
          <w:rFonts w:ascii="Times New Roman" w:hAnsi="Times New Roman" w:eastAsia="Times New Roman" w:cs="Times New Roman"/>
          <w:color w:val="auto"/>
          <w:sz w:val="28"/>
          <w:szCs w:val="28"/>
        </w:rPr>
      </w:pPr>
      <w:r>
        <w:rPr>
          <w:rFonts w:ascii="Times New Roman" w:hAnsi="Times New Roman" w:eastAsia="Times New Roman" w:cs="Times New Roman"/>
          <w:color w:val="auto"/>
          <w:sz w:val="28"/>
          <w:szCs w:val="28"/>
        </w:rPr>
        <w:br w:type="page"/>
      </w:r>
    </w:p>
    <w:p w14:paraId="0698B006">
      <w:pPr>
        <w:keepNext w:val="0"/>
        <w:keepLines w:val="0"/>
        <w:pageBreakBefore w:val="0"/>
        <w:widowControl/>
        <w:kinsoku/>
        <w:wordWrap/>
        <w:overflowPunct/>
        <w:topLinePunct w:val="0"/>
        <w:autoSpaceDE/>
        <w:autoSpaceDN/>
        <w:bidi w:val="0"/>
        <w:adjustRightInd/>
        <w:snapToGrid/>
        <w:spacing w:after="0" w:line="240" w:lineRule="auto"/>
        <w:jc w:val="both"/>
        <w:textAlignment w:val="auto"/>
        <w:rPr>
          <w:color w:val="auto"/>
          <w:highlight w:val="none"/>
        </w:rPr>
      </w:pPr>
      <w:r>
        <w:rPr>
          <w:rFonts w:ascii="Times New Roman" w:hAnsi="Times New Roman" w:eastAsia="Times New Roman" w:cs="Times New Roman"/>
          <w:color w:val="auto"/>
          <w:sz w:val="28"/>
          <w:szCs w:val="28"/>
        </w:rPr>
        <w:t xml:space="preserve">және вируленттік қасиеттерге ие </w:t>
      </w:r>
      <w:r>
        <w:rPr>
          <w:rFonts w:ascii="Times New Roman" w:hAnsi="Times New Roman" w:eastAsia="Times New Roman" w:cs="Times New Roman"/>
          <w:color w:val="auto"/>
          <w:sz w:val="28"/>
          <w:szCs w:val="28"/>
          <w:highlight w:val="none"/>
        </w:rPr>
        <w:t>емес. Микроорганизмдер Батыс Қазақстанның табиғи ортасынан бөлініп алынған және жергілікті климаттық жағдайларға бейімделген</w:t>
      </w:r>
      <w:r>
        <w:rPr>
          <w:rFonts w:hint="default" w:eastAsia="Times New Roman" w:cs="Times New Roman"/>
          <w:color w:val="auto"/>
          <w:sz w:val="28"/>
          <w:szCs w:val="28"/>
          <w:highlight w:val="none"/>
          <w:lang w:val="ru-RU"/>
        </w:rPr>
        <w:t xml:space="preserve"> </w:t>
      </w:r>
      <w:r>
        <w:rPr>
          <w:rFonts w:hint="default" w:eastAsia="Times New Roman" w:cs="Times New Roman"/>
          <w:color w:val="auto"/>
          <w:sz w:val="28"/>
          <w:szCs w:val="28"/>
          <w:highlight w:val="none"/>
          <w:lang w:val="en-US"/>
        </w:rPr>
        <w:t>[143]</w:t>
      </w:r>
      <w:r>
        <w:rPr>
          <w:rFonts w:ascii="Times New Roman" w:hAnsi="Times New Roman" w:eastAsia="Times New Roman" w:cs="Times New Roman"/>
          <w:color w:val="auto"/>
          <w:sz w:val="28"/>
          <w:szCs w:val="28"/>
          <w:highlight w:val="none"/>
        </w:rPr>
        <w:t>.</w:t>
      </w:r>
    </w:p>
    <w:p w14:paraId="62FBC840">
      <w:pPr>
        <w:keepNext w:val="0"/>
        <w:keepLines w:val="0"/>
        <w:pageBreakBefore w:val="0"/>
        <w:widowControl/>
        <w:kinsoku/>
        <w:wordWrap/>
        <w:overflowPunct/>
        <w:topLinePunct w:val="0"/>
        <w:autoSpaceDE/>
        <w:autoSpaceDN/>
        <w:bidi w:val="0"/>
        <w:adjustRightInd/>
        <w:snapToGrid/>
        <w:spacing w:after="0" w:line="240" w:lineRule="auto"/>
        <w:ind w:firstLine="720"/>
        <w:jc w:val="both"/>
        <w:textAlignment w:val="auto"/>
        <w:rPr>
          <w:color w:val="auto"/>
          <w:highlight w:val="none"/>
        </w:rPr>
      </w:pPr>
      <w:r>
        <w:rPr>
          <w:rFonts w:ascii="Times New Roman" w:hAnsi="Times New Roman" w:eastAsia="Times New Roman" w:cs="Times New Roman"/>
          <w:i/>
          <w:iCs/>
          <w:color w:val="auto"/>
          <w:sz w:val="28"/>
          <w:szCs w:val="28"/>
        </w:rPr>
        <w:t xml:space="preserve">Тасымалдаушылардың қауіпсіздігі. </w:t>
      </w:r>
      <w:r>
        <w:rPr>
          <w:rFonts w:ascii="Times New Roman" w:hAnsi="Times New Roman" w:eastAsia="Times New Roman" w:cs="Times New Roman"/>
          <w:color w:val="auto"/>
          <w:sz w:val="28"/>
          <w:szCs w:val="28"/>
        </w:rPr>
        <w:t>Қарақұмық және күріш қауыздары ауыл шаруашылығы өндірісінің қалдықтары болып табы</w:t>
      </w:r>
      <w:r>
        <w:rPr>
          <w:rFonts w:ascii="Times New Roman" w:hAnsi="Times New Roman" w:eastAsia="Times New Roman" w:cs="Times New Roman"/>
          <w:color w:val="auto"/>
          <w:sz w:val="28"/>
          <w:szCs w:val="28"/>
          <w:highlight w:val="none"/>
        </w:rPr>
        <w:t xml:space="preserve">лады, </w:t>
      </w:r>
      <w:r>
        <w:rPr>
          <w:rFonts w:eastAsia="Times New Roman" w:cs="Times New Roman"/>
          <w:color w:val="auto"/>
          <w:sz w:val="28"/>
          <w:szCs w:val="28"/>
          <w:highlight w:val="none"/>
          <w:lang w:val="kk-KZ"/>
        </w:rPr>
        <w:t>құрамында</w:t>
      </w:r>
      <w:r>
        <w:rPr>
          <w:rFonts w:hint="default" w:eastAsia="Times New Roman" w:cs="Times New Roman"/>
          <w:color w:val="auto"/>
          <w:sz w:val="28"/>
          <w:szCs w:val="28"/>
          <w:highlight w:val="none"/>
          <w:lang w:val="kk-KZ"/>
        </w:rPr>
        <w:t xml:space="preserve"> </w:t>
      </w:r>
      <w:r>
        <w:rPr>
          <w:rFonts w:ascii="Times New Roman" w:hAnsi="Times New Roman" w:eastAsia="Times New Roman" w:cs="Times New Roman"/>
          <w:color w:val="auto"/>
          <w:sz w:val="28"/>
          <w:szCs w:val="28"/>
          <w:highlight w:val="none"/>
        </w:rPr>
        <w:t>компонент</w:t>
      </w:r>
      <w:r>
        <w:rPr>
          <w:rFonts w:eastAsia="Times New Roman" w:cs="Times New Roman"/>
          <w:color w:val="auto"/>
          <w:sz w:val="28"/>
          <w:szCs w:val="28"/>
          <w:highlight w:val="none"/>
          <w:lang w:val="kk-KZ"/>
        </w:rPr>
        <w:t>тер</w:t>
      </w:r>
      <w:r>
        <w:rPr>
          <w:rFonts w:hint="default" w:eastAsia="Times New Roman" w:cs="Times New Roman"/>
          <w:color w:val="auto"/>
          <w:sz w:val="28"/>
          <w:szCs w:val="28"/>
          <w:highlight w:val="none"/>
          <w:lang w:val="kk-KZ"/>
        </w:rPr>
        <w:t xml:space="preserve"> жоқ</w:t>
      </w:r>
      <w:r>
        <w:rPr>
          <w:rFonts w:ascii="Times New Roman" w:hAnsi="Times New Roman" w:eastAsia="Times New Roman" w:cs="Times New Roman"/>
          <w:color w:val="auto"/>
          <w:sz w:val="28"/>
          <w:szCs w:val="28"/>
          <w:highlight w:val="none"/>
        </w:rPr>
        <w:t xml:space="preserve"> және толықтай биоыдырағыш</w:t>
      </w:r>
      <w:r>
        <w:rPr>
          <w:rFonts w:hint="default" w:eastAsia="Times New Roman" w:cs="Times New Roman"/>
          <w:color w:val="auto"/>
          <w:sz w:val="28"/>
          <w:szCs w:val="28"/>
          <w:highlight w:val="none"/>
          <w:lang w:val="kk-KZ"/>
        </w:rPr>
        <w:t xml:space="preserve"> болып келеді</w:t>
      </w:r>
      <w:r>
        <w:rPr>
          <w:rFonts w:ascii="Times New Roman" w:hAnsi="Times New Roman" w:eastAsia="Times New Roman" w:cs="Times New Roman"/>
          <w:color w:val="auto"/>
          <w:sz w:val="28"/>
          <w:szCs w:val="28"/>
          <w:highlight w:val="none"/>
        </w:rPr>
        <w:t>. ҚР Ұлттық статистика бюросының деректері бойынша</w:t>
      </w:r>
      <w:r>
        <w:rPr>
          <w:rFonts w:hint="default" w:eastAsia="Times New Roman" w:cs="Times New Roman"/>
          <w:color w:val="auto"/>
          <w:sz w:val="28"/>
          <w:szCs w:val="28"/>
          <w:highlight w:val="none"/>
          <w:lang w:val="en-US"/>
        </w:rPr>
        <w:t xml:space="preserve"> [4]</w:t>
      </w:r>
      <w:r>
        <w:rPr>
          <w:rFonts w:ascii="Times New Roman" w:hAnsi="Times New Roman" w:eastAsia="Times New Roman" w:cs="Times New Roman"/>
          <w:color w:val="auto"/>
          <w:sz w:val="28"/>
          <w:szCs w:val="28"/>
          <w:highlight w:val="none"/>
        </w:rPr>
        <w:t>, Қазақстанда жыл сайын 38-45 мың тонна күріш қауызы және 28-36 мың тонна қарақұмық қауызы түзіледі.</w:t>
      </w:r>
    </w:p>
    <w:p w14:paraId="1BC224D6">
      <w:pPr>
        <w:keepNext w:val="0"/>
        <w:keepLines w:val="0"/>
        <w:pageBreakBefore w:val="0"/>
        <w:widowControl/>
        <w:kinsoku/>
        <w:wordWrap/>
        <w:overflowPunct/>
        <w:topLinePunct w:val="0"/>
        <w:autoSpaceDE/>
        <w:autoSpaceDN/>
        <w:bidi w:val="0"/>
        <w:adjustRightInd/>
        <w:snapToGrid/>
        <w:spacing w:after="0" w:line="240" w:lineRule="auto"/>
        <w:ind w:firstLine="720"/>
        <w:jc w:val="both"/>
        <w:textAlignment w:val="auto"/>
        <w:rPr>
          <w:rFonts w:ascii="Times New Roman" w:hAnsi="Times New Roman" w:eastAsia="Times New Roman" w:cs="Times New Roman"/>
          <w:color w:val="auto"/>
          <w:sz w:val="28"/>
          <w:szCs w:val="28"/>
        </w:rPr>
      </w:pPr>
      <w:r>
        <w:rPr>
          <w:rFonts w:ascii="Times New Roman" w:hAnsi="Times New Roman" w:eastAsia="Times New Roman" w:cs="Times New Roman"/>
          <w:i/>
          <w:iCs/>
          <w:color w:val="auto"/>
          <w:sz w:val="28"/>
          <w:szCs w:val="28"/>
          <w:highlight w:val="none"/>
        </w:rPr>
        <w:t>Қайталама ластанудың болмауы.</w:t>
      </w:r>
      <w:r>
        <w:rPr>
          <w:rFonts w:ascii="Times New Roman" w:hAnsi="Times New Roman" w:eastAsia="Times New Roman" w:cs="Times New Roman"/>
          <w:color w:val="auto"/>
          <w:sz w:val="28"/>
          <w:szCs w:val="28"/>
          <w:highlight w:val="none"/>
        </w:rPr>
        <w:t xml:space="preserve"> Ремедиацияның химиялық әдістерінен айырмашылығы, мұнай көмірсутектерінің биологиялық деструкциясы уытты аралық өнімдердің түзілуіне әкелмейді [</w:t>
      </w:r>
      <w:r>
        <w:rPr>
          <w:rFonts w:hint="default" w:ascii="Times New Roman" w:hAnsi="Times New Roman" w:eastAsia="Times New Roman"/>
          <w:color w:val="auto"/>
          <w:sz w:val="28"/>
          <w:szCs w:val="28"/>
          <w:highlight w:val="none"/>
        </w:rPr>
        <w:t>30, 32, 33, 61, 62, 174, 17</w:t>
      </w:r>
      <w:r>
        <w:rPr>
          <w:rFonts w:hint="default" w:eastAsia="Times New Roman"/>
          <w:color w:val="auto"/>
          <w:sz w:val="28"/>
          <w:szCs w:val="28"/>
          <w:highlight w:val="none"/>
          <w:lang w:val="en-US"/>
        </w:rPr>
        <w:t>7</w:t>
      </w:r>
      <w:r>
        <w:rPr>
          <w:rFonts w:ascii="Times New Roman" w:hAnsi="Times New Roman" w:eastAsia="Times New Roman" w:cs="Times New Roman"/>
          <w:color w:val="auto"/>
          <w:sz w:val="28"/>
          <w:szCs w:val="28"/>
          <w:highlight w:val="none"/>
        </w:rPr>
        <w:t xml:space="preserve">]. </w:t>
      </w:r>
      <w:r>
        <w:rPr>
          <w:rFonts w:ascii="Times New Roman" w:hAnsi="Times New Roman" w:eastAsia="Times New Roman" w:cs="Times New Roman"/>
          <w:color w:val="auto"/>
          <w:sz w:val="28"/>
          <w:szCs w:val="28"/>
        </w:rPr>
        <w:t>Биодеградацияның соңғы өнімдері CO₂ және H₂O болып табылады.</w:t>
      </w:r>
    </w:p>
    <w:p w14:paraId="3A4FC731">
      <w:pPr>
        <w:keepNext w:val="0"/>
        <w:keepLines w:val="0"/>
        <w:pageBreakBefore w:val="0"/>
        <w:widowControl/>
        <w:kinsoku/>
        <w:wordWrap/>
        <w:overflowPunct/>
        <w:topLinePunct w:val="0"/>
        <w:autoSpaceDE/>
        <w:autoSpaceDN/>
        <w:bidi w:val="0"/>
        <w:adjustRightInd/>
        <w:snapToGrid/>
        <w:spacing w:after="0" w:line="240" w:lineRule="auto"/>
        <w:ind w:firstLine="720"/>
        <w:jc w:val="both"/>
        <w:textAlignment w:val="auto"/>
        <w:rPr>
          <w:rFonts w:ascii="Times New Roman" w:hAnsi="Times New Roman" w:eastAsia="Times New Roman" w:cs="Times New Roman"/>
          <w:color w:val="auto"/>
          <w:sz w:val="28"/>
          <w:szCs w:val="28"/>
        </w:rPr>
      </w:pPr>
    </w:p>
    <w:p w14:paraId="5FBCD46A">
      <w:pPr>
        <w:keepNext w:val="0"/>
        <w:keepLines w:val="0"/>
        <w:pageBreakBefore w:val="0"/>
        <w:widowControl/>
        <w:kinsoku/>
        <w:wordWrap/>
        <w:overflowPunct/>
        <w:topLinePunct w:val="0"/>
        <w:autoSpaceDE/>
        <w:autoSpaceDN/>
        <w:bidi w:val="0"/>
        <w:adjustRightInd/>
        <w:snapToGrid/>
        <w:spacing w:after="0"/>
        <w:textAlignment w:val="auto"/>
        <w:rPr>
          <w:rFonts w:hint="default"/>
          <w:color w:val="auto"/>
          <w:highlight w:val="none"/>
          <w:lang w:val="kk-KZ"/>
        </w:rPr>
      </w:pPr>
      <w:r>
        <w:rPr>
          <w:color w:val="auto"/>
          <w:highlight w:val="none"/>
          <w:lang w:val="kk-KZ"/>
        </w:rPr>
        <w:t>Кесте</w:t>
      </w:r>
      <w:r>
        <w:rPr>
          <w:rFonts w:hint="default"/>
          <w:color w:val="auto"/>
          <w:highlight w:val="none"/>
          <w:lang w:val="kk-KZ"/>
        </w:rPr>
        <w:t xml:space="preserve"> 2</w:t>
      </w:r>
      <w:r>
        <w:rPr>
          <w:rFonts w:hint="default"/>
          <w:color w:val="auto"/>
          <w:highlight w:val="none"/>
          <w:lang w:val="ru-RU"/>
        </w:rPr>
        <w:t>0</w:t>
      </w:r>
      <w:r>
        <w:rPr>
          <w:rFonts w:hint="default"/>
          <w:color w:val="auto"/>
          <w:highlight w:val="none"/>
          <w:lang w:val="kk-KZ"/>
        </w:rPr>
        <w:t xml:space="preserve"> -</w:t>
      </w:r>
      <w:r>
        <w:rPr>
          <w:rFonts w:hint="default"/>
          <w:color w:val="auto"/>
          <w:highlight w:val="none"/>
          <w:lang w:val="ru-RU"/>
        </w:rPr>
        <w:t xml:space="preserve"> </w:t>
      </w:r>
      <w:r>
        <w:rPr>
          <w:rFonts w:hint="default"/>
          <w:color w:val="auto"/>
          <w:highlight w:val="none"/>
          <w:lang w:val="kk-KZ"/>
        </w:rPr>
        <w:t>Биологиядық деструкция әдісінің экологиялық қауіпсіздігін салыстырмалы бағалау</w:t>
      </w:r>
    </w:p>
    <w:p w14:paraId="647271BC">
      <w:pPr>
        <w:keepNext w:val="0"/>
        <w:keepLines w:val="0"/>
        <w:pageBreakBefore w:val="0"/>
        <w:widowControl/>
        <w:kinsoku/>
        <w:wordWrap/>
        <w:overflowPunct/>
        <w:topLinePunct w:val="0"/>
        <w:autoSpaceDE/>
        <w:autoSpaceDN/>
        <w:bidi w:val="0"/>
        <w:adjustRightInd/>
        <w:snapToGrid/>
        <w:spacing w:after="0" w:line="240" w:lineRule="auto"/>
        <w:ind w:firstLine="720"/>
        <w:jc w:val="both"/>
        <w:textAlignment w:val="auto"/>
        <w:rPr>
          <w:rFonts w:ascii="Times New Roman" w:hAnsi="Times New Roman" w:eastAsia="Times New Roman" w:cs="Times New Roman"/>
          <w:color w:val="auto"/>
          <w:sz w:val="28"/>
          <w:szCs w:val="28"/>
        </w:rPr>
      </w:pP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938"/>
        <w:gridCol w:w="1631"/>
        <w:gridCol w:w="1774"/>
        <w:gridCol w:w="3032"/>
      </w:tblGrid>
      <w:tr w14:paraId="02ABD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4" w:space="0"/>
              <w:left w:val="single" w:color="000000" w:sz="4" w:space="0"/>
              <w:bottom w:val="single" w:color="000000" w:sz="4" w:space="0"/>
              <w:right w:val="single" w:color="000000" w:sz="4" w:space="0"/>
            </w:tcBorders>
            <w:shd w:val="clear" w:color="auto" w:fill="auto"/>
            <w:vAlign w:val="center"/>
          </w:tcPr>
          <w:p w14:paraId="65882EB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b w:val="0"/>
                <w:bCs w:val="0"/>
                <w:color w:val="auto"/>
                <w:sz w:val="24"/>
                <w:szCs w:val="24"/>
              </w:rPr>
            </w:pPr>
            <w:r>
              <w:rPr>
                <w:rFonts w:ascii="Times New Roman" w:hAnsi="Times New Roman" w:eastAsia="Times New Roman" w:cs="Times New Roman"/>
                <w:b w:val="0"/>
                <w:bCs w:val="0"/>
                <w:color w:val="auto"/>
                <w:sz w:val="24"/>
                <w:szCs w:val="24"/>
              </w:rPr>
              <w:t>Критерий</w:t>
            </w:r>
          </w:p>
        </w:tc>
        <w:tc>
          <w:tcPr>
            <w:tcBorders>
              <w:top w:val="single" w:color="000000" w:sz="4" w:space="0"/>
              <w:left w:val="single" w:color="000000" w:sz="4" w:space="0"/>
              <w:bottom w:val="single" w:color="000000" w:sz="4" w:space="0"/>
              <w:right w:val="single" w:color="000000" w:sz="4" w:space="0"/>
            </w:tcBorders>
            <w:shd w:val="clear" w:color="auto" w:fill="auto"/>
            <w:vAlign w:val="center"/>
          </w:tcPr>
          <w:p w14:paraId="398D305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b w:val="0"/>
                <w:bCs w:val="0"/>
                <w:color w:val="auto"/>
                <w:sz w:val="24"/>
                <w:szCs w:val="24"/>
              </w:rPr>
            </w:pPr>
            <w:r>
              <w:rPr>
                <w:rFonts w:ascii="Times New Roman" w:hAnsi="Times New Roman" w:eastAsia="Times New Roman" w:cs="Times New Roman"/>
                <w:b w:val="0"/>
                <w:bCs w:val="0"/>
                <w:color w:val="auto"/>
                <w:sz w:val="24"/>
                <w:szCs w:val="24"/>
              </w:rPr>
              <w:t>Әзірленген әдіс</w:t>
            </w:r>
          </w:p>
        </w:tc>
        <w:tc>
          <w:tcPr>
            <w:tcBorders>
              <w:top w:val="single" w:color="000000" w:sz="4" w:space="0"/>
              <w:left w:val="single" w:color="000000" w:sz="4" w:space="0"/>
              <w:bottom w:val="single" w:color="000000" w:sz="4" w:space="0"/>
              <w:right w:val="single" w:color="000000" w:sz="4" w:space="0"/>
            </w:tcBorders>
            <w:shd w:val="clear" w:color="auto" w:fill="auto"/>
            <w:vAlign w:val="center"/>
          </w:tcPr>
          <w:p w14:paraId="59689B93">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b w:val="0"/>
                <w:bCs w:val="0"/>
                <w:color w:val="auto"/>
                <w:sz w:val="24"/>
                <w:szCs w:val="24"/>
              </w:rPr>
            </w:pPr>
            <w:r>
              <w:rPr>
                <w:rFonts w:ascii="Times New Roman" w:hAnsi="Times New Roman" w:eastAsia="Times New Roman" w:cs="Times New Roman"/>
                <w:b w:val="0"/>
                <w:bCs w:val="0"/>
                <w:color w:val="auto"/>
                <w:sz w:val="24"/>
                <w:szCs w:val="24"/>
              </w:rPr>
              <w:t>Химиялық өңдеу</w:t>
            </w:r>
          </w:p>
        </w:tc>
        <w:tc>
          <w:tcPr>
            <w:tcBorders>
              <w:top w:val="single" w:color="000000" w:sz="4" w:space="0"/>
              <w:left w:val="single" w:color="000000" w:sz="4" w:space="0"/>
              <w:bottom w:val="single" w:color="000000" w:sz="4" w:space="0"/>
              <w:right w:val="single" w:color="000000" w:sz="4" w:space="0"/>
            </w:tcBorders>
            <w:shd w:val="clear" w:color="auto" w:fill="auto"/>
            <w:vAlign w:val="center"/>
          </w:tcPr>
          <w:p w14:paraId="00550EAA">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b w:val="0"/>
                <w:bCs w:val="0"/>
                <w:color w:val="auto"/>
                <w:sz w:val="24"/>
                <w:szCs w:val="24"/>
              </w:rPr>
            </w:pPr>
            <w:r>
              <w:rPr>
                <w:rFonts w:ascii="Times New Roman" w:hAnsi="Times New Roman" w:eastAsia="Times New Roman" w:cs="Times New Roman"/>
                <w:b w:val="0"/>
                <w:bCs w:val="0"/>
                <w:color w:val="auto"/>
                <w:sz w:val="24"/>
                <w:szCs w:val="24"/>
              </w:rPr>
              <w:t>Термиялық өңдеу</w:t>
            </w:r>
          </w:p>
        </w:tc>
      </w:tr>
      <w:tr w14:paraId="47680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4" w:space="0"/>
              <w:left w:val="single" w:color="000000" w:sz="4" w:space="0"/>
              <w:bottom w:val="single" w:color="000000" w:sz="4" w:space="0"/>
              <w:right w:val="single" w:color="000000" w:sz="4" w:space="0"/>
            </w:tcBorders>
            <w:vAlign w:val="center"/>
          </w:tcPr>
          <w:p w14:paraId="1153516A">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color w:val="auto"/>
                <w:sz w:val="24"/>
                <w:szCs w:val="24"/>
              </w:rPr>
            </w:pPr>
            <w:r>
              <w:rPr>
                <w:rFonts w:ascii="Times New Roman" w:hAnsi="Times New Roman" w:eastAsia="Times New Roman" w:cs="Times New Roman"/>
                <w:color w:val="auto"/>
                <w:sz w:val="24"/>
                <w:szCs w:val="24"/>
              </w:rPr>
              <w:t>Қайталама ластану</w:t>
            </w:r>
          </w:p>
        </w:tc>
        <w:tc>
          <w:tcPr>
            <w:tcBorders>
              <w:top w:val="single" w:color="000000" w:sz="4" w:space="0"/>
              <w:left w:val="single" w:color="000000" w:sz="4" w:space="0"/>
              <w:bottom w:val="single" w:color="000000" w:sz="4" w:space="0"/>
              <w:right w:val="single" w:color="000000" w:sz="4" w:space="0"/>
            </w:tcBorders>
            <w:vAlign w:val="center"/>
          </w:tcPr>
          <w:p w14:paraId="6069211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color w:val="auto"/>
                <w:sz w:val="24"/>
                <w:szCs w:val="24"/>
              </w:rPr>
            </w:pPr>
            <w:r>
              <w:rPr>
                <w:rFonts w:ascii="Times New Roman" w:hAnsi="Times New Roman" w:eastAsia="Times New Roman" w:cs="Times New Roman"/>
                <w:color w:val="auto"/>
                <w:sz w:val="24"/>
                <w:szCs w:val="24"/>
              </w:rPr>
              <w:t>Жоқ</w:t>
            </w:r>
          </w:p>
        </w:tc>
        <w:tc>
          <w:tcPr>
            <w:tcBorders>
              <w:top w:val="single" w:color="000000" w:sz="4" w:space="0"/>
              <w:left w:val="single" w:color="000000" w:sz="4" w:space="0"/>
              <w:bottom w:val="single" w:color="000000" w:sz="4" w:space="0"/>
              <w:right w:val="single" w:color="000000" w:sz="4" w:space="0"/>
            </w:tcBorders>
            <w:vAlign w:val="center"/>
          </w:tcPr>
          <w:p w14:paraId="2DCE3BD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color w:val="auto"/>
                <w:sz w:val="24"/>
                <w:szCs w:val="24"/>
              </w:rPr>
            </w:pPr>
            <w:r>
              <w:rPr>
                <w:rFonts w:ascii="Times New Roman" w:hAnsi="Times New Roman" w:eastAsia="Times New Roman" w:cs="Times New Roman"/>
                <w:color w:val="auto"/>
                <w:sz w:val="24"/>
                <w:szCs w:val="24"/>
              </w:rPr>
              <w:t>Мүмкін</w:t>
            </w:r>
          </w:p>
        </w:tc>
        <w:tc>
          <w:tcPr>
            <w:tcBorders>
              <w:top w:val="single" w:color="000000" w:sz="4" w:space="0"/>
              <w:left w:val="single" w:color="000000" w:sz="4" w:space="0"/>
              <w:bottom w:val="single" w:color="000000" w:sz="4" w:space="0"/>
              <w:right w:val="single" w:color="000000" w:sz="4" w:space="0"/>
            </w:tcBorders>
            <w:vAlign w:val="center"/>
          </w:tcPr>
          <w:p w14:paraId="33C48EF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color w:val="auto"/>
                <w:sz w:val="24"/>
                <w:szCs w:val="24"/>
              </w:rPr>
            </w:pPr>
            <w:r>
              <w:rPr>
                <w:rFonts w:ascii="Times New Roman" w:hAnsi="Times New Roman" w:eastAsia="Times New Roman" w:cs="Times New Roman"/>
                <w:color w:val="auto"/>
                <w:sz w:val="24"/>
                <w:szCs w:val="24"/>
              </w:rPr>
              <w:t>Атмосфераға шығарындылар</w:t>
            </w:r>
          </w:p>
        </w:tc>
      </w:tr>
      <w:tr w14:paraId="54283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4" w:space="0"/>
              <w:left w:val="single" w:color="000000" w:sz="4" w:space="0"/>
              <w:bottom w:val="single" w:color="000000" w:sz="4" w:space="0"/>
              <w:right w:val="single" w:color="000000" w:sz="4" w:space="0"/>
            </w:tcBorders>
            <w:vAlign w:val="center"/>
          </w:tcPr>
          <w:p w14:paraId="25DB25C2">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color w:val="auto"/>
                <w:sz w:val="24"/>
                <w:szCs w:val="24"/>
              </w:rPr>
            </w:pPr>
            <w:r>
              <w:rPr>
                <w:rFonts w:ascii="Times New Roman" w:hAnsi="Times New Roman" w:eastAsia="Times New Roman" w:cs="Times New Roman"/>
                <w:color w:val="auto"/>
                <w:sz w:val="24"/>
                <w:szCs w:val="24"/>
              </w:rPr>
              <w:t>Биотаға әсері</w:t>
            </w:r>
          </w:p>
        </w:tc>
        <w:tc>
          <w:tcPr>
            <w:tcBorders>
              <w:top w:val="single" w:color="000000" w:sz="4" w:space="0"/>
              <w:left w:val="single" w:color="000000" w:sz="4" w:space="0"/>
              <w:bottom w:val="single" w:color="000000" w:sz="4" w:space="0"/>
              <w:right w:val="single" w:color="000000" w:sz="4" w:space="0"/>
            </w:tcBorders>
            <w:vAlign w:val="center"/>
          </w:tcPr>
          <w:p w14:paraId="57EA21E2">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color w:val="auto"/>
                <w:sz w:val="24"/>
                <w:szCs w:val="24"/>
              </w:rPr>
            </w:pPr>
            <w:r>
              <w:rPr>
                <w:rFonts w:ascii="Times New Roman" w:hAnsi="Times New Roman" w:eastAsia="Times New Roman" w:cs="Times New Roman"/>
                <w:color w:val="auto"/>
                <w:sz w:val="24"/>
                <w:szCs w:val="24"/>
              </w:rPr>
              <w:t>Оң</w:t>
            </w:r>
          </w:p>
        </w:tc>
        <w:tc>
          <w:tcPr>
            <w:tcBorders>
              <w:top w:val="single" w:color="000000" w:sz="4" w:space="0"/>
              <w:left w:val="single" w:color="000000" w:sz="4" w:space="0"/>
              <w:bottom w:val="single" w:color="000000" w:sz="4" w:space="0"/>
              <w:right w:val="single" w:color="000000" w:sz="4" w:space="0"/>
            </w:tcBorders>
            <w:vAlign w:val="center"/>
          </w:tcPr>
          <w:p w14:paraId="0783D511">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color w:val="auto"/>
                <w:sz w:val="24"/>
                <w:szCs w:val="24"/>
              </w:rPr>
            </w:pPr>
            <w:r>
              <w:rPr>
                <w:rFonts w:ascii="Times New Roman" w:hAnsi="Times New Roman" w:eastAsia="Times New Roman" w:cs="Times New Roman"/>
                <w:color w:val="auto"/>
                <w:sz w:val="24"/>
                <w:szCs w:val="24"/>
              </w:rPr>
              <w:t>Теріс</w:t>
            </w:r>
          </w:p>
        </w:tc>
        <w:tc>
          <w:tcPr>
            <w:tcBorders>
              <w:top w:val="single" w:color="000000" w:sz="4" w:space="0"/>
              <w:left w:val="single" w:color="000000" w:sz="4" w:space="0"/>
              <w:bottom w:val="single" w:color="000000" w:sz="4" w:space="0"/>
              <w:right w:val="single" w:color="000000" w:sz="4" w:space="0"/>
            </w:tcBorders>
            <w:vAlign w:val="center"/>
          </w:tcPr>
          <w:p w14:paraId="6A7C6851">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color w:val="auto"/>
                <w:sz w:val="24"/>
                <w:szCs w:val="24"/>
              </w:rPr>
            </w:pPr>
            <w:r>
              <w:rPr>
                <w:rFonts w:ascii="Times New Roman" w:hAnsi="Times New Roman" w:eastAsia="Times New Roman" w:cs="Times New Roman"/>
                <w:color w:val="auto"/>
                <w:sz w:val="24"/>
                <w:szCs w:val="24"/>
              </w:rPr>
              <w:t>Теріс</w:t>
            </w:r>
          </w:p>
        </w:tc>
      </w:tr>
      <w:tr w14:paraId="0E90E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4" w:space="0"/>
              <w:left w:val="single" w:color="000000" w:sz="4" w:space="0"/>
              <w:bottom w:val="single" w:color="000000" w:sz="4" w:space="0"/>
              <w:right w:val="single" w:color="000000" w:sz="4" w:space="0"/>
            </w:tcBorders>
            <w:vAlign w:val="center"/>
          </w:tcPr>
          <w:p w14:paraId="1CEDB18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color w:val="auto"/>
                <w:sz w:val="24"/>
                <w:szCs w:val="24"/>
              </w:rPr>
            </w:pPr>
            <w:r>
              <w:rPr>
                <w:rFonts w:ascii="Times New Roman" w:hAnsi="Times New Roman" w:eastAsia="Times New Roman" w:cs="Times New Roman"/>
                <w:color w:val="auto"/>
                <w:sz w:val="24"/>
                <w:szCs w:val="24"/>
              </w:rPr>
              <w:t>Энергия шығыны</w:t>
            </w:r>
          </w:p>
        </w:tc>
        <w:tc>
          <w:tcPr>
            <w:tcBorders>
              <w:top w:val="single" w:color="000000" w:sz="4" w:space="0"/>
              <w:left w:val="single" w:color="000000" w:sz="4" w:space="0"/>
              <w:bottom w:val="single" w:color="000000" w:sz="4" w:space="0"/>
              <w:right w:val="single" w:color="000000" w:sz="4" w:space="0"/>
            </w:tcBorders>
            <w:vAlign w:val="center"/>
          </w:tcPr>
          <w:p w14:paraId="720026E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color w:val="auto"/>
                <w:sz w:val="24"/>
                <w:szCs w:val="24"/>
              </w:rPr>
            </w:pPr>
            <w:r>
              <w:rPr>
                <w:rFonts w:ascii="Times New Roman" w:hAnsi="Times New Roman" w:eastAsia="Times New Roman" w:cs="Times New Roman"/>
                <w:color w:val="auto"/>
                <w:sz w:val="24"/>
                <w:szCs w:val="24"/>
              </w:rPr>
              <w:t>Төмен</w:t>
            </w:r>
          </w:p>
        </w:tc>
        <w:tc>
          <w:tcPr>
            <w:tcBorders>
              <w:top w:val="single" w:color="000000" w:sz="4" w:space="0"/>
              <w:left w:val="single" w:color="000000" w:sz="4" w:space="0"/>
              <w:bottom w:val="single" w:color="000000" w:sz="4" w:space="0"/>
              <w:right w:val="single" w:color="000000" w:sz="4" w:space="0"/>
            </w:tcBorders>
            <w:vAlign w:val="center"/>
          </w:tcPr>
          <w:p w14:paraId="2175462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color w:val="auto"/>
                <w:sz w:val="24"/>
                <w:szCs w:val="24"/>
              </w:rPr>
            </w:pPr>
            <w:r>
              <w:rPr>
                <w:rFonts w:ascii="Times New Roman" w:hAnsi="Times New Roman" w:eastAsia="Times New Roman" w:cs="Times New Roman"/>
                <w:color w:val="auto"/>
                <w:sz w:val="24"/>
                <w:szCs w:val="24"/>
              </w:rPr>
              <w:t>Орташа</w:t>
            </w:r>
          </w:p>
        </w:tc>
        <w:tc>
          <w:tcPr>
            <w:tcBorders>
              <w:top w:val="single" w:color="000000" w:sz="4" w:space="0"/>
              <w:left w:val="single" w:color="000000" w:sz="4" w:space="0"/>
              <w:bottom w:val="single" w:color="000000" w:sz="4" w:space="0"/>
              <w:right w:val="single" w:color="000000" w:sz="4" w:space="0"/>
            </w:tcBorders>
            <w:vAlign w:val="center"/>
          </w:tcPr>
          <w:p w14:paraId="31FDC724">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color w:val="auto"/>
                <w:sz w:val="24"/>
                <w:szCs w:val="24"/>
              </w:rPr>
            </w:pPr>
            <w:r>
              <w:rPr>
                <w:rFonts w:ascii="Times New Roman" w:hAnsi="Times New Roman" w:eastAsia="Times New Roman" w:cs="Times New Roman"/>
                <w:color w:val="auto"/>
                <w:sz w:val="24"/>
                <w:szCs w:val="24"/>
              </w:rPr>
              <w:t>Жоғары</w:t>
            </w:r>
          </w:p>
        </w:tc>
      </w:tr>
      <w:tr w14:paraId="5B5A0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00000" w:sz="4" w:space="0"/>
              <w:left w:val="single" w:color="000000" w:sz="4" w:space="0"/>
              <w:bottom w:val="single" w:color="000000" w:sz="4" w:space="0"/>
              <w:right w:val="single" w:color="000000" w:sz="4" w:space="0"/>
            </w:tcBorders>
            <w:vAlign w:val="center"/>
          </w:tcPr>
          <w:p w14:paraId="1045E9A2">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color w:val="auto"/>
                <w:sz w:val="24"/>
                <w:szCs w:val="24"/>
              </w:rPr>
            </w:pPr>
            <w:r>
              <w:rPr>
                <w:rFonts w:ascii="Times New Roman" w:hAnsi="Times New Roman" w:eastAsia="Times New Roman" w:cs="Times New Roman"/>
                <w:color w:val="auto"/>
                <w:sz w:val="24"/>
                <w:szCs w:val="24"/>
              </w:rPr>
              <w:t>Топырақты қалпына келтіру</w:t>
            </w:r>
          </w:p>
        </w:tc>
        <w:tc>
          <w:tcPr>
            <w:tcBorders>
              <w:top w:val="single" w:color="000000" w:sz="4" w:space="0"/>
              <w:left w:val="single" w:color="000000" w:sz="4" w:space="0"/>
              <w:bottom w:val="single" w:color="000000" w:sz="4" w:space="0"/>
              <w:right w:val="single" w:color="000000" w:sz="4" w:space="0"/>
            </w:tcBorders>
            <w:vAlign w:val="center"/>
          </w:tcPr>
          <w:p w14:paraId="44A81C22">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color w:val="auto"/>
                <w:sz w:val="24"/>
                <w:szCs w:val="24"/>
              </w:rPr>
            </w:pPr>
            <w:r>
              <w:rPr>
                <w:rFonts w:ascii="Times New Roman" w:hAnsi="Times New Roman" w:eastAsia="Times New Roman" w:cs="Times New Roman"/>
                <w:color w:val="auto"/>
                <w:sz w:val="24"/>
                <w:szCs w:val="24"/>
              </w:rPr>
              <w:t>Толық</w:t>
            </w:r>
          </w:p>
        </w:tc>
        <w:tc>
          <w:tcPr>
            <w:tcBorders>
              <w:top w:val="single" w:color="000000" w:sz="4" w:space="0"/>
              <w:left w:val="single" w:color="000000" w:sz="4" w:space="0"/>
              <w:bottom w:val="single" w:color="000000" w:sz="4" w:space="0"/>
              <w:right w:val="single" w:color="000000" w:sz="4" w:space="0"/>
            </w:tcBorders>
            <w:vAlign w:val="center"/>
          </w:tcPr>
          <w:p w14:paraId="67BC2FBA">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color w:val="auto"/>
                <w:sz w:val="24"/>
                <w:szCs w:val="24"/>
              </w:rPr>
            </w:pPr>
            <w:r>
              <w:rPr>
                <w:rFonts w:ascii="Times New Roman" w:hAnsi="Times New Roman" w:eastAsia="Times New Roman" w:cs="Times New Roman"/>
                <w:color w:val="auto"/>
                <w:sz w:val="24"/>
                <w:szCs w:val="24"/>
              </w:rPr>
              <w:t>Ішінара</w:t>
            </w:r>
          </w:p>
        </w:tc>
        <w:tc>
          <w:tcPr>
            <w:tcBorders>
              <w:top w:val="single" w:color="000000" w:sz="4" w:space="0"/>
              <w:left w:val="single" w:color="000000" w:sz="4" w:space="0"/>
              <w:bottom w:val="single" w:color="000000" w:sz="4" w:space="0"/>
              <w:right w:val="single" w:color="000000" w:sz="4" w:space="0"/>
            </w:tcBorders>
            <w:vAlign w:val="center"/>
          </w:tcPr>
          <w:p w14:paraId="0C9E03C0">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color w:val="auto"/>
                <w:sz w:val="24"/>
                <w:szCs w:val="24"/>
              </w:rPr>
            </w:pPr>
            <w:r>
              <w:rPr>
                <w:rFonts w:ascii="Times New Roman" w:hAnsi="Times New Roman" w:eastAsia="Times New Roman" w:cs="Times New Roman"/>
                <w:color w:val="auto"/>
                <w:sz w:val="24"/>
                <w:szCs w:val="24"/>
              </w:rPr>
              <w:t>Жоқ</w:t>
            </w:r>
          </w:p>
        </w:tc>
      </w:tr>
    </w:tbl>
    <w:p w14:paraId="5A92EA9D">
      <w:pPr>
        <w:keepNext w:val="0"/>
        <w:keepLines w:val="0"/>
        <w:pageBreakBefore w:val="0"/>
        <w:widowControl/>
        <w:kinsoku/>
        <w:wordWrap/>
        <w:overflowPunct/>
        <w:topLinePunct w:val="0"/>
        <w:autoSpaceDE/>
        <w:autoSpaceDN/>
        <w:bidi w:val="0"/>
        <w:adjustRightInd/>
        <w:snapToGrid/>
        <w:spacing w:after="0" w:line="240" w:lineRule="auto"/>
        <w:textAlignment w:val="auto"/>
        <w:rPr>
          <w:color w:val="auto"/>
        </w:rPr>
      </w:pPr>
    </w:p>
    <w:p w14:paraId="765DE1FA">
      <w:pPr>
        <w:keepNext w:val="0"/>
        <w:keepLines w:val="0"/>
        <w:pageBreakBefore w:val="0"/>
        <w:widowControl/>
        <w:kinsoku/>
        <w:wordWrap/>
        <w:overflowPunct/>
        <w:topLinePunct w:val="0"/>
        <w:autoSpaceDE/>
        <w:autoSpaceDN/>
        <w:bidi w:val="0"/>
        <w:adjustRightInd/>
        <w:snapToGrid/>
        <w:spacing w:after="0" w:line="240" w:lineRule="auto"/>
        <w:ind w:firstLine="720"/>
        <w:jc w:val="both"/>
        <w:textAlignment w:val="auto"/>
        <w:rPr>
          <w:rFonts w:ascii="Times New Roman" w:hAnsi="Times New Roman" w:eastAsia="Times New Roman" w:cs="Times New Roman"/>
          <w:color w:val="auto"/>
          <w:sz w:val="28"/>
          <w:szCs w:val="28"/>
          <w:highlight w:val="none"/>
        </w:rPr>
      </w:pPr>
      <w:r>
        <w:rPr>
          <w:rFonts w:ascii="Times New Roman" w:hAnsi="Times New Roman" w:eastAsia="Times New Roman" w:cs="Times New Roman"/>
          <w:color w:val="auto"/>
          <w:sz w:val="28"/>
          <w:szCs w:val="28"/>
        </w:rPr>
        <w:t>Әзірленген технология Қазақстан Республикасының Экологиялық кодексінің (2021) талаптарына және «жасыл экономика» қағидаттарына сәйкес келе</w:t>
      </w:r>
      <w:r>
        <w:rPr>
          <w:rFonts w:ascii="Times New Roman" w:hAnsi="Times New Roman" w:eastAsia="Times New Roman" w:cs="Times New Roman"/>
          <w:color w:val="auto"/>
          <w:sz w:val="28"/>
          <w:szCs w:val="28"/>
          <w:highlight w:val="none"/>
        </w:rPr>
        <w:t>ді [</w:t>
      </w:r>
      <w:r>
        <w:rPr>
          <w:rFonts w:hint="default" w:eastAsia="Times New Roman" w:cs="Times New Roman"/>
          <w:color w:val="auto"/>
          <w:sz w:val="28"/>
          <w:szCs w:val="28"/>
          <w:highlight w:val="none"/>
          <w:lang w:val="ru-RU"/>
        </w:rPr>
        <w:t>1,2</w:t>
      </w:r>
      <w:r>
        <w:rPr>
          <w:rFonts w:ascii="Times New Roman" w:hAnsi="Times New Roman" w:eastAsia="Times New Roman" w:cs="Times New Roman"/>
          <w:color w:val="auto"/>
          <w:sz w:val="28"/>
          <w:szCs w:val="28"/>
          <w:highlight w:val="none"/>
        </w:rPr>
        <w:t>].</w:t>
      </w:r>
    </w:p>
    <w:p w14:paraId="72621CD8">
      <w:pPr>
        <w:keepNext w:val="0"/>
        <w:keepLines w:val="0"/>
        <w:pageBreakBefore w:val="0"/>
        <w:widowControl/>
        <w:kinsoku/>
        <w:wordWrap/>
        <w:overflowPunct/>
        <w:topLinePunct w:val="0"/>
        <w:autoSpaceDE/>
        <w:autoSpaceDN/>
        <w:bidi w:val="0"/>
        <w:adjustRightInd/>
        <w:snapToGrid/>
        <w:spacing w:after="0" w:line="240" w:lineRule="auto"/>
        <w:ind w:firstLine="720"/>
        <w:jc w:val="both"/>
        <w:textAlignment w:val="auto"/>
        <w:rPr>
          <w:rFonts w:ascii="Times New Roman" w:hAnsi="Times New Roman" w:eastAsia="Times New Roman" w:cs="Times New Roman"/>
          <w:color w:val="auto"/>
          <w:sz w:val="28"/>
          <w:szCs w:val="28"/>
          <w:highlight w:val="none"/>
        </w:rPr>
      </w:pPr>
    </w:p>
    <w:p w14:paraId="5E5A1F64">
      <w:pPr>
        <w:keepNext w:val="0"/>
        <w:keepLines w:val="0"/>
        <w:pageBreakBefore w:val="0"/>
        <w:widowControl/>
        <w:kinsoku/>
        <w:wordWrap/>
        <w:overflowPunct/>
        <w:topLinePunct w:val="0"/>
        <w:autoSpaceDE/>
        <w:autoSpaceDN/>
        <w:bidi w:val="0"/>
        <w:adjustRightInd/>
        <w:snapToGrid/>
        <w:spacing w:after="0" w:line="240" w:lineRule="auto"/>
        <w:ind w:firstLine="720"/>
        <w:jc w:val="both"/>
        <w:textAlignment w:val="auto"/>
        <w:rPr>
          <w:rFonts w:hint="default" w:ascii="Times New Roman"/>
          <w:color w:val="auto"/>
          <w:lang w:val="kk-KZ"/>
        </w:rPr>
      </w:pPr>
      <w:r>
        <w:rPr>
          <w:rFonts w:hint="default" w:ascii="Times New Roman"/>
          <w:b/>
          <w:bCs/>
          <w:color w:val="auto"/>
          <w:highlight w:val="none"/>
          <w:lang w:val="kk-KZ"/>
        </w:rPr>
        <w:t xml:space="preserve">4.5 Технологияны </w:t>
      </w:r>
      <w:r>
        <w:rPr>
          <w:rFonts w:hint="default" w:ascii="Times New Roman"/>
          <w:b/>
          <w:bCs/>
          <w:color w:val="auto"/>
          <w:lang w:val="kk-KZ"/>
        </w:rPr>
        <w:t>қолданудың экономикалық негіздесемі</w:t>
      </w:r>
    </w:p>
    <w:p w14:paraId="632F96A1">
      <w:pPr>
        <w:pageBreakBefore w:val="0"/>
        <w:widowControl/>
        <w:kinsoku/>
        <w:wordWrap/>
        <w:overflowPunct/>
        <w:topLinePunct w:val="0"/>
        <w:autoSpaceDE/>
        <w:autoSpaceDN/>
        <w:bidi w:val="0"/>
        <w:adjustRightInd/>
        <w:snapToGrid/>
        <w:spacing w:after="0"/>
        <w:ind w:firstLine="709" w:firstLineChars="0"/>
        <w:textAlignment w:val="auto"/>
        <w:rPr>
          <w:rFonts w:hint="default" w:ascii="Times New Roman" w:hAnsi="Times New Roman" w:cs="Times New Roman"/>
          <w:color w:val="auto"/>
        </w:rPr>
      </w:pPr>
      <w:r>
        <w:rPr>
          <w:rFonts w:hint="default" w:ascii="Times New Roman" w:hAnsi="Times New Roman" w:cs="Times New Roman"/>
          <w:i w:val="0"/>
          <w:iCs w:val="0"/>
          <w:color w:val="auto"/>
        </w:rPr>
        <w:t xml:space="preserve">Әзірленген технологияның экономикалық тиімділігі компоненттердің төмен өзіндік құнымен және технологиялық процестің қарапайымдылығымен </w:t>
      </w:r>
      <w:r>
        <w:rPr>
          <w:rFonts w:hint="default" w:ascii="Times New Roman" w:hAnsi="Times New Roman" w:cs="Times New Roman"/>
          <w:color w:val="auto"/>
        </w:rPr>
        <w:t>анықталады.</w:t>
      </w:r>
    </w:p>
    <w:p w14:paraId="6F9CFC40">
      <w:pPr>
        <w:keepNext w:val="0"/>
        <w:keepLines w:val="0"/>
        <w:pageBreakBefore w:val="0"/>
        <w:widowControl/>
        <w:kinsoku/>
        <w:wordWrap/>
        <w:overflowPunct/>
        <w:topLinePunct w:val="0"/>
        <w:autoSpaceDE/>
        <w:autoSpaceDN/>
        <w:bidi w:val="0"/>
        <w:adjustRightInd/>
        <w:snapToGrid/>
        <w:spacing w:after="0" w:line="240" w:lineRule="auto"/>
        <w:ind w:firstLine="720"/>
        <w:jc w:val="both"/>
        <w:textAlignment w:val="auto"/>
        <w:rPr>
          <w:rFonts w:ascii="Times New Roman" w:hAnsi="Times New Roman" w:eastAsia="Times New Roman" w:cs="Times New Roman"/>
          <w:color w:val="auto"/>
          <w:sz w:val="28"/>
          <w:szCs w:val="28"/>
        </w:rPr>
      </w:pPr>
    </w:p>
    <w:p w14:paraId="2CCCEE6C">
      <w:pPr>
        <w:pageBreakBefore w:val="0"/>
        <w:widowControl/>
        <w:kinsoku/>
        <w:wordWrap/>
        <w:overflowPunct/>
        <w:topLinePunct w:val="0"/>
        <w:autoSpaceDE/>
        <w:autoSpaceDN/>
        <w:bidi w:val="0"/>
        <w:adjustRightInd/>
        <w:snapToGrid/>
        <w:spacing w:after="0"/>
        <w:ind w:firstLine="709" w:firstLineChars="0"/>
        <w:textAlignment w:val="auto"/>
        <w:rPr>
          <w:rFonts w:hint="default"/>
          <w:color w:val="auto"/>
          <w:highlight w:val="none"/>
          <w:lang w:val="kk-KZ"/>
        </w:rPr>
      </w:pPr>
      <w:r>
        <w:rPr>
          <w:color w:val="auto"/>
          <w:highlight w:val="none"/>
          <w:lang w:val="kk-KZ"/>
        </w:rPr>
        <w:t>Кесте</w:t>
      </w:r>
      <w:r>
        <w:rPr>
          <w:rFonts w:hint="default"/>
          <w:color w:val="auto"/>
          <w:highlight w:val="none"/>
          <w:lang w:val="kk-KZ"/>
        </w:rPr>
        <w:t xml:space="preserve"> </w:t>
      </w:r>
      <w:r>
        <w:rPr>
          <w:rFonts w:hint="default"/>
          <w:color w:val="auto"/>
          <w:highlight w:val="none"/>
          <w:lang w:val="ru-RU"/>
        </w:rPr>
        <w:t>21</w:t>
      </w:r>
      <w:r>
        <w:rPr>
          <w:rFonts w:hint="default"/>
          <w:color w:val="auto"/>
          <w:highlight w:val="none"/>
          <w:lang w:val="kk-KZ"/>
        </w:rPr>
        <w:t xml:space="preserve"> - </w:t>
      </w:r>
      <w:r>
        <w:rPr>
          <w:rFonts w:hint="default"/>
          <w:color w:val="auto"/>
          <w:highlight w:val="none"/>
          <w:lang w:val="ru-RU"/>
        </w:rPr>
        <w:t xml:space="preserve">1 </w:t>
      </w:r>
      <w:r>
        <w:rPr>
          <w:rFonts w:hint="default"/>
          <w:color w:val="auto"/>
          <w:highlight w:val="none"/>
          <w:lang w:val="kk-KZ"/>
        </w:rPr>
        <w:t xml:space="preserve">кг биопрепарат өндіруге шығындар есебі  </w:t>
      </w:r>
    </w:p>
    <w:p w14:paraId="22E524B3">
      <w:pPr>
        <w:pageBreakBefore w:val="0"/>
        <w:widowControl/>
        <w:kinsoku/>
        <w:wordWrap/>
        <w:overflowPunct/>
        <w:topLinePunct w:val="0"/>
        <w:autoSpaceDE/>
        <w:autoSpaceDN/>
        <w:bidi w:val="0"/>
        <w:adjustRightInd/>
        <w:snapToGrid/>
        <w:spacing w:after="0"/>
        <w:ind w:firstLine="709" w:firstLineChars="0"/>
        <w:textAlignment w:val="auto"/>
        <w:rPr>
          <w:rFonts w:hint="default"/>
          <w:color w:val="auto"/>
          <w:highlight w:val="green"/>
          <w:lang w:val="kk-KZ"/>
        </w:rPr>
      </w:pP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0"/>
        <w:gridCol w:w="1152"/>
        <w:gridCol w:w="1152"/>
        <w:gridCol w:w="1440"/>
        <w:gridCol w:w="1440"/>
      </w:tblGrid>
      <w:tr w14:paraId="33F10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20" w:type="dxa"/>
          </w:tcPr>
          <w:p w14:paraId="0AA55DE0">
            <w:pPr>
              <w:widowControl w:val="0"/>
              <w:spacing w:after="0" w:line="240" w:lineRule="auto"/>
              <w:jc w:val="center"/>
              <w:rPr>
                <w:b w:val="0"/>
                <w:bCs/>
                <w:color w:val="auto"/>
                <w:sz w:val="24"/>
                <w:szCs w:val="24"/>
              </w:rPr>
            </w:pPr>
            <w:r>
              <w:rPr>
                <w:b w:val="0"/>
                <w:bCs/>
                <w:color w:val="auto"/>
                <w:sz w:val="24"/>
                <w:szCs w:val="24"/>
              </w:rPr>
              <w:t>Шығын баптарының атауы</w:t>
            </w:r>
          </w:p>
        </w:tc>
        <w:tc>
          <w:tcPr>
            <w:tcW w:w="1152" w:type="dxa"/>
          </w:tcPr>
          <w:p w14:paraId="2CAA6A8A">
            <w:pPr>
              <w:widowControl w:val="0"/>
              <w:spacing w:after="0" w:line="240" w:lineRule="auto"/>
              <w:jc w:val="center"/>
              <w:rPr>
                <w:rFonts w:hint="default"/>
                <w:b w:val="0"/>
                <w:bCs/>
                <w:color w:val="auto"/>
                <w:sz w:val="24"/>
                <w:szCs w:val="24"/>
                <w:lang w:val="kk-KZ"/>
              </w:rPr>
            </w:pPr>
            <w:r>
              <w:rPr>
                <w:b w:val="0"/>
                <w:bCs/>
                <w:color w:val="auto"/>
                <w:sz w:val="24"/>
                <w:szCs w:val="24"/>
              </w:rPr>
              <w:t>Өлш</w:t>
            </w:r>
            <w:r>
              <w:rPr>
                <w:b w:val="0"/>
                <w:bCs/>
                <w:color w:val="auto"/>
                <w:sz w:val="24"/>
                <w:szCs w:val="24"/>
                <w:lang w:val="ru-RU"/>
              </w:rPr>
              <w:t>ем</w:t>
            </w:r>
            <w:r>
              <w:rPr>
                <w:rFonts w:hint="default"/>
                <w:b w:val="0"/>
                <w:bCs/>
                <w:color w:val="auto"/>
                <w:sz w:val="24"/>
                <w:szCs w:val="24"/>
                <w:lang w:val="ru-RU"/>
              </w:rPr>
              <w:t xml:space="preserve"> </w:t>
            </w:r>
            <w:r>
              <w:rPr>
                <w:b w:val="0"/>
                <w:bCs/>
                <w:color w:val="auto"/>
                <w:sz w:val="24"/>
                <w:szCs w:val="24"/>
              </w:rPr>
              <w:t>бір</w:t>
            </w:r>
            <w:r>
              <w:rPr>
                <w:b w:val="0"/>
                <w:bCs/>
                <w:color w:val="auto"/>
                <w:sz w:val="24"/>
                <w:szCs w:val="24"/>
                <w:lang w:val="ru-RU"/>
              </w:rPr>
              <w:t>л</w:t>
            </w:r>
            <w:r>
              <w:rPr>
                <w:rFonts w:hint="default"/>
                <w:b w:val="0"/>
                <w:bCs/>
                <w:color w:val="auto"/>
                <w:sz w:val="24"/>
                <w:szCs w:val="24"/>
                <w:lang w:val="kk-KZ"/>
              </w:rPr>
              <w:t>ік</w:t>
            </w:r>
          </w:p>
        </w:tc>
        <w:tc>
          <w:tcPr>
            <w:tcW w:w="1152" w:type="dxa"/>
          </w:tcPr>
          <w:p w14:paraId="1A5D98C5">
            <w:pPr>
              <w:widowControl w:val="0"/>
              <w:spacing w:after="0" w:line="240" w:lineRule="auto"/>
              <w:jc w:val="center"/>
              <w:rPr>
                <w:b w:val="0"/>
                <w:bCs/>
                <w:color w:val="auto"/>
                <w:sz w:val="24"/>
                <w:szCs w:val="24"/>
              </w:rPr>
            </w:pPr>
            <w:r>
              <w:rPr>
                <w:b w:val="0"/>
                <w:bCs/>
                <w:color w:val="auto"/>
                <w:sz w:val="24"/>
                <w:szCs w:val="24"/>
              </w:rPr>
              <w:t>Шығын</w:t>
            </w:r>
          </w:p>
        </w:tc>
        <w:tc>
          <w:tcPr>
            <w:tcW w:w="1440" w:type="dxa"/>
          </w:tcPr>
          <w:p w14:paraId="16D8DBBA">
            <w:pPr>
              <w:widowControl w:val="0"/>
              <w:spacing w:after="0" w:line="240" w:lineRule="auto"/>
              <w:jc w:val="center"/>
              <w:rPr>
                <w:b w:val="0"/>
                <w:bCs/>
                <w:color w:val="auto"/>
                <w:sz w:val="24"/>
                <w:szCs w:val="24"/>
              </w:rPr>
            </w:pPr>
            <w:r>
              <w:rPr>
                <w:b w:val="0"/>
                <w:bCs/>
                <w:color w:val="auto"/>
                <w:sz w:val="24"/>
                <w:szCs w:val="24"/>
              </w:rPr>
              <w:t>Бағасы, тг.</w:t>
            </w:r>
          </w:p>
        </w:tc>
        <w:tc>
          <w:tcPr>
            <w:tcW w:w="1440" w:type="dxa"/>
          </w:tcPr>
          <w:p w14:paraId="588279A7">
            <w:pPr>
              <w:widowControl w:val="0"/>
              <w:spacing w:after="0" w:line="240" w:lineRule="auto"/>
              <w:jc w:val="center"/>
              <w:rPr>
                <w:b w:val="0"/>
                <w:bCs/>
                <w:color w:val="auto"/>
                <w:sz w:val="24"/>
                <w:szCs w:val="24"/>
              </w:rPr>
            </w:pPr>
            <w:r>
              <w:rPr>
                <w:b w:val="0"/>
                <w:bCs/>
                <w:color w:val="auto"/>
                <w:sz w:val="24"/>
                <w:szCs w:val="24"/>
              </w:rPr>
              <w:t>Құны, тг.</w:t>
            </w:r>
          </w:p>
        </w:tc>
      </w:tr>
      <w:tr w14:paraId="3D773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20" w:type="dxa"/>
          </w:tcPr>
          <w:p w14:paraId="1DA9F21C">
            <w:pPr>
              <w:widowControl w:val="0"/>
              <w:spacing w:after="0" w:line="240" w:lineRule="auto"/>
              <w:jc w:val="left"/>
              <w:rPr>
                <w:color w:val="auto"/>
                <w:sz w:val="24"/>
                <w:szCs w:val="24"/>
              </w:rPr>
            </w:pPr>
            <w:r>
              <w:rPr>
                <w:color w:val="auto"/>
                <w:sz w:val="24"/>
                <w:szCs w:val="24"/>
              </w:rPr>
              <w:t>Қарақұмық/күріш қауызы (ауыл шаруашылығы өндірісінің қалдықтары)</w:t>
            </w:r>
          </w:p>
        </w:tc>
        <w:tc>
          <w:tcPr>
            <w:tcW w:w="1152" w:type="dxa"/>
          </w:tcPr>
          <w:p w14:paraId="1339DFFD">
            <w:pPr>
              <w:widowControl w:val="0"/>
              <w:spacing w:after="0" w:line="240" w:lineRule="auto"/>
              <w:jc w:val="center"/>
              <w:rPr>
                <w:color w:val="auto"/>
                <w:sz w:val="24"/>
                <w:szCs w:val="24"/>
              </w:rPr>
            </w:pPr>
            <w:r>
              <w:rPr>
                <w:color w:val="auto"/>
                <w:sz w:val="24"/>
                <w:szCs w:val="24"/>
              </w:rPr>
              <w:t>кг</w:t>
            </w:r>
          </w:p>
        </w:tc>
        <w:tc>
          <w:tcPr>
            <w:tcW w:w="1152" w:type="dxa"/>
          </w:tcPr>
          <w:p w14:paraId="05503C91">
            <w:pPr>
              <w:widowControl w:val="0"/>
              <w:spacing w:after="0" w:line="240" w:lineRule="auto"/>
              <w:jc w:val="center"/>
              <w:rPr>
                <w:color w:val="auto"/>
                <w:sz w:val="24"/>
                <w:szCs w:val="24"/>
              </w:rPr>
            </w:pPr>
            <w:r>
              <w:rPr>
                <w:color w:val="auto"/>
                <w:sz w:val="24"/>
                <w:szCs w:val="24"/>
              </w:rPr>
              <w:t>0,100</w:t>
            </w:r>
          </w:p>
        </w:tc>
        <w:tc>
          <w:tcPr>
            <w:tcW w:w="1440" w:type="dxa"/>
          </w:tcPr>
          <w:p w14:paraId="4492DD92">
            <w:pPr>
              <w:widowControl w:val="0"/>
              <w:spacing w:after="0" w:line="240" w:lineRule="auto"/>
              <w:jc w:val="center"/>
              <w:rPr>
                <w:color w:val="auto"/>
                <w:sz w:val="24"/>
                <w:szCs w:val="24"/>
              </w:rPr>
            </w:pPr>
            <w:r>
              <w:rPr>
                <w:color w:val="auto"/>
                <w:sz w:val="24"/>
                <w:szCs w:val="24"/>
              </w:rPr>
              <w:t>500-1000</w:t>
            </w:r>
          </w:p>
        </w:tc>
        <w:tc>
          <w:tcPr>
            <w:tcW w:w="1440" w:type="dxa"/>
          </w:tcPr>
          <w:p w14:paraId="7019FB11">
            <w:pPr>
              <w:widowControl w:val="0"/>
              <w:spacing w:after="0" w:line="240" w:lineRule="auto"/>
              <w:jc w:val="center"/>
              <w:rPr>
                <w:color w:val="auto"/>
                <w:sz w:val="24"/>
                <w:szCs w:val="24"/>
              </w:rPr>
            </w:pPr>
            <w:r>
              <w:rPr>
                <w:color w:val="auto"/>
                <w:sz w:val="24"/>
                <w:szCs w:val="24"/>
              </w:rPr>
              <w:t>50-100</w:t>
            </w:r>
          </w:p>
        </w:tc>
      </w:tr>
      <w:tr w14:paraId="5955F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20" w:type="dxa"/>
          </w:tcPr>
          <w:p w14:paraId="01295E2B">
            <w:pPr>
              <w:widowControl w:val="0"/>
              <w:spacing w:after="0" w:line="240" w:lineRule="auto"/>
              <w:jc w:val="left"/>
              <w:rPr>
                <w:color w:val="auto"/>
                <w:sz w:val="24"/>
                <w:szCs w:val="24"/>
              </w:rPr>
            </w:pPr>
            <w:r>
              <w:rPr>
                <w:color w:val="auto"/>
                <w:sz w:val="24"/>
                <w:szCs w:val="24"/>
              </w:rPr>
              <w:t>Қоректік орта (глюкоза, минералды тұздар)</w:t>
            </w:r>
          </w:p>
        </w:tc>
        <w:tc>
          <w:tcPr>
            <w:tcW w:w="1152" w:type="dxa"/>
          </w:tcPr>
          <w:p w14:paraId="297E726D">
            <w:pPr>
              <w:widowControl w:val="0"/>
              <w:spacing w:after="0" w:line="240" w:lineRule="auto"/>
              <w:jc w:val="center"/>
              <w:rPr>
                <w:color w:val="auto"/>
                <w:sz w:val="24"/>
                <w:szCs w:val="24"/>
              </w:rPr>
            </w:pPr>
            <w:r>
              <w:rPr>
                <w:color w:val="auto"/>
                <w:sz w:val="24"/>
                <w:szCs w:val="24"/>
              </w:rPr>
              <w:t>л</w:t>
            </w:r>
          </w:p>
        </w:tc>
        <w:tc>
          <w:tcPr>
            <w:tcW w:w="1152" w:type="dxa"/>
          </w:tcPr>
          <w:p w14:paraId="5A33582C">
            <w:pPr>
              <w:widowControl w:val="0"/>
              <w:spacing w:after="0" w:line="240" w:lineRule="auto"/>
              <w:jc w:val="center"/>
              <w:rPr>
                <w:color w:val="auto"/>
                <w:sz w:val="24"/>
                <w:szCs w:val="24"/>
              </w:rPr>
            </w:pPr>
            <w:r>
              <w:rPr>
                <w:color w:val="auto"/>
                <w:sz w:val="24"/>
                <w:szCs w:val="24"/>
              </w:rPr>
              <w:t>0,200</w:t>
            </w:r>
          </w:p>
        </w:tc>
        <w:tc>
          <w:tcPr>
            <w:tcW w:w="1440" w:type="dxa"/>
          </w:tcPr>
          <w:p w14:paraId="112AEAB8">
            <w:pPr>
              <w:widowControl w:val="0"/>
              <w:spacing w:after="0" w:line="240" w:lineRule="auto"/>
              <w:jc w:val="center"/>
              <w:rPr>
                <w:color w:val="auto"/>
                <w:sz w:val="24"/>
                <w:szCs w:val="24"/>
              </w:rPr>
            </w:pPr>
            <w:r>
              <w:rPr>
                <w:color w:val="auto"/>
                <w:sz w:val="24"/>
                <w:szCs w:val="24"/>
              </w:rPr>
              <w:t>1000-1500</w:t>
            </w:r>
          </w:p>
        </w:tc>
        <w:tc>
          <w:tcPr>
            <w:tcW w:w="1440" w:type="dxa"/>
          </w:tcPr>
          <w:p w14:paraId="301953FE">
            <w:pPr>
              <w:widowControl w:val="0"/>
              <w:spacing w:after="0" w:line="240" w:lineRule="auto"/>
              <w:jc w:val="center"/>
              <w:rPr>
                <w:color w:val="auto"/>
                <w:sz w:val="24"/>
                <w:szCs w:val="24"/>
              </w:rPr>
            </w:pPr>
            <w:r>
              <w:rPr>
                <w:color w:val="auto"/>
                <w:sz w:val="24"/>
                <w:szCs w:val="24"/>
              </w:rPr>
              <w:t>200-300</w:t>
            </w:r>
          </w:p>
        </w:tc>
      </w:tr>
      <w:tr w14:paraId="1B715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20" w:type="dxa"/>
          </w:tcPr>
          <w:p w14:paraId="5A7EFE39">
            <w:pPr>
              <w:widowControl w:val="0"/>
              <w:spacing w:after="0" w:line="240" w:lineRule="auto"/>
              <w:jc w:val="left"/>
              <w:rPr>
                <w:color w:val="auto"/>
                <w:sz w:val="24"/>
                <w:szCs w:val="24"/>
              </w:rPr>
            </w:pPr>
            <w:r>
              <w:rPr>
                <w:color w:val="auto"/>
                <w:sz w:val="24"/>
                <w:szCs w:val="24"/>
              </w:rPr>
              <w:t xml:space="preserve">Микроорганизмдер </w:t>
            </w:r>
            <w:r>
              <w:rPr>
                <w:color w:val="auto"/>
                <w:sz w:val="24"/>
                <w:szCs w:val="24"/>
                <w:lang w:val="ru-RU"/>
              </w:rPr>
              <w:t>штаммдары</w:t>
            </w:r>
          </w:p>
        </w:tc>
        <w:tc>
          <w:tcPr>
            <w:tcW w:w="1152" w:type="dxa"/>
          </w:tcPr>
          <w:p w14:paraId="2393A3BE">
            <w:pPr>
              <w:widowControl w:val="0"/>
              <w:spacing w:after="0" w:line="240" w:lineRule="auto"/>
              <w:jc w:val="center"/>
              <w:rPr>
                <w:color w:val="auto"/>
                <w:sz w:val="24"/>
                <w:szCs w:val="24"/>
              </w:rPr>
            </w:pPr>
            <w:r>
              <w:rPr>
                <w:color w:val="auto"/>
                <w:sz w:val="24"/>
                <w:szCs w:val="24"/>
              </w:rPr>
              <w:t>г</w:t>
            </w:r>
          </w:p>
        </w:tc>
        <w:tc>
          <w:tcPr>
            <w:tcW w:w="1152" w:type="dxa"/>
          </w:tcPr>
          <w:p w14:paraId="5A685E1C">
            <w:pPr>
              <w:widowControl w:val="0"/>
              <w:spacing w:after="0" w:line="240" w:lineRule="auto"/>
              <w:jc w:val="center"/>
              <w:rPr>
                <w:color w:val="auto"/>
                <w:sz w:val="24"/>
                <w:szCs w:val="24"/>
              </w:rPr>
            </w:pPr>
            <w:r>
              <w:rPr>
                <w:color w:val="auto"/>
                <w:sz w:val="24"/>
                <w:szCs w:val="24"/>
              </w:rPr>
              <w:t>10</w:t>
            </w:r>
          </w:p>
        </w:tc>
        <w:tc>
          <w:tcPr>
            <w:tcW w:w="1440" w:type="dxa"/>
          </w:tcPr>
          <w:p w14:paraId="37E94846">
            <w:pPr>
              <w:widowControl w:val="0"/>
              <w:spacing w:after="0" w:line="240" w:lineRule="auto"/>
              <w:jc w:val="center"/>
              <w:rPr>
                <w:color w:val="auto"/>
                <w:sz w:val="24"/>
                <w:szCs w:val="24"/>
              </w:rPr>
            </w:pPr>
            <w:r>
              <w:rPr>
                <w:color w:val="auto"/>
                <w:sz w:val="24"/>
                <w:szCs w:val="24"/>
              </w:rPr>
              <w:t>15-20</w:t>
            </w:r>
          </w:p>
        </w:tc>
        <w:tc>
          <w:tcPr>
            <w:tcW w:w="1440" w:type="dxa"/>
          </w:tcPr>
          <w:p w14:paraId="23778080">
            <w:pPr>
              <w:widowControl w:val="0"/>
              <w:spacing w:after="0" w:line="240" w:lineRule="auto"/>
              <w:jc w:val="center"/>
              <w:rPr>
                <w:color w:val="auto"/>
                <w:sz w:val="24"/>
                <w:szCs w:val="24"/>
              </w:rPr>
            </w:pPr>
            <w:r>
              <w:rPr>
                <w:color w:val="auto"/>
                <w:sz w:val="24"/>
                <w:szCs w:val="24"/>
              </w:rPr>
              <w:t>150-200</w:t>
            </w:r>
          </w:p>
        </w:tc>
      </w:tr>
      <w:tr w14:paraId="409CD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20" w:type="dxa"/>
          </w:tcPr>
          <w:p w14:paraId="0C9E473B">
            <w:pPr>
              <w:widowControl w:val="0"/>
              <w:spacing w:after="0" w:line="240" w:lineRule="auto"/>
              <w:jc w:val="left"/>
              <w:rPr>
                <w:color w:val="auto"/>
                <w:sz w:val="24"/>
                <w:szCs w:val="24"/>
              </w:rPr>
            </w:pPr>
            <w:r>
              <w:rPr>
                <w:color w:val="auto"/>
                <w:sz w:val="24"/>
                <w:szCs w:val="24"/>
              </w:rPr>
              <w:t>Электр энергиясы</w:t>
            </w:r>
          </w:p>
        </w:tc>
        <w:tc>
          <w:tcPr>
            <w:tcW w:w="1152" w:type="dxa"/>
          </w:tcPr>
          <w:p w14:paraId="7463BFB4">
            <w:pPr>
              <w:widowControl w:val="0"/>
              <w:spacing w:after="0" w:line="240" w:lineRule="auto"/>
              <w:jc w:val="center"/>
              <w:rPr>
                <w:color w:val="auto"/>
                <w:sz w:val="24"/>
                <w:szCs w:val="24"/>
              </w:rPr>
            </w:pPr>
            <w:r>
              <w:rPr>
                <w:color w:val="auto"/>
                <w:sz w:val="24"/>
                <w:szCs w:val="24"/>
              </w:rPr>
              <w:t>кВт·сағ</w:t>
            </w:r>
          </w:p>
        </w:tc>
        <w:tc>
          <w:tcPr>
            <w:tcW w:w="1152" w:type="dxa"/>
          </w:tcPr>
          <w:p w14:paraId="54B39186">
            <w:pPr>
              <w:widowControl w:val="0"/>
              <w:spacing w:after="0" w:line="240" w:lineRule="auto"/>
              <w:jc w:val="center"/>
              <w:rPr>
                <w:color w:val="auto"/>
                <w:sz w:val="24"/>
                <w:szCs w:val="24"/>
              </w:rPr>
            </w:pPr>
            <w:r>
              <w:rPr>
                <w:color w:val="auto"/>
                <w:sz w:val="24"/>
                <w:szCs w:val="24"/>
              </w:rPr>
              <w:t>2,0</w:t>
            </w:r>
          </w:p>
        </w:tc>
        <w:tc>
          <w:tcPr>
            <w:tcW w:w="1440" w:type="dxa"/>
          </w:tcPr>
          <w:p w14:paraId="59B18DB4">
            <w:pPr>
              <w:widowControl w:val="0"/>
              <w:spacing w:after="0" w:line="240" w:lineRule="auto"/>
              <w:jc w:val="center"/>
              <w:rPr>
                <w:color w:val="auto"/>
                <w:sz w:val="24"/>
                <w:szCs w:val="24"/>
              </w:rPr>
            </w:pPr>
            <w:r>
              <w:rPr>
                <w:color w:val="auto"/>
                <w:sz w:val="24"/>
                <w:szCs w:val="24"/>
              </w:rPr>
              <w:t>50</w:t>
            </w:r>
          </w:p>
        </w:tc>
        <w:tc>
          <w:tcPr>
            <w:tcW w:w="1440" w:type="dxa"/>
          </w:tcPr>
          <w:p w14:paraId="084F8E40">
            <w:pPr>
              <w:widowControl w:val="0"/>
              <w:spacing w:after="0" w:line="240" w:lineRule="auto"/>
              <w:jc w:val="center"/>
              <w:rPr>
                <w:color w:val="auto"/>
                <w:sz w:val="24"/>
                <w:szCs w:val="24"/>
              </w:rPr>
            </w:pPr>
            <w:r>
              <w:rPr>
                <w:color w:val="auto"/>
                <w:sz w:val="24"/>
                <w:szCs w:val="24"/>
              </w:rPr>
              <w:t>100-150</w:t>
            </w:r>
          </w:p>
        </w:tc>
      </w:tr>
      <w:tr w14:paraId="60FE8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20" w:type="dxa"/>
          </w:tcPr>
          <w:p w14:paraId="12CA9128">
            <w:pPr>
              <w:widowControl w:val="0"/>
              <w:spacing w:after="0" w:line="240" w:lineRule="auto"/>
              <w:jc w:val="left"/>
              <w:rPr>
                <w:color w:val="auto"/>
                <w:sz w:val="24"/>
                <w:szCs w:val="24"/>
              </w:rPr>
            </w:pPr>
            <w:r>
              <w:rPr>
                <w:color w:val="auto"/>
                <w:sz w:val="24"/>
                <w:szCs w:val="24"/>
              </w:rPr>
              <w:t>Еңбекақы төлеу</w:t>
            </w:r>
          </w:p>
        </w:tc>
        <w:tc>
          <w:tcPr>
            <w:tcW w:w="1152" w:type="dxa"/>
          </w:tcPr>
          <w:p w14:paraId="3DE196B9">
            <w:pPr>
              <w:widowControl w:val="0"/>
              <w:spacing w:after="0" w:line="240" w:lineRule="auto"/>
              <w:jc w:val="center"/>
              <w:rPr>
                <w:color w:val="auto"/>
                <w:sz w:val="24"/>
                <w:szCs w:val="24"/>
              </w:rPr>
            </w:pPr>
            <w:r>
              <w:rPr>
                <w:color w:val="auto"/>
                <w:sz w:val="24"/>
                <w:szCs w:val="24"/>
              </w:rPr>
              <w:t>сағ</w:t>
            </w:r>
          </w:p>
        </w:tc>
        <w:tc>
          <w:tcPr>
            <w:tcW w:w="1152" w:type="dxa"/>
          </w:tcPr>
          <w:p w14:paraId="160359E0">
            <w:pPr>
              <w:widowControl w:val="0"/>
              <w:spacing w:after="0" w:line="240" w:lineRule="auto"/>
              <w:jc w:val="center"/>
              <w:rPr>
                <w:color w:val="auto"/>
                <w:sz w:val="24"/>
                <w:szCs w:val="24"/>
              </w:rPr>
            </w:pPr>
            <w:r>
              <w:rPr>
                <w:color w:val="auto"/>
                <w:sz w:val="24"/>
                <w:szCs w:val="24"/>
              </w:rPr>
              <w:t>1,0</w:t>
            </w:r>
          </w:p>
        </w:tc>
        <w:tc>
          <w:tcPr>
            <w:tcW w:w="1440" w:type="dxa"/>
          </w:tcPr>
          <w:p w14:paraId="7687875D">
            <w:pPr>
              <w:widowControl w:val="0"/>
              <w:spacing w:after="0" w:line="240" w:lineRule="auto"/>
              <w:jc w:val="center"/>
              <w:rPr>
                <w:color w:val="auto"/>
                <w:sz w:val="24"/>
                <w:szCs w:val="24"/>
              </w:rPr>
            </w:pPr>
            <w:r>
              <w:rPr>
                <w:color w:val="auto"/>
                <w:sz w:val="24"/>
                <w:szCs w:val="24"/>
              </w:rPr>
              <w:t>200-250</w:t>
            </w:r>
          </w:p>
        </w:tc>
        <w:tc>
          <w:tcPr>
            <w:tcW w:w="1440" w:type="dxa"/>
          </w:tcPr>
          <w:p w14:paraId="6D52384D">
            <w:pPr>
              <w:widowControl w:val="0"/>
              <w:spacing w:after="0" w:line="240" w:lineRule="auto"/>
              <w:jc w:val="center"/>
              <w:rPr>
                <w:color w:val="auto"/>
                <w:sz w:val="24"/>
                <w:szCs w:val="24"/>
              </w:rPr>
            </w:pPr>
            <w:r>
              <w:rPr>
                <w:color w:val="auto"/>
                <w:sz w:val="24"/>
                <w:szCs w:val="24"/>
              </w:rPr>
              <w:t>200-250</w:t>
            </w:r>
          </w:p>
        </w:tc>
      </w:tr>
      <w:tr w14:paraId="58C29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20" w:type="dxa"/>
          </w:tcPr>
          <w:p w14:paraId="70BB3550">
            <w:pPr>
              <w:widowControl w:val="0"/>
              <w:spacing w:after="0" w:line="240" w:lineRule="auto"/>
              <w:jc w:val="left"/>
              <w:rPr>
                <w:color w:val="auto"/>
                <w:sz w:val="24"/>
                <w:szCs w:val="24"/>
              </w:rPr>
            </w:pPr>
            <w:r>
              <w:rPr>
                <w:rFonts w:hint="default" w:ascii="Times New Roman" w:hAnsi="Times New Roman" w:cs="Times New Roman"/>
                <w:b w:val="0"/>
                <w:bCs w:val="0"/>
                <w:color w:val="auto"/>
                <w:sz w:val="24"/>
                <w:szCs w:val="24"/>
              </w:rPr>
              <w:t>Барлығы</w:t>
            </w:r>
          </w:p>
        </w:tc>
        <w:tc>
          <w:tcPr>
            <w:tcW w:w="1152" w:type="dxa"/>
          </w:tcPr>
          <w:p w14:paraId="1F38054F">
            <w:pPr>
              <w:widowControl w:val="0"/>
              <w:spacing w:after="0" w:line="240" w:lineRule="auto"/>
              <w:jc w:val="center"/>
              <w:rPr>
                <w:color w:val="auto"/>
                <w:sz w:val="24"/>
                <w:szCs w:val="24"/>
              </w:rPr>
            </w:pPr>
            <w:r>
              <w:rPr>
                <w:b/>
                <w:color w:val="auto"/>
                <w:sz w:val="24"/>
                <w:szCs w:val="24"/>
              </w:rPr>
              <w:t>-</w:t>
            </w:r>
          </w:p>
        </w:tc>
        <w:tc>
          <w:tcPr>
            <w:tcW w:w="1152" w:type="dxa"/>
          </w:tcPr>
          <w:p w14:paraId="1343E134">
            <w:pPr>
              <w:widowControl w:val="0"/>
              <w:spacing w:after="0" w:line="240" w:lineRule="auto"/>
              <w:jc w:val="center"/>
              <w:rPr>
                <w:color w:val="auto"/>
                <w:sz w:val="24"/>
                <w:szCs w:val="24"/>
              </w:rPr>
            </w:pPr>
            <w:r>
              <w:rPr>
                <w:b/>
                <w:color w:val="auto"/>
                <w:sz w:val="24"/>
                <w:szCs w:val="24"/>
              </w:rPr>
              <w:t>-</w:t>
            </w:r>
          </w:p>
        </w:tc>
        <w:tc>
          <w:tcPr>
            <w:tcW w:w="1440" w:type="dxa"/>
          </w:tcPr>
          <w:p w14:paraId="418DD5F3">
            <w:pPr>
              <w:widowControl w:val="0"/>
              <w:spacing w:after="0" w:line="240" w:lineRule="auto"/>
              <w:jc w:val="center"/>
              <w:rPr>
                <w:color w:val="auto"/>
                <w:sz w:val="24"/>
                <w:szCs w:val="24"/>
              </w:rPr>
            </w:pPr>
            <w:r>
              <w:rPr>
                <w:b/>
                <w:color w:val="auto"/>
                <w:sz w:val="24"/>
                <w:szCs w:val="24"/>
              </w:rPr>
              <w:t>-</w:t>
            </w:r>
          </w:p>
        </w:tc>
        <w:tc>
          <w:tcPr>
            <w:tcW w:w="1440" w:type="dxa"/>
          </w:tcPr>
          <w:p w14:paraId="1DEC8D48">
            <w:pPr>
              <w:widowControl w:val="0"/>
              <w:spacing w:after="0" w:line="240" w:lineRule="auto"/>
              <w:jc w:val="center"/>
              <w:rPr>
                <w:color w:val="auto"/>
                <w:sz w:val="24"/>
                <w:szCs w:val="24"/>
              </w:rPr>
            </w:pPr>
            <w:r>
              <w:rPr>
                <w:b w:val="0"/>
                <w:bCs/>
                <w:color w:val="auto"/>
                <w:sz w:val="24"/>
                <w:szCs w:val="24"/>
              </w:rPr>
              <w:t>700-1000</w:t>
            </w:r>
          </w:p>
        </w:tc>
      </w:tr>
    </w:tbl>
    <w:p w14:paraId="3232BA2F">
      <w:pPr>
        <w:pageBreakBefore w:val="0"/>
        <w:widowControl/>
        <w:kinsoku/>
        <w:wordWrap/>
        <w:overflowPunct/>
        <w:topLinePunct w:val="0"/>
        <w:autoSpaceDE/>
        <w:autoSpaceDN/>
        <w:bidi w:val="0"/>
        <w:adjustRightInd/>
        <w:snapToGrid/>
        <w:spacing w:after="0"/>
        <w:ind w:firstLine="709" w:firstLineChars="0"/>
        <w:textAlignment w:val="auto"/>
        <w:rPr>
          <w:rFonts w:hint="default" w:ascii="Times New Roman" w:hAnsi="Times New Roman" w:cs="Times New Roman"/>
          <w:color w:val="auto"/>
          <w:highlight w:val="green"/>
          <w:lang w:val="kk-KZ"/>
        </w:rPr>
      </w:pPr>
    </w:p>
    <w:p w14:paraId="776A7A3A">
      <w:pPr>
        <w:rPr>
          <w:rFonts w:hint="default" w:ascii="Times New Roman" w:hAnsi="Times New Roman" w:cs="Times New Roman"/>
          <w:color w:val="auto"/>
          <w:highlight w:val="green"/>
          <w:lang w:val="kk-KZ"/>
        </w:rPr>
      </w:pPr>
      <w:r>
        <w:rPr>
          <w:rFonts w:hint="default" w:ascii="Times New Roman" w:hAnsi="Times New Roman" w:cs="Times New Roman"/>
          <w:color w:val="auto"/>
          <w:highlight w:val="green"/>
          <w:lang w:val="kk-KZ"/>
        </w:rPr>
        <w:br w:type="page"/>
      </w:r>
    </w:p>
    <w:p w14:paraId="4D9B4061">
      <w:pPr>
        <w:pageBreakBefore w:val="0"/>
        <w:widowControl/>
        <w:kinsoku/>
        <w:wordWrap/>
        <w:overflowPunct/>
        <w:topLinePunct w:val="0"/>
        <w:autoSpaceDE/>
        <w:autoSpaceDN/>
        <w:bidi w:val="0"/>
        <w:adjustRightInd/>
        <w:snapToGrid/>
        <w:spacing w:after="0"/>
        <w:ind w:firstLine="709" w:firstLineChars="0"/>
        <w:textAlignment w:val="auto"/>
        <w:rPr>
          <w:rFonts w:hint="default" w:ascii="Times New Roman" w:hAnsi="Times New Roman" w:cs="Times New Roman"/>
          <w:i w:val="0"/>
          <w:iCs w:val="0"/>
          <w:color w:val="auto"/>
        </w:rPr>
      </w:pPr>
      <w:r>
        <w:rPr>
          <w:rFonts w:hint="default" w:ascii="Times New Roman" w:hAnsi="Times New Roman" w:cs="Times New Roman"/>
          <w:i w:val="0"/>
          <w:iCs w:val="0"/>
          <w:color w:val="auto"/>
        </w:rPr>
        <w:t>Практикалық қолдану үшін нормалар есебі (1 га)</w:t>
      </w:r>
    </w:p>
    <w:p w14:paraId="598A8AC8">
      <w:pPr>
        <w:pageBreakBefore w:val="0"/>
        <w:widowControl/>
        <w:kinsoku/>
        <w:wordWrap/>
        <w:overflowPunct/>
        <w:topLinePunct w:val="0"/>
        <w:autoSpaceDE/>
        <w:autoSpaceDN/>
        <w:bidi w:val="0"/>
        <w:adjustRightInd/>
        <w:snapToGrid/>
        <w:spacing w:after="0"/>
        <w:ind w:firstLine="709" w:firstLineChars="0"/>
        <w:textAlignment w:val="auto"/>
        <w:rPr>
          <w:rFonts w:hint="default" w:ascii="Times New Roman" w:hAnsi="Times New Roman" w:cs="Times New Roman"/>
          <w:i w:val="0"/>
          <w:iCs w:val="0"/>
          <w:color w:val="auto"/>
        </w:rPr>
      </w:pPr>
      <w:r>
        <w:rPr>
          <w:rFonts w:hint="default" w:ascii="Times New Roman" w:hAnsi="Times New Roman" w:cs="Times New Roman"/>
          <w:i w:val="0"/>
          <w:iCs w:val="0"/>
          <w:color w:val="auto"/>
        </w:rPr>
        <w:t>Стандартты жағдайларда қолданатын биопрепараттың қолдану схемасы:</w:t>
      </w:r>
    </w:p>
    <w:p w14:paraId="32E20CC0">
      <w:pPr>
        <w:pageBreakBefore w:val="0"/>
        <w:widowControl/>
        <w:kinsoku/>
        <w:wordWrap/>
        <w:overflowPunct/>
        <w:topLinePunct w:val="0"/>
        <w:autoSpaceDE/>
        <w:autoSpaceDN/>
        <w:bidi w:val="0"/>
        <w:adjustRightInd/>
        <w:snapToGrid/>
        <w:spacing w:after="0"/>
        <w:ind w:firstLine="709" w:firstLineChars="0"/>
        <w:textAlignment w:val="auto"/>
        <w:rPr>
          <w:rFonts w:hint="default" w:ascii="Times New Roman" w:hAnsi="Times New Roman" w:cs="Times New Roman"/>
          <w:i w:val="0"/>
          <w:iCs w:val="0"/>
          <w:color w:val="auto"/>
        </w:rPr>
      </w:pPr>
      <w:r>
        <w:rPr>
          <w:rFonts w:hint="default" w:ascii="Times New Roman" w:hAnsi="Times New Roman" w:cs="Times New Roman"/>
          <w:i w:val="0"/>
          <w:iCs w:val="0"/>
          <w:color w:val="auto"/>
        </w:rPr>
        <w:t>Өңделетін аумақ: 1 га (10 000 м²)</w:t>
      </w:r>
    </w:p>
    <w:p w14:paraId="318AE8E2">
      <w:pPr>
        <w:pageBreakBefore w:val="0"/>
        <w:widowControl/>
        <w:kinsoku/>
        <w:wordWrap/>
        <w:overflowPunct/>
        <w:topLinePunct w:val="0"/>
        <w:autoSpaceDE/>
        <w:autoSpaceDN/>
        <w:bidi w:val="0"/>
        <w:adjustRightInd/>
        <w:snapToGrid/>
        <w:spacing w:after="0"/>
        <w:ind w:firstLine="709" w:firstLineChars="0"/>
        <w:textAlignment w:val="auto"/>
        <w:rPr>
          <w:rFonts w:hint="default" w:ascii="Times New Roman" w:hAnsi="Times New Roman" w:cs="Times New Roman"/>
          <w:i w:val="0"/>
          <w:iCs w:val="0"/>
          <w:color w:val="auto"/>
        </w:rPr>
      </w:pPr>
      <w:r>
        <w:rPr>
          <w:rFonts w:hint="default" w:ascii="Times New Roman" w:hAnsi="Times New Roman" w:cs="Times New Roman"/>
          <w:i w:val="0"/>
          <w:iCs w:val="0"/>
          <w:color w:val="auto"/>
        </w:rPr>
        <w:t>Ластанудың орташа тереңдігі: 30 см</w:t>
      </w:r>
    </w:p>
    <w:p w14:paraId="792302D9">
      <w:pPr>
        <w:pageBreakBefore w:val="0"/>
        <w:widowControl/>
        <w:kinsoku/>
        <w:wordWrap/>
        <w:overflowPunct/>
        <w:topLinePunct w:val="0"/>
        <w:autoSpaceDE/>
        <w:autoSpaceDN/>
        <w:bidi w:val="0"/>
        <w:adjustRightInd/>
        <w:snapToGrid/>
        <w:spacing w:after="0"/>
        <w:ind w:firstLine="709" w:firstLineChars="0"/>
        <w:textAlignment w:val="auto"/>
        <w:rPr>
          <w:rFonts w:hint="default" w:ascii="Times New Roman" w:hAnsi="Times New Roman" w:cs="Times New Roman"/>
          <w:i w:val="0"/>
          <w:iCs w:val="0"/>
          <w:color w:val="auto"/>
        </w:rPr>
      </w:pPr>
      <w:r>
        <w:rPr>
          <w:rFonts w:hint="default" w:ascii="Times New Roman" w:hAnsi="Times New Roman" w:cs="Times New Roman"/>
          <w:i w:val="0"/>
          <w:iCs w:val="0"/>
          <w:color w:val="auto"/>
        </w:rPr>
        <w:t>Топырақ тығыздығы: 1,3 г/см³</w:t>
      </w:r>
    </w:p>
    <w:p w14:paraId="530164F6">
      <w:pPr>
        <w:pageBreakBefore w:val="0"/>
        <w:widowControl/>
        <w:kinsoku/>
        <w:wordWrap/>
        <w:overflowPunct/>
        <w:topLinePunct w:val="0"/>
        <w:autoSpaceDE/>
        <w:autoSpaceDN/>
        <w:bidi w:val="0"/>
        <w:adjustRightInd/>
        <w:snapToGrid/>
        <w:spacing w:after="0"/>
        <w:ind w:firstLine="709" w:firstLineChars="0"/>
        <w:textAlignment w:val="auto"/>
        <w:rPr>
          <w:rFonts w:hint="default" w:ascii="Times New Roman" w:hAnsi="Times New Roman" w:cs="Times New Roman"/>
          <w:i w:val="0"/>
          <w:iCs w:val="0"/>
          <w:color w:val="auto"/>
        </w:rPr>
      </w:pPr>
      <w:r>
        <w:rPr>
          <w:rFonts w:hint="default" w:ascii="Times New Roman" w:hAnsi="Times New Roman" w:cs="Times New Roman"/>
          <w:i w:val="0"/>
          <w:iCs w:val="0"/>
          <w:color w:val="auto"/>
        </w:rPr>
        <w:t>Өңделетін грунт көлемі: 10 000 м² × 0,3 м = 3 000 м³</w:t>
      </w:r>
    </w:p>
    <w:p w14:paraId="09493147">
      <w:pPr>
        <w:pageBreakBefore w:val="0"/>
        <w:widowControl/>
        <w:kinsoku/>
        <w:wordWrap/>
        <w:overflowPunct/>
        <w:topLinePunct w:val="0"/>
        <w:autoSpaceDE/>
        <w:autoSpaceDN/>
        <w:bidi w:val="0"/>
        <w:adjustRightInd/>
        <w:snapToGrid/>
        <w:spacing w:after="0"/>
        <w:ind w:firstLine="709" w:firstLineChars="0"/>
        <w:textAlignment w:val="auto"/>
        <w:rPr>
          <w:rFonts w:hint="default" w:ascii="Times New Roman" w:hAnsi="Times New Roman" w:cs="Times New Roman"/>
          <w:i w:val="0"/>
          <w:iCs w:val="0"/>
          <w:color w:val="auto"/>
        </w:rPr>
      </w:pPr>
      <w:r>
        <w:rPr>
          <w:rFonts w:hint="default" w:ascii="Times New Roman" w:hAnsi="Times New Roman" w:cs="Times New Roman"/>
          <w:i w:val="0"/>
          <w:iCs w:val="0"/>
          <w:color w:val="auto"/>
        </w:rPr>
        <w:t>Өңделетін грунт массасы: 3 000 м³ × 1,3 т/м³ = 3 900 тонна/га</w:t>
      </w:r>
    </w:p>
    <w:p w14:paraId="315FE69D">
      <w:pPr>
        <w:pageBreakBefore w:val="0"/>
        <w:widowControl/>
        <w:kinsoku/>
        <w:wordWrap/>
        <w:overflowPunct/>
        <w:topLinePunct w:val="0"/>
        <w:autoSpaceDE/>
        <w:autoSpaceDN/>
        <w:bidi w:val="0"/>
        <w:adjustRightInd/>
        <w:snapToGrid/>
        <w:spacing w:after="0"/>
        <w:ind w:firstLine="709" w:firstLineChars="0"/>
        <w:textAlignment w:val="auto"/>
        <w:rPr>
          <w:rFonts w:hint="default" w:ascii="Times New Roman" w:hAnsi="Times New Roman" w:cs="Times New Roman"/>
          <w:i w:val="0"/>
          <w:iCs w:val="0"/>
          <w:color w:val="auto"/>
        </w:rPr>
      </w:pPr>
      <w:r>
        <w:rPr>
          <w:rFonts w:hint="default" w:ascii="Times New Roman" w:hAnsi="Times New Roman" w:cs="Times New Roman"/>
          <w:i w:val="0"/>
          <w:iCs w:val="0"/>
          <w:color w:val="auto"/>
        </w:rPr>
        <w:t>Биопрепарат енгізу нормасы:</w:t>
      </w:r>
    </w:p>
    <w:p w14:paraId="372D2471">
      <w:pPr>
        <w:pageBreakBefore w:val="0"/>
        <w:widowControl/>
        <w:kinsoku/>
        <w:wordWrap/>
        <w:overflowPunct/>
        <w:topLinePunct w:val="0"/>
        <w:autoSpaceDE/>
        <w:autoSpaceDN/>
        <w:bidi w:val="0"/>
        <w:adjustRightInd/>
        <w:snapToGrid/>
        <w:spacing w:after="0"/>
        <w:ind w:firstLine="709" w:firstLineChars="0"/>
        <w:textAlignment w:val="auto"/>
        <w:rPr>
          <w:rFonts w:hint="default" w:ascii="Times New Roman" w:hAnsi="Times New Roman" w:cs="Times New Roman"/>
          <w:i w:val="0"/>
          <w:iCs w:val="0"/>
          <w:color w:val="auto"/>
        </w:rPr>
      </w:pPr>
      <w:r>
        <w:rPr>
          <w:rFonts w:hint="default" w:ascii="Times New Roman" w:hAnsi="Times New Roman" w:cs="Times New Roman"/>
          <w:i w:val="0"/>
          <w:iCs w:val="0"/>
          <w:color w:val="auto"/>
        </w:rPr>
        <w:t>Өндірістік регламент бойынша иммобилизацияланған биопрепарат суспензия түрінде қолданылады:</w:t>
      </w:r>
    </w:p>
    <w:p w14:paraId="4F89D797">
      <w:pPr>
        <w:pageBreakBefore w:val="0"/>
        <w:widowControl/>
        <w:kinsoku/>
        <w:wordWrap/>
        <w:overflowPunct/>
        <w:topLinePunct w:val="0"/>
        <w:autoSpaceDE/>
        <w:autoSpaceDN/>
        <w:bidi w:val="0"/>
        <w:adjustRightInd/>
        <w:snapToGrid/>
        <w:spacing w:after="0"/>
        <w:ind w:firstLine="709" w:firstLineChars="0"/>
        <w:textAlignment w:val="auto"/>
        <w:rPr>
          <w:rFonts w:hint="default" w:ascii="Times New Roman" w:hAnsi="Times New Roman" w:cs="Times New Roman"/>
          <w:i w:val="0"/>
          <w:iCs w:val="0"/>
          <w:color w:val="auto"/>
        </w:rPr>
      </w:pPr>
      <w:r>
        <w:rPr>
          <w:rFonts w:hint="default" w:ascii="Times New Roman" w:hAnsi="Times New Roman" w:cs="Times New Roman"/>
          <w:i w:val="0"/>
          <w:iCs w:val="0"/>
          <w:color w:val="auto"/>
        </w:rPr>
        <w:t>Суспензия нормасы: 2-3 л/м² (оңтайландырылған стандарт)</w:t>
      </w:r>
    </w:p>
    <w:p w14:paraId="63D5A434">
      <w:pPr>
        <w:pageBreakBefore w:val="0"/>
        <w:widowControl/>
        <w:kinsoku/>
        <w:wordWrap/>
        <w:overflowPunct/>
        <w:topLinePunct w:val="0"/>
        <w:autoSpaceDE/>
        <w:autoSpaceDN/>
        <w:bidi w:val="0"/>
        <w:adjustRightInd/>
        <w:snapToGrid/>
        <w:spacing w:after="0"/>
        <w:ind w:firstLine="709" w:firstLineChars="0"/>
        <w:textAlignment w:val="auto"/>
        <w:rPr>
          <w:rFonts w:hint="default" w:ascii="Times New Roman" w:hAnsi="Times New Roman" w:cs="Times New Roman"/>
          <w:i w:val="0"/>
          <w:iCs w:val="0"/>
          <w:color w:val="auto"/>
        </w:rPr>
      </w:pPr>
      <w:r>
        <w:rPr>
          <w:rFonts w:hint="default" w:ascii="Times New Roman" w:hAnsi="Times New Roman" w:cs="Times New Roman"/>
          <w:i w:val="0"/>
          <w:iCs w:val="0"/>
          <w:color w:val="auto"/>
        </w:rPr>
        <w:t>1 га үшін суспензия көлемі: 2-3 л/м² × 10 000 м² = 20 000-30 000 л = 20-30 м³</w:t>
      </w:r>
    </w:p>
    <w:p w14:paraId="1FAF022C">
      <w:pPr>
        <w:pageBreakBefore w:val="0"/>
        <w:widowControl/>
        <w:kinsoku/>
        <w:wordWrap/>
        <w:overflowPunct/>
        <w:topLinePunct w:val="0"/>
        <w:autoSpaceDE/>
        <w:autoSpaceDN/>
        <w:bidi w:val="0"/>
        <w:adjustRightInd/>
        <w:snapToGrid/>
        <w:spacing w:after="0"/>
        <w:ind w:firstLine="709" w:firstLineChars="0"/>
        <w:textAlignment w:val="auto"/>
        <w:rPr>
          <w:rFonts w:hint="default" w:ascii="Times New Roman" w:hAnsi="Times New Roman" w:cs="Times New Roman"/>
          <w:i w:val="0"/>
          <w:iCs w:val="0"/>
          <w:color w:val="auto"/>
        </w:rPr>
      </w:pPr>
      <w:r>
        <w:rPr>
          <w:rFonts w:hint="default" w:ascii="Times New Roman" w:hAnsi="Times New Roman" w:cs="Times New Roman"/>
          <w:i w:val="0"/>
          <w:iCs w:val="0"/>
          <w:color w:val="auto"/>
        </w:rPr>
        <w:t>Суспензиядағы құрғақ препарат концентрациясы: 0,33-0,5 г/л</w:t>
      </w:r>
    </w:p>
    <w:p w14:paraId="51E2C43B">
      <w:pPr>
        <w:pageBreakBefore w:val="0"/>
        <w:widowControl/>
        <w:kinsoku/>
        <w:wordWrap/>
        <w:overflowPunct/>
        <w:topLinePunct w:val="0"/>
        <w:autoSpaceDE/>
        <w:autoSpaceDN/>
        <w:bidi w:val="0"/>
        <w:adjustRightInd/>
        <w:snapToGrid/>
        <w:spacing w:after="0"/>
        <w:ind w:firstLine="709" w:firstLineChars="0"/>
        <w:textAlignment w:val="auto"/>
        <w:rPr>
          <w:rFonts w:hint="default" w:ascii="Times New Roman" w:hAnsi="Times New Roman" w:cs="Times New Roman"/>
          <w:i w:val="0"/>
          <w:iCs w:val="0"/>
          <w:color w:val="auto"/>
        </w:rPr>
      </w:pPr>
      <w:r>
        <w:rPr>
          <w:rFonts w:hint="default" w:ascii="Times New Roman" w:hAnsi="Times New Roman" w:cs="Times New Roman"/>
          <w:i w:val="0"/>
          <w:iCs w:val="0"/>
          <w:color w:val="auto"/>
        </w:rPr>
        <w:t>Құрғақ биопрепарат қажеттілігі: 20 000 л × 0,33 г/л = 6,6 кг-дан 30 000 л × 0,5 г/л = 15 кг-ға дейін, орташа есеппен ~10 кг/га</w:t>
      </w:r>
    </w:p>
    <w:p w14:paraId="64D297C3">
      <w:pPr>
        <w:pageBreakBefore w:val="0"/>
        <w:widowControl/>
        <w:kinsoku/>
        <w:wordWrap/>
        <w:overflowPunct/>
        <w:topLinePunct w:val="0"/>
        <w:autoSpaceDE/>
        <w:autoSpaceDN/>
        <w:bidi w:val="0"/>
        <w:adjustRightInd/>
        <w:snapToGrid/>
        <w:spacing w:after="0"/>
        <w:ind w:firstLine="709" w:firstLineChars="0"/>
        <w:textAlignment w:val="auto"/>
        <w:rPr>
          <w:rFonts w:hint="default" w:ascii="Times New Roman" w:hAnsi="Times New Roman" w:cs="Times New Roman"/>
          <w:i w:val="0"/>
          <w:iCs w:val="0"/>
          <w:color w:val="auto"/>
        </w:rPr>
      </w:pPr>
      <w:r>
        <w:rPr>
          <w:rFonts w:hint="default" w:ascii="Times New Roman" w:hAnsi="Times New Roman" w:cs="Times New Roman"/>
          <w:i w:val="0"/>
          <w:iCs w:val="0"/>
          <w:color w:val="auto"/>
        </w:rPr>
        <w:t>Тасымалдаушы (қарақұмық қауызы) қажеттілігі: 10 кг × 5 = 50 кг/га (биомасса:тасымалдаушы қатынасы 1:5)</w:t>
      </w:r>
    </w:p>
    <w:p w14:paraId="25AF832F">
      <w:pPr>
        <w:pageBreakBefore w:val="0"/>
        <w:widowControl/>
        <w:kinsoku/>
        <w:wordWrap/>
        <w:overflowPunct/>
        <w:topLinePunct w:val="0"/>
        <w:autoSpaceDE/>
        <w:autoSpaceDN/>
        <w:bidi w:val="0"/>
        <w:adjustRightInd/>
        <w:snapToGrid/>
        <w:spacing w:after="0"/>
        <w:ind w:firstLine="709" w:firstLineChars="0"/>
        <w:textAlignment w:val="auto"/>
        <w:rPr>
          <w:rFonts w:hint="default" w:ascii="Times New Roman" w:hAnsi="Times New Roman" w:cs="Times New Roman"/>
          <w:i w:val="0"/>
          <w:iCs w:val="0"/>
          <w:color w:val="auto"/>
        </w:rPr>
      </w:pPr>
    </w:p>
    <w:p w14:paraId="0216D41E">
      <w:pPr>
        <w:keepNext w:val="0"/>
        <w:keepLines w:val="0"/>
        <w:pageBreakBefore w:val="0"/>
        <w:widowControl/>
        <w:kinsoku/>
        <w:wordWrap/>
        <w:overflowPunct/>
        <w:topLinePunct w:val="0"/>
        <w:autoSpaceDE/>
        <w:autoSpaceDN/>
        <w:bidi w:val="0"/>
        <w:adjustRightInd/>
        <w:snapToGrid/>
        <w:textAlignment w:val="auto"/>
        <w:rPr>
          <w:rFonts w:hint="default" w:ascii="Times New Roman" w:hAnsi="Times New Roman" w:cs="Times New Roman"/>
          <w:b w:val="0"/>
          <w:bCs w:val="0"/>
          <w:color w:val="auto"/>
          <w:highlight w:val="none"/>
        </w:rPr>
      </w:pPr>
      <w:r>
        <w:rPr>
          <w:b w:val="0"/>
          <w:bCs w:val="0"/>
          <w:color w:val="auto"/>
          <w:highlight w:val="none"/>
          <w:lang w:val="kk-KZ"/>
        </w:rPr>
        <w:t>Кесте</w:t>
      </w:r>
      <w:r>
        <w:rPr>
          <w:rFonts w:hint="default"/>
          <w:b w:val="0"/>
          <w:bCs w:val="0"/>
          <w:color w:val="auto"/>
          <w:highlight w:val="none"/>
          <w:lang w:val="kk-KZ"/>
        </w:rPr>
        <w:t xml:space="preserve"> </w:t>
      </w:r>
      <w:r>
        <w:rPr>
          <w:rFonts w:hint="default"/>
          <w:b w:val="0"/>
          <w:bCs w:val="0"/>
          <w:color w:val="auto"/>
          <w:highlight w:val="none"/>
          <w:lang w:val="ru-RU"/>
        </w:rPr>
        <w:t>2</w:t>
      </w:r>
      <w:r>
        <w:rPr>
          <w:rFonts w:hint="default"/>
          <w:b w:val="0"/>
          <w:bCs w:val="0"/>
          <w:color w:val="auto"/>
          <w:highlight w:val="none"/>
          <w:lang w:val="kk-KZ"/>
        </w:rPr>
        <w:t xml:space="preserve">2 - </w:t>
      </w:r>
      <w:r>
        <w:rPr>
          <w:rFonts w:hint="default" w:ascii="Times New Roman" w:hAnsi="Times New Roman" w:cs="Times New Roman"/>
          <w:b w:val="0"/>
          <w:bCs w:val="0"/>
          <w:color w:val="auto"/>
          <w:highlight w:val="none"/>
        </w:rPr>
        <w:t>1 га өңдеуге шығындар (стандартты норма)</w:t>
      </w: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09"/>
        <w:gridCol w:w="1950"/>
        <w:gridCol w:w="2458"/>
        <w:gridCol w:w="2432"/>
      </w:tblGrid>
      <w:tr w14:paraId="72CAB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09" w:type="dxa"/>
          </w:tcPr>
          <w:p w14:paraId="58F6CE9A">
            <w:pPr>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b w:val="0"/>
                <w:bCs/>
                <w:color w:val="auto"/>
                <w:sz w:val="24"/>
                <w:szCs w:val="24"/>
              </w:rPr>
            </w:pPr>
            <w:r>
              <w:rPr>
                <w:rFonts w:hint="default" w:ascii="Times New Roman" w:hAnsi="Times New Roman" w:cs="Times New Roman"/>
                <w:b w:val="0"/>
                <w:bCs/>
                <w:color w:val="auto"/>
                <w:sz w:val="24"/>
                <w:szCs w:val="24"/>
              </w:rPr>
              <w:t>Шығын баптары</w:t>
            </w:r>
          </w:p>
        </w:tc>
        <w:tc>
          <w:tcPr>
            <w:tcW w:w="1950" w:type="dxa"/>
          </w:tcPr>
          <w:p w14:paraId="6C67CBD0">
            <w:pPr>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val="0"/>
                <w:bCs/>
                <w:color w:val="auto"/>
                <w:sz w:val="24"/>
                <w:szCs w:val="24"/>
              </w:rPr>
            </w:pPr>
            <w:r>
              <w:rPr>
                <w:rFonts w:hint="default" w:ascii="Times New Roman" w:hAnsi="Times New Roman" w:cs="Times New Roman"/>
                <w:b w:val="0"/>
                <w:bCs/>
                <w:color w:val="auto"/>
                <w:sz w:val="24"/>
                <w:szCs w:val="24"/>
              </w:rPr>
              <w:t>Шығын</w:t>
            </w:r>
          </w:p>
        </w:tc>
        <w:tc>
          <w:tcPr>
            <w:tcW w:w="2458" w:type="dxa"/>
          </w:tcPr>
          <w:p w14:paraId="1CB36563">
            <w:pPr>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val="0"/>
                <w:bCs/>
                <w:color w:val="auto"/>
                <w:sz w:val="24"/>
                <w:szCs w:val="24"/>
              </w:rPr>
            </w:pPr>
            <w:r>
              <w:rPr>
                <w:rFonts w:hint="default" w:ascii="Times New Roman" w:hAnsi="Times New Roman" w:cs="Times New Roman"/>
                <w:b w:val="0"/>
                <w:bCs/>
                <w:color w:val="auto"/>
                <w:sz w:val="24"/>
                <w:szCs w:val="24"/>
              </w:rPr>
              <w:t>Бағасы</w:t>
            </w:r>
          </w:p>
        </w:tc>
        <w:tc>
          <w:tcPr>
            <w:tcW w:w="2432" w:type="dxa"/>
          </w:tcPr>
          <w:p w14:paraId="6D714E65">
            <w:pPr>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val="0"/>
                <w:bCs/>
                <w:color w:val="auto"/>
                <w:sz w:val="24"/>
                <w:szCs w:val="24"/>
              </w:rPr>
            </w:pPr>
            <w:r>
              <w:rPr>
                <w:rFonts w:hint="default" w:ascii="Times New Roman" w:hAnsi="Times New Roman" w:cs="Times New Roman"/>
                <w:b w:val="0"/>
                <w:bCs/>
                <w:color w:val="auto"/>
                <w:sz w:val="24"/>
                <w:szCs w:val="24"/>
              </w:rPr>
              <w:t>Құны, мың тг.</w:t>
            </w:r>
          </w:p>
        </w:tc>
      </w:tr>
      <w:tr w14:paraId="03EFD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09" w:type="dxa"/>
          </w:tcPr>
          <w:p w14:paraId="600FEDC0">
            <w:pPr>
              <w:pageBreakBefore w:val="0"/>
              <w:widowControl/>
              <w:kinsoku/>
              <w:wordWrap/>
              <w:overflowPunct/>
              <w:topLinePunct w:val="0"/>
              <w:autoSpaceDE/>
              <w:autoSpaceDN/>
              <w:bidi w:val="0"/>
              <w:adjustRightInd/>
              <w:snapToGrid/>
              <w:spacing w:after="0" w:line="240" w:lineRule="auto"/>
              <w:jc w:val="left"/>
              <w:textAlignment w:val="auto"/>
              <w:rPr>
                <w:rFonts w:hint="default" w:ascii="Times New Roman" w:hAnsi="Times New Roman" w:cs="Times New Roman"/>
                <w:color w:val="auto"/>
                <w:sz w:val="24"/>
                <w:szCs w:val="24"/>
              </w:rPr>
            </w:pPr>
            <w:r>
              <w:rPr>
                <w:rFonts w:hint="default" w:ascii="Times New Roman" w:hAnsi="Times New Roman" w:eastAsia="SimSun" w:cs="Times New Roman"/>
                <w:color w:val="auto"/>
                <w:sz w:val="24"/>
                <w:szCs w:val="24"/>
              </w:rPr>
              <w:t>Иммобилизацияланған биопрепарат (</w:t>
            </w:r>
            <w:r>
              <w:rPr>
                <w:rFonts w:hint="default" w:ascii="Times New Roman" w:hAnsi="Times New Roman" w:eastAsia="SimSun" w:cs="Times New Roman"/>
                <w:i/>
                <w:iCs/>
                <w:color w:val="auto"/>
                <w:sz w:val="24"/>
                <w:szCs w:val="24"/>
              </w:rPr>
              <w:t>Dietzia maris 22K + Rhodococcus erythropolis AT7</w:t>
            </w:r>
            <w:r>
              <w:rPr>
                <w:rFonts w:ascii="SimSun" w:hAnsi="SimSun" w:eastAsia="SimSun" w:cs="SimSun"/>
                <w:color w:val="auto"/>
                <w:sz w:val="24"/>
                <w:szCs w:val="24"/>
              </w:rPr>
              <w:t>)</w:t>
            </w:r>
          </w:p>
        </w:tc>
        <w:tc>
          <w:tcPr>
            <w:tcW w:w="1950" w:type="dxa"/>
          </w:tcPr>
          <w:p w14:paraId="46971EE5">
            <w:pPr>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10 кг</w:t>
            </w:r>
          </w:p>
        </w:tc>
        <w:tc>
          <w:tcPr>
            <w:tcW w:w="2458" w:type="dxa"/>
          </w:tcPr>
          <w:p w14:paraId="28F52049">
            <w:pPr>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color w:val="auto"/>
                <w:sz w:val="24"/>
                <w:szCs w:val="24"/>
              </w:rPr>
            </w:pPr>
            <w:r>
              <w:rPr>
                <w:rFonts w:hint="default" w:cs="Times New Roman"/>
                <w:color w:val="auto"/>
                <w:sz w:val="24"/>
                <w:szCs w:val="24"/>
                <w:lang w:val="kk-KZ"/>
              </w:rPr>
              <w:t>2000</w:t>
            </w:r>
            <w:r>
              <w:rPr>
                <w:rFonts w:hint="default" w:ascii="Times New Roman" w:hAnsi="Times New Roman" w:cs="Times New Roman"/>
                <w:color w:val="auto"/>
                <w:sz w:val="24"/>
                <w:szCs w:val="24"/>
              </w:rPr>
              <w:t>-</w:t>
            </w:r>
            <w:r>
              <w:rPr>
                <w:rFonts w:hint="default" w:cs="Times New Roman"/>
                <w:color w:val="auto"/>
                <w:sz w:val="24"/>
                <w:szCs w:val="24"/>
                <w:lang w:val="kk-KZ"/>
              </w:rPr>
              <w:t>3</w:t>
            </w:r>
            <w:r>
              <w:rPr>
                <w:rFonts w:hint="default" w:ascii="Times New Roman" w:hAnsi="Times New Roman" w:cs="Times New Roman"/>
                <w:color w:val="auto"/>
                <w:sz w:val="24"/>
                <w:szCs w:val="24"/>
              </w:rPr>
              <w:t>000 тг/кг</w:t>
            </w:r>
          </w:p>
        </w:tc>
        <w:tc>
          <w:tcPr>
            <w:tcW w:w="2432" w:type="dxa"/>
          </w:tcPr>
          <w:p w14:paraId="3ADE5ECE">
            <w:pPr>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color w:val="auto"/>
                <w:sz w:val="24"/>
                <w:szCs w:val="24"/>
                <w:lang w:val="kk-KZ"/>
              </w:rPr>
            </w:pPr>
            <w:r>
              <w:rPr>
                <w:rFonts w:hint="default" w:cs="Times New Roman"/>
                <w:color w:val="auto"/>
                <w:sz w:val="24"/>
                <w:szCs w:val="24"/>
                <w:lang w:val="kk-KZ"/>
              </w:rPr>
              <w:t>20</w:t>
            </w:r>
            <w:r>
              <w:rPr>
                <w:rFonts w:hint="default" w:ascii="Times New Roman" w:hAnsi="Times New Roman" w:cs="Times New Roman"/>
                <w:color w:val="auto"/>
                <w:sz w:val="24"/>
                <w:szCs w:val="24"/>
              </w:rPr>
              <w:t>-</w:t>
            </w:r>
            <w:r>
              <w:rPr>
                <w:rFonts w:hint="default" w:cs="Times New Roman"/>
                <w:color w:val="auto"/>
                <w:sz w:val="24"/>
                <w:szCs w:val="24"/>
                <w:lang w:val="kk-KZ"/>
              </w:rPr>
              <w:t>30</w:t>
            </w:r>
          </w:p>
        </w:tc>
      </w:tr>
      <w:tr w14:paraId="17B50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09" w:type="dxa"/>
          </w:tcPr>
          <w:p w14:paraId="56F92B01">
            <w:pPr>
              <w:pageBreakBefore w:val="0"/>
              <w:widowControl/>
              <w:kinsoku/>
              <w:wordWrap/>
              <w:overflowPunct/>
              <w:topLinePunct w:val="0"/>
              <w:autoSpaceDE/>
              <w:autoSpaceDN/>
              <w:bidi w:val="0"/>
              <w:adjustRightInd/>
              <w:snapToGrid/>
              <w:spacing w:after="0" w:line="240" w:lineRule="auto"/>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Тасымалдаушылар дайындау (қарақұмық/күріш қауыздары)</w:t>
            </w:r>
          </w:p>
        </w:tc>
        <w:tc>
          <w:tcPr>
            <w:tcW w:w="1950" w:type="dxa"/>
          </w:tcPr>
          <w:p w14:paraId="3AAA783C">
            <w:pPr>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color w:val="auto"/>
                <w:sz w:val="24"/>
                <w:szCs w:val="24"/>
              </w:rPr>
            </w:pPr>
            <w:r>
              <w:rPr>
                <w:rFonts w:hint="default" w:cs="Times New Roman"/>
                <w:color w:val="auto"/>
                <w:sz w:val="24"/>
                <w:szCs w:val="24"/>
                <w:lang w:val="kk-KZ"/>
              </w:rPr>
              <w:t>5</w:t>
            </w:r>
            <w:r>
              <w:rPr>
                <w:rFonts w:hint="default" w:ascii="Times New Roman" w:hAnsi="Times New Roman" w:cs="Times New Roman"/>
                <w:color w:val="auto"/>
                <w:sz w:val="24"/>
                <w:szCs w:val="24"/>
              </w:rPr>
              <w:t>0 кг</w:t>
            </w:r>
          </w:p>
        </w:tc>
        <w:tc>
          <w:tcPr>
            <w:tcW w:w="2458" w:type="dxa"/>
          </w:tcPr>
          <w:p w14:paraId="1D82CD8F">
            <w:pPr>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color w:val="auto"/>
                <w:sz w:val="24"/>
                <w:szCs w:val="24"/>
              </w:rPr>
            </w:pPr>
            <w:r>
              <w:rPr>
                <w:rFonts w:hint="default" w:cs="Times New Roman"/>
                <w:color w:val="auto"/>
                <w:sz w:val="24"/>
                <w:szCs w:val="24"/>
                <w:lang w:val="kk-KZ"/>
              </w:rPr>
              <w:t>200</w:t>
            </w:r>
            <w:r>
              <w:rPr>
                <w:rFonts w:hint="default" w:ascii="Times New Roman" w:hAnsi="Times New Roman" w:cs="Times New Roman"/>
                <w:color w:val="auto"/>
                <w:sz w:val="24"/>
                <w:szCs w:val="24"/>
              </w:rPr>
              <w:t>-</w:t>
            </w:r>
            <w:r>
              <w:rPr>
                <w:rFonts w:hint="default" w:cs="Times New Roman"/>
                <w:color w:val="auto"/>
                <w:sz w:val="24"/>
                <w:szCs w:val="24"/>
                <w:lang w:val="kk-KZ"/>
              </w:rPr>
              <w:t>4</w:t>
            </w:r>
            <w:r>
              <w:rPr>
                <w:rFonts w:hint="default" w:ascii="Times New Roman" w:hAnsi="Times New Roman" w:cs="Times New Roman"/>
                <w:color w:val="auto"/>
                <w:sz w:val="24"/>
                <w:szCs w:val="24"/>
              </w:rPr>
              <w:t>00 тг/кг</w:t>
            </w:r>
          </w:p>
        </w:tc>
        <w:tc>
          <w:tcPr>
            <w:tcW w:w="2432" w:type="dxa"/>
          </w:tcPr>
          <w:p w14:paraId="161CFB2E">
            <w:pPr>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color w:val="auto"/>
                <w:sz w:val="24"/>
                <w:szCs w:val="24"/>
                <w:lang w:val="kk-KZ"/>
              </w:rPr>
            </w:pPr>
            <w:r>
              <w:rPr>
                <w:rFonts w:hint="default" w:cs="Times New Roman"/>
                <w:color w:val="auto"/>
                <w:sz w:val="24"/>
                <w:szCs w:val="24"/>
                <w:lang w:val="kk-KZ"/>
              </w:rPr>
              <w:t>10</w:t>
            </w:r>
            <w:r>
              <w:rPr>
                <w:rFonts w:hint="default" w:ascii="Times New Roman" w:hAnsi="Times New Roman" w:cs="Times New Roman"/>
                <w:color w:val="auto"/>
                <w:sz w:val="24"/>
                <w:szCs w:val="24"/>
              </w:rPr>
              <w:t>-</w:t>
            </w:r>
            <w:r>
              <w:rPr>
                <w:rFonts w:hint="default" w:cs="Times New Roman"/>
                <w:color w:val="auto"/>
                <w:sz w:val="24"/>
                <w:szCs w:val="24"/>
                <w:lang w:val="kk-KZ"/>
              </w:rPr>
              <w:t>20</w:t>
            </w:r>
          </w:p>
        </w:tc>
      </w:tr>
      <w:tr w14:paraId="56BA5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09" w:type="dxa"/>
          </w:tcPr>
          <w:p w14:paraId="515A5A16">
            <w:pPr>
              <w:pageBreakBefore w:val="0"/>
              <w:widowControl/>
              <w:kinsoku/>
              <w:wordWrap/>
              <w:overflowPunct/>
              <w:topLinePunct w:val="0"/>
              <w:autoSpaceDE/>
              <w:autoSpaceDN/>
              <w:bidi w:val="0"/>
              <w:adjustRightInd/>
              <w:snapToGrid/>
              <w:spacing w:after="0" w:line="240" w:lineRule="auto"/>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Су (суспензия дайындау және ылғалдандыру)</w:t>
            </w:r>
          </w:p>
        </w:tc>
        <w:tc>
          <w:tcPr>
            <w:tcW w:w="1950" w:type="dxa"/>
          </w:tcPr>
          <w:p w14:paraId="59E825BA">
            <w:pPr>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color w:val="auto"/>
                <w:sz w:val="24"/>
                <w:szCs w:val="24"/>
              </w:rPr>
            </w:pPr>
            <w:r>
              <w:rPr>
                <w:rFonts w:hint="default" w:cs="Times New Roman"/>
                <w:color w:val="auto"/>
                <w:sz w:val="24"/>
                <w:szCs w:val="24"/>
                <w:lang w:val="kk-KZ"/>
              </w:rPr>
              <w:t>20-30</w:t>
            </w:r>
            <w:r>
              <w:rPr>
                <w:rFonts w:hint="default" w:ascii="Times New Roman" w:hAnsi="Times New Roman" w:cs="Times New Roman"/>
                <w:color w:val="auto"/>
                <w:sz w:val="24"/>
                <w:szCs w:val="24"/>
              </w:rPr>
              <w:t xml:space="preserve"> м³</w:t>
            </w:r>
          </w:p>
        </w:tc>
        <w:tc>
          <w:tcPr>
            <w:tcW w:w="2458" w:type="dxa"/>
          </w:tcPr>
          <w:p w14:paraId="077D2423">
            <w:pPr>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400-600 тг/м³</w:t>
            </w:r>
          </w:p>
        </w:tc>
        <w:tc>
          <w:tcPr>
            <w:tcW w:w="2432" w:type="dxa"/>
          </w:tcPr>
          <w:p w14:paraId="10BC45E3">
            <w:pPr>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color w:val="auto"/>
                <w:sz w:val="24"/>
                <w:szCs w:val="24"/>
                <w:lang w:val="kk-KZ"/>
              </w:rPr>
            </w:pPr>
            <w:r>
              <w:rPr>
                <w:rFonts w:hint="default" w:cs="Times New Roman"/>
                <w:color w:val="auto"/>
                <w:sz w:val="24"/>
                <w:szCs w:val="24"/>
                <w:lang w:val="kk-KZ"/>
              </w:rPr>
              <w:t>8</w:t>
            </w:r>
            <w:r>
              <w:rPr>
                <w:rFonts w:hint="default" w:ascii="Times New Roman" w:hAnsi="Times New Roman" w:cs="Times New Roman"/>
                <w:color w:val="auto"/>
                <w:sz w:val="24"/>
                <w:szCs w:val="24"/>
              </w:rPr>
              <w:t>-</w:t>
            </w:r>
            <w:r>
              <w:rPr>
                <w:rFonts w:hint="default" w:cs="Times New Roman"/>
                <w:color w:val="auto"/>
                <w:sz w:val="24"/>
                <w:szCs w:val="24"/>
                <w:lang w:val="kk-KZ"/>
              </w:rPr>
              <w:t>18</w:t>
            </w:r>
          </w:p>
        </w:tc>
      </w:tr>
      <w:tr w14:paraId="3A42D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09" w:type="dxa"/>
          </w:tcPr>
          <w:p w14:paraId="427E4C88">
            <w:pPr>
              <w:pageBreakBefore w:val="0"/>
              <w:widowControl/>
              <w:kinsoku/>
              <w:wordWrap/>
              <w:overflowPunct/>
              <w:topLinePunct w:val="0"/>
              <w:autoSpaceDE/>
              <w:autoSpaceDN/>
              <w:bidi w:val="0"/>
              <w:adjustRightInd/>
              <w:snapToGrid/>
              <w:spacing w:after="0" w:line="240" w:lineRule="auto"/>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Техника (</w:t>
            </w:r>
            <w:r>
              <w:rPr>
                <w:rFonts w:hint="default" w:cs="Times New Roman"/>
                <w:color w:val="auto"/>
                <w:sz w:val="24"/>
                <w:szCs w:val="24"/>
                <w:lang w:val="kk-KZ"/>
              </w:rPr>
              <w:t>төсеу</w:t>
            </w:r>
            <w:r>
              <w:rPr>
                <w:rFonts w:hint="default" w:ascii="Times New Roman" w:hAnsi="Times New Roman" w:cs="Times New Roman"/>
                <w:color w:val="auto"/>
                <w:sz w:val="24"/>
                <w:szCs w:val="24"/>
              </w:rPr>
              <w:t>, қопсыту)</w:t>
            </w:r>
          </w:p>
        </w:tc>
        <w:tc>
          <w:tcPr>
            <w:tcW w:w="1950" w:type="dxa"/>
          </w:tcPr>
          <w:p w14:paraId="6CB65DC9">
            <w:pPr>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w:t>
            </w:r>
          </w:p>
        </w:tc>
        <w:tc>
          <w:tcPr>
            <w:tcW w:w="2458" w:type="dxa"/>
          </w:tcPr>
          <w:p w14:paraId="2A4F44C9">
            <w:pPr>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w:t>
            </w:r>
          </w:p>
        </w:tc>
        <w:tc>
          <w:tcPr>
            <w:tcW w:w="2432" w:type="dxa"/>
          </w:tcPr>
          <w:p w14:paraId="192FBB8B">
            <w:pPr>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color w:val="auto"/>
                <w:sz w:val="24"/>
                <w:szCs w:val="24"/>
                <w:lang w:val="kk-KZ"/>
              </w:rPr>
            </w:pPr>
            <w:r>
              <w:rPr>
                <w:rFonts w:hint="default" w:cs="Times New Roman"/>
                <w:color w:val="auto"/>
                <w:sz w:val="24"/>
                <w:szCs w:val="24"/>
                <w:lang w:val="kk-KZ"/>
              </w:rPr>
              <w:t>80</w:t>
            </w:r>
            <w:r>
              <w:rPr>
                <w:rFonts w:hint="default" w:ascii="Times New Roman" w:hAnsi="Times New Roman" w:cs="Times New Roman"/>
                <w:color w:val="auto"/>
                <w:sz w:val="24"/>
                <w:szCs w:val="24"/>
              </w:rPr>
              <w:t>-1</w:t>
            </w:r>
            <w:r>
              <w:rPr>
                <w:rFonts w:hint="default" w:cs="Times New Roman"/>
                <w:color w:val="auto"/>
                <w:sz w:val="24"/>
                <w:szCs w:val="24"/>
                <w:lang w:val="kk-KZ"/>
              </w:rPr>
              <w:t>20</w:t>
            </w:r>
          </w:p>
        </w:tc>
      </w:tr>
      <w:tr w14:paraId="24CB2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09" w:type="dxa"/>
          </w:tcPr>
          <w:p w14:paraId="1F60417A">
            <w:pPr>
              <w:pageBreakBefore w:val="0"/>
              <w:widowControl/>
              <w:kinsoku/>
              <w:wordWrap/>
              <w:overflowPunct/>
              <w:topLinePunct w:val="0"/>
              <w:autoSpaceDE/>
              <w:autoSpaceDN/>
              <w:bidi w:val="0"/>
              <w:adjustRightInd/>
              <w:snapToGrid/>
              <w:spacing w:after="0" w:line="240" w:lineRule="auto"/>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Электр энергиясы (араластыру, полив)</w:t>
            </w:r>
          </w:p>
        </w:tc>
        <w:tc>
          <w:tcPr>
            <w:tcW w:w="1950" w:type="dxa"/>
          </w:tcPr>
          <w:p w14:paraId="6A300B24">
            <w:pPr>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color w:val="auto"/>
                <w:sz w:val="24"/>
                <w:szCs w:val="24"/>
              </w:rPr>
            </w:pPr>
            <w:r>
              <w:rPr>
                <w:rFonts w:hint="default" w:cs="Times New Roman"/>
                <w:color w:val="auto"/>
                <w:sz w:val="24"/>
                <w:szCs w:val="24"/>
                <w:lang w:val="kk-KZ"/>
              </w:rPr>
              <w:t>150</w:t>
            </w:r>
            <w:r>
              <w:rPr>
                <w:rFonts w:hint="default" w:ascii="Times New Roman" w:hAnsi="Times New Roman" w:cs="Times New Roman"/>
                <w:color w:val="auto"/>
                <w:sz w:val="24"/>
                <w:szCs w:val="24"/>
              </w:rPr>
              <w:t xml:space="preserve"> кВт·сағ</w:t>
            </w:r>
          </w:p>
        </w:tc>
        <w:tc>
          <w:tcPr>
            <w:tcW w:w="2458" w:type="dxa"/>
          </w:tcPr>
          <w:p w14:paraId="3E8B0B85">
            <w:pPr>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30 тг/кВт·сағ</w:t>
            </w:r>
          </w:p>
        </w:tc>
        <w:tc>
          <w:tcPr>
            <w:tcW w:w="2432" w:type="dxa"/>
          </w:tcPr>
          <w:p w14:paraId="3D24942A">
            <w:pPr>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color w:val="auto"/>
                <w:sz w:val="24"/>
                <w:szCs w:val="24"/>
                <w:lang w:val="kk-KZ"/>
              </w:rPr>
            </w:pPr>
            <w:r>
              <w:rPr>
                <w:rFonts w:hint="default" w:cs="Times New Roman"/>
                <w:color w:val="auto"/>
                <w:sz w:val="24"/>
                <w:szCs w:val="24"/>
                <w:lang w:val="kk-KZ"/>
              </w:rPr>
              <w:t>4,5-5</w:t>
            </w:r>
          </w:p>
        </w:tc>
      </w:tr>
      <w:tr w14:paraId="51342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09" w:type="dxa"/>
          </w:tcPr>
          <w:p w14:paraId="44506609">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default" w:ascii="Times New Roman" w:hAnsi="Times New Roman" w:cs="Times New Roman"/>
                <w:b w:val="0"/>
                <w:bCs w:val="0"/>
                <w:color w:val="auto"/>
                <w:sz w:val="24"/>
                <w:szCs w:val="24"/>
              </w:rPr>
            </w:pPr>
            <w:r>
              <w:rPr>
                <w:rFonts w:hint="default" w:ascii="Times New Roman" w:hAnsi="Times New Roman" w:cs="Times New Roman"/>
                <w:b w:val="0"/>
                <w:bCs w:val="0"/>
                <w:color w:val="auto"/>
                <w:sz w:val="24"/>
                <w:szCs w:val="24"/>
              </w:rPr>
              <w:t>Мониторинг және талдау</w:t>
            </w:r>
          </w:p>
        </w:tc>
        <w:tc>
          <w:tcPr>
            <w:tcW w:w="1950" w:type="dxa"/>
          </w:tcPr>
          <w:p w14:paraId="71378DB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w:t>
            </w:r>
          </w:p>
        </w:tc>
        <w:tc>
          <w:tcPr>
            <w:tcW w:w="2458" w:type="dxa"/>
          </w:tcPr>
          <w:p w14:paraId="09294412">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w:t>
            </w:r>
          </w:p>
        </w:tc>
        <w:tc>
          <w:tcPr>
            <w:tcW w:w="2432" w:type="dxa"/>
          </w:tcPr>
          <w:p w14:paraId="6B36104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color w:val="auto"/>
                <w:sz w:val="24"/>
                <w:szCs w:val="24"/>
              </w:rPr>
            </w:pPr>
            <w:r>
              <w:rPr>
                <w:rFonts w:hint="default" w:cs="Times New Roman"/>
                <w:color w:val="auto"/>
                <w:sz w:val="24"/>
                <w:szCs w:val="24"/>
                <w:lang w:val="kk-KZ"/>
              </w:rPr>
              <w:t>4</w:t>
            </w:r>
            <w:r>
              <w:rPr>
                <w:rFonts w:hint="default" w:ascii="Times New Roman" w:hAnsi="Times New Roman" w:cs="Times New Roman"/>
                <w:color w:val="auto"/>
                <w:sz w:val="24"/>
                <w:szCs w:val="24"/>
              </w:rPr>
              <w:t>0-</w:t>
            </w:r>
            <w:r>
              <w:rPr>
                <w:rFonts w:hint="default" w:cs="Times New Roman"/>
                <w:color w:val="auto"/>
                <w:sz w:val="24"/>
                <w:szCs w:val="24"/>
                <w:lang w:val="kk-KZ"/>
              </w:rPr>
              <w:t>6</w:t>
            </w:r>
            <w:r>
              <w:rPr>
                <w:rFonts w:hint="default" w:ascii="Times New Roman" w:hAnsi="Times New Roman" w:cs="Times New Roman"/>
                <w:color w:val="auto"/>
                <w:sz w:val="24"/>
                <w:szCs w:val="24"/>
              </w:rPr>
              <w:t>0</w:t>
            </w:r>
          </w:p>
        </w:tc>
      </w:tr>
      <w:tr w14:paraId="1DDB9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09" w:type="dxa"/>
          </w:tcPr>
          <w:p w14:paraId="530503BD">
            <w:pPr>
              <w:keepNext w:val="0"/>
              <w:keepLines w:val="0"/>
              <w:pageBreakBefore w:val="0"/>
              <w:widowControl/>
              <w:kinsoku/>
              <w:wordWrap/>
              <w:overflowPunct/>
              <w:topLinePunct w:val="0"/>
              <w:autoSpaceDE/>
              <w:autoSpaceDN/>
              <w:bidi w:val="0"/>
              <w:adjustRightInd/>
              <w:snapToGrid/>
              <w:spacing w:after="0" w:line="240" w:lineRule="auto"/>
              <w:jc w:val="left"/>
              <w:textAlignment w:val="auto"/>
              <w:rPr>
                <w:rFonts w:hint="default" w:ascii="Times New Roman" w:hAnsi="Times New Roman" w:cs="Times New Roman"/>
                <w:b w:val="0"/>
                <w:bCs w:val="0"/>
                <w:color w:val="auto"/>
                <w:sz w:val="24"/>
                <w:szCs w:val="24"/>
              </w:rPr>
            </w:pPr>
            <w:r>
              <w:rPr>
                <w:rFonts w:hint="default" w:ascii="Times New Roman" w:hAnsi="Times New Roman" w:cs="Times New Roman"/>
                <w:b w:val="0"/>
                <w:bCs w:val="0"/>
                <w:color w:val="auto"/>
                <w:sz w:val="24"/>
                <w:szCs w:val="24"/>
              </w:rPr>
              <w:t>Барлығы</w:t>
            </w:r>
          </w:p>
        </w:tc>
        <w:tc>
          <w:tcPr>
            <w:tcW w:w="1950" w:type="dxa"/>
          </w:tcPr>
          <w:p w14:paraId="0E3FD8E2">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color w:val="auto"/>
                <w:sz w:val="24"/>
                <w:szCs w:val="24"/>
              </w:rPr>
            </w:pPr>
            <w:r>
              <w:rPr>
                <w:rFonts w:hint="default" w:ascii="Times New Roman" w:hAnsi="Times New Roman" w:cs="Times New Roman"/>
                <w:b/>
                <w:color w:val="auto"/>
                <w:sz w:val="24"/>
                <w:szCs w:val="24"/>
              </w:rPr>
              <w:t>-</w:t>
            </w:r>
          </w:p>
        </w:tc>
        <w:tc>
          <w:tcPr>
            <w:tcW w:w="2458" w:type="dxa"/>
          </w:tcPr>
          <w:p w14:paraId="25F42643">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color w:val="auto"/>
                <w:sz w:val="24"/>
                <w:szCs w:val="24"/>
              </w:rPr>
            </w:pPr>
            <w:r>
              <w:rPr>
                <w:rFonts w:hint="default" w:ascii="Times New Roman" w:hAnsi="Times New Roman" w:cs="Times New Roman"/>
                <w:b/>
                <w:color w:val="auto"/>
                <w:sz w:val="24"/>
                <w:szCs w:val="24"/>
              </w:rPr>
              <w:t>-</w:t>
            </w:r>
          </w:p>
        </w:tc>
        <w:tc>
          <w:tcPr>
            <w:tcW w:w="2432" w:type="dxa"/>
          </w:tcPr>
          <w:p w14:paraId="4CFC48D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color w:val="auto"/>
                <w:sz w:val="24"/>
                <w:szCs w:val="24"/>
                <w:lang w:val="kk-KZ"/>
              </w:rPr>
            </w:pPr>
            <w:r>
              <w:rPr>
                <w:rFonts w:hint="default" w:cs="Times New Roman"/>
                <w:color w:val="auto"/>
                <w:sz w:val="24"/>
                <w:szCs w:val="24"/>
                <w:lang w:val="kk-KZ"/>
              </w:rPr>
              <w:t>162,5-253</w:t>
            </w:r>
          </w:p>
        </w:tc>
      </w:tr>
    </w:tbl>
    <w:p w14:paraId="38598FD0">
      <w:pPr>
        <w:keepNext w:val="0"/>
        <w:keepLines w:val="0"/>
        <w:pageBreakBefore w:val="0"/>
        <w:widowControl/>
        <w:kinsoku/>
        <w:wordWrap/>
        <w:overflowPunct/>
        <w:topLinePunct w:val="0"/>
        <w:autoSpaceDE/>
        <w:autoSpaceDN/>
        <w:bidi w:val="0"/>
        <w:adjustRightInd/>
        <w:snapToGrid/>
        <w:spacing w:after="0"/>
        <w:ind w:firstLine="709" w:firstLineChars="0"/>
        <w:textAlignment w:val="auto"/>
        <w:rPr>
          <w:rFonts w:hint="default" w:ascii="Times New Roman" w:hAnsi="Times New Roman" w:cs="Times New Roman"/>
          <w:color w:val="auto"/>
        </w:rPr>
      </w:pPr>
    </w:p>
    <w:p w14:paraId="075DFB1E">
      <w:pPr>
        <w:pageBreakBefore w:val="0"/>
        <w:widowControl/>
        <w:kinsoku/>
        <w:wordWrap/>
        <w:overflowPunct/>
        <w:topLinePunct w:val="0"/>
        <w:autoSpaceDE/>
        <w:autoSpaceDN/>
        <w:bidi w:val="0"/>
        <w:adjustRightInd/>
        <w:snapToGrid/>
        <w:spacing w:after="0"/>
        <w:ind w:firstLine="709" w:firstLineChars="0"/>
        <w:textAlignment w:val="auto"/>
        <w:rPr>
          <w:rFonts w:hint="default" w:ascii="Times New Roman" w:hAnsi="Times New Roman" w:cs="Times New Roman"/>
          <w:i w:val="0"/>
          <w:iCs w:val="0"/>
          <w:color w:val="auto"/>
        </w:rPr>
      </w:pPr>
      <w:r>
        <w:rPr>
          <w:rFonts w:hint="default" w:ascii="Times New Roman" w:hAnsi="Times New Roman" w:cs="Times New Roman"/>
          <w:i w:val="0"/>
          <w:iCs w:val="0"/>
          <w:color w:val="auto"/>
        </w:rPr>
        <w:t>Төмен бастапқы концентрацияларда (ЖМӨ &lt; 5000 мг/кг) препарат нормасын 2 есе азайтуға болады: биопрепарат мөлшері 5 кг/га, тасымалдаушы 25 кг/га құрайды (Кесте 23).</w:t>
      </w:r>
    </w:p>
    <w:p w14:paraId="17EF6BA9">
      <w:pPr>
        <w:pageBreakBefore w:val="0"/>
        <w:widowControl/>
        <w:kinsoku/>
        <w:wordWrap/>
        <w:overflowPunct/>
        <w:topLinePunct w:val="0"/>
        <w:autoSpaceDE/>
        <w:autoSpaceDN/>
        <w:bidi w:val="0"/>
        <w:adjustRightInd/>
        <w:snapToGrid/>
        <w:spacing w:after="0"/>
        <w:ind w:firstLine="709" w:firstLineChars="0"/>
        <w:textAlignment w:val="auto"/>
        <w:rPr>
          <w:rFonts w:hint="default" w:ascii="Times New Roman" w:hAnsi="Times New Roman" w:cs="Times New Roman"/>
          <w:i w:val="0"/>
          <w:iCs w:val="0"/>
          <w:color w:val="auto"/>
        </w:rPr>
      </w:pPr>
    </w:p>
    <w:p w14:paraId="5B4C29E2">
      <w:pPr>
        <w:pageBreakBefore w:val="0"/>
        <w:widowControl/>
        <w:kinsoku/>
        <w:wordWrap/>
        <w:overflowPunct/>
        <w:topLinePunct w:val="0"/>
        <w:autoSpaceDE/>
        <w:autoSpaceDN/>
        <w:bidi w:val="0"/>
        <w:adjustRightInd/>
        <w:snapToGrid/>
        <w:spacing w:after="0"/>
        <w:ind w:firstLine="709" w:firstLineChars="0"/>
        <w:textAlignment w:val="auto"/>
        <w:rPr>
          <w:rFonts w:hint="default" w:ascii="Times New Roman" w:hAnsi="Times New Roman" w:cs="Times New Roman"/>
          <w:i w:val="0"/>
          <w:iCs w:val="0"/>
          <w:color w:val="auto"/>
        </w:rPr>
      </w:pPr>
    </w:p>
    <w:p w14:paraId="441A5C42">
      <w:pPr>
        <w:keepNext w:val="0"/>
        <w:keepLines w:val="0"/>
        <w:pageBreakBefore w:val="0"/>
        <w:widowControl/>
        <w:kinsoku/>
        <w:wordWrap/>
        <w:overflowPunct/>
        <w:topLinePunct w:val="0"/>
        <w:autoSpaceDE/>
        <w:autoSpaceDN/>
        <w:bidi w:val="0"/>
        <w:adjustRightInd/>
        <w:snapToGrid/>
        <w:spacing w:after="0"/>
        <w:textAlignment w:val="auto"/>
        <w:rPr>
          <w:rFonts w:hint="default" w:ascii="Times New Roman" w:hAnsi="Times New Roman" w:cs="Times New Roman"/>
          <w:b w:val="0"/>
          <w:bCs/>
          <w:color w:val="auto"/>
        </w:rPr>
      </w:pPr>
      <w:r>
        <w:rPr>
          <w:b w:val="0"/>
          <w:bCs w:val="0"/>
          <w:color w:val="auto"/>
          <w:highlight w:val="none"/>
          <w:lang w:val="kk-KZ"/>
        </w:rPr>
        <w:t>Кесте</w:t>
      </w:r>
      <w:r>
        <w:rPr>
          <w:rFonts w:hint="default"/>
          <w:b w:val="0"/>
          <w:bCs w:val="0"/>
          <w:color w:val="auto"/>
          <w:highlight w:val="none"/>
          <w:lang w:val="kk-KZ"/>
        </w:rPr>
        <w:t xml:space="preserve"> </w:t>
      </w:r>
      <w:r>
        <w:rPr>
          <w:rFonts w:hint="default"/>
          <w:b w:val="0"/>
          <w:bCs w:val="0"/>
          <w:color w:val="auto"/>
          <w:highlight w:val="none"/>
          <w:lang w:val="ru-RU"/>
        </w:rPr>
        <w:t>2</w:t>
      </w:r>
      <w:r>
        <w:rPr>
          <w:rFonts w:hint="default"/>
          <w:b w:val="0"/>
          <w:bCs w:val="0"/>
          <w:color w:val="auto"/>
          <w:highlight w:val="none"/>
          <w:lang w:val="kk-KZ"/>
        </w:rPr>
        <w:t xml:space="preserve">3 - </w:t>
      </w:r>
      <w:r>
        <w:rPr>
          <w:rFonts w:hint="default" w:ascii="Times New Roman" w:hAnsi="Times New Roman" w:cs="Times New Roman"/>
          <w:b w:val="0"/>
          <w:bCs/>
          <w:color w:val="auto"/>
        </w:rPr>
        <w:t xml:space="preserve"> Оңтайландырылған норма (төмен ластануда)</w:t>
      </w:r>
    </w:p>
    <w:p w14:paraId="59D136D9">
      <w:pPr>
        <w:keepNext w:val="0"/>
        <w:keepLines w:val="0"/>
        <w:pageBreakBefore w:val="0"/>
        <w:widowControl/>
        <w:kinsoku/>
        <w:wordWrap/>
        <w:overflowPunct/>
        <w:topLinePunct w:val="0"/>
        <w:autoSpaceDE/>
        <w:autoSpaceDN/>
        <w:bidi w:val="0"/>
        <w:adjustRightInd/>
        <w:snapToGrid/>
        <w:spacing w:after="0"/>
        <w:textAlignment w:val="auto"/>
        <w:rPr>
          <w:rFonts w:hint="default" w:ascii="Times New Roman" w:hAnsi="Times New Roman" w:cs="Times New Roman"/>
          <w:b w:val="0"/>
          <w:bCs/>
          <w:color w:val="auto"/>
        </w:rPr>
      </w:pPr>
    </w:p>
    <w:tbl>
      <w:tblPr>
        <w:tblStyle w:val="366"/>
        <w:tblW w:w="0" w:type="auto"/>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autofit"/>
        <w:tblCellMar>
          <w:top w:w="0" w:type="dxa"/>
          <w:left w:w="108" w:type="dxa"/>
          <w:bottom w:w="0" w:type="dxa"/>
          <w:right w:w="108" w:type="dxa"/>
        </w:tblCellMar>
      </w:tblPr>
      <w:tblGrid>
        <w:gridCol w:w="4878"/>
        <w:gridCol w:w="4582"/>
      </w:tblGrid>
      <w:tr w14:paraId="2927AA9E">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c>
          <w:tcPr>
            <w:tcW w:w="4878" w:type="dxa"/>
            <w:tcBorders>
              <w:tl2br w:val="nil"/>
              <w:tr2bl w:val="nil"/>
            </w:tcBorders>
            <w:vAlign w:val="center"/>
          </w:tcPr>
          <w:p w14:paraId="66CDA24F">
            <w:pPr>
              <w:spacing w:line="240" w:lineRule="auto"/>
              <w:jc w:val="left"/>
              <w:rPr>
                <w:rFonts w:hint="default" w:ascii="Times New Roman" w:hAnsi="Times New Roman" w:cs="Times New Roman"/>
                <w:color w:val="auto"/>
                <w:sz w:val="24"/>
                <w:szCs w:val="24"/>
              </w:rPr>
            </w:pPr>
            <w:r>
              <w:rPr>
                <w:rFonts w:ascii="Times New Roman" w:hAnsi="Times New Roman" w:eastAsia="Times New Roman" w:cs="Times New Roman"/>
                <w:b w:val="0"/>
                <w:bCs w:val="0"/>
                <w:color w:val="auto"/>
                <w:sz w:val="24"/>
                <w:szCs w:val="24"/>
              </w:rPr>
              <w:t>Биопрепарат (5 кг)</w:t>
            </w:r>
          </w:p>
        </w:tc>
        <w:tc>
          <w:tcPr>
            <w:tcW w:w="4582" w:type="dxa"/>
            <w:tcBorders>
              <w:tl2br w:val="nil"/>
              <w:tr2bl w:val="nil"/>
            </w:tcBorders>
            <w:vAlign w:val="center"/>
          </w:tcPr>
          <w:p w14:paraId="480CA5B3">
            <w:pPr>
              <w:spacing w:line="240" w:lineRule="auto"/>
              <w:jc w:val="center"/>
              <w:rPr>
                <w:rFonts w:hint="default" w:ascii="Times New Roman" w:hAnsi="Times New Roman" w:cs="Times New Roman"/>
                <w:color w:val="auto"/>
                <w:sz w:val="24"/>
                <w:szCs w:val="24"/>
              </w:rPr>
            </w:pPr>
            <w:r>
              <w:rPr>
                <w:rFonts w:ascii="Times New Roman" w:hAnsi="Times New Roman" w:eastAsia="Times New Roman" w:cs="Times New Roman"/>
                <w:b w:val="0"/>
                <w:bCs w:val="0"/>
                <w:color w:val="auto"/>
                <w:sz w:val="24"/>
                <w:szCs w:val="24"/>
              </w:rPr>
              <w:t>10-15</w:t>
            </w:r>
          </w:p>
        </w:tc>
      </w:tr>
      <w:tr w14:paraId="3049D83B">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c>
          <w:tcPr>
            <w:tcW w:w="4878" w:type="dxa"/>
            <w:tcBorders>
              <w:tl2br w:val="nil"/>
              <w:tr2bl w:val="nil"/>
            </w:tcBorders>
            <w:vAlign w:val="center"/>
          </w:tcPr>
          <w:p w14:paraId="71ADF3B1">
            <w:pPr>
              <w:spacing w:line="240" w:lineRule="auto"/>
              <w:jc w:val="left"/>
              <w:rPr>
                <w:rFonts w:hint="default" w:ascii="Times New Roman" w:hAnsi="Times New Roman" w:cs="Times New Roman"/>
                <w:color w:val="auto"/>
                <w:sz w:val="24"/>
                <w:szCs w:val="24"/>
              </w:rPr>
            </w:pPr>
            <w:r>
              <w:rPr>
                <w:rFonts w:ascii="Times New Roman" w:hAnsi="Times New Roman" w:eastAsia="Times New Roman" w:cs="Times New Roman"/>
                <w:b w:val="0"/>
                <w:bCs w:val="0"/>
                <w:color w:val="auto"/>
                <w:sz w:val="24"/>
                <w:szCs w:val="24"/>
              </w:rPr>
              <w:t>Тасымалдаушылар (25 кг)</w:t>
            </w:r>
          </w:p>
        </w:tc>
        <w:tc>
          <w:tcPr>
            <w:tcW w:w="4582" w:type="dxa"/>
            <w:tcBorders>
              <w:tl2br w:val="nil"/>
              <w:tr2bl w:val="nil"/>
            </w:tcBorders>
            <w:vAlign w:val="center"/>
          </w:tcPr>
          <w:p w14:paraId="101D6B72">
            <w:pPr>
              <w:spacing w:line="240" w:lineRule="auto"/>
              <w:jc w:val="center"/>
              <w:rPr>
                <w:rFonts w:hint="default" w:ascii="Times New Roman" w:hAnsi="Times New Roman" w:cs="Times New Roman"/>
                <w:color w:val="auto"/>
                <w:sz w:val="24"/>
                <w:szCs w:val="24"/>
              </w:rPr>
            </w:pPr>
            <w:r>
              <w:rPr>
                <w:rFonts w:ascii="Times New Roman" w:hAnsi="Times New Roman" w:eastAsia="Times New Roman" w:cs="Times New Roman"/>
                <w:b w:val="0"/>
                <w:bCs w:val="0"/>
                <w:color w:val="auto"/>
                <w:sz w:val="24"/>
                <w:szCs w:val="24"/>
              </w:rPr>
              <w:t>5-10</w:t>
            </w:r>
          </w:p>
        </w:tc>
      </w:tr>
      <w:tr w14:paraId="5F841A2F">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c>
          <w:tcPr>
            <w:tcW w:w="4878" w:type="dxa"/>
            <w:tcBorders>
              <w:tl2br w:val="nil"/>
              <w:tr2bl w:val="nil"/>
            </w:tcBorders>
            <w:vAlign w:val="center"/>
          </w:tcPr>
          <w:p w14:paraId="6D269AAF">
            <w:pPr>
              <w:spacing w:line="240" w:lineRule="auto"/>
              <w:jc w:val="left"/>
              <w:rPr>
                <w:rFonts w:hint="default" w:ascii="Times New Roman" w:hAnsi="Times New Roman" w:cs="Times New Roman"/>
                <w:color w:val="auto"/>
                <w:sz w:val="24"/>
                <w:szCs w:val="24"/>
              </w:rPr>
            </w:pPr>
            <w:r>
              <w:rPr>
                <w:rFonts w:ascii="Times New Roman" w:hAnsi="Times New Roman" w:eastAsia="Times New Roman" w:cs="Times New Roman"/>
                <w:b w:val="0"/>
                <w:bCs w:val="0"/>
                <w:color w:val="auto"/>
                <w:sz w:val="24"/>
                <w:szCs w:val="24"/>
              </w:rPr>
              <w:t>Су (10-15 м³)</w:t>
            </w:r>
          </w:p>
        </w:tc>
        <w:tc>
          <w:tcPr>
            <w:tcW w:w="4582" w:type="dxa"/>
            <w:tcBorders>
              <w:tl2br w:val="nil"/>
              <w:tr2bl w:val="nil"/>
            </w:tcBorders>
            <w:vAlign w:val="center"/>
          </w:tcPr>
          <w:p w14:paraId="46705E45">
            <w:pPr>
              <w:spacing w:line="240" w:lineRule="auto"/>
              <w:jc w:val="center"/>
              <w:rPr>
                <w:rFonts w:hint="default" w:ascii="Times New Roman" w:hAnsi="Times New Roman" w:cs="Times New Roman"/>
                <w:color w:val="auto"/>
                <w:sz w:val="24"/>
                <w:szCs w:val="24"/>
              </w:rPr>
            </w:pPr>
            <w:r>
              <w:rPr>
                <w:rFonts w:ascii="Times New Roman" w:hAnsi="Times New Roman" w:eastAsia="Times New Roman" w:cs="Times New Roman"/>
                <w:b w:val="0"/>
                <w:bCs w:val="0"/>
                <w:color w:val="auto"/>
                <w:sz w:val="24"/>
                <w:szCs w:val="24"/>
              </w:rPr>
              <w:t>4-9</w:t>
            </w:r>
          </w:p>
        </w:tc>
      </w:tr>
      <w:tr w14:paraId="07E6B2FF">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c>
          <w:tcPr>
            <w:tcW w:w="4878" w:type="dxa"/>
            <w:tcBorders>
              <w:tl2br w:val="nil"/>
              <w:tr2bl w:val="nil"/>
            </w:tcBorders>
            <w:vAlign w:val="center"/>
          </w:tcPr>
          <w:p w14:paraId="60189539">
            <w:pPr>
              <w:spacing w:line="240" w:lineRule="auto"/>
              <w:jc w:val="left"/>
              <w:rPr>
                <w:rFonts w:hint="default" w:ascii="Times New Roman" w:hAnsi="Times New Roman" w:cs="Times New Roman"/>
                <w:color w:val="auto"/>
                <w:sz w:val="24"/>
                <w:szCs w:val="24"/>
              </w:rPr>
            </w:pPr>
            <w:r>
              <w:rPr>
                <w:rFonts w:ascii="Times New Roman" w:hAnsi="Times New Roman" w:eastAsia="Times New Roman" w:cs="Times New Roman"/>
                <w:b w:val="0"/>
                <w:bCs w:val="0"/>
                <w:color w:val="auto"/>
                <w:sz w:val="24"/>
                <w:szCs w:val="24"/>
              </w:rPr>
              <w:t>Техника</w:t>
            </w:r>
          </w:p>
        </w:tc>
        <w:tc>
          <w:tcPr>
            <w:tcW w:w="4582" w:type="dxa"/>
            <w:tcBorders>
              <w:tl2br w:val="nil"/>
              <w:tr2bl w:val="nil"/>
            </w:tcBorders>
            <w:vAlign w:val="center"/>
          </w:tcPr>
          <w:p w14:paraId="2CC1F9D6">
            <w:pPr>
              <w:spacing w:line="240" w:lineRule="auto"/>
              <w:jc w:val="center"/>
              <w:rPr>
                <w:rFonts w:hint="default" w:ascii="Times New Roman" w:hAnsi="Times New Roman" w:cs="Times New Roman"/>
                <w:color w:val="auto"/>
                <w:sz w:val="24"/>
                <w:szCs w:val="24"/>
              </w:rPr>
            </w:pPr>
            <w:r>
              <w:rPr>
                <w:rFonts w:ascii="Times New Roman" w:hAnsi="Times New Roman" w:eastAsia="Times New Roman" w:cs="Times New Roman"/>
                <w:b w:val="0"/>
                <w:bCs w:val="0"/>
                <w:color w:val="auto"/>
                <w:sz w:val="24"/>
                <w:szCs w:val="24"/>
              </w:rPr>
              <w:t>60-90</w:t>
            </w:r>
          </w:p>
        </w:tc>
      </w:tr>
    </w:tbl>
    <w:p w14:paraId="32C79BC2">
      <w:pPr>
        <w:keepNext w:val="0"/>
        <w:keepLines w:val="0"/>
        <w:pageBreakBefore w:val="0"/>
        <w:widowControl/>
        <w:kinsoku/>
        <w:wordWrap/>
        <w:overflowPunct/>
        <w:topLinePunct w:val="0"/>
        <w:autoSpaceDE/>
        <w:autoSpaceDN/>
        <w:bidi w:val="0"/>
        <w:adjustRightInd/>
        <w:snapToGrid/>
        <w:spacing w:after="0"/>
        <w:textAlignment w:val="auto"/>
        <w:rPr>
          <w:b w:val="0"/>
          <w:bCs w:val="0"/>
          <w:color w:val="auto"/>
          <w:sz w:val="28"/>
          <w:szCs w:val="28"/>
          <w:highlight w:val="none"/>
          <w:lang w:val="kk-KZ"/>
        </w:rPr>
      </w:pPr>
    </w:p>
    <w:p w14:paraId="70510A1E">
      <w:pPr>
        <w:keepNext w:val="0"/>
        <w:keepLines w:val="0"/>
        <w:pageBreakBefore w:val="0"/>
        <w:widowControl/>
        <w:kinsoku/>
        <w:wordWrap/>
        <w:overflowPunct/>
        <w:topLinePunct w:val="0"/>
        <w:autoSpaceDE/>
        <w:autoSpaceDN/>
        <w:bidi w:val="0"/>
        <w:adjustRightInd/>
        <w:snapToGrid/>
        <w:spacing w:after="0"/>
        <w:ind w:firstLine="709" w:firstLineChars="0"/>
        <w:textAlignment w:val="auto"/>
        <w:rPr>
          <w:b w:val="0"/>
          <w:bCs w:val="0"/>
          <w:color w:val="auto"/>
          <w:sz w:val="28"/>
          <w:szCs w:val="28"/>
          <w:highlight w:val="none"/>
          <w:lang w:val="kk-KZ"/>
        </w:rPr>
      </w:pPr>
      <w:r>
        <w:rPr>
          <w:rFonts w:hint="default"/>
          <w:b w:val="0"/>
          <w:bCs w:val="0"/>
          <w:color w:val="auto"/>
          <w:sz w:val="28"/>
          <w:szCs w:val="28"/>
          <w:highlight w:val="none"/>
          <w:lang w:val="kk-KZ"/>
        </w:rPr>
        <w:t>24 кестеде салыстырмалы тазалау әдістерінің экономикалық талдауы көрсетілген.</w:t>
      </w:r>
    </w:p>
    <w:p w14:paraId="67CC4BFA">
      <w:pPr>
        <w:keepNext w:val="0"/>
        <w:keepLines w:val="0"/>
        <w:pageBreakBefore w:val="0"/>
        <w:widowControl/>
        <w:kinsoku/>
        <w:wordWrap/>
        <w:overflowPunct/>
        <w:topLinePunct w:val="0"/>
        <w:autoSpaceDE/>
        <w:autoSpaceDN/>
        <w:bidi w:val="0"/>
        <w:adjustRightInd/>
        <w:snapToGrid/>
        <w:spacing w:after="0"/>
        <w:textAlignment w:val="auto"/>
        <w:rPr>
          <w:b w:val="0"/>
          <w:bCs w:val="0"/>
          <w:color w:val="auto"/>
          <w:sz w:val="28"/>
          <w:szCs w:val="28"/>
          <w:highlight w:val="none"/>
          <w:lang w:val="kk-KZ"/>
        </w:rPr>
      </w:pPr>
    </w:p>
    <w:p w14:paraId="150B0F5F">
      <w:pPr>
        <w:keepNext w:val="0"/>
        <w:keepLines w:val="0"/>
        <w:pageBreakBefore w:val="0"/>
        <w:widowControl/>
        <w:kinsoku/>
        <w:wordWrap/>
        <w:overflowPunct/>
        <w:topLinePunct w:val="0"/>
        <w:autoSpaceDE/>
        <w:autoSpaceDN/>
        <w:bidi w:val="0"/>
        <w:adjustRightInd/>
        <w:snapToGrid/>
        <w:spacing w:after="0"/>
        <w:textAlignment w:val="auto"/>
        <w:rPr>
          <w:rFonts w:hint="default" w:ascii="Times New Roman" w:hAnsi="Times New Roman" w:cs="Times New Roman"/>
          <w:color w:val="auto"/>
          <w:sz w:val="28"/>
          <w:szCs w:val="28"/>
        </w:rPr>
      </w:pPr>
      <w:r>
        <w:rPr>
          <w:b w:val="0"/>
          <w:bCs w:val="0"/>
          <w:color w:val="auto"/>
          <w:sz w:val="28"/>
          <w:szCs w:val="28"/>
          <w:highlight w:val="none"/>
          <w:lang w:val="kk-KZ"/>
        </w:rPr>
        <w:t>Кесте</w:t>
      </w:r>
      <w:r>
        <w:rPr>
          <w:rFonts w:hint="default"/>
          <w:b w:val="0"/>
          <w:bCs w:val="0"/>
          <w:color w:val="auto"/>
          <w:sz w:val="28"/>
          <w:szCs w:val="28"/>
          <w:highlight w:val="none"/>
          <w:lang w:val="kk-KZ"/>
        </w:rPr>
        <w:t xml:space="preserve"> </w:t>
      </w:r>
      <w:r>
        <w:rPr>
          <w:rFonts w:hint="default"/>
          <w:b w:val="0"/>
          <w:bCs w:val="0"/>
          <w:color w:val="auto"/>
          <w:sz w:val="28"/>
          <w:szCs w:val="28"/>
          <w:highlight w:val="none"/>
          <w:lang w:val="ru-RU"/>
        </w:rPr>
        <w:t>2</w:t>
      </w:r>
      <w:r>
        <w:rPr>
          <w:rFonts w:hint="default"/>
          <w:b w:val="0"/>
          <w:bCs w:val="0"/>
          <w:color w:val="auto"/>
          <w:sz w:val="28"/>
          <w:szCs w:val="28"/>
          <w:highlight w:val="none"/>
          <w:lang w:val="kk-KZ"/>
        </w:rPr>
        <w:t xml:space="preserve">4 - </w:t>
      </w:r>
      <w:r>
        <w:rPr>
          <w:rFonts w:hint="default" w:ascii="Times New Roman" w:hAnsi="Times New Roman" w:cs="Times New Roman"/>
          <w:color w:val="auto"/>
          <w:sz w:val="28"/>
          <w:szCs w:val="28"/>
        </w:rPr>
        <w:t>Салыстырмалы экономикалық талдау</w:t>
      </w:r>
    </w:p>
    <w:p w14:paraId="16AB2851">
      <w:pPr>
        <w:keepNext w:val="0"/>
        <w:keepLines w:val="0"/>
        <w:pageBreakBefore w:val="0"/>
        <w:widowControl/>
        <w:kinsoku/>
        <w:wordWrap/>
        <w:overflowPunct/>
        <w:topLinePunct w:val="0"/>
        <w:autoSpaceDE/>
        <w:autoSpaceDN/>
        <w:bidi w:val="0"/>
        <w:adjustRightInd/>
        <w:snapToGrid/>
        <w:spacing w:after="0"/>
        <w:textAlignment w:val="auto"/>
        <w:rPr>
          <w:rFonts w:hint="default" w:ascii="Times New Roman" w:hAnsi="Times New Roman" w:cs="Times New Roman"/>
          <w:color w:val="auto"/>
          <w:sz w:val="28"/>
          <w:szCs w:val="28"/>
          <w:highlight w:val="none"/>
        </w:rPr>
      </w:pP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22"/>
        <w:gridCol w:w="2411"/>
        <w:gridCol w:w="1909"/>
        <w:gridCol w:w="1865"/>
      </w:tblGrid>
      <w:tr w14:paraId="077C5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22" w:type="dxa"/>
          </w:tcPr>
          <w:p w14:paraId="65C2C9DD">
            <w:pPr>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val="0"/>
                <w:bCs/>
                <w:color w:val="auto"/>
                <w:sz w:val="24"/>
                <w:szCs w:val="21"/>
                <w:highlight w:val="none"/>
              </w:rPr>
            </w:pPr>
            <w:r>
              <w:rPr>
                <w:rFonts w:hint="default" w:ascii="Times New Roman" w:hAnsi="Times New Roman" w:cs="Times New Roman"/>
                <w:b w:val="0"/>
                <w:bCs/>
                <w:color w:val="auto"/>
                <w:sz w:val="24"/>
                <w:szCs w:val="21"/>
                <w:highlight w:val="none"/>
              </w:rPr>
              <w:t>Әдіс</w:t>
            </w:r>
          </w:p>
        </w:tc>
        <w:tc>
          <w:tcPr>
            <w:tcW w:w="2411" w:type="dxa"/>
          </w:tcPr>
          <w:p w14:paraId="6DC09A7F">
            <w:pPr>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val="0"/>
                <w:bCs/>
                <w:color w:val="auto"/>
                <w:sz w:val="24"/>
                <w:szCs w:val="21"/>
                <w:highlight w:val="none"/>
              </w:rPr>
            </w:pPr>
            <w:r>
              <w:rPr>
                <w:rFonts w:hint="default" w:ascii="Times New Roman" w:hAnsi="Times New Roman" w:cs="Times New Roman"/>
                <w:b w:val="0"/>
                <w:bCs/>
                <w:color w:val="auto"/>
                <w:sz w:val="24"/>
                <w:szCs w:val="21"/>
                <w:highlight w:val="none"/>
              </w:rPr>
              <w:t>Құны, мың тг/га</w:t>
            </w:r>
          </w:p>
        </w:tc>
        <w:tc>
          <w:tcPr>
            <w:tcW w:w="1909" w:type="dxa"/>
          </w:tcPr>
          <w:p w14:paraId="3FB5A133">
            <w:pPr>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val="0"/>
                <w:bCs/>
                <w:color w:val="auto"/>
                <w:sz w:val="24"/>
                <w:szCs w:val="21"/>
                <w:highlight w:val="none"/>
              </w:rPr>
            </w:pPr>
            <w:r>
              <w:rPr>
                <w:rFonts w:hint="default" w:ascii="Times New Roman" w:hAnsi="Times New Roman" w:cs="Times New Roman"/>
                <w:b w:val="0"/>
                <w:bCs/>
                <w:color w:val="auto"/>
                <w:sz w:val="24"/>
                <w:szCs w:val="21"/>
                <w:highlight w:val="none"/>
              </w:rPr>
              <w:t>Мерзімі</w:t>
            </w:r>
          </w:p>
        </w:tc>
        <w:tc>
          <w:tcPr>
            <w:tcW w:w="1865" w:type="dxa"/>
          </w:tcPr>
          <w:p w14:paraId="7DA3394D">
            <w:pPr>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b w:val="0"/>
                <w:bCs/>
                <w:color w:val="auto"/>
                <w:sz w:val="24"/>
                <w:szCs w:val="21"/>
                <w:highlight w:val="none"/>
              </w:rPr>
            </w:pPr>
            <w:r>
              <w:rPr>
                <w:rFonts w:hint="default" w:ascii="Times New Roman" w:hAnsi="Times New Roman" w:cs="Times New Roman"/>
                <w:b w:val="0"/>
                <w:bCs/>
                <w:color w:val="auto"/>
                <w:sz w:val="24"/>
                <w:szCs w:val="21"/>
                <w:highlight w:val="none"/>
              </w:rPr>
              <w:t>Тиімділік, %</w:t>
            </w:r>
          </w:p>
        </w:tc>
      </w:tr>
      <w:tr w14:paraId="33CD4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22" w:type="dxa"/>
            <w:vAlign w:val="center"/>
          </w:tcPr>
          <w:p w14:paraId="1F014996">
            <w:pPr>
              <w:widowControl w:val="0"/>
              <w:jc w:val="left"/>
              <w:rPr>
                <w:rFonts w:hint="default" w:ascii="Times New Roman" w:hAnsi="Times New Roman" w:cs="Times New Roman"/>
                <w:color w:val="auto"/>
                <w:sz w:val="24"/>
                <w:szCs w:val="21"/>
                <w:highlight w:val="yellow"/>
              </w:rPr>
            </w:pPr>
            <w:r>
              <w:rPr>
                <w:rFonts w:ascii="Times New Roman" w:hAnsi="Times New Roman" w:eastAsia="Times New Roman" w:cs="Times New Roman"/>
                <w:b w:val="0"/>
                <w:bCs w:val="0"/>
                <w:color w:val="auto"/>
                <w:sz w:val="22"/>
                <w:szCs w:val="22"/>
              </w:rPr>
              <w:t>Әзірленген әдіс (оңтайл.)</w:t>
            </w:r>
          </w:p>
        </w:tc>
        <w:tc>
          <w:tcPr>
            <w:tcW w:w="2411" w:type="dxa"/>
            <w:vAlign w:val="center"/>
          </w:tcPr>
          <w:p w14:paraId="27F2C750">
            <w:pPr>
              <w:widowControl w:val="0"/>
              <w:jc w:val="center"/>
              <w:rPr>
                <w:rFonts w:hint="default" w:ascii="Times New Roman" w:hAnsi="Times New Roman" w:cs="Times New Roman"/>
                <w:color w:val="auto"/>
                <w:sz w:val="24"/>
                <w:szCs w:val="21"/>
                <w:highlight w:val="yellow"/>
              </w:rPr>
            </w:pPr>
            <w:r>
              <w:rPr>
                <w:rFonts w:ascii="Times New Roman" w:hAnsi="Times New Roman" w:eastAsia="Times New Roman" w:cs="Times New Roman"/>
                <w:b w:val="0"/>
                <w:bCs w:val="0"/>
                <w:color w:val="auto"/>
                <w:sz w:val="22"/>
                <w:szCs w:val="22"/>
              </w:rPr>
              <w:t>112-173</w:t>
            </w:r>
          </w:p>
        </w:tc>
        <w:tc>
          <w:tcPr>
            <w:tcW w:w="1909" w:type="dxa"/>
            <w:vAlign w:val="center"/>
          </w:tcPr>
          <w:p w14:paraId="6DDE33E2">
            <w:pPr>
              <w:widowControl w:val="0"/>
              <w:jc w:val="center"/>
              <w:rPr>
                <w:rFonts w:hint="default" w:ascii="Times New Roman" w:hAnsi="Times New Roman" w:cs="Times New Roman"/>
                <w:color w:val="auto"/>
                <w:sz w:val="24"/>
                <w:szCs w:val="21"/>
                <w:highlight w:val="yellow"/>
              </w:rPr>
            </w:pPr>
            <w:r>
              <w:rPr>
                <w:rFonts w:ascii="Times New Roman" w:hAnsi="Times New Roman" w:eastAsia="Times New Roman" w:cs="Times New Roman"/>
                <w:b w:val="0"/>
                <w:bCs w:val="0"/>
                <w:color w:val="auto"/>
                <w:sz w:val="22"/>
                <w:szCs w:val="22"/>
              </w:rPr>
              <w:t>45 тәулік</w:t>
            </w:r>
          </w:p>
        </w:tc>
        <w:tc>
          <w:tcPr>
            <w:tcW w:w="1865" w:type="dxa"/>
            <w:vAlign w:val="center"/>
          </w:tcPr>
          <w:p w14:paraId="1948D784">
            <w:pPr>
              <w:widowControl w:val="0"/>
              <w:jc w:val="center"/>
              <w:rPr>
                <w:rFonts w:hint="default" w:ascii="Times New Roman" w:hAnsi="Times New Roman" w:cs="Times New Roman"/>
                <w:color w:val="auto"/>
                <w:sz w:val="24"/>
                <w:szCs w:val="21"/>
                <w:highlight w:val="yellow"/>
              </w:rPr>
            </w:pPr>
            <w:r>
              <w:rPr>
                <w:rFonts w:ascii="Times New Roman" w:hAnsi="Times New Roman" w:eastAsia="Times New Roman" w:cs="Times New Roman"/>
                <w:b w:val="0"/>
                <w:bCs w:val="0"/>
                <w:color w:val="auto"/>
                <w:sz w:val="22"/>
                <w:szCs w:val="22"/>
              </w:rPr>
              <w:t>94,0</w:t>
            </w:r>
          </w:p>
        </w:tc>
      </w:tr>
      <w:tr w14:paraId="7774D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22" w:type="dxa"/>
            <w:vAlign w:val="center"/>
          </w:tcPr>
          <w:p w14:paraId="4706AEF9">
            <w:pPr>
              <w:widowControl w:val="0"/>
              <w:jc w:val="left"/>
              <w:rPr>
                <w:rFonts w:hint="default" w:ascii="Times New Roman" w:hAnsi="Times New Roman" w:cs="Times New Roman"/>
                <w:color w:val="auto"/>
                <w:sz w:val="24"/>
                <w:szCs w:val="21"/>
                <w:highlight w:val="yellow"/>
              </w:rPr>
            </w:pPr>
            <w:r>
              <w:rPr>
                <w:rFonts w:ascii="Times New Roman" w:hAnsi="Times New Roman" w:eastAsia="Times New Roman" w:cs="Times New Roman"/>
                <w:b w:val="0"/>
                <w:bCs w:val="0"/>
                <w:color w:val="auto"/>
                <w:sz w:val="22"/>
                <w:szCs w:val="22"/>
              </w:rPr>
              <w:t>Әзірленген әдіс (стандарт)</w:t>
            </w:r>
          </w:p>
        </w:tc>
        <w:tc>
          <w:tcPr>
            <w:tcW w:w="2411" w:type="dxa"/>
            <w:vAlign w:val="center"/>
          </w:tcPr>
          <w:p w14:paraId="1D609F8B">
            <w:pPr>
              <w:widowControl w:val="0"/>
              <w:jc w:val="center"/>
              <w:rPr>
                <w:rFonts w:hint="default" w:ascii="Times New Roman" w:hAnsi="Times New Roman" w:cs="Times New Roman"/>
                <w:color w:val="auto"/>
                <w:sz w:val="24"/>
                <w:szCs w:val="21"/>
                <w:highlight w:val="yellow"/>
              </w:rPr>
            </w:pPr>
            <w:r>
              <w:rPr>
                <w:rFonts w:ascii="Times New Roman" w:hAnsi="Times New Roman" w:eastAsia="Times New Roman" w:cs="Times New Roman"/>
                <w:b w:val="0"/>
                <w:bCs w:val="0"/>
                <w:color w:val="auto"/>
                <w:sz w:val="22"/>
                <w:szCs w:val="22"/>
              </w:rPr>
              <w:t>163-253</w:t>
            </w:r>
          </w:p>
        </w:tc>
        <w:tc>
          <w:tcPr>
            <w:tcW w:w="1909" w:type="dxa"/>
            <w:vAlign w:val="center"/>
          </w:tcPr>
          <w:p w14:paraId="6D03F6C5">
            <w:pPr>
              <w:widowControl w:val="0"/>
              <w:jc w:val="center"/>
              <w:rPr>
                <w:rFonts w:hint="default" w:ascii="Times New Roman" w:hAnsi="Times New Roman" w:cs="Times New Roman"/>
                <w:color w:val="auto"/>
                <w:sz w:val="24"/>
                <w:szCs w:val="21"/>
                <w:highlight w:val="yellow"/>
              </w:rPr>
            </w:pPr>
            <w:r>
              <w:rPr>
                <w:rFonts w:ascii="Times New Roman" w:hAnsi="Times New Roman" w:eastAsia="Times New Roman" w:cs="Times New Roman"/>
                <w:b w:val="0"/>
                <w:bCs w:val="0"/>
                <w:color w:val="auto"/>
                <w:sz w:val="22"/>
                <w:szCs w:val="22"/>
              </w:rPr>
              <w:t>45 тәулік</w:t>
            </w:r>
          </w:p>
        </w:tc>
        <w:tc>
          <w:tcPr>
            <w:tcW w:w="1865" w:type="dxa"/>
            <w:vAlign w:val="center"/>
          </w:tcPr>
          <w:p w14:paraId="39191CE0">
            <w:pPr>
              <w:widowControl w:val="0"/>
              <w:jc w:val="center"/>
              <w:rPr>
                <w:rFonts w:hint="default" w:ascii="Times New Roman" w:hAnsi="Times New Roman" w:cs="Times New Roman"/>
                <w:color w:val="auto"/>
                <w:sz w:val="24"/>
                <w:szCs w:val="21"/>
                <w:highlight w:val="yellow"/>
              </w:rPr>
            </w:pPr>
            <w:r>
              <w:rPr>
                <w:rFonts w:ascii="Times New Roman" w:hAnsi="Times New Roman" w:eastAsia="Times New Roman" w:cs="Times New Roman"/>
                <w:b w:val="0"/>
                <w:bCs w:val="0"/>
                <w:color w:val="auto"/>
                <w:sz w:val="22"/>
                <w:szCs w:val="22"/>
              </w:rPr>
              <w:t>94,0</w:t>
            </w:r>
          </w:p>
        </w:tc>
      </w:tr>
      <w:tr w14:paraId="619F4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22" w:type="dxa"/>
            <w:vAlign w:val="center"/>
          </w:tcPr>
          <w:p w14:paraId="3D25CD32">
            <w:pPr>
              <w:widowControl w:val="0"/>
              <w:jc w:val="left"/>
              <w:rPr>
                <w:rFonts w:hint="default" w:ascii="Times New Roman" w:hAnsi="Times New Roman" w:cs="Times New Roman"/>
                <w:color w:val="auto"/>
                <w:sz w:val="24"/>
                <w:szCs w:val="21"/>
                <w:highlight w:val="yellow"/>
              </w:rPr>
            </w:pPr>
            <w:r>
              <w:rPr>
                <w:rFonts w:ascii="Times New Roman" w:hAnsi="Times New Roman" w:eastAsia="Times New Roman" w:cs="Times New Roman"/>
                <w:b w:val="0"/>
                <w:bCs w:val="0"/>
                <w:color w:val="auto"/>
                <w:sz w:val="22"/>
                <w:szCs w:val="22"/>
              </w:rPr>
              <w:t>Ластанған грунтты әкету*</w:t>
            </w:r>
          </w:p>
        </w:tc>
        <w:tc>
          <w:tcPr>
            <w:tcW w:w="2411" w:type="dxa"/>
            <w:vAlign w:val="center"/>
          </w:tcPr>
          <w:p w14:paraId="2F944BAD">
            <w:pPr>
              <w:widowControl w:val="0"/>
              <w:jc w:val="center"/>
              <w:rPr>
                <w:rFonts w:hint="default" w:ascii="Times New Roman" w:hAnsi="Times New Roman" w:cs="Times New Roman"/>
                <w:color w:val="auto"/>
                <w:sz w:val="24"/>
                <w:szCs w:val="21"/>
                <w:highlight w:val="yellow"/>
              </w:rPr>
            </w:pPr>
            <w:r>
              <w:rPr>
                <w:rFonts w:ascii="Times New Roman" w:hAnsi="Times New Roman" w:eastAsia="Times New Roman" w:cs="Times New Roman"/>
                <w:b w:val="0"/>
                <w:bCs w:val="0"/>
                <w:color w:val="auto"/>
                <w:sz w:val="22"/>
                <w:szCs w:val="22"/>
              </w:rPr>
              <w:t>150 000-400 000</w:t>
            </w:r>
          </w:p>
        </w:tc>
        <w:tc>
          <w:tcPr>
            <w:tcW w:w="1909" w:type="dxa"/>
            <w:vAlign w:val="center"/>
          </w:tcPr>
          <w:p w14:paraId="0075B196">
            <w:pPr>
              <w:widowControl w:val="0"/>
              <w:jc w:val="center"/>
              <w:rPr>
                <w:rFonts w:hint="default" w:ascii="Times New Roman" w:hAnsi="Times New Roman" w:cs="Times New Roman"/>
                <w:color w:val="auto"/>
                <w:sz w:val="24"/>
                <w:szCs w:val="21"/>
                <w:highlight w:val="yellow"/>
              </w:rPr>
            </w:pPr>
            <w:r>
              <w:rPr>
                <w:rFonts w:ascii="Times New Roman" w:hAnsi="Times New Roman" w:eastAsia="Times New Roman" w:cs="Times New Roman"/>
                <w:b w:val="0"/>
                <w:bCs w:val="0"/>
                <w:color w:val="auto"/>
                <w:sz w:val="22"/>
                <w:szCs w:val="22"/>
              </w:rPr>
              <w:t>2-4 апта</w:t>
            </w:r>
          </w:p>
        </w:tc>
        <w:tc>
          <w:tcPr>
            <w:tcW w:w="1865" w:type="dxa"/>
            <w:vAlign w:val="center"/>
          </w:tcPr>
          <w:p w14:paraId="1BA9B0C8">
            <w:pPr>
              <w:widowControl w:val="0"/>
              <w:jc w:val="center"/>
              <w:rPr>
                <w:rFonts w:hint="default" w:ascii="Times New Roman" w:hAnsi="Times New Roman" w:cs="Times New Roman"/>
                <w:color w:val="auto"/>
                <w:sz w:val="24"/>
                <w:szCs w:val="21"/>
                <w:highlight w:val="yellow"/>
              </w:rPr>
            </w:pPr>
            <w:r>
              <w:rPr>
                <w:rFonts w:ascii="Times New Roman" w:hAnsi="Times New Roman" w:eastAsia="Times New Roman" w:cs="Times New Roman"/>
                <w:b w:val="0"/>
                <w:bCs w:val="0"/>
                <w:color w:val="auto"/>
                <w:sz w:val="22"/>
                <w:szCs w:val="22"/>
              </w:rPr>
              <w:t>100**</w:t>
            </w:r>
          </w:p>
        </w:tc>
      </w:tr>
      <w:tr w14:paraId="707D8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22" w:type="dxa"/>
            <w:vAlign w:val="center"/>
          </w:tcPr>
          <w:p w14:paraId="56C2C7D0">
            <w:pPr>
              <w:widowControl w:val="0"/>
              <w:jc w:val="left"/>
              <w:rPr>
                <w:rFonts w:hint="default" w:ascii="Times New Roman" w:hAnsi="Times New Roman" w:cs="Times New Roman"/>
                <w:color w:val="auto"/>
                <w:sz w:val="24"/>
                <w:szCs w:val="21"/>
                <w:highlight w:val="yellow"/>
              </w:rPr>
            </w:pPr>
            <w:r>
              <w:rPr>
                <w:rFonts w:ascii="Times New Roman" w:hAnsi="Times New Roman" w:eastAsia="Times New Roman" w:cs="Times New Roman"/>
                <w:b w:val="0"/>
                <w:bCs w:val="0"/>
                <w:color w:val="auto"/>
                <w:sz w:val="22"/>
                <w:szCs w:val="22"/>
              </w:rPr>
              <w:t>Термиялық өңдеу</w:t>
            </w:r>
          </w:p>
        </w:tc>
        <w:tc>
          <w:tcPr>
            <w:tcW w:w="2411" w:type="dxa"/>
            <w:vAlign w:val="center"/>
          </w:tcPr>
          <w:p w14:paraId="6CD48A46">
            <w:pPr>
              <w:widowControl w:val="0"/>
              <w:jc w:val="center"/>
              <w:rPr>
                <w:rFonts w:hint="default" w:ascii="Times New Roman" w:hAnsi="Times New Roman" w:cs="Times New Roman"/>
                <w:color w:val="auto"/>
                <w:sz w:val="24"/>
                <w:szCs w:val="21"/>
                <w:highlight w:val="yellow"/>
              </w:rPr>
            </w:pPr>
            <w:r>
              <w:rPr>
                <w:rFonts w:ascii="Times New Roman" w:hAnsi="Times New Roman" w:eastAsia="Times New Roman" w:cs="Times New Roman"/>
                <w:b w:val="0"/>
                <w:bCs w:val="0"/>
                <w:color w:val="auto"/>
                <w:sz w:val="22"/>
                <w:szCs w:val="22"/>
              </w:rPr>
              <w:t>100 000-600 000</w:t>
            </w:r>
          </w:p>
        </w:tc>
        <w:tc>
          <w:tcPr>
            <w:tcW w:w="1909" w:type="dxa"/>
            <w:vAlign w:val="center"/>
          </w:tcPr>
          <w:p w14:paraId="13C8880D">
            <w:pPr>
              <w:widowControl w:val="0"/>
              <w:jc w:val="center"/>
              <w:rPr>
                <w:rFonts w:hint="default" w:ascii="Times New Roman" w:hAnsi="Times New Roman" w:cs="Times New Roman"/>
                <w:color w:val="auto"/>
                <w:sz w:val="24"/>
                <w:szCs w:val="21"/>
                <w:highlight w:val="yellow"/>
              </w:rPr>
            </w:pPr>
            <w:r>
              <w:rPr>
                <w:rFonts w:ascii="Times New Roman" w:hAnsi="Times New Roman" w:eastAsia="Times New Roman" w:cs="Times New Roman"/>
                <w:b w:val="0"/>
                <w:bCs w:val="0"/>
                <w:color w:val="auto"/>
                <w:sz w:val="22"/>
                <w:szCs w:val="22"/>
              </w:rPr>
              <w:t>1-2 апта</w:t>
            </w:r>
          </w:p>
        </w:tc>
        <w:tc>
          <w:tcPr>
            <w:tcW w:w="1865" w:type="dxa"/>
            <w:vAlign w:val="center"/>
          </w:tcPr>
          <w:p w14:paraId="77ACE905">
            <w:pPr>
              <w:widowControl w:val="0"/>
              <w:jc w:val="center"/>
              <w:rPr>
                <w:rFonts w:hint="default" w:ascii="Times New Roman" w:hAnsi="Times New Roman" w:cs="Times New Roman"/>
                <w:color w:val="auto"/>
                <w:sz w:val="24"/>
                <w:szCs w:val="21"/>
                <w:highlight w:val="yellow"/>
              </w:rPr>
            </w:pPr>
            <w:r>
              <w:rPr>
                <w:rFonts w:ascii="Times New Roman" w:hAnsi="Times New Roman" w:eastAsia="Times New Roman" w:cs="Times New Roman"/>
                <w:b w:val="0"/>
                <w:bCs w:val="0"/>
                <w:color w:val="auto"/>
                <w:sz w:val="22"/>
                <w:szCs w:val="22"/>
              </w:rPr>
              <w:t>99,5</w:t>
            </w:r>
          </w:p>
        </w:tc>
      </w:tr>
      <w:tr w14:paraId="1FC9E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22" w:type="dxa"/>
            <w:vAlign w:val="center"/>
          </w:tcPr>
          <w:p w14:paraId="3A5D487E">
            <w:pPr>
              <w:widowControl w:val="0"/>
              <w:jc w:val="left"/>
              <w:rPr>
                <w:rFonts w:hint="default" w:ascii="Times New Roman" w:hAnsi="Times New Roman" w:cs="Times New Roman"/>
                <w:color w:val="auto"/>
                <w:sz w:val="24"/>
                <w:szCs w:val="21"/>
                <w:highlight w:val="yellow"/>
              </w:rPr>
            </w:pPr>
            <w:r>
              <w:rPr>
                <w:rFonts w:ascii="Times New Roman" w:hAnsi="Times New Roman" w:eastAsia="Times New Roman" w:cs="Times New Roman"/>
                <w:b w:val="0"/>
                <w:bCs w:val="0"/>
                <w:color w:val="auto"/>
                <w:sz w:val="22"/>
                <w:szCs w:val="22"/>
              </w:rPr>
              <w:t>Landfarming</w:t>
            </w:r>
          </w:p>
        </w:tc>
        <w:tc>
          <w:tcPr>
            <w:tcW w:w="2411" w:type="dxa"/>
            <w:vAlign w:val="center"/>
          </w:tcPr>
          <w:p w14:paraId="303D155A">
            <w:pPr>
              <w:widowControl w:val="0"/>
              <w:jc w:val="center"/>
              <w:rPr>
                <w:rFonts w:hint="default" w:ascii="Times New Roman" w:hAnsi="Times New Roman" w:cs="Times New Roman"/>
                <w:color w:val="auto"/>
                <w:sz w:val="24"/>
                <w:szCs w:val="21"/>
                <w:highlight w:val="yellow"/>
              </w:rPr>
            </w:pPr>
            <w:r>
              <w:rPr>
                <w:rFonts w:ascii="Times New Roman" w:hAnsi="Times New Roman" w:eastAsia="Times New Roman" w:cs="Times New Roman"/>
                <w:b w:val="0"/>
                <w:bCs w:val="0"/>
                <w:color w:val="auto"/>
                <w:sz w:val="22"/>
                <w:szCs w:val="22"/>
              </w:rPr>
              <w:t>30 000-120 000</w:t>
            </w:r>
          </w:p>
        </w:tc>
        <w:tc>
          <w:tcPr>
            <w:tcW w:w="1909" w:type="dxa"/>
            <w:vAlign w:val="center"/>
          </w:tcPr>
          <w:p w14:paraId="661D8562">
            <w:pPr>
              <w:widowControl w:val="0"/>
              <w:jc w:val="center"/>
              <w:rPr>
                <w:rFonts w:hint="default" w:ascii="Times New Roman" w:hAnsi="Times New Roman" w:cs="Times New Roman"/>
                <w:color w:val="auto"/>
                <w:sz w:val="24"/>
                <w:szCs w:val="21"/>
                <w:highlight w:val="yellow"/>
              </w:rPr>
            </w:pPr>
            <w:r>
              <w:rPr>
                <w:rFonts w:ascii="Times New Roman" w:hAnsi="Times New Roman" w:eastAsia="Times New Roman" w:cs="Times New Roman"/>
                <w:b w:val="0"/>
                <w:bCs w:val="0"/>
                <w:color w:val="auto"/>
                <w:sz w:val="22"/>
                <w:szCs w:val="22"/>
              </w:rPr>
              <w:t>6-12 ай</w:t>
            </w:r>
          </w:p>
        </w:tc>
        <w:tc>
          <w:tcPr>
            <w:tcW w:w="1865" w:type="dxa"/>
            <w:vAlign w:val="center"/>
          </w:tcPr>
          <w:p w14:paraId="03AC963F">
            <w:pPr>
              <w:widowControl w:val="0"/>
              <w:jc w:val="center"/>
              <w:rPr>
                <w:rFonts w:hint="default" w:ascii="Times New Roman" w:hAnsi="Times New Roman" w:cs="Times New Roman"/>
                <w:color w:val="auto"/>
                <w:sz w:val="24"/>
                <w:szCs w:val="21"/>
                <w:highlight w:val="yellow"/>
              </w:rPr>
            </w:pPr>
            <w:r>
              <w:rPr>
                <w:rFonts w:ascii="Times New Roman" w:hAnsi="Times New Roman" w:eastAsia="Times New Roman" w:cs="Times New Roman"/>
                <w:b w:val="0"/>
                <w:bCs w:val="0"/>
                <w:color w:val="auto"/>
                <w:sz w:val="22"/>
                <w:szCs w:val="22"/>
              </w:rPr>
              <w:t>40-70</w:t>
            </w:r>
          </w:p>
        </w:tc>
      </w:tr>
    </w:tbl>
    <w:p w14:paraId="015F57A3">
      <w:pPr>
        <w:pStyle w:val="22"/>
        <w:keepNext w:val="0"/>
        <w:keepLines w:val="0"/>
        <w:pageBreakBefore w:val="0"/>
        <w:widowControl/>
        <w:kinsoku/>
        <w:wordWrap/>
        <w:overflowPunct/>
        <w:topLinePunct w:val="0"/>
        <w:autoSpaceDE/>
        <w:autoSpaceDN/>
        <w:bidi w:val="0"/>
        <w:adjustRightInd/>
        <w:snapToGrid/>
        <w:spacing w:before="0" w:after="0"/>
        <w:ind w:firstLine="709" w:firstLineChars="0"/>
        <w:textAlignment w:val="auto"/>
        <w:rPr>
          <w:rFonts w:hint="default"/>
          <w:i w:val="0"/>
          <w:iCs w:val="0"/>
          <w:color w:val="auto"/>
          <w:sz w:val="28"/>
          <w:szCs w:val="28"/>
          <w:lang w:val="kk-KZ"/>
        </w:rPr>
      </w:pPr>
      <w:r>
        <w:rPr>
          <w:rFonts w:hint="default" w:cs="Times New Roman"/>
          <w:i w:val="0"/>
          <w:iCs w:val="0"/>
          <w:color w:val="auto"/>
          <w:sz w:val="28"/>
          <w:szCs w:val="28"/>
          <w:lang w:val="kk-KZ"/>
        </w:rPr>
        <w:t>Ескерту -</w:t>
      </w:r>
      <w:r>
        <w:rPr>
          <w:rFonts w:hint="default" w:ascii="Times New Roman" w:hAnsi="Times New Roman" w:cs="Times New Roman"/>
          <w:i w:val="0"/>
          <w:iCs w:val="0"/>
          <w:color w:val="auto"/>
          <w:sz w:val="28"/>
          <w:szCs w:val="28"/>
        </w:rPr>
        <w:t xml:space="preserve"> </w:t>
      </w:r>
      <w:r>
        <w:rPr>
          <w:rFonts w:hint="default"/>
          <w:i w:val="0"/>
          <w:iCs w:val="0"/>
          <w:color w:val="auto"/>
          <w:sz w:val="28"/>
          <w:szCs w:val="28"/>
          <w:lang w:val="kk-KZ"/>
        </w:rPr>
        <w:t>Грунтты әкету құны: халықаралық тәжірибеде $270-460/т</w:t>
      </w:r>
      <w:r>
        <w:rPr>
          <w:rFonts w:hint="default"/>
          <w:i w:val="0"/>
          <w:iCs w:val="0"/>
          <w:color w:val="auto"/>
          <w:sz w:val="28"/>
          <w:szCs w:val="28"/>
          <w:lang w:val="en-US"/>
        </w:rPr>
        <w:t xml:space="preserve"> [187]</w:t>
      </w:r>
      <w:r>
        <w:rPr>
          <w:rFonts w:hint="default"/>
          <w:i w:val="0"/>
          <w:iCs w:val="0"/>
          <w:color w:val="auto"/>
          <w:sz w:val="28"/>
          <w:szCs w:val="28"/>
          <w:lang w:val="kk-KZ"/>
        </w:rPr>
        <w:t>, Қазақстан жағдайында жұмыс күшінің төмен құны ескерілді.</w:t>
      </w:r>
      <w:r>
        <w:rPr>
          <w:rFonts w:hint="default"/>
          <w:i w:val="0"/>
          <w:iCs w:val="0"/>
          <w:color w:val="auto"/>
          <w:sz w:val="28"/>
          <w:szCs w:val="28"/>
          <w:lang w:val="en-US"/>
        </w:rPr>
        <w:t xml:space="preserve"> </w:t>
      </w:r>
      <w:r>
        <w:rPr>
          <w:rFonts w:hint="default"/>
          <w:i w:val="0"/>
          <w:iCs w:val="0"/>
          <w:color w:val="auto"/>
          <w:sz w:val="28"/>
          <w:szCs w:val="28"/>
          <w:lang w:val="kk-KZ"/>
        </w:rPr>
        <w:t>Топырақты әкету — бұл ремедиация емес, ластануды басқа жерге ауыстыру.</w:t>
      </w:r>
    </w:p>
    <w:p w14:paraId="5BCEF2C2">
      <w:pPr>
        <w:pStyle w:val="22"/>
        <w:keepNext w:val="0"/>
        <w:keepLines w:val="0"/>
        <w:pageBreakBefore w:val="0"/>
        <w:widowControl/>
        <w:kinsoku/>
        <w:wordWrap/>
        <w:overflowPunct/>
        <w:topLinePunct w:val="0"/>
        <w:autoSpaceDE/>
        <w:autoSpaceDN/>
        <w:bidi w:val="0"/>
        <w:adjustRightInd/>
        <w:snapToGrid/>
        <w:spacing w:before="0" w:after="0"/>
        <w:textAlignment w:val="auto"/>
        <w:rPr>
          <w:rFonts w:hint="default" w:ascii="Times New Roman" w:hAnsi="Times New Roman" w:cs="Times New Roman"/>
          <w:i w:val="0"/>
          <w:iCs w:val="0"/>
          <w:color w:val="auto"/>
          <w:sz w:val="28"/>
          <w:szCs w:val="28"/>
          <w:lang w:val="kk-KZ"/>
        </w:rPr>
      </w:pPr>
      <w:r>
        <w:rPr>
          <w:rFonts w:hint="default"/>
          <w:i w:val="0"/>
          <w:iCs w:val="0"/>
          <w:color w:val="auto"/>
          <w:sz w:val="28"/>
          <w:szCs w:val="28"/>
          <w:lang w:val="kk-KZ"/>
        </w:rPr>
        <w:t>Термиялық өңдеу құны: $23-330/т</w:t>
      </w:r>
      <w:r>
        <w:rPr>
          <w:rFonts w:hint="default"/>
          <w:i w:val="0"/>
          <w:iCs w:val="0"/>
          <w:color w:val="auto"/>
          <w:sz w:val="28"/>
          <w:szCs w:val="28"/>
          <w:lang w:val="en-US"/>
        </w:rPr>
        <w:t xml:space="preserve"> [188]</w:t>
      </w:r>
      <w:r>
        <w:rPr>
          <w:rFonts w:hint="default"/>
          <w:i w:val="0"/>
          <w:iCs w:val="0"/>
          <w:color w:val="auto"/>
          <w:sz w:val="28"/>
          <w:szCs w:val="28"/>
          <w:lang w:val="kk-KZ"/>
        </w:rPr>
        <w:t>,</w:t>
      </w:r>
      <w:r>
        <w:rPr>
          <w:rFonts w:hint="default"/>
          <w:i w:val="0"/>
          <w:iCs w:val="0"/>
          <w:color w:val="auto"/>
          <w:sz w:val="28"/>
          <w:szCs w:val="28"/>
          <w:lang w:val="en-US"/>
        </w:rPr>
        <w:t xml:space="preserve"> </w:t>
      </w:r>
      <w:r>
        <w:rPr>
          <w:rFonts w:hint="default"/>
          <w:i w:val="0"/>
          <w:iCs w:val="0"/>
          <w:color w:val="auto"/>
          <w:sz w:val="28"/>
          <w:szCs w:val="28"/>
          <w:lang w:val="kk-KZ"/>
        </w:rPr>
        <w:t>Landfarming құны: $21-119/т</w:t>
      </w:r>
      <w:r>
        <w:rPr>
          <w:rFonts w:hint="default"/>
          <w:i w:val="0"/>
          <w:iCs w:val="0"/>
          <w:color w:val="auto"/>
          <w:sz w:val="28"/>
          <w:szCs w:val="28"/>
          <w:lang w:val="en-US"/>
        </w:rPr>
        <w:t xml:space="preserve"> [189]</w:t>
      </w:r>
      <w:r>
        <w:rPr>
          <w:rFonts w:hint="default"/>
          <w:i w:val="0"/>
          <w:iCs w:val="0"/>
          <w:color w:val="auto"/>
          <w:sz w:val="28"/>
          <w:szCs w:val="28"/>
          <w:lang w:val="kk-KZ"/>
        </w:rPr>
        <w:t xml:space="preserve"> </w:t>
      </w:r>
    </w:p>
    <w:p w14:paraId="279283AC">
      <w:pPr>
        <w:keepNext w:val="0"/>
        <w:keepLines w:val="0"/>
        <w:pageBreakBefore w:val="0"/>
        <w:widowControl/>
        <w:kinsoku/>
        <w:wordWrap/>
        <w:overflowPunct/>
        <w:topLinePunct w:val="0"/>
        <w:autoSpaceDE/>
        <w:autoSpaceDN/>
        <w:bidi w:val="0"/>
        <w:adjustRightInd/>
        <w:snapToGrid/>
        <w:spacing w:after="0" w:line="240" w:lineRule="auto"/>
        <w:ind w:firstLine="709" w:firstLineChars="0"/>
        <w:textAlignment w:val="auto"/>
        <w:rPr>
          <w:rFonts w:hint="default" w:ascii="Times New Roman" w:hAnsi="Times New Roman"/>
          <w:b w:val="0"/>
          <w:bCs/>
          <w:color w:val="auto"/>
          <w:sz w:val="28"/>
          <w:szCs w:val="28"/>
          <w:highlight w:val="none"/>
        </w:rPr>
      </w:pPr>
    </w:p>
    <w:p w14:paraId="0E450DA1">
      <w:pPr>
        <w:keepNext w:val="0"/>
        <w:keepLines w:val="0"/>
        <w:pageBreakBefore w:val="0"/>
        <w:widowControl/>
        <w:kinsoku/>
        <w:wordWrap/>
        <w:overflowPunct/>
        <w:topLinePunct w:val="0"/>
        <w:autoSpaceDE/>
        <w:autoSpaceDN/>
        <w:bidi w:val="0"/>
        <w:adjustRightInd/>
        <w:snapToGrid/>
        <w:spacing w:after="0" w:line="240" w:lineRule="auto"/>
        <w:ind w:firstLine="709" w:firstLineChars="0"/>
        <w:jc w:val="both"/>
        <w:textAlignment w:val="auto"/>
        <w:rPr>
          <w:b w:val="0"/>
          <w:bCs w:val="0"/>
          <w:color w:val="auto"/>
          <w:sz w:val="28"/>
          <w:szCs w:val="28"/>
        </w:rPr>
      </w:pPr>
      <w:r>
        <w:rPr>
          <w:rFonts w:ascii="Times New Roman" w:hAnsi="Times New Roman" w:eastAsia="Times New Roman" w:cs="Times New Roman"/>
          <w:b w:val="0"/>
          <w:bCs w:val="0"/>
          <w:i w:val="0"/>
          <w:iCs w:val="0"/>
          <w:color w:val="auto"/>
          <w:sz w:val="28"/>
          <w:szCs w:val="28"/>
        </w:rPr>
        <w:t>Экономикалық тиімділікті салыстыру</w:t>
      </w:r>
    </w:p>
    <w:p w14:paraId="3F8D840F">
      <w:pPr>
        <w:keepNext w:val="0"/>
        <w:keepLines w:val="0"/>
        <w:pageBreakBefore w:val="0"/>
        <w:widowControl/>
        <w:kinsoku/>
        <w:wordWrap/>
        <w:overflowPunct/>
        <w:topLinePunct w:val="0"/>
        <w:autoSpaceDE/>
        <w:autoSpaceDN/>
        <w:bidi w:val="0"/>
        <w:adjustRightInd/>
        <w:snapToGrid/>
        <w:spacing w:after="0" w:line="240" w:lineRule="auto"/>
        <w:ind w:firstLine="720"/>
        <w:jc w:val="both"/>
        <w:textAlignment w:val="auto"/>
        <w:rPr>
          <w:color w:val="auto"/>
          <w:sz w:val="28"/>
          <w:szCs w:val="28"/>
        </w:rPr>
      </w:pPr>
      <w:r>
        <w:rPr>
          <w:rFonts w:ascii="Times New Roman" w:hAnsi="Times New Roman" w:eastAsia="Times New Roman" w:cs="Times New Roman"/>
          <w:b w:val="0"/>
          <w:bCs w:val="0"/>
          <w:i w:val="0"/>
          <w:iCs w:val="0"/>
          <w:color w:val="auto"/>
          <w:sz w:val="28"/>
          <w:szCs w:val="28"/>
        </w:rPr>
        <w:t>Экономикалық тиімділікті салыстыру үшін 1 га ластанған аумақты өңдеу құны алынды:</w:t>
      </w:r>
    </w:p>
    <w:p w14:paraId="3F362A06">
      <w:pPr>
        <w:keepNext w:val="0"/>
        <w:keepLines w:val="0"/>
        <w:pageBreakBefore w:val="0"/>
        <w:widowControl/>
        <w:kinsoku/>
        <w:wordWrap/>
        <w:overflowPunct/>
        <w:topLinePunct w:val="0"/>
        <w:autoSpaceDE/>
        <w:autoSpaceDN/>
        <w:bidi w:val="0"/>
        <w:adjustRightInd/>
        <w:snapToGrid/>
        <w:spacing w:after="0" w:line="240" w:lineRule="auto"/>
        <w:jc w:val="both"/>
        <w:textAlignment w:val="auto"/>
        <w:rPr>
          <w:color w:val="auto"/>
          <w:sz w:val="28"/>
          <w:szCs w:val="28"/>
        </w:rPr>
      </w:pPr>
      <w:r>
        <w:rPr>
          <w:rFonts w:ascii="Times New Roman" w:hAnsi="Times New Roman" w:eastAsia="Times New Roman" w:cs="Times New Roman"/>
          <w:b w:val="0"/>
          <w:bCs w:val="0"/>
          <w:i w:val="0"/>
          <w:iCs w:val="0"/>
          <w:color w:val="auto"/>
          <w:sz w:val="28"/>
          <w:szCs w:val="28"/>
        </w:rPr>
        <w:t>1. Әзірленген әдіспен салыстырғанда әкету/көму: Үнемдеу ~150-400 млн тг/га. Қосымша артықшылық: топырақ қалпына келтіріледі (әкетуде жоғалады).</w:t>
      </w:r>
    </w:p>
    <w:p w14:paraId="755B04ED">
      <w:pPr>
        <w:keepNext w:val="0"/>
        <w:keepLines w:val="0"/>
        <w:pageBreakBefore w:val="0"/>
        <w:widowControl/>
        <w:kinsoku/>
        <w:wordWrap/>
        <w:overflowPunct/>
        <w:topLinePunct w:val="0"/>
        <w:autoSpaceDE/>
        <w:autoSpaceDN/>
        <w:bidi w:val="0"/>
        <w:adjustRightInd/>
        <w:snapToGrid/>
        <w:spacing w:after="0" w:line="240" w:lineRule="auto"/>
        <w:jc w:val="both"/>
        <w:textAlignment w:val="auto"/>
        <w:rPr>
          <w:color w:val="auto"/>
          <w:sz w:val="28"/>
          <w:szCs w:val="28"/>
        </w:rPr>
      </w:pPr>
      <w:r>
        <w:rPr>
          <w:rFonts w:ascii="Times New Roman" w:hAnsi="Times New Roman" w:eastAsia="Times New Roman" w:cs="Times New Roman"/>
          <w:b w:val="0"/>
          <w:bCs w:val="0"/>
          <w:i w:val="0"/>
          <w:iCs w:val="0"/>
          <w:color w:val="auto"/>
          <w:sz w:val="28"/>
          <w:szCs w:val="28"/>
        </w:rPr>
        <w:t>2. Әзірленген әдіспен салыстырғанда термиялық өңдеу: Үнемдеу ~100-600 млн тг/га. Қосымша артықшылық: топырақ құрылымы сақталады.</w:t>
      </w:r>
    </w:p>
    <w:p w14:paraId="0A025352">
      <w:pPr>
        <w:keepNext w:val="0"/>
        <w:keepLines w:val="0"/>
        <w:pageBreakBefore w:val="0"/>
        <w:widowControl/>
        <w:kinsoku/>
        <w:wordWrap/>
        <w:overflowPunct/>
        <w:topLinePunct w:val="0"/>
        <w:autoSpaceDE/>
        <w:autoSpaceDN/>
        <w:bidi w:val="0"/>
        <w:adjustRightInd/>
        <w:snapToGrid/>
        <w:spacing w:after="0" w:line="240" w:lineRule="auto"/>
        <w:jc w:val="both"/>
        <w:textAlignment w:val="auto"/>
        <w:rPr>
          <w:color w:val="auto"/>
          <w:sz w:val="28"/>
          <w:szCs w:val="28"/>
        </w:rPr>
      </w:pPr>
      <w:r>
        <w:rPr>
          <w:rFonts w:ascii="Times New Roman" w:hAnsi="Times New Roman" w:eastAsia="Times New Roman" w:cs="Times New Roman"/>
          <w:b w:val="0"/>
          <w:bCs w:val="0"/>
          <w:i w:val="0"/>
          <w:iCs w:val="0"/>
          <w:color w:val="auto"/>
          <w:sz w:val="28"/>
          <w:szCs w:val="28"/>
        </w:rPr>
        <w:t xml:space="preserve">3. Әзірленген әдіспен салыстырғанда дәстүрлі landfarming: Әзірленген әдіс 120-740 есе арзанырақ (163-253 мың тг </w:t>
      </w:r>
      <w:r>
        <w:rPr>
          <w:rFonts w:eastAsia="Times New Roman" w:cs="Times New Roman"/>
          <w:b w:val="0"/>
          <w:bCs w:val="0"/>
          <w:i w:val="0"/>
          <w:iCs w:val="0"/>
          <w:color w:val="auto"/>
          <w:sz w:val="28"/>
          <w:szCs w:val="28"/>
          <w:lang w:val="kk-KZ"/>
        </w:rPr>
        <w:t>керісінше</w:t>
      </w:r>
      <w:r>
        <w:rPr>
          <w:rFonts w:ascii="Times New Roman" w:hAnsi="Times New Roman" w:eastAsia="Times New Roman" w:cs="Times New Roman"/>
          <w:b w:val="0"/>
          <w:bCs w:val="0"/>
          <w:i w:val="0"/>
          <w:iCs w:val="0"/>
          <w:color w:val="auto"/>
          <w:sz w:val="28"/>
          <w:szCs w:val="28"/>
        </w:rPr>
        <w:t xml:space="preserve"> 30 000-120 000 мың тг). Уақыт бойынша артықшылық: 45 тәулік </w:t>
      </w:r>
      <w:r>
        <w:rPr>
          <w:rFonts w:eastAsia="Times New Roman" w:cs="Times New Roman"/>
          <w:b w:val="0"/>
          <w:bCs w:val="0"/>
          <w:i w:val="0"/>
          <w:iCs w:val="0"/>
          <w:color w:val="auto"/>
          <w:sz w:val="28"/>
          <w:szCs w:val="28"/>
          <w:lang w:val="kk-KZ"/>
        </w:rPr>
        <w:t>керісінше</w:t>
      </w:r>
      <w:r>
        <w:rPr>
          <w:rFonts w:ascii="Times New Roman" w:hAnsi="Times New Roman" w:eastAsia="Times New Roman" w:cs="Times New Roman"/>
          <w:b w:val="0"/>
          <w:bCs w:val="0"/>
          <w:i w:val="0"/>
          <w:iCs w:val="0"/>
          <w:color w:val="auto"/>
          <w:sz w:val="28"/>
          <w:szCs w:val="28"/>
        </w:rPr>
        <w:t xml:space="preserve"> 6-12 ай (4-8 есе жылдам). Тиімділік артықшылығы: 94% керісінше 40-70%.</w:t>
      </w:r>
    </w:p>
    <w:p w14:paraId="4012818C">
      <w:pPr>
        <w:keepNext w:val="0"/>
        <w:keepLines w:val="0"/>
        <w:pageBreakBefore w:val="0"/>
        <w:widowControl/>
        <w:kinsoku/>
        <w:wordWrap/>
        <w:overflowPunct/>
        <w:topLinePunct w:val="0"/>
        <w:autoSpaceDE/>
        <w:autoSpaceDN/>
        <w:bidi w:val="0"/>
        <w:adjustRightInd/>
        <w:snapToGrid/>
        <w:spacing w:after="0" w:line="240" w:lineRule="auto"/>
        <w:jc w:val="both"/>
        <w:textAlignment w:val="auto"/>
        <w:rPr>
          <w:color w:val="auto"/>
          <w:sz w:val="28"/>
          <w:szCs w:val="28"/>
        </w:rPr>
      </w:pPr>
    </w:p>
    <w:p w14:paraId="4409C4CF">
      <w:pPr>
        <w:keepNext w:val="0"/>
        <w:keepLines w:val="0"/>
        <w:pageBreakBefore w:val="0"/>
        <w:widowControl/>
        <w:kinsoku/>
        <w:wordWrap/>
        <w:overflowPunct/>
        <w:topLinePunct w:val="0"/>
        <w:autoSpaceDE/>
        <w:autoSpaceDN/>
        <w:bidi w:val="0"/>
        <w:adjustRightInd/>
        <w:snapToGrid/>
        <w:spacing w:after="0" w:line="240" w:lineRule="auto"/>
        <w:ind w:left="709" w:leftChars="0" w:firstLine="720"/>
        <w:jc w:val="both"/>
        <w:textAlignment w:val="auto"/>
        <w:rPr>
          <w:color w:val="auto"/>
          <w:sz w:val="28"/>
          <w:szCs w:val="28"/>
        </w:rPr>
      </w:pPr>
      <w:r>
        <w:rPr>
          <w:rFonts w:ascii="Times New Roman" w:hAnsi="Times New Roman" w:eastAsia="Times New Roman" w:cs="Times New Roman"/>
          <w:b w:val="0"/>
          <w:bCs w:val="0"/>
          <w:i w:val="0"/>
          <w:iCs w:val="0"/>
          <w:color w:val="auto"/>
          <w:sz w:val="28"/>
          <w:szCs w:val="28"/>
        </w:rPr>
        <w:t>Әзірленген технология өте жоғары экономикалық тиімділікті көрсетеді:</w:t>
      </w:r>
    </w:p>
    <w:p w14:paraId="5A6F61AB">
      <w:pPr>
        <w:keepNext w:val="0"/>
        <w:keepLines w:val="0"/>
        <w:pageBreakBefore w:val="0"/>
        <w:widowControl/>
        <w:kinsoku/>
        <w:wordWrap/>
        <w:overflowPunct/>
        <w:topLinePunct w:val="0"/>
        <w:autoSpaceDE/>
        <w:autoSpaceDN/>
        <w:bidi w:val="0"/>
        <w:adjustRightInd/>
        <w:snapToGrid/>
        <w:spacing w:after="0" w:line="240" w:lineRule="auto"/>
        <w:jc w:val="both"/>
        <w:textAlignment w:val="auto"/>
        <w:rPr>
          <w:color w:val="auto"/>
          <w:sz w:val="28"/>
          <w:szCs w:val="28"/>
        </w:rPr>
      </w:pPr>
      <w:r>
        <w:rPr>
          <w:rFonts w:ascii="Times New Roman" w:hAnsi="Times New Roman" w:eastAsia="Times New Roman" w:cs="Times New Roman"/>
          <w:b w:val="0"/>
          <w:bCs w:val="0"/>
          <w:i w:val="0"/>
          <w:iCs w:val="0"/>
          <w:color w:val="auto"/>
          <w:sz w:val="28"/>
          <w:szCs w:val="28"/>
        </w:rPr>
        <w:t>— Капиталды шығындар: 112-253 мың тг/га (ластану деңгейіне байланысты);</w:t>
      </w:r>
    </w:p>
    <w:p w14:paraId="671B59AA">
      <w:pPr>
        <w:keepNext w:val="0"/>
        <w:keepLines w:val="0"/>
        <w:pageBreakBefore w:val="0"/>
        <w:widowControl/>
        <w:kinsoku/>
        <w:wordWrap/>
        <w:overflowPunct/>
        <w:topLinePunct w:val="0"/>
        <w:autoSpaceDE/>
        <w:autoSpaceDN/>
        <w:bidi w:val="0"/>
        <w:adjustRightInd/>
        <w:snapToGrid/>
        <w:spacing w:after="0" w:line="240" w:lineRule="auto"/>
        <w:jc w:val="both"/>
        <w:textAlignment w:val="auto"/>
        <w:rPr>
          <w:color w:val="auto"/>
          <w:sz w:val="28"/>
          <w:szCs w:val="28"/>
        </w:rPr>
      </w:pPr>
      <w:r>
        <w:rPr>
          <w:rFonts w:ascii="Times New Roman" w:hAnsi="Times New Roman" w:eastAsia="Times New Roman" w:cs="Times New Roman"/>
          <w:b w:val="0"/>
          <w:bCs w:val="0"/>
          <w:i w:val="0"/>
          <w:iCs w:val="0"/>
          <w:color w:val="auto"/>
          <w:sz w:val="28"/>
          <w:szCs w:val="28"/>
        </w:rPr>
        <w:t>— Landfarming әдісіне қарағанда: 120-740 есе арзанырақ;</w:t>
      </w:r>
    </w:p>
    <w:p w14:paraId="7BFE913B">
      <w:pPr>
        <w:keepNext w:val="0"/>
        <w:keepLines w:val="0"/>
        <w:pageBreakBefore w:val="0"/>
        <w:widowControl/>
        <w:kinsoku/>
        <w:wordWrap/>
        <w:overflowPunct/>
        <w:topLinePunct w:val="0"/>
        <w:autoSpaceDE/>
        <w:autoSpaceDN/>
        <w:bidi w:val="0"/>
        <w:adjustRightInd/>
        <w:snapToGrid/>
        <w:spacing w:after="0" w:line="240" w:lineRule="auto"/>
        <w:jc w:val="both"/>
        <w:textAlignment w:val="auto"/>
        <w:rPr>
          <w:color w:val="auto"/>
          <w:sz w:val="28"/>
          <w:szCs w:val="28"/>
        </w:rPr>
      </w:pPr>
      <w:r>
        <w:rPr>
          <w:rFonts w:ascii="Times New Roman" w:hAnsi="Times New Roman" w:eastAsia="Times New Roman" w:cs="Times New Roman"/>
          <w:b w:val="0"/>
          <w:bCs w:val="0"/>
          <w:i w:val="0"/>
          <w:iCs w:val="0"/>
          <w:color w:val="auto"/>
          <w:sz w:val="28"/>
          <w:szCs w:val="28"/>
        </w:rPr>
        <w:t>— Пайдалану шығындары: төмен (минималды техника, энергия);</w:t>
      </w:r>
    </w:p>
    <w:p w14:paraId="7D8DF4A0">
      <w:pPr>
        <w:keepNext w:val="0"/>
        <w:keepLines w:val="0"/>
        <w:pageBreakBefore w:val="0"/>
        <w:widowControl/>
        <w:kinsoku/>
        <w:wordWrap/>
        <w:overflowPunct/>
        <w:topLinePunct w:val="0"/>
        <w:autoSpaceDE/>
        <w:autoSpaceDN/>
        <w:bidi w:val="0"/>
        <w:adjustRightInd/>
        <w:snapToGrid/>
        <w:spacing w:after="0" w:line="240" w:lineRule="auto"/>
        <w:jc w:val="both"/>
        <w:textAlignment w:val="auto"/>
        <w:rPr>
          <w:color w:val="auto"/>
          <w:sz w:val="28"/>
          <w:szCs w:val="28"/>
        </w:rPr>
      </w:pPr>
      <w:r>
        <w:rPr>
          <w:rFonts w:ascii="Times New Roman" w:hAnsi="Times New Roman" w:eastAsia="Times New Roman" w:cs="Times New Roman"/>
          <w:b w:val="0"/>
          <w:bCs w:val="0"/>
          <w:i w:val="0"/>
          <w:iCs w:val="0"/>
          <w:color w:val="auto"/>
          <w:sz w:val="28"/>
          <w:szCs w:val="28"/>
        </w:rPr>
        <w:t>— Қайтару мерзімі: кіші/орташа масштабты учаскелер үшін 1 маусым.</w:t>
      </w:r>
    </w:p>
    <w:p w14:paraId="35AEE3A4">
      <w:pPr>
        <w:keepNext w:val="0"/>
        <w:keepLines w:val="0"/>
        <w:pageBreakBefore w:val="0"/>
        <w:widowControl/>
        <w:kinsoku/>
        <w:wordWrap/>
        <w:overflowPunct/>
        <w:topLinePunct w:val="0"/>
        <w:autoSpaceDE/>
        <w:autoSpaceDN/>
        <w:bidi w:val="0"/>
        <w:adjustRightInd/>
        <w:snapToGrid/>
        <w:spacing w:after="0" w:line="240" w:lineRule="auto"/>
        <w:ind w:firstLine="720"/>
        <w:jc w:val="both"/>
        <w:textAlignment w:val="auto"/>
        <w:rPr>
          <w:color w:val="auto"/>
          <w:sz w:val="28"/>
          <w:szCs w:val="28"/>
        </w:rPr>
      </w:pPr>
      <w:r>
        <w:rPr>
          <w:rFonts w:ascii="Times New Roman" w:hAnsi="Times New Roman" w:eastAsia="Times New Roman" w:cs="Times New Roman"/>
          <w:b w:val="0"/>
          <w:bCs w:val="0"/>
          <w:i w:val="0"/>
          <w:iCs w:val="0"/>
          <w:color w:val="auto"/>
          <w:sz w:val="28"/>
          <w:szCs w:val="28"/>
        </w:rPr>
        <w:t>Жергілікті шикізатты (ауыл шаруашылығы қалдықтары) пайдалану және қарапайым технологиялық процесс әдістің коммерциялық тартымдылығын арттырады және оны Қазақстанның шағын және орташа мұнай өндіруші кәсіпорындары үшін қолжетімді етеді.</w:t>
      </w:r>
    </w:p>
    <w:p w14:paraId="4803ABE3">
      <w:pPr>
        <w:keepNext w:val="0"/>
        <w:keepLines w:val="0"/>
        <w:pageBreakBefore w:val="0"/>
        <w:widowControl/>
        <w:kinsoku/>
        <w:wordWrap/>
        <w:overflowPunct/>
        <w:topLinePunct w:val="0"/>
        <w:autoSpaceDE/>
        <w:autoSpaceDN/>
        <w:bidi w:val="0"/>
        <w:adjustRightInd/>
        <w:snapToGrid/>
        <w:spacing w:after="0" w:line="240" w:lineRule="auto"/>
        <w:ind w:firstLine="709" w:firstLineChars="0"/>
        <w:jc w:val="both"/>
        <w:textAlignment w:val="auto"/>
        <w:rPr>
          <w:rFonts w:hint="default"/>
          <w:b w:val="0"/>
          <w:bCs w:val="0"/>
          <w:color w:val="auto"/>
          <w:sz w:val="28"/>
          <w:szCs w:val="28"/>
          <w:lang w:val="kk-KZ"/>
        </w:rPr>
      </w:pPr>
      <w:r>
        <w:rPr>
          <w:rFonts w:ascii="Times New Roman" w:hAnsi="Times New Roman" w:eastAsia="Times New Roman" w:cs="Times New Roman"/>
          <w:b w:val="0"/>
          <w:bCs w:val="0"/>
          <w:i w:val="0"/>
          <w:iCs w:val="0"/>
          <w:color w:val="auto"/>
          <w:sz w:val="28"/>
          <w:szCs w:val="28"/>
        </w:rPr>
        <w:t>Пилоттық сынақтардан өндірістік масштабқа өту</w:t>
      </w:r>
      <w:r>
        <w:rPr>
          <w:rFonts w:hint="default" w:eastAsia="Times New Roman" w:cs="Times New Roman"/>
          <w:b w:val="0"/>
          <w:bCs w:val="0"/>
          <w:i w:val="0"/>
          <w:iCs w:val="0"/>
          <w:color w:val="auto"/>
          <w:sz w:val="28"/>
          <w:szCs w:val="28"/>
          <w:lang w:val="kk-KZ"/>
        </w:rPr>
        <w:t>.</w:t>
      </w:r>
    </w:p>
    <w:p w14:paraId="68DF0B8F">
      <w:pPr>
        <w:keepNext w:val="0"/>
        <w:keepLines w:val="0"/>
        <w:pageBreakBefore w:val="0"/>
        <w:widowControl/>
        <w:kinsoku/>
        <w:wordWrap/>
        <w:overflowPunct/>
        <w:topLinePunct w:val="0"/>
        <w:autoSpaceDE/>
        <w:autoSpaceDN/>
        <w:bidi w:val="0"/>
        <w:adjustRightInd/>
        <w:snapToGrid/>
        <w:spacing w:after="0" w:line="240" w:lineRule="auto"/>
        <w:ind w:firstLine="720"/>
        <w:jc w:val="both"/>
        <w:textAlignment w:val="auto"/>
        <w:rPr>
          <w:color w:val="auto"/>
          <w:sz w:val="28"/>
          <w:szCs w:val="28"/>
        </w:rPr>
      </w:pPr>
      <w:r>
        <w:rPr>
          <w:rFonts w:ascii="Times New Roman" w:hAnsi="Times New Roman" w:eastAsia="Times New Roman" w:cs="Times New Roman"/>
          <w:b w:val="0"/>
          <w:bCs w:val="0"/>
          <w:i w:val="0"/>
          <w:iCs w:val="0"/>
          <w:color w:val="auto"/>
          <w:sz w:val="28"/>
          <w:szCs w:val="28"/>
        </w:rPr>
        <w:t>Далалық пилоттық сынақтарда (учаске өлшемі 1×1 м, топырақ массасы 100-150 кг) биопрепарат 10% массалық қатынаста суспензия түрінде қолданылды. Бұл жоғары норма зертханалық/пилоттық масштабта әдістің принципиалды тиімділігін және максималды деградация потенциалын растау үшін таңдалды.</w:t>
      </w:r>
    </w:p>
    <w:p w14:paraId="3CD8327D">
      <w:pPr>
        <w:keepNext w:val="0"/>
        <w:keepLines w:val="0"/>
        <w:pageBreakBefore w:val="0"/>
        <w:widowControl/>
        <w:kinsoku/>
        <w:wordWrap/>
        <w:overflowPunct/>
        <w:topLinePunct w:val="0"/>
        <w:autoSpaceDE/>
        <w:autoSpaceDN/>
        <w:bidi w:val="0"/>
        <w:adjustRightInd/>
        <w:snapToGrid/>
        <w:spacing w:after="0" w:line="240" w:lineRule="auto"/>
        <w:ind w:firstLine="720"/>
        <w:jc w:val="both"/>
        <w:textAlignment w:val="auto"/>
        <w:rPr>
          <w:color w:val="auto"/>
          <w:sz w:val="28"/>
          <w:szCs w:val="28"/>
        </w:rPr>
      </w:pPr>
      <w:r>
        <w:rPr>
          <w:rFonts w:ascii="Times New Roman" w:hAnsi="Times New Roman" w:eastAsia="Times New Roman" w:cs="Times New Roman"/>
          <w:b w:val="0"/>
          <w:bCs w:val="0"/>
          <w:i w:val="0"/>
          <w:iCs w:val="0"/>
          <w:color w:val="auto"/>
          <w:sz w:val="28"/>
          <w:szCs w:val="28"/>
        </w:rPr>
        <w:t>Өндірістік масштабқа өткенде препарат нормасын айтарлықтай азайтуға мүмкіндік беретін бірнеше фактор бар: біріншіден, суспензиялық енгізу тәсілі биопрепаратты топырақта біркелкі таратуды қамтамасыз етеді, бұл аз мөлшерде жоғары тиімділікке қол жеткізуге мүмкіндік береді; екіншіден, иммобилизацияланған микроорганизмдер топырақта белсенді түрде көбейеді — тасымалдаушы олардың тіршілік қабілеттілігін ұзақ уақыт сақтайды; үшіншіден, өндірістік масштабта топырақтың табиғи микробиомы қосымша деградация ресурсы ретінде жұмыс істейді [181].</w:t>
      </w:r>
    </w:p>
    <w:p w14:paraId="13D4C949">
      <w:pPr>
        <w:keepNext w:val="0"/>
        <w:keepLines w:val="0"/>
        <w:pageBreakBefore w:val="0"/>
        <w:widowControl/>
        <w:kinsoku/>
        <w:wordWrap/>
        <w:overflowPunct/>
        <w:topLinePunct w:val="0"/>
        <w:autoSpaceDE/>
        <w:autoSpaceDN/>
        <w:bidi w:val="0"/>
        <w:adjustRightInd/>
        <w:snapToGrid/>
        <w:spacing w:after="0" w:line="240" w:lineRule="auto"/>
        <w:ind w:firstLine="720"/>
        <w:jc w:val="both"/>
        <w:textAlignment w:val="auto"/>
        <w:rPr>
          <w:color w:val="auto"/>
          <w:sz w:val="28"/>
          <w:szCs w:val="28"/>
        </w:rPr>
      </w:pPr>
      <w:r>
        <w:rPr>
          <w:rFonts w:ascii="Times New Roman" w:hAnsi="Times New Roman" w:eastAsia="Times New Roman" w:cs="Times New Roman"/>
          <w:b w:val="0"/>
          <w:bCs w:val="0"/>
          <w:i w:val="0"/>
          <w:iCs w:val="0"/>
          <w:color w:val="auto"/>
          <w:sz w:val="28"/>
          <w:szCs w:val="28"/>
        </w:rPr>
        <w:t>Өндірістік масштабта препарат нормасы топырақтың ластану деңгейіне байланысты оңтайландырылады:</w:t>
      </w:r>
    </w:p>
    <w:p w14:paraId="294C04E2">
      <w:pPr>
        <w:keepNext w:val="0"/>
        <w:keepLines w:val="0"/>
        <w:pageBreakBefore w:val="0"/>
        <w:widowControl/>
        <w:kinsoku/>
        <w:wordWrap/>
        <w:overflowPunct/>
        <w:topLinePunct w:val="0"/>
        <w:autoSpaceDE/>
        <w:autoSpaceDN/>
        <w:bidi w:val="0"/>
        <w:adjustRightInd/>
        <w:snapToGrid/>
        <w:spacing w:after="0" w:line="240" w:lineRule="auto"/>
        <w:jc w:val="both"/>
        <w:textAlignment w:val="auto"/>
        <w:rPr>
          <w:color w:val="auto"/>
          <w:sz w:val="28"/>
          <w:szCs w:val="28"/>
        </w:rPr>
      </w:pPr>
      <w:r>
        <w:rPr>
          <w:rFonts w:ascii="Times New Roman" w:hAnsi="Times New Roman" w:eastAsia="Times New Roman" w:cs="Times New Roman"/>
          <w:b w:val="0"/>
          <w:bCs w:val="0"/>
          <w:i w:val="0"/>
          <w:iCs w:val="0"/>
          <w:color w:val="auto"/>
          <w:sz w:val="28"/>
          <w:szCs w:val="28"/>
        </w:rPr>
        <w:t>— Төмен ластану (ЖМӨ &lt; 5000 мг/кг): 5 кг/га (0,00013% грунт массасынан);</w:t>
      </w:r>
    </w:p>
    <w:p w14:paraId="3A4162CE">
      <w:pPr>
        <w:keepNext w:val="0"/>
        <w:keepLines w:val="0"/>
        <w:pageBreakBefore w:val="0"/>
        <w:widowControl/>
        <w:kinsoku/>
        <w:wordWrap/>
        <w:overflowPunct/>
        <w:topLinePunct w:val="0"/>
        <w:autoSpaceDE/>
        <w:autoSpaceDN/>
        <w:bidi w:val="0"/>
        <w:adjustRightInd/>
        <w:snapToGrid/>
        <w:spacing w:after="0" w:line="240" w:lineRule="auto"/>
        <w:jc w:val="both"/>
        <w:textAlignment w:val="auto"/>
        <w:rPr>
          <w:color w:val="auto"/>
          <w:sz w:val="28"/>
          <w:szCs w:val="28"/>
        </w:rPr>
      </w:pPr>
      <w:r>
        <w:rPr>
          <w:rFonts w:ascii="Times New Roman" w:hAnsi="Times New Roman" w:eastAsia="Times New Roman" w:cs="Times New Roman"/>
          <w:b w:val="0"/>
          <w:bCs w:val="0"/>
          <w:i w:val="0"/>
          <w:iCs w:val="0"/>
          <w:color w:val="auto"/>
          <w:sz w:val="28"/>
          <w:szCs w:val="28"/>
        </w:rPr>
        <w:t>— Орташа ластану (ЖМӨ 5000-15000 мг/кг): 10 кг/га (0,00026%);</w:t>
      </w:r>
    </w:p>
    <w:p w14:paraId="005DA0E8">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b w:val="0"/>
          <w:bCs w:val="0"/>
          <w:i w:val="0"/>
          <w:iCs w:val="0"/>
          <w:color w:val="auto"/>
          <w:sz w:val="28"/>
          <w:szCs w:val="28"/>
        </w:rPr>
      </w:pPr>
      <w:r>
        <w:rPr>
          <w:rFonts w:ascii="Times New Roman" w:hAnsi="Times New Roman" w:eastAsia="Times New Roman" w:cs="Times New Roman"/>
          <w:b w:val="0"/>
          <w:bCs w:val="0"/>
          <w:i w:val="0"/>
          <w:iCs w:val="0"/>
          <w:color w:val="auto"/>
          <w:sz w:val="28"/>
          <w:szCs w:val="28"/>
        </w:rPr>
        <w:t>— Жоғары ластану (ЖМӨ &gt; 15000 мг/кг): 15 кг/га (0,00038%).</w:t>
      </w:r>
    </w:p>
    <w:p w14:paraId="334D1DFE">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Times New Roman" w:hAnsi="Times New Roman" w:eastAsia="Times New Roman" w:cs="Times New Roman"/>
          <w:b w:val="0"/>
          <w:bCs w:val="0"/>
          <w:i w:val="0"/>
          <w:iCs w:val="0"/>
          <w:color w:val="auto"/>
          <w:sz w:val="28"/>
          <w:szCs w:val="28"/>
        </w:rPr>
      </w:pPr>
    </w:p>
    <w:p w14:paraId="5371E0BB">
      <w:pPr>
        <w:keepNext w:val="0"/>
        <w:keepLines w:val="0"/>
        <w:pageBreakBefore w:val="0"/>
        <w:widowControl/>
        <w:kinsoku/>
        <w:wordWrap/>
        <w:overflowPunct/>
        <w:topLinePunct w:val="0"/>
        <w:autoSpaceDE/>
        <w:autoSpaceDN/>
        <w:bidi w:val="0"/>
        <w:adjustRightInd/>
        <w:snapToGrid/>
        <w:spacing w:after="0" w:line="240" w:lineRule="auto"/>
        <w:textAlignment w:val="auto"/>
        <w:rPr>
          <w:b w:val="0"/>
          <w:bCs w:val="0"/>
          <w:color w:val="auto"/>
        </w:rPr>
      </w:pPr>
      <w:r>
        <w:rPr>
          <w:b w:val="0"/>
          <w:bCs w:val="0"/>
          <w:color w:val="auto"/>
          <w:sz w:val="28"/>
          <w:szCs w:val="28"/>
          <w:highlight w:val="none"/>
          <w:lang w:val="kk-KZ"/>
        </w:rPr>
        <w:t>Кесте</w:t>
      </w:r>
      <w:r>
        <w:rPr>
          <w:rFonts w:hint="default"/>
          <w:b w:val="0"/>
          <w:bCs w:val="0"/>
          <w:color w:val="auto"/>
          <w:sz w:val="28"/>
          <w:szCs w:val="28"/>
          <w:highlight w:val="none"/>
          <w:lang w:val="kk-KZ"/>
        </w:rPr>
        <w:t xml:space="preserve"> </w:t>
      </w:r>
      <w:r>
        <w:rPr>
          <w:rFonts w:hint="default"/>
          <w:b w:val="0"/>
          <w:bCs w:val="0"/>
          <w:color w:val="auto"/>
          <w:sz w:val="28"/>
          <w:szCs w:val="28"/>
          <w:highlight w:val="none"/>
          <w:lang w:val="ru-RU"/>
        </w:rPr>
        <w:t>2</w:t>
      </w:r>
      <w:r>
        <w:rPr>
          <w:rFonts w:hint="default"/>
          <w:b w:val="0"/>
          <w:bCs w:val="0"/>
          <w:color w:val="auto"/>
          <w:sz w:val="28"/>
          <w:szCs w:val="28"/>
          <w:highlight w:val="none"/>
          <w:lang w:val="kk-KZ"/>
        </w:rPr>
        <w:t xml:space="preserve">5 - </w:t>
      </w:r>
      <w:r>
        <w:rPr>
          <w:b w:val="0"/>
          <w:bCs w:val="0"/>
          <w:color w:val="auto"/>
        </w:rPr>
        <w:t>Масштабтау кезеңдері және препарат нормалары</w:t>
      </w:r>
    </w:p>
    <w:p w14:paraId="4DAD3EDC">
      <w:pPr>
        <w:keepNext w:val="0"/>
        <w:keepLines w:val="0"/>
        <w:pageBreakBefore w:val="0"/>
        <w:widowControl/>
        <w:kinsoku/>
        <w:wordWrap/>
        <w:overflowPunct/>
        <w:topLinePunct w:val="0"/>
        <w:autoSpaceDE/>
        <w:autoSpaceDN/>
        <w:bidi w:val="0"/>
        <w:adjustRightInd/>
        <w:snapToGrid/>
        <w:spacing w:after="0" w:line="240" w:lineRule="auto"/>
        <w:textAlignment w:val="auto"/>
        <w:rPr>
          <w:b/>
          <w:color w:val="auto"/>
        </w:rPr>
      </w:pPr>
    </w:p>
    <w:tbl>
      <w:tblPr>
        <w:tblStyle w:val="366"/>
        <w:tblW w:w="0" w:type="auto"/>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CellMar>
          <w:top w:w="0" w:type="dxa"/>
          <w:left w:w="108" w:type="dxa"/>
          <w:bottom w:w="0" w:type="dxa"/>
          <w:right w:w="108" w:type="dxa"/>
        </w:tblCellMar>
      </w:tblPr>
      <w:tblGrid>
        <w:gridCol w:w="2347"/>
        <w:gridCol w:w="1626"/>
        <w:gridCol w:w="1462"/>
        <w:gridCol w:w="1352"/>
        <w:gridCol w:w="1342"/>
        <w:gridCol w:w="1442"/>
      </w:tblGrid>
      <w:tr w14:paraId="0FC9E713">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c>
          <w:tcPr>
            <w:tcW w:w="2347" w:type="dxa"/>
            <w:tcBorders>
              <w:tl2br w:val="nil"/>
              <w:tr2bl w:val="nil"/>
            </w:tcBorders>
          </w:tcPr>
          <w:p w14:paraId="5C6FE408">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color w:val="auto"/>
                <w:sz w:val="24"/>
                <w:szCs w:val="21"/>
              </w:rPr>
            </w:pPr>
            <w:r>
              <w:rPr>
                <w:rFonts w:hint="default" w:ascii="Times New Roman" w:hAnsi="Times New Roman" w:cs="Times New Roman"/>
                <w:b w:val="0"/>
                <w:bCs/>
                <w:color w:val="auto"/>
                <w:sz w:val="24"/>
                <w:szCs w:val="21"/>
              </w:rPr>
              <w:t>Масштаб</w:t>
            </w:r>
          </w:p>
        </w:tc>
        <w:tc>
          <w:tcPr>
            <w:tcW w:w="1626" w:type="dxa"/>
            <w:tcBorders>
              <w:tl2br w:val="nil"/>
              <w:tr2bl w:val="nil"/>
            </w:tcBorders>
          </w:tcPr>
          <w:p w14:paraId="1D060F32">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color w:val="auto"/>
                <w:sz w:val="24"/>
                <w:szCs w:val="21"/>
              </w:rPr>
            </w:pPr>
            <w:r>
              <w:rPr>
                <w:rFonts w:hint="default" w:ascii="Times New Roman" w:hAnsi="Times New Roman" w:cs="Times New Roman"/>
                <w:b w:val="0"/>
                <w:bCs/>
                <w:color w:val="auto"/>
                <w:sz w:val="24"/>
                <w:szCs w:val="21"/>
              </w:rPr>
              <w:t>Көлем/аумақ</w:t>
            </w:r>
          </w:p>
        </w:tc>
        <w:tc>
          <w:tcPr>
            <w:tcW w:w="1462" w:type="dxa"/>
            <w:tcBorders>
              <w:tl2br w:val="nil"/>
              <w:tr2bl w:val="nil"/>
            </w:tcBorders>
          </w:tcPr>
          <w:p w14:paraId="59469545">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color w:val="auto"/>
                <w:sz w:val="24"/>
                <w:szCs w:val="21"/>
              </w:rPr>
            </w:pPr>
            <w:r>
              <w:rPr>
                <w:rFonts w:hint="default" w:ascii="Times New Roman" w:hAnsi="Times New Roman" w:cs="Times New Roman"/>
                <w:b w:val="0"/>
                <w:bCs/>
                <w:color w:val="auto"/>
                <w:sz w:val="24"/>
                <w:szCs w:val="21"/>
              </w:rPr>
              <w:t>Грунт массасы</w:t>
            </w:r>
          </w:p>
        </w:tc>
        <w:tc>
          <w:tcPr>
            <w:tcW w:w="1352" w:type="dxa"/>
            <w:tcBorders>
              <w:tl2br w:val="nil"/>
              <w:tr2bl w:val="nil"/>
            </w:tcBorders>
          </w:tcPr>
          <w:p w14:paraId="65092A43">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color w:val="auto"/>
                <w:sz w:val="24"/>
                <w:szCs w:val="21"/>
              </w:rPr>
            </w:pPr>
            <w:r>
              <w:rPr>
                <w:rFonts w:hint="default" w:ascii="Times New Roman" w:hAnsi="Times New Roman" w:cs="Times New Roman"/>
                <w:b w:val="0"/>
                <w:bCs/>
                <w:color w:val="auto"/>
                <w:sz w:val="24"/>
                <w:szCs w:val="21"/>
              </w:rPr>
              <w:t>Препарат</w:t>
            </w:r>
          </w:p>
        </w:tc>
        <w:tc>
          <w:tcPr>
            <w:tcW w:w="1342" w:type="dxa"/>
            <w:tcBorders>
              <w:tl2br w:val="nil"/>
              <w:tr2bl w:val="nil"/>
            </w:tcBorders>
          </w:tcPr>
          <w:p w14:paraId="65B3A56D">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color w:val="auto"/>
                <w:sz w:val="24"/>
                <w:szCs w:val="21"/>
              </w:rPr>
            </w:pPr>
            <w:r>
              <w:rPr>
                <w:rFonts w:hint="default" w:ascii="Times New Roman" w:hAnsi="Times New Roman" w:cs="Times New Roman"/>
                <w:b w:val="0"/>
                <w:bCs/>
                <w:color w:val="auto"/>
                <w:sz w:val="24"/>
                <w:szCs w:val="21"/>
              </w:rPr>
              <w:t>Қатынас</w:t>
            </w:r>
          </w:p>
        </w:tc>
        <w:tc>
          <w:tcPr>
            <w:tcW w:w="1442" w:type="dxa"/>
            <w:tcBorders>
              <w:tl2br w:val="nil"/>
              <w:tr2bl w:val="nil"/>
            </w:tcBorders>
          </w:tcPr>
          <w:p w14:paraId="4879B85B">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val="0"/>
                <w:bCs/>
                <w:color w:val="auto"/>
                <w:sz w:val="24"/>
                <w:szCs w:val="21"/>
              </w:rPr>
            </w:pPr>
            <w:r>
              <w:rPr>
                <w:rFonts w:hint="default" w:ascii="Times New Roman" w:hAnsi="Times New Roman" w:cs="Times New Roman"/>
                <w:b w:val="0"/>
                <w:bCs/>
                <w:color w:val="auto"/>
                <w:sz w:val="24"/>
                <w:szCs w:val="21"/>
              </w:rPr>
              <w:t>Мақсат</w:t>
            </w:r>
          </w:p>
        </w:tc>
      </w:tr>
      <w:tr w14:paraId="04231899">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c>
          <w:tcPr>
            <w:tcW w:w="2347" w:type="dxa"/>
            <w:tcBorders>
              <w:tl2br w:val="nil"/>
              <w:tr2bl w:val="nil"/>
            </w:tcBorders>
            <w:vAlign w:val="center"/>
          </w:tcPr>
          <w:p w14:paraId="415AAC1F">
            <w:pPr>
              <w:spacing w:line="240" w:lineRule="auto"/>
              <w:jc w:val="left"/>
              <w:rPr>
                <w:rFonts w:hint="default" w:ascii="Times New Roman" w:hAnsi="Times New Roman" w:cs="Times New Roman"/>
                <w:color w:val="auto"/>
                <w:sz w:val="24"/>
                <w:szCs w:val="24"/>
              </w:rPr>
            </w:pPr>
            <w:r>
              <w:rPr>
                <w:rFonts w:ascii="Times New Roman" w:hAnsi="Times New Roman" w:eastAsia="Times New Roman" w:cs="Times New Roman"/>
                <w:b w:val="0"/>
                <w:bCs w:val="0"/>
                <w:color w:val="auto"/>
                <w:sz w:val="24"/>
                <w:szCs w:val="24"/>
              </w:rPr>
              <w:t>Зертхана</w:t>
            </w:r>
          </w:p>
        </w:tc>
        <w:tc>
          <w:tcPr>
            <w:tcW w:w="1626" w:type="dxa"/>
            <w:tcBorders>
              <w:tl2br w:val="nil"/>
              <w:tr2bl w:val="nil"/>
            </w:tcBorders>
            <w:vAlign w:val="center"/>
          </w:tcPr>
          <w:p w14:paraId="02C782F2">
            <w:pPr>
              <w:spacing w:line="240" w:lineRule="auto"/>
              <w:jc w:val="center"/>
              <w:rPr>
                <w:rFonts w:hint="default" w:ascii="Times New Roman" w:hAnsi="Times New Roman" w:cs="Times New Roman"/>
                <w:color w:val="auto"/>
                <w:sz w:val="24"/>
                <w:szCs w:val="24"/>
              </w:rPr>
            </w:pPr>
            <w:r>
              <w:rPr>
                <w:rFonts w:ascii="Times New Roman" w:hAnsi="Times New Roman" w:eastAsia="Times New Roman" w:cs="Times New Roman"/>
                <w:b w:val="0"/>
                <w:bCs w:val="0"/>
                <w:color w:val="auto"/>
                <w:sz w:val="24"/>
                <w:szCs w:val="24"/>
              </w:rPr>
              <w:t>50 мл</w:t>
            </w:r>
          </w:p>
        </w:tc>
        <w:tc>
          <w:tcPr>
            <w:tcW w:w="1462" w:type="dxa"/>
            <w:tcBorders>
              <w:tl2br w:val="nil"/>
              <w:tr2bl w:val="nil"/>
            </w:tcBorders>
            <w:vAlign w:val="center"/>
          </w:tcPr>
          <w:p w14:paraId="0D0C9626">
            <w:pPr>
              <w:spacing w:line="240" w:lineRule="auto"/>
              <w:jc w:val="center"/>
              <w:rPr>
                <w:rFonts w:hint="default" w:ascii="Times New Roman" w:hAnsi="Times New Roman" w:cs="Times New Roman"/>
                <w:color w:val="auto"/>
                <w:sz w:val="24"/>
                <w:szCs w:val="24"/>
              </w:rPr>
            </w:pPr>
            <w:r>
              <w:rPr>
                <w:rFonts w:ascii="Times New Roman" w:hAnsi="Times New Roman" w:eastAsia="Times New Roman" w:cs="Times New Roman"/>
                <w:b w:val="0"/>
                <w:bCs w:val="0"/>
                <w:color w:val="auto"/>
                <w:sz w:val="24"/>
                <w:szCs w:val="24"/>
              </w:rPr>
              <w:t>50 г</w:t>
            </w:r>
          </w:p>
        </w:tc>
        <w:tc>
          <w:tcPr>
            <w:tcW w:w="1352" w:type="dxa"/>
            <w:tcBorders>
              <w:tl2br w:val="nil"/>
              <w:tr2bl w:val="nil"/>
            </w:tcBorders>
            <w:vAlign w:val="center"/>
          </w:tcPr>
          <w:p w14:paraId="5D07BB02">
            <w:pPr>
              <w:spacing w:line="240" w:lineRule="auto"/>
              <w:jc w:val="center"/>
              <w:rPr>
                <w:rFonts w:hint="default" w:ascii="Times New Roman" w:hAnsi="Times New Roman" w:cs="Times New Roman"/>
                <w:color w:val="auto"/>
                <w:sz w:val="24"/>
                <w:szCs w:val="24"/>
              </w:rPr>
            </w:pPr>
            <w:r>
              <w:rPr>
                <w:rFonts w:ascii="Times New Roman" w:hAnsi="Times New Roman" w:eastAsia="Times New Roman" w:cs="Times New Roman"/>
                <w:b w:val="0"/>
                <w:bCs w:val="0"/>
                <w:color w:val="auto"/>
                <w:sz w:val="24"/>
                <w:szCs w:val="24"/>
              </w:rPr>
              <w:t>5 г</w:t>
            </w:r>
          </w:p>
        </w:tc>
        <w:tc>
          <w:tcPr>
            <w:tcW w:w="1342" w:type="dxa"/>
            <w:tcBorders>
              <w:tl2br w:val="nil"/>
              <w:tr2bl w:val="nil"/>
            </w:tcBorders>
            <w:vAlign w:val="center"/>
          </w:tcPr>
          <w:p w14:paraId="310D769A">
            <w:pPr>
              <w:spacing w:line="240" w:lineRule="auto"/>
              <w:jc w:val="center"/>
              <w:rPr>
                <w:rFonts w:hint="default" w:ascii="Times New Roman" w:hAnsi="Times New Roman" w:cs="Times New Roman"/>
                <w:color w:val="auto"/>
                <w:sz w:val="24"/>
                <w:szCs w:val="24"/>
              </w:rPr>
            </w:pPr>
            <w:r>
              <w:rPr>
                <w:rFonts w:ascii="Times New Roman" w:hAnsi="Times New Roman" w:eastAsia="Times New Roman" w:cs="Times New Roman"/>
                <w:b w:val="0"/>
                <w:bCs w:val="0"/>
                <w:color w:val="auto"/>
                <w:sz w:val="24"/>
                <w:szCs w:val="24"/>
              </w:rPr>
              <w:t>10%</w:t>
            </w:r>
          </w:p>
        </w:tc>
        <w:tc>
          <w:tcPr>
            <w:tcW w:w="1442" w:type="dxa"/>
            <w:tcBorders>
              <w:tl2br w:val="nil"/>
              <w:tr2bl w:val="nil"/>
            </w:tcBorders>
            <w:vAlign w:val="center"/>
          </w:tcPr>
          <w:p w14:paraId="278A7AA7">
            <w:pPr>
              <w:spacing w:line="240" w:lineRule="auto"/>
              <w:jc w:val="left"/>
              <w:rPr>
                <w:rFonts w:hint="default" w:ascii="Times New Roman" w:hAnsi="Times New Roman" w:cs="Times New Roman"/>
                <w:color w:val="auto"/>
                <w:sz w:val="24"/>
                <w:szCs w:val="24"/>
              </w:rPr>
            </w:pPr>
            <w:r>
              <w:rPr>
                <w:rFonts w:ascii="Times New Roman" w:hAnsi="Times New Roman" w:eastAsia="Times New Roman" w:cs="Times New Roman"/>
                <w:b w:val="0"/>
                <w:bCs w:val="0"/>
                <w:color w:val="auto"/>
                <w:sz w:val="24"/>
                <w:szCs w:val="24"/>
              </w:rPr>
              <w:t>Әдіс әзірлеу</w:t>
            </w:r>
          </w:p>
        </w:tc>
      </w:tr>
      <w:tr w14:paraId="55EFB328">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c>
          <w:tcPr>
            <w:tcW w:w="2347" w:type="dxa"/>
            <w:tcBorders>
              <w:tl2br w:val="nil"/>
              <w:tr2bl w:val="nil"/>
            </w:tcBorders>
            <w:vAlign w:val="center"/>
          </w:tcPr>
          <w:p w14:paraId="25F55B15">
            <w:pPr>
              <w:spacing w:line="240" w:lineRule="auto"/>
              <w:jc w:val="left"/>
              <w:rPr>
                <w:rFonts w:hint="default" w:ascii="Times New Roman" w:hAnsi="Times New Roman" w:cs="Times New Roman"/>
                <w:color w:val="auto"/>
                <w:sz w:val="24"/>
                <w:szCs w:val="24"/>
              </w:rPr>
            </w:pPr>
            <w:r>
              <w:rPr>
                <w:rFonts w:ascii="Times New Roman" w:hAnsi="Times New Roman" w:eastAsia="Times New Roman" w:cs="Times New Roman"/>
                <w:b w:val="0"/>
                <w:bCs w:val="0"/>
                <w:color w:val="auto"/>
                <w:sz w:val="24"/>
                <w:szCs w:val="24"/>
              </w:rPr>
              <w:t>Пилот далалық</w:t>
            </w:r>
          </w:p>
        </w:tc>
        <w:tc>
          <w:tcPr>
            <w:tcW w:w="1626" w:type="dxa"/>
            <w:tcBorders>
              <w:tl2br w:val="nil"/>
              <w:tr2bl w:val="nil"/>
            </w:tcBorders>
            <w:vAlign w:val="center"/>
          </w:tcPr>
          <w:p w14:paraId="21BE0F13">
            <w:pPr>
              <w:spacing w:line="240" w:lineRule="auto"/>
              <w:jc w:val="center"/>
              <w:rPr>
                <w:rFonts w:hint="default" w:ascii="Times New Roman" w:hAnsi="Times New Roman" w:cs="Times New Roman"/>
                <w:color w:val="auto"/>
                <w:sz w:val="24"/>
                <w:szCs w:val="24"/>
              </w:rPr>
            </w:pPr>
            <w:r>
              <w:rPr>
                <w:rFonts w:ascii="Times New Roman" w:hAnsi="Times New Roman" w:eastAsia="Times New Roman" w:cs="Times New Roman"/>
                <w:b w:val="0"/>
                <w:bCs w:val="0"/>
                <w:color w:val="auto"/>
                <w:sz w:val="24"/>
                <w:szCs w:val="24"/>
              </w:rPr>
              <w:t>0,1 м³</w:t>
            </w:r>
          </w:p>
        </w:tc>
        <w:tc>
          <w:tcPr>
            <w:tcW w:w="1462" w:type="dxa"/>
            <w:tcBorders>
              <w:tl2br w:val="nil"/>
              <w:tr2bl w:val="nil"/>
            </w:tcBorders>
            <w:vAlign w:val="center"/>
          </w:tcPr>
          <w:p w14:paraId="739FB333">
            <w:pPr>
              <w:spacing w:line="240" w:lineRule="auto"/>
              <w:jc w:val="center"/>
              <w:rPr>
                <w:rFonts w:hint="default" w:ascii="Times New Roman" w:hAnsi="Times New Roman" w:cs="Times New Roman"/>
                <w:color w:val="auto"/>
                <w:sz w:val="24"/>
                <w:szCs w:val="24"/>
              </w:rPr>
            </w:pPr>
            <w:r>
              <w:rPr>
                <w:rFonts w:ascii="Times New Roman" w:hAnsi="Times New Roman" w:eastAsia="Times New Roman" w:cs="Times New Roman"/>
                <w:b w:val="0"/>
                <w:bCs w:val="0"/>
                <w:color w:val="auto"/>
                <w:sz w:val="24"/>
                <w:szCs w:val="24"/>
              </w:rPr>
              <w:t>100-150 кг</w:t>
            </w:r>
          </w:p>
        </w:tc>
        <w:tc>
          <w:tcPr>
            <w:tcW w:w="1352" w:type="dxa"/>
            <w:tcBorders>
              <w:tl2br w:val="nil"/>
              <w:tr2bl w:val="nil"/>
            </w:tcBorders>
            <w:vAlign w:val="center"/>
          </w:tcPr>
          <w:p w14:paraId="4714E74C">
            <w:pPr>
              <w:spacing w:line="240" w:lineRule="auto"/>
              <w:jc w:val="center"/>
              <w:rPr>
                <w:rFonts w:hint="default" w:ascii="Times New Roman" w:hAnsi="Times New Roman" w:cs="Times New Roman"/>
                <w:color w:val="auto"/>
                <w:sz w:val="24"/>
                <w:szCs w:val="24"/>
              </w:rPr>
            </w:pPr>
            <w:r>
              <w:rPr>
                <w:rFonts w:ascii="Times New Roman" w:hAnsi="Times New Roman" w:eastAsia="Times New Roman" w:cs="Times New Roman"/>
                <w:b w:val="0"/>
                <w:bCs w:val="0"/>
                <w:color w:val="auto"/>
                <w:sz w:val="24"/>
                <w:szCs w:val="24"/>
              </w:rPr>
              <w:t>10-15 кг</w:t>
            </w:r>
          </w:p>
        </w:tc>
        <w:tc>
          <w:tcPr>
            <w:tcW w:w="1342" w:type="dxa"/>
            <w:tcBorders>
              <w:tl2br w:val="nil"/>
              <w:tr2bl w:val="nil"/>
            </w:tcBorders>
            <w:vAlign w:val="center"/>
          </w:tcPr>
          <w:p w14:paraId="4A63295D">
            <w:pPr>
              <w:spacing w:line="240" w:lineRule="auto"/>
              <w:jc w:val="center"/>
              <w:rPr>
                <w:rFonts w:hint="default" w:ascii="Times New Roman" w:hAnsi="Times New Roman" w:cs="Times New Roman"/>
                <w:color w:val="auto"/>
                <w:sz w:val="24"/>
                <w:szCs w:val="24"/>
              </w:rPr>
            </w:pPr>
            <w:r>
              <w:rPr>
                <w:rFonts w:ascii="Times New Roman" w:hAnsi="Times New Roman" w:eastAsia="Times New Roman" w:cs="Times New Roman"/>
                <w:b w:val="0"/>
                <w:bCs w:val="0"/>
                <w:color w:val="auto"/>
                <w:sz w:val="24"/>
                <w:szCs w:val="24"/>
              </w:rPr>
              <w:t>10%</w:t>
            </w:r>
          </w:p>
        </w:tc>
        <w:tc>
          <w:tcPr>
            <w:tcW w:w="1442" w:type="dxa"/>
            <w:tcBorders>
              <w:tl2br w:val="nil"/>
              <w:tr2bl w:val="nil"/>
            </w:tcBorders>
            <w:vAlign w:val="center"/>
          </w:tcPr>
          <w:p w14:paraId="44DE5583">
            <w:pPr>
              <w:spacing w:line="240" w:lineRule="auto"/>
              <w:jc w:val="left"/>
              <w:rPr>
                <w:rFonts w:hint="default" w:ascii="Times New Roman" w:hAnsi="Times New Roman" w:cs="Times New Roman"/>
                <w:color w:val="auto"/>
                <w:sz w:val="24"/>
                <w:szCs w:val="24"/>
              </w:rPr>
            </w:pPr>
            <w:r>
              <w:rPr>
                <w:rFonts w:ascii="Times New Roman" w:hAnsi="Times New Roman" w:eastAsia="Times New Roman" w:cs="Times New Roman"/>
                <w:b w:val="0"/>
                <w:bCs w:val="0"/>
                <w:color w:val="auto"/>
                <w:sz w:val="24"/>
                <w:szCs w:val="24"/>
              </w:rPr>
              <w:t>Далалық растау</w:t>
            </w:r>
          </w:p>
        </w:tc>
      </w:tr>
      <w:tr w14:paraId="1DED8F24">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c>
          <w:tcPr>
            <w:tcW w:w="2347" w:type="dxa"/>
            <w:tcBorders>
              <w:tl2br w:val="nil"/>
              <w:tr2bl w:val="nil"/>
            </w:tcBorders>
            <w:vAlign w:val="center"/>
          </w:tcPr>
          <w:p w14:paraId="750B92D3">
            <w:pPr>
              <w:spacing w:line="240" w:lineRule="auto"/>
              <w:jc w:val="left"/>
              <w:rPr>
                <w:rFonts w:hint="default" w:ascii="Times New Roman" w:hAnsi="Times New Roman" w:cs="Times New Roman"/>
                <w:color w:val="auto"/>
                <w:sz w:val="24"/>
                <w:szCs w:val="24"/>
              </w:rPr>
            </w:pPr>
            <w:r>
              <w:rPr>
                <w:rFonts w:ascii="Times New Roman" w:hAnsi="Times New Roman" w:eastAsia="Times New Roman" w:cs="Times New Roman"/>
                <w:b w:val="0"/>
                <w:bCs w:val="0"/>
                <w:color w:val="auto"/>
                <w:sz w:val="24"/>
                <w:szCs w:val="24"/>
              </w:rPr>
              <w:t>Өндірістік (төмен)</w:t>
            </w:r>
          </w:p>
        </w:tc>
        <w:tc>
          <w:tcPr>
            <w:tcW w:w="1626" w:type="dxa"/>
            <w:tcBorders>
              <w:tl2br w:val="nil"/>
              <w:tr2bl w:val="nil"/>
            </w:tcBorders>
            <w:vAlign w:val="center"/>
          </w:tcPr>
          <w:p w14:paraId="5DA6D5F7">
            <w:pPr>
              <w:spacing w:line="240" w:lineRule="auto"/>
              <w:jc w:val="center"/>
              <w:rPr>
                <w:rFonts w:hint="default" w:ascii="Times New Roman" w:hAnsi="Times New Roman" w:cs="Times New Roman"/>
                <w:color w:val="auto"/>
                <w:sz w:val="24"/>
                <w:szCs w:val="24"/>
              </w:rPr>
            </w:pPr>
            <w:r>
              <w:rPr>
                <w:rFonts w:ascii="Times New Roman" w:hAnsi="Times New Roman" w:eastAsia="Times New Roman" w:cs="Times New Roman"/>
                <w:b w:val="0"/>
                <w:bCs w:val="0"/>
                <w:color w:val="auto"/>
                <w:sz w:val="24"/>
                <w:szCs w:val="24"/>
              </w:rPr>
              <w:t>1 га × 0,3 м</w:t>
            </w:r>
          </w:p>
        </w:tc>
        <w:tc>
          <w:tcPr>
            <w:tcW w:w="1462" w:type="dxa"/>
            <w:tcBorders>
              <w:tl2br w:val="nil"/>
              <w:tr2bl w:val="nil"/>
            </w:tcBorders>
            <w:vAlign w:val="center"/>
          </w:tcPr>
          <w:p w14:paraId="5B74E70D">
            <w:pPr>
              <w:spacing w:line="240" w:lineRule="auto"/>
              <w:jc w:val="center"/>
              <w:rPr>
                <w:rFonts w:hint="default" w:ascii="Times New Roman" w:hAnsi="Times New Roman" w:cs="Times New Roman"/>
                <w:color w:val="auto"/>
                <w:sz w:val="24"/>
                <w:szCs w:val="24"/>
              </w:rPr>
            </w:pPr>
            <w:r>
              <w:rPr>
                <w:rFonts w:ascii="Times New Roman" w:hAnsi="Times New Roman" w:eastAsia="Times New Roman" w:cs="Times New Roman"/>
                <w:b w:val="0"/>
                <w:bCs w:val="0"/>
                <w:color w:val="auto"/>
                <w:sz w:val="24"/>
                <w:szCs w:val="24"/>
              </w:rPr>
              <w:t>3900 т</w:t>
            </w:r>
          </w:p>
        </w:tc>
        <w:tc>
          <w:tcPr>
            <w:tcW w:w="1352" w:type="dxa"/>
            <w:tcBorders>
              <w:tl2br w:val="nil"/>
              <w:tr2bl w:val="nil"/>
            </w:tcBorders>
            <w:vAlign w:val="center"/>
          </w:tcPr>
          <w:p w14:paraId="2530CCDE">
            <w:pPr>
              <w:spacing w:line="240" w:lineRule="auto"/>
              <w:jc w:val="center"/>
              <w:rPr>
                <w:rFonts w:hint="default" w:ascii="Times New Roman" w:hAnsi="Times New Roman" w:cs="Times New Roman"/>
                <w:color w:val="auto"/>
                <w:sz w:val="24"/>
                <w:szCs w:val="24"/>
              </w:rPr>
            </w:pPr>
            <w:r>
              <w:rPr>
                <w:rFonts w:ascii="Times New Roman" w:hAnsi="Times New Roman" w:eastAsia="Times New Roman" w:cs="Times New Roman"/>
                <w:b w:val="0"/>
                <w:bCs w:val="0"/>
                <w:color w:val="auto"/>
                <w:sz w:val="24"/>
                <w:szCs w:val="24"/>
              </w:rPr>
              <w:t>5 кг</w:t>
            </w:r>
          </w:p>
        </w:tc>
        <w:tc>
          <w:tcPr>
            <w:tcW w:w="1342" w:type="dxa"/>
            <w:tcBorders>
              <w:tl2br w:val="nil"/>
              <w:tr2bl w:val="nil"/>
            </w:tcBorders>
            <w:vAlign w:val="center"/>
          </w:tcPr>
          <w:p w14:paraId="6FCEF905">
            <w:pPr>
              <w:spacing w:line="240" w:lineRule="auto"/>
              <w:jc w:val="center"/>
              <w:rPr>
                <w:rFonts w:hint="default" w:ascii="Times New Roman" w:hAnsi="Times New Roman" w:cs="Times New Roman"/>
                <w:color w:val="auto"/>
                <w:sz w:val="24"/>
                <w:szCs w:val="24"/>
              </w:rPr>
            </w:pPr>
            <w:r>
              <w:rPr>
                <w:rFonts w:ascii="Times New Roman" w:hAnsi="Times New Roman" w:eastAsia="Times New Roman" w:cs="Times New Roman"/>
                <w:b w:val="0"/>
                <w:bCs w:val="0"/>
                <w:color w:val="auto"/>
                <w:sz w:val="24"/>
                <w:szCs w:val="24"/>
              </w:rPr>
              <w:t>0,00013%</w:t>
            </w:r>
          </w:p>
        </w:tc>
        <w:tc>
          <w:tcPr>
            <w:tcW w:w="1442" w:type="dxa"/>
            <w:tcBorders>
              <w:tl2br w:val="nil"/>
              <w:tr2bl w:val="nil"/>
            </w:tcBorders>
            <w:vAlign w:val="center"/>
          </w:tcPr>
          <w:p w14:paraId="23257979">
            <w:pPr>
              <w:spacing w:line="240" w:lineRule="auto"/>
              <w:jc w:val="left"/>
              <w:rPr>
                <w:rFonts w:hint="default" w:ascii="Times New Roman" w:hAnsi="Times New Roman" w:cs="Times New Roman"/>
                <w:color w:val="auto"/>
                <w:sz w:val="24"/>
                <w:szCs w:val="24"/>
              </w:rPr>
            </w:pPr>
            <w:r>
              <w:rPr>
                <w:rFonts w:ascii="Times New Roman" w:hAnsi="Times New Roman" w:eastAsia="Times New Roman" w:cs="Times New Roman"/>
                <w:b w:val="0"/>
                <w:bCs w:val="0"/>
                <w:color w:val="auto"/>
                <w:sz w:val="24"/>
                <w:szCs w:val="24"/>
              </w:rPr>
              <w:t>Экономикалық оңтайлы</w:t>
            </w:r>
          </w:p>
        </w:tc>
      </w:tr>
      <w:tr w14:paraId="73F8145F">
        <w:tblPrEx>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Ex>
        <w:tc>
          <w:tcPr>
            <w:tcW w:w="2347" w:type="dxa"/>
            <w:tcBorders>
              <w:tl2br w:val="nil"/>
              <w:tr2bl w:val="nil"/>
            </w:tcBorders>
            <w:vAlign w:val="center"/>
          </w:tcPr>
          <w:p w14:paraId="2DAE1F74">
            <w:pPr>
              <w:spacing w:line="240" w:lineRule="auto"/>
              <w:jc w:val="left"/>
              <w:rPr>
                <w:rFonts w:hint="default" w:ascii="Times New Roman" w:hAnsi="Times New Roman" w:cs="Times New Roman"/>
                <w:color w:val="auto"/>
                <w:sz w:val="24"/>
                <w:szCs w:val="24"/>
              </w:rPr>
            </w:pPr>
            <w:r>
              <w:rPr>
                <w:rFonts w:ascii="Times New Roman" w:hAnsi="Times New Roman" w:eastAsia="Times New Roman" w:cs="Times New Roman"/>
                <w:b w:val="0"/>
                <w:bCs w:val="0"/>
                <w:color w:val="auto"/>
                <w:sz w:val="24"/>
                <w:szCs w:val="24"/>
              </w:rPr>
              <w:t>Өндірістік (орташа)</w:t>
            </w:r>
          </w:p>
        </w:tc>
        <w:tc>
          <w:tcPr>
            <w:tcW w:w="1626" w:type="dxa"/>
            <w:tcBorders>
              <w:tl2br w:val="nil"/>
              <w:tr2bl w:val="nil"/>
            </w:tcBorders>
            <w:vAlign w:val="center"/>
          </w:tcPr>
          <w:p w14:paraId="0095B22B">
            <w:pPr>
              <w:spacing w:line="240" w:lineRule="auto"/>
              <w:jc w:val="center"/>
              <w:rPr>
                <w:rFonts w:hint="default" w:ascii="Times New Roman" w:hAnsi="Times New Roman" w:cs="Times New Roman"/>
                <w:color w:val="auto"/>
                <w:sz w:val="24"/>
                <w:szCs w:val="24"/>
              </w:rPr>
            </w:pPr>
            <w:r>
              <w:rPr>
                <w:rFonts w:ascii="Times New Roman" w:hAnsi="Times New Roman" w:eastAsia="Times New Roman" w:cs="Times New Roman"/>
                <w:b w:val="0"/>
                <w:bCs w:val="0"/>
                <w:color w:val="auto"/>
                <w:sz w:val="24"/>
                <w:szCs w:val="24"/>
              </w:rPr>
              <w:t>1 га × 0,3 м</w:t>
            </w:r>
          </w:p>
        </w:tc>
        <w:tc>
          <w:tcPr>
            <w:tcW w:w="1462" w:type="dxa"/>
            <w:tcBorders>
              <w:tl2br w:val="nil"/>
              <w:tr2bl w:val="nil"/>
            </w:tcBorders>
            <w:vAlign w:val="center"/>
          </w:tcPr>
          <w:p w14:paraId="6BC9D57F">
            <w:pPr>
              <w:spacing w:line="240" w:lineRule="auto"/>
              <w:jc w:val="center"/>
              <w:rPr>
                <w:rFonts w:hint="default" w:ascii="Times New Roman" w:hAnsi="Times New Roman" w:cs="Times New Roman"/>
                <w:color w:val="auto"/>
                <w:sz w:val="24"/>
                <w:szCs w:val="24"/>
              </w:rPr>
            </w:pPr>
            <w:r>
              <w:rPr>
                <w:rFonts w:ascii="Times New Roman" w:hAnsi="Times New Roman" w:eastAsia="Times New Roman" w:cs="Times New Roman"/>
                <w:b w:val="0"/>
                <w:bCs w:val="0"/>
                <w:color w:val="auto"/>
                <w:sz w:val="24"/>
                <w:szCs w:val="24"/>
              </w:rPr>
              <w:t>3900 т</w:t>
            </w:r>
          </w:p>
        </w:tc>
        <w:tc>
          <w:tcPr>
            <w:tcW w:w="1352" w:type="dxa"/>
            <w:tcBorders>
              <w:tl2br w:val="nil"/>
              <w:tr2bl w:val="nil"/>
            </w:tcBorders>
            <w:vAlign w:val="center"/>
          </w:tcPr>
          <w:p w14:paraId="30E4ED01">
            <w:pPr>
              <w:spacing w:line="240" w:lineRule="auto"/>
              <w:jc w:val="center"/>
              <w:rPr>
                <w:rFonts w:hint="default" w:ascii="Times New Roman" w:hAnsi="Times New Roman" w:cs="Times New Roman"/>
                <w:color w:val="auto"/>
                <w:sz w:val="24"/>
                <w:szCs w:val="24"/>
              </w:rPr>
            </w:pPr>
            <w:r>
              <w:rPr>
                <w:rFonts w:ascii="Times New Roman" w:hAnsi="Times New Roman" w:eastAsia="Times New Roman" w:cs="Times New Roman"/>
                <w:b w:val="0"/>
                <w:bCs w:val="0"/>
                <w:color w:val="auto"/>
                <w:sz w:val="24"/>
                <w:szCs w:val="24"/>
              </w:rPr>
              <w:t>10 кг</w:t>
            </w:r>
          </w:p>
        </w:tc>
        <w:tc>
          <w:tcPr>
            <w:tcW w:w="1342" w:type="dxa"/>
            <w:tcBorders>
              <w:tl2br w:val="nil"/>
              <w:tr2bl w:val="nil"/>
            </w:tcBorders>
            <w:vAlign w:val="center"/>
          </w:tcPr>
          <w:p w14:paraId="4A3FBC33">
            <w:pPr>
              <w:spacing w:line="240" w:lineRule="auto"/>
              <w:jc w:val="center"/>
              <w:rPr>
                <w:rFonts w:hint="default" w:ascii="Times New Roman" w:hAnsi="Times New Roman" w:cs="Times New Roman"/>
                <w:color w:val="auto"/>
                <w:sz w:val="24"/>
                <w:szCs w:val="24"/>
                <w:lang w:val="ru-RU"/>
              </w:rPr>
            </w:pPr>
            <w:r>
              <w:rPr>
                <w:rFonts w:ascii="Times New Roman" w:hAnsi="Times New Roman" w:eastAsia="Times New Roman" w:cs="Times New Roman"/>
                <w:b w:val="0"/>
                <w:bCs w:val="0"/>
                <w:color w:val="auto"/>
                <w:sz w:val="24"/>
                <w:szCs w:val="24"/>
              </w:rPr>
              <w:t>0,00026%</w:t>
            </w:r>
          </w:p>
        </w:tc>
        <w:tc>
          <w:tcPr>
            <w:tcW w:w="1442" w:type="dxa"/>
            <w:tcBorders>
              <w:tl2br w:val="nil"/>
              <w:tr2bl w:val="nil"/>
            </w:tcBorders>
            <w:vAlign w:val="center"/>
          </w:tcPr>
          <w:p w14:paraId="17B3B042">
            <w:pPr>
              <w:spacing w:line="240" w:lineRule="auto"/>
              <w:jc w:val="left"/>
              <w:rPr>
                <w:rFonts w:hint="default" w:ascii="Times New Roman" w:hAnsi="Times New Roman" w:cs="Times New Roman"/>
                <w:color w:val="auto"/>
                <w:sz w:val="24"/>
                <w:szCs w:val="24"/>
              </w:rPr>
            </w:pPr>
            <w:r>
              <w:rPr>
                <w:rFonts w:ascii="Times New Roman" w:hAnsi="Times New Roman" w:eastAsia="Times New Roman" w:cs="Times New Roman"/>
                <w:b w:val="0"/>
                <w:bCs w:val="0"/>
                <w:color w:val="auto"/>
                <w:sz w:val="24"/>
                <w:szCs w:val="24"/>
              </w:rPr>
              <w:t>Стандартты</w:t>
            </w:r>
          </w:p>
        </w:tc>
      </w:tr>
    </w:tbl>
    <w:p w14:paraId="2EC84242">
      <w:pPr>
        <w:keepNext w:val="0"/>
        <w:keepLines w:val="0"/>
        <w:pageBreakBefore w:val="0"/>
        <w:widowControl/>
        <w:kinsoku/>
        <w:wordWrap/>
        <w:overflowPunct/>
        <w:topLinePunct w:val="0"/>
        <w:autoSpaceDE/>
        <w:autoSpaceDN/>
        <w:bidi w:val="0"/>
        <w:adjustRightInd/>
        <w:snapToGrid/>
        <w:spacing w:after="0" w:line="240" w:lineRule="auto"/>
        <w:textAlignment w:val="auto"/>
        <w:rPr>
          <w:color w:val="auto"/>
          <w:sz w:val="28"/>
          <w:szCs w:val="28"/>
        </w:rPr>
      </w:pPr>
    </w:p>
    <w:p w14:paraId="2A3CD348">
      <w:pPr>
        <w:keepNext w:val="0"/>
        <w:keepLines w:val="0"/>
        <w:pageBreakBefore w:val="0"/>
        <w:widowControl/>
        <w:kinsoku/>
        <w:wordWrap/>
        <w:overflowPunct/>
        <w:topLinePunct w:val="0"/>
        <w:autoSpaceDE/>
        <w:autoSpaceDN/>
        <w:bidi w:val="0"/>
        <w:adjustRightInd/>
        <w:snapToGrid/>
        <w:spacing w:after="0" w:line="240" w:lineRule="auto"/>
        <w:ind w:firstLine="720"/>
        <w:jc w:val="both"/>
        <w:textAlignment w:val="auto"/>
        <w:rPr>
          <w:color w:val="auto"/>
          <w:sz w:val="28"/>
          <w:szCs w:val="28"/>
        </w:rPr>
      </w:pPr>
      <w:r>
        <w:rPr>
          <w:rFonts w:ascii="Times New Roman" w:hAnsi="Times New Roman" w:eastAsia="Times New Roman" w:cs="Times New Roman"/>
          <w:b w:val="0"/>
          <w:bCs w:val="0"/>
          <w:i w:val="0"/>
          <w:iCs w:val="0"/>
          <w:color w:val="auto"/>
          <w:sz w:val="28"/>
          <w:szCs w:val="28"/>
        </w:rPr>
        <w:t>Пилоттық сынақтардағы 10% норма мен өндірістік қолданудағы 0,00013-0,00038% норма арасындағы айырмашылық әдістің масштабталуының табиғи нәтижесі болып табылады. Зертханалық және пилоттық кезеңдерде жоғары нормалар (10%) принципиалды тиімділікті растау мақсатында таңдалды. Өндірістік масштабта суспензиялық технология микроорганизмдердің біркелкі таралуын қамтамасыз ету арқылы нормаларды айтарлықтай азайтуға мүмкіндік береді, бұл тәсіл халықаралық биоремедиация практикасына сәйкес келеді.</w:t>
      </w:r>
    </w:p>
    <w:p w14:paraId="18951598">
      <w:pPr>
        <w:keepNext w:val="0"/>
        <w:keepLines w:val="0"/>
        <w:pageBreakBefore w:val="0"/>
        <w:widowControl/>
        <w:kinsoku/>
        <w:wordWrap/>
        <w:overflowPunct/>
        <w:topLinePunct w:val="0"/>
        <w:autoSpaceDE/>
        <w:autoSpaceDN/>
        <w:bidi w:val="0"/>
        <w:adjustRightInd/>
        <w:snapToGrid/>
        <w:spacing w:after="0" w:line="240" w:lineRule="auto"/>
        <w:textAlignment w:val="auto"/>
        <w:rPr>
          <w:color w:val="auto"/>
        </w:rPr>
      </w:pPr>
    </w:p>
    <w:p w14:paraId="386D90E1">
      <w:pPr>
        <w:keepNext w:val="0"/>
        <w:keepLines w:val="0"/>
        <w:pageBreakBefore w:val="0"/>
        <w:widowControl/>
        <w:kinsoku/>
        <w:wordWrap/>
        <w:overflowPunct/>
        <w:topLinePunct w:val="0"/>
        <w:autoSpaceDE/>
        <w:autoSpaceDN/>
        <w:bidi w:val="0"/>
        <w:adjustRightInd/>
        <w:snapToGrid/>
        <w:spacing w:after="0" w:line="240" w:lineRule="auto"/>
        <w:ind w:firstLine="709" w:firstLineChars="0"/>
        <w:textAlignment w:val="auto"/>
        <w:rPr>
          <w:rFonts w:hint="default" w:ascii="Times New Roman" w:hAnsi="Times New Roman" w:eastAsia="Times New Roman"/>
          <w:b/>
          <w:bCs/>
          <w:color w:val="auto"/>
          <w:sz w:val="28"/>
          <w:szCs w:val="28"/>
          <w:highlight w:val="none"/>
        </w:rPr>
      </w:pPr>
      <w:r>
        <w:rPr>
          <w:rFonts w:hint="default" w:ascii="Times New Roman" w:hAnsi="Times New Roman" w:eastAsia="Times New Roman"/>
          <w:b/>
          <w:bCs/>
          <w:color w:val="auto"/>
          <w:sz w:val="28"/>
          <w:szCs w:val="28"/>
          <w:highlight w:val="none"/>
        </w:rPr>
        <w:t>4.6. Қолданыстағы аналогтармен салыстыру</w:t>
      </w:r>
    </w:p>
    <w:p w14:paraId="38C6C336">
      <w:pPr>
        <w:keepNext w:val="0"/>
        <w:keepLines w:val="0"/>
        <w:pageBreakBefore w:val="0"/>
        <w:widowControl/>
        <w:kinsoku/>
        <w:wordWrap/>
        <w:overflowPunct/>
        <w:topLinePunct w:val="0"/>
        <w:autoSpaceDE/>
        <w:autoSpaceDN/>
        <w:bidi w:val="0"/>
        <w:adjustRightInd/>
        <w:snapToGrid/>
        <w:spacing w:after="0" w:line="240" w:lineRule="auto"/>
        <w:ind w:firstLine="709" w:firstLineChars="0"/>
        <w:textAlignment w:val="auto"/>
        <w:rPr>
          <w:rFonts w:hint="default" w:ascii="Times New Roman" w:hAnsi="Times New Roman" w:eastAsia="Times New Roman"/>
          <w:b w:val="0"/>
          <w:bCs w:val="0"/>
          <w:color w:val="auto"/>
          <w:sz w:val="28"/>
          <w:szCs w:val="28"/>
          <w:highlight w:val="none"/>
        </w:rPr>
      </w:pPr>
      <w:r>
        <w:rPr>
          <w:rFonts w:hint="default" w:ascii="Times New Roman" w:hAnsi="Times New Roman" w:eastAsia="Times New Roman"/>
          <w:b w:val="0"/>
          <w:bCs w:val="0"/>
          <w:color w:val="auto"/>
          <w:sz w:val="28"/>
          <w:szCs w:val="28"/>
          <w:highlight w:val="none"/>
        </w:rPr>
        <w:t>Әзірленген технологияның бәсекеге қабілеттілігін бағалау үшін оны биоремедиацияның қолданыстағы коммерциялық және зерттеу әдістерімен салыстырмалы талдау жүргізілді. Салыстыру негізгі операциялық параметрлер, экономикалық тиімділік және аридті климат жағдайларына бейімделу бойынша жүзеге асырылды.</w:t>
      </w:r>
    </w:p>
    <w:p w14:paraId="23520D3A">
      <w:pPr>
        <w:keepNext w:val="0"/>
        <w:keepLines w:val="0"/>
        <w:pageBreakBefore w:val="0"/>
        <w:widowControl/>
        <w:kinsoku/>
        <w:wordWrap/>
        <w:overflowPunct/>
        <w:topLinePunct w:val="0"/>
        <w:autoSpaceDE/>
        <w:autoSpaceDN/>
        <w:bidi w:val="0"/>
        <w:adjustRightInd/>
        <w:snapToGrid/>
        <w:spacing w:after="0" w:line="240" w:lineRule="auto"/>
        <w:ind w:firstLine="709" w:firstLineChars="0"/>
        <w:textAlignment w:val="auto"/>
        <w:rPr>
          <w:rFonts w:hint="default" w:ascii="Times New Roman" w:hAnsi="Times New Roman" w:eastAsia="Times New Roman"/>
          <w:b w:val="0"/>
          <w:bCs w:val="0"/>
          <w:color w:val="auto"/>
          <w:sz w:val="28"/>
          <w:szCs w:val="28"/>
          <w:highlight w:val="none"/>
        </w:rPr>
      </w:pPr>
      <w:r>
        <w:rPr>
          <w:rFonts w:hint="default" w:ascii="Times New Roman" w:hAnsi="Times New Roman" w:eastAsia="Times New Roman"/>
          <w:b w:val="0"/>
          <w:bCs w:val="0"/>
          <w:color w:val="auto"/>
          <w:sz w:val="28"/>
          <w:szCs w:val="28"/>
          <w:highlight w:val="none"/>
        </w:rPr>
        <w:t xml:space="preserve">Әзірленген технологияны биоремедиацияның қолданыстағы әдістерімен салыстырмалы талдау </w:t>
      </w:r>
      <w:r>
        <w:rPr>
          <w:rFonts w:hint="default" w:eastAsia="Times New Roman"/>
          <w:b w:val="0"/>
          <w:bCs w:val="0"/>
          <w:color w:val="auto"/>
          <w:sz w:val="28"/>
          <w:szCs w:val="28"/>
          <w:highlight w:val="none"/>
          <w:lang w:val="ru-RU"/>
        </w:rPr>
        <w:t>25</w:t>
      </w:r>
      <w:r>
        <w:rPr>
          <w:rFonts w:hint="default" w:ascii="Times New Roman" w:hAnsi="Times New Roman" w:eastAsia="Times New Roman"/>
          <w:b w:val="0"/>
          <w:bCs w:val="0"/>
          <w:color w:val="auto"/>
          <w:sz w:val="28"/>
          <w:szCs w:val="28"/>
          <w:highlight w:val="none"/>
        </w:rPr>
        <w:t>-кестеде келтірілген.</w:t>
      </w:r>
    </w:p>
    <w:p w14:paraId="36B65659">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eastAsia="Times New Roman"/>
          <w:b w:val="0"/>
          <w:bCs w:val="0"/>
          <w:color w:val="auto"/>
          <w:sz w:val="28"/>
          <w:szCs w:val="28"/>
          <w:highlight w:val="none"/>
        </w:rPr>
      </w:pPr>
    </w:p>
    <w:p w14:paraId="10A1A5DC">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eastAsia="Times New Roman"/>
          <w:b w:val="0"/>
          <w:bCs w:val="0"/>
          <w:color w:val="auto"/>
          <w:sz w:val="28"/>
          <w:szCs w:val="28"/>
          <w:highlight w:val="none"/>
        </w:rPr>
      </w:pPr>
      <w:r>
        <w:rPr>
          <w:b w:val="0"/>
          <w:bCs w:val="0"/>
          <w:color w:val="auto"/>
          <w:sz w:val="28"/>
          <w:szCs w:val="28"/>
          <w:highlight w:val="none"/>
          <w:lang w:val="kk-KZ"/>
        </w:rPr>
        <w:t>Кесте</w:t>
      </w:r>
      <w:r>
        <w:rPr>
          <w:rFonts w:hint="default"/>
          <w:b w:val="0"/>
          <w:bCs w:val="0"/>
          <w:color w:val="auto"/>
          <w:sz w:val="28"/>
          <w:szCs w:val="28"/>
          <w:highlight w:val="none"/>
          <w:lang w:val="kk-KZ"/>
        </w:rPr>
        <w:t xml:space="preserve"> </w:t>
      </w:r>
      <w:r>
        <w:rPr>
          <w:rFonts w:hint="default"/>
          <w:b w:val="0"/>
          <w:bCs w:val="0"/>
          <w:color w:val="auto"/>
          <w:sz w:val="28"/>
          <w:szCs w:val="28"/>
          <w:highlight w:val="none"/>
          <w:lang w:val="ru-RU"/>
        </w:rPr>
        <w:t>26</w:t>
      </w:r>
      <w:r>
        <w:rPr>
          <w:rFonts w:hint="default"/>
          <w:b w:val="0"/>
          <w:bCs w:val="0"/>
          <w:color w:val="auto"/>
          <w:sz w:val="28"/>
          <w:szCs w:val="28"/>
          <w:highlight w:val="none"/>
          <w:lang w:val="kk-KZ"/>
        </w:rPr>
        <w:t xml:space="preserve"> - </w:t>
      </w:r>
      <w:r>
        <w:rPr>
          <w:rFonts w:hint="default" w:ascii="Times New Roman" w:hAnsi="Times New Roman" w:cs="Times New Roman"/>
          <w:b w:val="0"/>
          <w:bCs w:val="0"/>
          <w:color w:val="auto"/>
          <w:sz w:val="28"/>
          <w:szCs w:val="28"/>
        </w:rPr>
        <w:t xml:space="preserve"> </w:t>
      </w:r>
      <w:r>
        <w:rPr>
          <w:rFonts w:hint="default" w:ascii="Times New Roman" w:hAnsi="Times New Roman" w:eastAsia="Times New Roman"/>
          <w:b w:val="0"/>
          <w:bCs w:val="0"/>
          <w:color w:val="auto"/>
          <w:sz w:val="28"/>
          <w:szCs w:val="28"/>
          <w:highlight w:val="none"/>
        </w:rPr>
        <w:t>Биоремедиация әдістерінің салыстырмалы сипаттамасы</w:t>
      </w:r>
    </w:p>
    <w:p w14:paraId="18D1E21F">
      <w:pPr>
        <w:keepNext w:val="0"/>
        <w:keepLines w:val="0"/>
        <w:pageBreakBefore w:val="0"/>
        <w:widowControl/>
        <w:kinsoku/>
        <w:wordWrap/>
        <w:overflowPunct/>
        <w:topLinePunct w:val="0"/>
        <w:autoSpaceDE/>
        <w:autoSpaceDN/>
        <w:bidi w:val="0"/>
        <w:adjustRightInd/>
        <w:snapToGrid/>
        <w:spacing w:after="0" w:line="240" w:lineRule="auto"/>
        <w:ind w:firstLine="709" w:firstLineChars="0"/>
        <w:textAlignment w:val="auto"/>
        <w:rPr>
          <w:rFonts w:hint="default" w:ascii="Times New Roman" w:hAnsi="Times New Roman" w:eastAsia="Times New Roman"/>
          <w:b w:val="0"/>
          <w:bCs w:val="0"/>
          <w:color w:val="auto"/>
          <w:sz w:val="28"/>
          <w:szCs w:val="28"/>
          <w:highlight w:val="none"/>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309"/>
        <w:gridCol w:w="1666"/>
        <w:gridCol w:w="2160"/>
        <w:gridCol w:w="1808"/>
        <w:gridCol w:w="1432"/>
      </w:tblGrid>
      <w:tr w14:paraId="38CE0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1B8FE">
            <w:pPr>
              <w:jc w:val="center"/>
              <w:rPr>
                <w:rFonts w:hint="default" w:ascii="Times New Roman" w:hAnsi="Times New Roman" w:cs="Times New Roman"/>
                <w:b w:val="0"/>
                <w:bCs w:val="0"/>
                <w:color w:val="auto"/>
                <w:sz w:val="24"/>
                <w:szCs w:val="24"/>
              </w:rPr>
            </w:pPr>
            <w:r>
              <w:rPr>
                <w:rFonts w:ascii="Times New Roman" w:hAnsi="Times New Roman" w:eastAsia="Times New Roman" w:cs="Times New Roman"/>
                <w:b w:val="0"/>
                <w:bCs w:val="0"/>
                <w:color w:val="auto"/>
                <w:sz w:val="24"/>
                <w:szCs w:val="24"/>
              </w:rPr>
              <w:t>Параметр</w:t>
            </w:r>
          </w:p>
        </w:tc>
        <w:tc>
          <w:tcPr>
            <w:tcW w:w="1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7BE3D">
            <w:pPr>
              <w:jc w:val="center"/>
              <w:rPr>
                <w:rFonts w:hint="default" w:ascii="Times New Roman" w:hAnsi="Times New Roman" w:cs="Times New Roman"/>
                <w:b w:val="0"/>
                <w:bCs w:val="0"/>
                <w:color w:val="auto"/>
                <w:sz w:val="24"/>
                <w:szCs w:val="24"/>
              </w:rPr>
            </w:pPr>
            <w:r>
              <w:rPr>
                <w:rFonts w:ascii="Times New Roman" w:hAnsi="Times New Roman" w:eastAsia="Times New Roman" w:cs="Times New Roman"/>
                <w:b w:val="0"/>
                <w:bCs w:val="0"/>
                <w:color w:val="auto"/>
                <w:sz w:val="24"/>
                <w:szCs w:val="24"/>
              </w:rPr>
              <w:t>Әзірл. әдіс</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FEEFD">
            <w:pPr>
              <w:jc w:val="center"/>
              <w:rPr>
                <w:rFonts w:hint="default" w:ascii="Times New Roman" w:hAnsi="Times New Roman" w:cs="Times New Roman"/>
                <w:b w:val="0"/>
                <w:bCs w:val="0"/>
                <w:color w:val="auto"/>
                <w:sz w:val="24"/>
                <w:szCs w:val="24"/>
                <w:lang w:val="en-US"/>
              </w:rPr>
            </w:pPr>
            <w:r>
              <w:rPr>
                <w:rFonts w:ascii="Times New Roman" w:hAnsi="Times New Roman" w:eastAsia="Times New Roman" w:cs="Times New Roman"/>
                <w:b w:val="0"/>
                <w:bCs w:val="0"/>
                <w:color w:val="auto"/>
                <w:sz w:val="24"/>
                <w:szCs w:val="24"/>
              </w:rPr>
              <w:t>«Деворойл» [</w:t>
            </w:r>
            <w:r>
              <w:rPr>
                <w:rFonts w:hint="default" w:ascii="Times New Roman" w:hAnsi="Times New Roman" w:eastAsia="Times New Roman" w:cs="Times New Roman"/>
                <w:b w:val="0"/>
                <w:bCs w:val="0"/>
                <w:color w:val="auto"/>
                <w:sz w:val="24"/>
                <w:szCs w:val="24"/>
                <w:lang w:val="ru-RU"/>
              </w:rPr>
              <w:t>190</w:t>
            </w:r>
            <w:r>
              <w:rPr>
                <w:rFonts w:ascii="Times New Roman" w:hAnsi="Times New Roman" w:eastAsia="Times New Roman" w:cs="Times New Roman"/>
                <w:b w:val="0"/>
                <w:bCs w:val="0"/>
                <w:color w:val="auto"/>
                <w:sz w:val="24"/>
                <w:szCs w:val="24"/>
              </w:rPr>
              <w:t>]</w:t>
            </w:r>
          </w:p>
        </w:tc>
        <w:tc>
          <w:tcPr>
            <w:tcW w:w="1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9CB4E">
            <w:pPr>
              <w:jc w:val="center"/>
              <w:rPr>
                <w:rFonts w:hint="default" w:ascii="Times New Roman" w:hAnsi="Times New Roman" w:cs="Times New Roman"/>
                <w:b w:val="0"/>
                <w:bCs w:val="0"/>
                <w:color w:val="auto"/>
                <w:sz w:val="24"/>
                <w:szCs w:val="24"/>
                <w:lang w:val="en-US"/>
              </w:rPr>
            </w:pPr>
            <w:r>
              <w:rPr>
                <w:rFonts w:ascii="Times New Roman" w:hAnsi="Times New Roman" w:eastAsia="Times New Roman" w:cs="Times New Roman"/>
                <w:b w:val="0"/>
                <w:bCs w:val="0"/>
                <w:color w:val="auto"/>
                <w:sz w:val="24"/>
                <w:szCs w:val="24"/>
              </w:rPr>
              <w:t>Landfarming [</w:t>
            </w:r>
            <w:r>
              <w:rPr>
                <w:rFonts w:hint="default" w:ascii="Times New Roman" w:hAnsi="Times New Roman" w:eastAsia="Times New Roman" w:cs="Times New Roman"/>
                <w:b w:val="0"/>
                <w:bCs w:val="0"/>
                <w:color w:val="auto"/>
                <w:sz w:val="24"/>
                <w:szCs w:val="24"/>
                <w:lang w:val="ru-RU"/>
              </w:rPr>
              <w:t>191</w:t>
            </w:r>
            <w:r>
              <w:rPr>
                <w:rFonts w:ascii="Times New Roman" w:hAnsi="Times New Roman" w:eastAsia="Times New Roman" w:cs="Times New Roman"/>
                <w:b w:val="0"/>
                <w:bCs w:val="0"/>
                <w:color w:val="auto"/>
                <w:sz w:val="24"/>
                <w:szCs w:val="24"/>
              </w:rPr>
              <w:t>]</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2D431">
            <w:pPr>
              <w:jc w:val="center"/>
              <w:rPr>
                <w:rFonts w:hint="default" w:ascii="Times New Roman" w:hAnsi="Times New Roman" w:cs="Times New Roman"/>
                <w:b w:val="0"/>
                <w:bCs w:val="0"/>
                <w:color w:val="auto"/>
                <w:sz w:val="24"/>
                <w:szCs w:val="24"/>
                <w:lang w:val="en-US"/>
              </w:rPr>
            </w:pPr>
            <w:r>
              <w:rPr>
                <w:rFonts w:ascii="Times New Roman" w:hAnsi="Times New Roman" w:eastAsia="Times New Roman" w:cs="Times New Roman"/>
                <w:b w:val="0"/>
                <w:bCs w:val="0"/>
                <w:color w:val="auto"/>
                <w:sz w:val="24"/>
                <w:szCs w:val="24"/>
              </w:rPr>
              <w:t>Фиторемедиация [1</w:t>
            </w:r>
            <w:r>
              <w:rPr>
                <w:rFonts w:hint="default" w:ascii="Times New Roman" w:hAnsi="Times New Roman" w:eastAsia="Times New Roman" w:cs="Times New Roman"/>
                <w:b w:val="0"/>
                <w:bCs w:val="0"/>
                <w:color w:val="auto"/>
                <w:sz w:val="24"/>
                <w:szCs w:val="24"/>
                <w:lang w:val="ru-RU"/>
              </w:rPr>
              <w:t>92</w:t>
            </w:r>
            <w:r>
              <w:rPr>
                <w:rFonts w:ascii="Times New Roman" w:hAnsi="Times New Roman" w:eastAsia="Times New Roman" w:cs="Times New Roman"/>
                <w:b w:val="0"/>
                <w:bCs w:val="0"/>
                <w:color w:val="auto"/>
                <w:sz w:val="24"/>
                <w:szCs w:val="24"/>
              </w:rPr>
              <w:t>]</w:t>
            </w:r>
          </w:p>
        </w:tc>
      </w:tr>
      <w:tr w14:paraId="1E468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309" w:type="dxa"/>
            <w:tcBorders>
              <w:top w:val="single" w:color="000000" w:sz="4" w:space="0"/>
              <w:left w:val="single" w:color="000000" w:sz="4" w:space="0"/>
              <w:bottom w:val="single" w:color="000000" w:sz="4" w:space="0"/>
              <w:right w:val="single" w:color="000000" w:sz="4" w:space="0"/>
            </w:tcBorders>
            <w:vAlign w:val="center"/>
          </w:tcPr>
          <w:p w14:paraId="07E5CA00">
            <w:pPr>
              <w:jc w:val="left"/>
              <w:rPr>
                <w:rFonts w:hint="default" w:ascii="Times New Roman" w:hAnsi="Times New Roman" w:cs="Times New Roman"/>
                <w:b w:val="0"/>
                <w:bCs w:val="0"/>
                <w:color w:val="auto"/>
                <w:sz w:val="24"/>
                <w:szCs w:val="24"/>
                <w:highlight w:val="none"/>
              </w:rPr>
            </w:pPr>
            <w:r>
              <w:rPr>
                <w:rFonts w:ascii="Times New Roman" w:hAnsi="Times New Roman" w:eastAsia="Times New Roman" w:cs="Times New Roman"/>
                <w:b w:val="0"/>
                <w:bCs w:val="0"/>
                <w:color w:val="auto"/>
                <w:sz w:val="24"/>
                <w:szCs w:val="24"/>
              </w:rPr>
              <w:t>Тиімділік, %</w:t>
            </w:r>
          </w:p>
        </w:tc>
        <w:tc>
          <w:tcPr>
            <w:tcW w:w="1666" w:type="dxa"/>
            <w:tcBorders>
              <w:top w:val="single" w:color="000000" w:sz="4" w:space="0"/>
              <w:left w:val="single" w:color="000000" w:sz="4" w:space="0"/>
              <w:bottom w:val="single" w:color="000000" w:sz="4" w:space="0"/>
              <w:right w:val="single" w:color="000000" w:sz="4" w:space="0"/>
            </w:tcBorders>
            <w:vAlign w:val="center"/>
          </w:tcPr>
          <w:p w14:paraId="57CB1625">
            <w:pPr>
              <w:jc w:val="center"/>
              <w:rPr>
                <w:rFonts w:hint="default" w:ascii="Times New Roman" w:hAnsi="Times New Roman" w:cs="Times New Roman"/>
                <w:b w:val="0"/>
                <w:bCs w:val="0"/>
                <w:color w:val="auto"/>
                <w:sz w:val="24"/>
                <w:szCs w:val="24"/>
                <w:highlight w:val="none"/>
              </w:rPr>
            </w:pPr>
            <w:r>
              <w:rPr>
                <w:rFonts w:ascii="Times New Roman" w:hAnsi="Times New Roman" w:eastAsia="Times New Roman" w:cs="Times New Roman"/>
                <w:b w:val="0"/>
                <w:bCs w:val="0"/>
                <w:color w:val="auto"/>
                <w:sz w:val="24"/>
                <w:szCs w:val="24"/>
              </w:rPr>
              <w:t>94,0*</w:t>
            </w:r>
          </w:p>
        </w:tc>
        <w:tc>
          <w:tcPr>
            <w:tcW w:w="2160" w:type="dxa"/>
            <w:tcBorders>
              <w:top w:val="single" w:color="000000" w:sz="4" w:space="0"/>
              <w:left w:val="single" w:color="000000" w:sz="4" w:space="0"/>
              <w:bottom w:val="single" w:color="000000" w:sz="4" w:space="0"/>
              <w:right w:val="single" w:color="000000" w:sz="4" w:space="0"/>
            </w:tcBorders>
            <w:vAlign w:val="center"/>
          </w:tcPr>
          <w:p w14:paraId="4AA7B050">
            <w:pPr>
              <w:jc w:val="center"/>
              <w:rPr>
                <w:rFonts w:hint="default" w:ascii="Times New Roman" w:hAnsi="Times New Roman" w:cs="Times New Roman"/>
                <w:b w:val="0"/>
                <w:bCs w:val="0"/>
                <w:color w:val="auto"/>
                <w:sz w:val="24"/>
                <w:szCs w:val="24"/>
                <w:highlight w:val="none"/>
                <w:lang w:val="en-US"/>
              </w:rPr>
            </w:pPr>
            <w:r>
              <w:rPr>
                <w:rFonts w:ascii="Times New Roman" w:hAnsi="Times New Roman" w:eastAsia="Times New Roman" w:cs="Times New Roman"/>
                <w:b w:val="0"/>
                <w:bCs w:val="0"/>
                <w:color w:val="auto"/>
                <w:sz w:val="24"/>
                <w:szCs w:val="24"/>
              </w:rPr>
              <w:t>60-70</w:t>
            </w:r>
          </w:p>
        </w:tc>
        <w:tc>
          <w:tcPr>
            <w:tcW w:w="1808" w:type="dxa"/>
            <w:tcBorders>
              <w:top w:val="single" w:color="000000" w:sz="4" w:space="0"/>
              <w:left w:val="single" w:color="000000" w:sz="4" w:space="0"/>
              <w:bottom w:val="single" w:color="000000" w:sz="4" w:space="0"/>
              <w:right w:val="single" w:color="000000" w:sz="4" w:space="0"/>
            </w:tcBorders>
            <w:vAlign w:val="center"/>
          </w:tcPr>
          <w:p w14:paraId="33C59AEA">
            <w:pPr>
              <w:jc w:val="center"/>
              <w:rPr>
                <w:rFonts w:hint="default" w:ascii="Times New Roman" w:hAnsi="Times New Roman" w:cs="Times New Roman"/>
                <w:b w:val="0"/>
                <w:bCs w:val="0"/>
                <w:color w:val="auto"/>
                <w:sz w:val="24"/>
                <w:szCs w:val="24"/>
                <w:highlight w:val="none"/>
                <w:lang w:val="en-US"/>
              </w:rPr>
            </w:pPr>
            <w:r>
              <w:rPr>
                <w:rFonts w:ascii="Times New Roman" w:hAnsi="Times New Roman" w:eastAsia="Times New Roman" w:cs="Times New Roman"/>
                <w:b w:val="0"/>
                <w:bCs w:val="0"/>
                <w:color w:val="auto"/>
                <w:sz w:val="24"/>
                <w:szCs w:val="24"/>
              </w:rPr>
              <w:t>30-50</w:t>
            </w:r>
          </w:p>
        </w:tc>
        <w:tc>
          <w:tcPr>
            <w:tcW w:w="1432" w:type="dxa"/>
            <w:tcBorders>
              <w:top w:val="single" w:color="000000" w:sz="4" w:space="0"/>
              <w:left w:val="single" w:color="000000" w:sz="4" w:space="0"/>
              <w:bottom w:val="single" w:color="000000" w:sz="4" w:space="0"/>
              <w:right w:val="single" w:color="000000" w:sz="4" w:space="0"/>
            </w:tcBorders>
            <w:vAlign w:val="center"/>
          </w:tcPr>
          <w:p w14:paraId="5AC96D19">
            <w:pPr>
              <w:jc w:val="center"/>
              <w:rPr>
                <w:rFonts w:hint="default" w:ascii="Times New Roman" w:hAnsi="Times New Roman" w:cs="Times New Roman"/>
                <w:b w:val="0"/>
                <w:bCs w:val="0"/>
                <w:color w:val="auto"/>
                <w:sz w:val="24"/>
                <w:szCs w:val="24"/>
                <w:highlight w:val="none"/>
                <w:lang w:val="en-US"/>
              </w:rPr>
            </w:pPr>
            <w:r>
              <w:rPr>
                <w:rFonts w:ascii="Times New Roman" w:hAnsi="Times New Roman" w:eastAsia="Times New Roman" w:cs="Times New Roman"/>
                <w:b w:val="0"/>
                <w:bCs w:val="0"/>
                <w:color w:val="auto"/>
                <w:sz w:val="24"/>
                <w:szCs w:val="24"/>
              </w:rPr>
              <w:t>20-40</w:t>
            </w:r>
          </w:p>
        </w:tc>
      </w:tr>
      <w:tr w14:paraId="3CE04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309" w:type="dxa"/>
            <w:tcBorders>
              <w:top w:val="single" w:color="000000" w:sz="4" w:space="0"/>
              <w:left w:val="single" w:color="000000" w:sz="4" w:space="0"/>
              <w:bottom w:val="single" w:color="000000" w:sz="4" w:space="0"/>
              <w:right w:val="single" w:color="000000" w:sz="4" w:space="0"/>
            </w:tcBorders>
            <w:vAlign w:val="center"/>
          </w:tcPr>
          <w:p w14:paraId="41C57B76">
            <w:pPr>
              <w:jc w:val="left"/>
              <w:rPr>
                <w:rFonts w:hint="default" w:ascii="Times New Roman" w:hAnsi="Times New Roman" w:cs="Times New Roman"/>
                <w:b w:val="0"/>
                <w:bCs w:val="0"/>
                <w:color w:val="auto"/>
                <w:sz w:val="24"/>
                <w:szCs w:val="24"/>
              </w:rPr>
            </w:pPr>
            <w:r>
              <w:rPr>
                <w:rFonts w:ascii="Times New Roman" w:hAnsi="Times New Roman" w:eastAsia="Times New Roman" w:cs="Times New Roman"/>
                <w:b w:val="0"/>
                <w:bCs w:val="0"/>
                <w:color w:val="auto"/>
                <w:sz w:val="24"/>
                <w:szCs w:val="24"/>
              </w:rPr>
              <w:t>Тазарту мерзімі</w:t>
            </w:r>
          </w:p>
        </w:tc>
        <w:tc>
          <w:tcPr>
            <w:tcW w:w="1666" w:type="dxa"/>
            <w:tcBorders>
              <w:top w:val="single" w:color="000000" w:sz="4" w:space="0"/>
              <w:left w:val="single" w:color="000000" w:sz="4" w:space="0"/>
              <w:bottom w:val="single" w:color="000000" w:sz="4" w:space="0"/>
              <w:right w:val="single" w:color="000000" w:sz="4" w:space="0"/>
            </w:tcBorders>
            <w:vAlign w:val="center"/>
          </w:tcPr>
          <w:p w14:paraId="48310966">
            <w:pPr>
              <w:jc w:val="center"/>
              <w:rPr>
                <w:rFonts w:hint="default" w:ascii="Times New Roman" w:hAnsi="Times New Roman" w:cs="Times New Roman"/>
                <w:b w:val="0"/>
                <w:bCs w:val="0"/>
                <w:color w:val="auto"/>
                <w:sz w:val="24"/>
                <w:szCs w:val="24"/>
              </w:rPr>
            </w:pPr>
            <w:r>
              <w:rPr>
                <w:rFonts w:ascii="Times New Roman" w:hAnsi="Times New Roman" w:eastAsia="Times New Roman" w:cs="Times New Roman"/>
                <w:b w:val="0"/>
                <w:bCs w:val="0"/>
                <w:color w:val="auto"/>
                <w:sz w:val="24"/>
                <w:szCs w:val="24"/>
              </w:rPr>
              <w:t>45 күн</w:t>
            </w:r>
          </w:p>
        </w:tc>
        <w:tc>
          <w:tcPr>
            <w:tcW w:w="2160" w:type="dxa"/>
            <w:tcBorders>
              <w:top w:val="single" w:color="000000" w:sz="4" w:space="0"/>
              <w:left w:val="single" w:color="000000" w:sz="4" w:space="0"/>
              <w:bottom w:val="single" w:color="000000" w:sz="4" w:space="0"/>
              <w:right w:val="single" w:color="000000" w:sz="4" w:space="0"/>
            </w:tcBorders>
            <w:vAlign w:val="center"/>
          </w:tcPr>
          <w:p w14:paraId="23F89AA6">
            <w:pPr>
              <w:jc w:val="center"/>
              <w:rPr>
                <w:rFonts w:hint="default" w:ascii="Times New Roman" w:hAnsi="Times New Roman" w:cs="Times New Roman"/>
                <w:b w:val="0"/>
                <w:bCs w:val="0"/>
                <w:color w:val="auto"/>
                <w:sz w:val="24"/>
                <w:szCs w:val="24"/>
                <w:lang w:val="en-US"/>
              </w:rPr>
            </w:pPr>
            <w:r>
              <w:rPr>
                <w:rFonts w:ascii="Times New Roman" w:hAnsi="Times New Roman" w:eastAsia="Times New Roman" w:cs="Times New Roman"/>
                <w:b w:val="0"/>
                <w:bCs w:val="0"/>
                <w:color w:val="auto"/>
                <w:sz w:val="24"/>
                <w:szCs w:val="24"/>
              </w:rPr>
              <w:t>60-90 күн</w:t>
            </w:r>
          </w:p>
        </w:tc>
        <w:tc>
          <w:tcPr>
            <w:tcW w:w="1808" w:type="dxa"/>
            <w:tcBorders>
              <w:top w:val="single" w:color="000000" w:sz="4" w:space="0"/>
              <w:left w:val="single" w:color="000000" w:sz="4" w:space="0"/>
              <w:bottom w:val="single" w:color="000000" w:sz="4" w:space="0"/>
              <w:right w:val="single" w:color="000000" w:sz="4" w:space="0"/>
            </w:tcBorders>
            <w:vAlign w:val="center"/>
          </w:tcPr>
          <w:p w14:paraId="1647BFE6">
            <w:pPr>
              <w:jc w:val="center"/>
              <w:rPr>
                <w:rFonts w:hint="default" w:ascii="Times New Roman" w:hAnsi="Times New Roman" w:cs="Times New Roman"/>
                <w:b w:val="0"/>
                <w:bCs w:val="0"/>
                <w:color w:val="auto"/>
                <w:sz w:val="24"/>
                <w:szCs w:val="24"/>
              </w:rPr>
            </w:pPr>
            <w:r>
              <w:rPr>
                <w:rFonts w:ascii="Times New Roman" w:hAnsi="Times New Roman" w:eastAsia="Times New Roman" w:cs="Times New Roman"/>
                <w:b w:val="0"/>
                <w:bCs w:val="0"/>
                <w:color w:val="auto"/>
                <w:sz w:val="24"/>
                <w:szCs w:val="24"/>
              </w:rPr>
              <w:t>6-12 ай</w:t>
            </w:r>
          </w:p>
        </w:tc>
        <w:tc>
          <w:tcPr>
            <w:tcW w:w="1432" w:type="dxa"/>
            <w:tcBorders>
              <w:top w:val="single" w:color="000000" w:sz="4" w:space="0"/>
              <w:left w:val="single" w:color="000000" w:sz="4" w:space="0"/>
              <w:bottom w:val="single" w:color="000000" w:sz="4" w:space="0"/>
              <w:right w:val="single" w:color="000000" w:sz="4" w:space="0"/>
            </w:tcBorders>
            <w:vAlign w:val="center"/>
          </w:tcPr>
          <w:p w14:paraId="0A14D3AB">
            <w:pPr>
              <w:jc w:val="center"/>
              <w:rPr>
                <w:rFonts w:hint="default" w:ascii="Times New Roman" w:hAnsi="Times New Roman" w:cs="Times New Roman"/>
                <w:b w:val="0"/>
                <w:bCs w:val="0"/>
                <w:color w:val="auto"/>
                <w:sz w:val="24"/>
                <w:szCs w:val="24"/>
              </w:rPr>
            </w:pPr>
            <w:r>
              <w:rPr>
                <w:rFonts w:ascii="Times New Roman" w:hAnsi="Times New Roman" w:eastAsia="Times New Roman" w:cs="Times New Roman"/>
                <w:b w:val="0"/>
                <w:bCs w:val="0"/>
                <w:color w:val="auto"/>
                <w:sz w:val="24"/>
                <w:szCs w:val="24"/>
              </w:rPr>
              <w:t>2-5 жыл</w:t>
            </w:r>
          </w:p>
        </w:tc>
      </w:tr>
      <w:tr w14:paraId="26F83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309" w:type="dxa"/>
            <w:tcBorders>
              <w:top w:val="single" w:color="000000" w:sz="4" w:space="0"/>
              <w:left w:val="single" w:color="000000" w:sz="4" w:space="0"/>
              <w:bottom w:val="single" w:color="000000" w:sz="4" w:space="0"/>
              <w:right w:val="single" w:color="000000" w:sz="4" w:space="0"/>
            </w:tcBorders>
            <w:vAlign w:val="center"/>
          </w:tcPr>
          <w:p w14:paraId="62AB4F61">
            <w:pPr>
              <w:jc w:val="left"/>
              <w:rPr>
                <w:rFonts w:hint="default" w:ascii="Times New Roman" w:hAnsi="Times New Roman" w:cs="Times New Roman"/>
                <w:b w:val="0"/>
                <w:bCs w:val="0"/>
                <w:color w:val="auto"/>
                <w:sz w:val="24"/>
                <w:szCs w:val="24"/>
              </w:rPr>
            </w:pPr>
            <w:r>
              <w:rPr>
                <w:rFonts w:ascii="Times New Roman" w:hAnsi="Times New Roman" w:eastAsia="Times New Roman" w:cs="Times New Roman"/>
                <w:b w:val="0"/>
                <w:bCs w:val="0"/>
                <w:color w:val="auto"/>
                <w:sz w:val="24"/>
                <w:szCs w:val="24"/>
              </w:rPr>
              <w:t>Аридті климатқа бейімделу</w:t>
            </w:r>
          </w:p>
        </w:tc>
        <w:tc>
          <w:tcPr>
            <w:tcW w:w="1666" w:type="dxa"/>
            <w:tcBorders>
              <w:top w:val="single" w:color="000000" w:sz="4" w:space="0"/>
              <w:left w:val="single" w:color="000000" w:sz="4" w:space="0"/>
              <w:bottom w:val="single" w:color="000000" w:sz="4" w:space="0"/>
              <w:right w:val="single" w:color="000000" w:sz="4" w:space="0"/>
            </w:tcBorders>
            <w:vAlign w:val="center"/>
          </w:tcPr>
          <w:p w14:paraId="6F250B06">
            <w:pPr>
              <w:jc w:val="center"/>
              <w:rPr>
                <w:rFonts w:hint="default" w:ascii="Times New Roman" w:hAnsi="Times New Roman" w:cs="Times New Roman"/>
                <w:b w:val="0"/>
                <w:bCs w:val="0"/>
                <w:color w:val="auto"/>
                <w:sz w:val="24"/>
                <w:szCs w:val="24"/>
              </w:rPr>
            </w:pPr>
            <w:r>
              <w:rPr>
                <w:rFonts w:ascii="Times New Roman" w:hAnsi="Times New Roman" w:eastAsia="Times New Roman" w:cs="Times New Roman"/>
                <w:b w:val="0"/>
                <w:bCs w:val="0"/>
                <w:color w:val="auto"/>
                <w:sz w:val="24"/>
                <w:szCs w:val="24"/>
              </w:rPr>
              <w:t>Иә</w:t>
            </w:r>
          </w:p>
        </w:tc>
        <w:tc>
          <w:tcPr>
            <w:tcW w:w="2160" w:type="dxa"/>
            <w:tcBorders>
              <w:top w:val="single" w:color="000000" w:sz="4" w:space="0"/>
              <w:left w:val="single" w:color="000000" w:sz="4" w:space="0"/>
              <w:bottom w:val="single" w:color="000000" w:sz="4" w:space="0"/>
              <w:right w:val="single" w:color="000000" w:sz="4" w:space="0"/>
            </w:tcBorders>
            <w:vAlign w:val="center"/>
          </w:tcPr>
          <w:p w14:paraId="46FB6793">
            <w:pPr>
              <w:jc w:val="center"/>
              <w:rPr>
                <w:rFonts w:hint="default" w:ascii="Times New Roman" w:hAnsi="Times New Roman" w:cs="Times New Roman"/>
                <w:b w:val="0"/>
                <w:bCs w:val="0"/>
                <w:color w:val="auto"/>
                <w:sz w:val="24"/>
                <w:szCs w:val="24"/>
              </w:rPr>
            </w:pPr>
            <w:r>
              <w:rPr>
                <w:rFonts w:ascii="Times New Roman" w:hAnsi="Times New Roman" w:eastAsia="Times New Roman" w:cs="Times New Roman"/>
                <w:b w:val="0"/>
                <w:bCs w:val="0"/>
                <w:color w:val="auto"/>
                <w:sz w:val="24"/>
                <w:szCs w:val="24"/>
              </w:rPr>
              <w:t>Жоқ</w:t>
            </w:r>
          </w:p>
        </w:tc>
        <w:tc>
          <w:tcPr>
            <w:tcW w:w="1808" w:type="dxa"/>
            <w:tcBorders>
              <w:top w:val="single" w:color="000000" w:sz="4" w:space="0"/>
              <w:left w:val="single" w:color="000000" w:sz="4" w:space="0"/>
              <w:bottom w:val="single" w:color="000000" w:sz="4" w:space="0"/>
              <w:right w:val="single" w:color="000000" w:sz="4" w:space="0"/>
            </w:tcBorders>
            <w:vAlign w:val="center"/>
          </w:tcPr>
          <w:p w14:paraId="25B948AC">
            <w:pPr>
              <w:jc w:val="center"/>
              <w:rPr>
                <w:rFonts w:hint="default" w:ascii="Times New Roman" w:hAnsi="Times New Roman" w:cs="Times New Roman"/>
                <w:b w:val="0"/>
                <w:bCs w:val="0"/>
                <w:color w:val="auto"/>
                <w:sz w:val="24"/>
                <w:szCs w:val="24"/>
              </w:rPr>
            </w:pPr>
            <w:r>
              <w:rPr>
                <w:rFonts w:ascii="Times New Roman" w:hAnsi="Times New Roman" w:eastAsia="Times New Roman" w:cs="Times New Roman"/>
                <w:b w:val="0"/>
                <w:bCs w:val="0"/>
                <w:color w:val="auto"/>
                <w:sz w:val="24"/>
                <w:szCs w:val="24"/>
              </w:rPr>
              <w:t>Ішінара</w:t>
            </w:r>
          </w:p>
        </w:tc>
        <w:tc>
          <w:tcPr>
            <w:tcW w:w="1432" w:type="dxa"/>
            <w:tcBorders>
              <w:top w:val="single" w:color="000000" w:sz="4" w:space="0"/>
              <w:left w:val="single" w:color="000000" w:sz="4" w:space="0"/>
              <w:bottom w:val="single" w:color="000000" w:sz="4" w:space="0"/>
              <w:right w:val="single" w:color="000000" w:sz="4" w:space="0"/>
            </w:tcBorders>
            <w:vAlign w:val="center"/>
          </w:tcPr>
          <w:p w14:paraId="26FA7ED6">
            <w:pPr>
              <w:jc w:val="center"/>
              <w:rPr>
                <w:rFonts w:hint="default" w:ascii="Times New Roman" w:hAnsi="Times New Roman" w:cs="Times New Roman"/>
                <w:b w:val="0"/>
                <w:bCs w:val="0"/>
                <w:color w:val="auto"/>
                <w:sz w:val="24"/>
                <w:szCs w:val="24"/>
              </w:rPr>
            </w:pPr>
            <w:r>
              <w:rPr>
                <w:rFonts w:ascii="Times New Roman" w:hAnsi="Times New Roman" w:eastAsia="Times New Roman" w:cs="Times New Roman"/>
                <w:b w:val="0"/>
                <w:bCs w:val="0"/>
                <w:color w:val="auto"/>
                <w:sz w:val="24"/>
                <w:szCs w:val="24"/>
              </w:rPr>
              <w:t>Шектеулі</w:t>
            </w:r>
          </w:p>
        </w:tc>
      </w:tr>
      <w:tr w14:paraId="4AD66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309" w:type="dxa"/>
            <w:tcBorders>
              <w:top w:val="single" w:color="000000" w:sz="4" w:space="0"/>
              <w:left w:val="single" w:color="000000" w:sz="4" w:space="0"/>
              <w:bottom w:val="single" w:color="000000" w:sz="4" w:space="0"/>
              <w:right w:val="single" w:color="000000" w:sz="4" w:space="0"/>
            </w:tcBorders>
            <w:vAlign w:val="center"/>
          </w:tcPr>
          <w:p w14:paraId="174E54C6">
            <w:pPr>
              <w:jc w:val="left"/>
              <w:rPr>
                <w:rFonts w:hint="default" w:ascii="Times New Roman" w:hAnsi="Times New Roman" w:cs="Times New Roman"/>
                <w:b w:val="0"/>
                <w:bCs w:val="0"/>
                <w:color w:val="auto"/>
                <w:sz w:val="24"/>
                <w:szCs w:val="24"/>
              </w:rPr>
            </w:pPr>
            <w:r>
              <w:rPr>
                <w:rFonts w:ascii="Times New Roman" w:hAnsi="Times New Roman" w:eastAsia="Times New Roman" w:cs="Times New Roman"/>
                <w:b w:val="0"/>
                <w:bCs w:val="0"/>
                <w:color w:val="auto"/>
                <w:sz w:val="24"/>
                <w:szCs w:val="24"/>
              </w:rPr>
              <w:t>Құны, мың тг/га</w:t>
            </w:r>
          </w:p>
        </w:tc>
        <w:tc>
          <w:tcPr>
            <w:tcW w:w="1666" w:type="dxa"/>
            <w:tcBorders>
              <w:top w:val="single" w:color="000000" w:sz="4" w:space="0"/>
              <w:left w:val="single" w:color="000000" w:sz="4" w:space="0"/>
              <w:bottom w:val="single" w:color="000000" w:sz="4" w:space="0"/>
              <w:right w:val="single" w:color="000000" w:sz="4" w:space="0"/>
            </w:tcBorders>
            <w:vAlign w:val="center"/>
          </w:tcPr>
          <w:p w14:paraId="585D32D2">
            <w:pPr>
              <w:jc w:val="center"/>
              <w:rPr>
                <w:rFonts w:hint="default" w:ascii="Times New Roman" w:hAnsi="Times New Roman" w:cs="Times New Roman"/>
                <w:b w:val="0"/>
                <w:bCs w:val="0"/>
                <w:color w:val="auto"/>
                <w:sz w:val="24"/>
                <w:szCs w:val="24"/>
              </w:rPr>
            </w:pPr>
            <w:r>
              <w:rPr>
                <w:rFonts w:ascii="Times New Roman" w:hAnsi="Times New Roman" w:eastAsia="Times New Roman" w:cs="Times New Roman"/>
                <w:b w:val="0"/>
                <w:bCs w:val="0"/>
                <w:color w:val="auto"/>
                <w:sz w:val="24"/>
                <w:szCs w:val="24"/>
              </w:rPr>
              <w:t>112-253</w:t>
            </w:r>
          </w:p>
        </w:tc>
        <w:tc>
          <w:tcPr>
            <w:tcW w:w="2160" w:type="dxa"/>
            <w:tcBorders>
              <w:top w:val="single" w:color="000000" w:sz="4" w:space="0"/>
              <w:left w:val="single" w:color="000000" w:sz="4" w:space="0"/>
              <w:bottom w:val="single" w:color="000000" w:sz="4" w:space="0"/>
              <w:right w:val="single" w:color="000000" w:sz="4" w:space="0"/>
            </w:tcBorders>
            <w:vAlign w:val="center"/>
          </w:tcPr>
          <w:p w14:paraId="7D700016">
            <w:pPr>
              <w:jc w:val="center"/>
              <w:rPr>
                <w:rFonts w:hint="default" w:ascii="Times New Roman" w:hAnsi="Times New Roman" w:cs="Times New Roman"/>
                <w:b w:val="0"/>
                <w:bCs w:val="0"/>
                <w:color w:val="auto"/>
                <w:sz w:val="24"/>
                <w:szCs w:val="24"/>
              </w:rPr>
            </w:pPr>
            <w:r>
              <w:rPr>
                <w:rFonts w:ascii="Times New Roman" w:hAnsi="Times New Roman" w:eastAsia="Times New Roman" w:cs="Times New Roman"/>
                <w:b w:val="0"/>
                <w:bCs w:val="0"/>
                <w:color w:val="auto"/>
                <w:sz w:val="24"/>
                <w:szCs w:val="24"/>
              </w:rPr>
              <w:t>280-760</w:t>
            </w:r>
          </w:p>
        </w:tc>
        <w:tc>
          <w:tcPr>
            <w:tcW w:w="1808" w:type="dxa"/>
            <w:tcBorders>
              <w:top w:val="single" w:color="000000" w:sz="4" w:space="0"/>
              <w:left w:val="single" w:color="000000" w:sz="4" w:space="0"/>
              <w:bottom w:val="single" w:color="000000" w:sz="4" w:space="0"/>
              <w:right w:val="single" w:color="000000" w:sz="4" w:space="0"/>
            </w:tcBorders>
            <w:vAlign w:val="center"/>
          </w:tcPr>
          <w:p w14:paraId="3BC56DB6">
            <w:pPr>
              <w:jc w:val="center"/>
              <w:rPr>
                <w:rFonts w:hint="default" w:ascii="Times New Roman" w:hAnsi="Times New Roman" w:cs="Times New Roman"/>
                <w:b w:val="0"/>
                <w:bCs w:val="0"/>
                <w:color w:val="auto"/>
                <w:sz w:val="24"/>
                <w:szCs w:val="24"/>
              </w:rPr>
            </w:pPr>
            <w:r>
              <w:rPr>
                <w:rFonts w:ascii="Times New Roman" w:hAnsi="Times New Roman" w:eastAsia="Times New Roman" w:cs="Times New Roman"/>
                <w:b w:val="0"/>
                <w:bCs w:val="0"/>
                <w:color w:val="auto"/>
                <w:sz w:val="24"/>
                <w:szCs w:val="24"/>
              </w:rPr>
              <w:t>170-510</w:t>
            </w:r>
          </w:p>
        </w:tc>
        <w:tc>
          <w:tcPr>
            <w:tcW w:w="1432" w:type="dxa"/>
            <w:tcBorders>
              <w:top w:val="single" w:color="000000" w:sz="4" w:space="0"/>
              <w:left w:val="single" w:color="000000" w:sz="4" w:space="0"/>
              <w:bottom w:val="single" w:color="000000" w:sz="4" w:space="0"/>
              <w:right w:val="single" w:color="000000" w:sz="4" w:space="0"/>
            </w:tcBorders>
            <w:vAlign w:val="center"/>
          </w:tcPr>
          <w:p w14:paraId="1C8A58A7">
            <w:pPr>
              <w:jc w:val="center"/>
              <w:rPr>
                <w:rFonts w:hint="default" w:ascii="Times New Roman" w:hAnsi="Times New Roman" w:cs="Times New Roman"/>
                <w:b w:val="0"/>
                <w:bCs w:val="0"/>
                <w:color w:val="auto"/>
                <w:sz w:val="24"/>
                <w:szCs w:val="24"/>
              </w:rPr>
            </w:pPr>
            <w:r>
              <w:rPr>
                <w:rFonts w:ascii="Times New Roman" w:hAnsi="Times New Roman" w:eastAsia="Times New Roman" w:cs="Times New Roman"/>
                <w:b w:val="0"/>
                <w:bCs w:val="0"/>
                <w:color w:val="auto"/>
                <w:sz w:val="24"/>
                <w:szCs w:val="24"/>
              </w:rPr>
              <w:t>55-255**</w:t>
            </w:r>
          </w:p>
        </w:tc>
      </w:tr>
      <w:tr w14:paraId="69E53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309" w:type="dxa"/>
            <w:tcBorders>
              <w:top w:val="single" w:color="000000" w:sz="4" w:space="0"/>
              <w:left w:val="single" w:color="000000" w:sz="4" w:space="0"/>
              <w:bottom w:val="single" w:color="000000" w:sz="4" w:space="0"/>
              <w:right w:val="single" w:color="000000" w:sz="4" w:space="0"/>
            </w:tcBorders>
            <w:vAlign w:val="center"/>
          </w:tcPr>
          <w:p w14:paraId="3C6CD91C">
            <w:pPr>
              <w:jc w:val="left"/>
              <w:rPr>
                <w:rFonts w:hint="default" w:ascii="Times New Roman" w:hAnsi="Times New Roman" w:cs="Times New Roman"/>
                <w:b w:val="0"/>
                <w:bCs w:val="0"/>
                <w:color w:val="auto"/>
                <w:sz w:val="24"/>
                <w:szCs w:val="24"/>
              </w:rPr>
            </w:pPr>
            <w:r>
              <w:rPr>
                <w:rFonts w:ascii="Times New Roman" w:hAnsi="Times New Roman" w:eastAsia="Times New Roman" w:cs="Times New Roman"/>
                <w:b w:val="0"/>
                <w:bCs w:val="0"/>
                <w:color w:val="auto"/>
                <w:sz w:val="24"/>
                <w:szCs w:val="24"/>
              </w:rPr>
              <w:t>ҚР-дағы шикізат қолжетімділігі</w:t>
            </w:r>
          </w:p>
        </w:tc>
        <w:tc>
          <w:tcPr>
            <w:tcW w:w="1666" w:type="dxa"/>
            <w:tcBorders>
              <w:top w:val="single" w:color="000000" w:sz="4" w:space="0"/>
              <w:left w:val="single" w:color="000000" w:sz="4" w:space="0"/>
              <w:bottom w:val="single" w:color="000000" w:sz="4" w:space="0"/>
              <w:right w:val="single" w:color="000000" w:sz="4" w:space="0"/>
            </w:tcBorders>
            <w:vAlign w:val="center"/>
          </w:tcPr>
          <w:p w14:paraId="74CA1316">
            <w:pPr>
              <w:jc w:val="center"/>
              <w:rPr>
                <w:rFonts w:hint="default" w:ascii="Times New Roman" w:hAnsi="Times New Roman" w:cs="Times New Roman"/>
                <w:b w:val="0"/>
                <w:bCs w:val="0"/>
                <w:color w:val="auto"/>
                <w:sz w:val="24"/>
                <w:szCs w:val="24"/>
              </w:rPr>
            </w:pPr>
            <w:r>
              <w:rPr>
                <w:rFonts w:ascii="Times New Roman" w:hAnsi="Times New Roman" w:eastAsia="Times New Roman" w:cs="Times New Roman"/>
                <w:b w:val="0"/>
                <w:bCs w:val="0"/>
                <w:color w:val="auto"/>
                <w:sz w:val="24"/>
                <w:szCs w:val="24"/>
              </w:rPr>
              <w:t>Жоғары</w:t>
            </w:r>
          </w:p>
        </w:tc>
        <w:tc>
          <w:tcPr>
            <w:tcW w:w="2160" w:type="dxa"/>
            <w:tcBorders>
              <w:top w:val="single" w:color="000000" w:sz="4" w:space="0"/>
              <w:left w:val="single" w:color="000000" w:sz="4" w:space="0"/>
              <w:bottom w:val="single" w:color="000000" w:sz="4" w:space="0"/>
              <w:right w:val="single" w:color="000000" w:sz="4" w:space="0"/>
            </w:tcBorders>
            <w:vAlign w:val="center"/>
          </w:tcPr>
          <w:p w14:paraId="691971E9">
            <w:pPr>
              <w:jc w:val="center"/>
              <w:rPr>
                <w:rFonts w:hint="default" w:ascii="Times New Roman" w:hAnsi="Times New Roman" w:cs="Times New Roman"/>
                <w:b w:val="0"/>
                <w:bCs w:val="0"/>
                <w:color w:val="auto"/>
                <w:sz w:val="24"/>
                <w:szCs w:val="24"/>
              </w:rPr>
            </w:pPr>
            <w:r>
              <w:rPr>
                <w:rFonts w:ascii="Times New Roman" w:hAnsi="Times New Roman" w:eastAsia="Times New Roman" w:cs="Times New Roman"/>
                <w:b w:val="0"/>
                <w:bCs w:val="0"/>
                <w:color w:val="auto"/>
                <w:sz w:val="24"/>
                <w:szCs w:val="24"/>
              </w:rPr>
              <w:t>Импорт</w:t>
            </w:r>
          </w:p>
        </w:tc>
        <w:tc>
          <w:tcPr>
            <w:tcW w:w="1808" w:type="dxa"/>
            <w:tcBorders>
              <w:top w:val="single" w:color="000000" w:sz="4" w:space="0"/>
              <w:left w:val="single" w:color="000000" w:sz="4" w:space="0"/>
              <w:bottom w:val="single" w:color="000000" w:sz="4" w:space="0"/>
              <w:right w:val="single" w:color="000000" w:sz="4" w:space="0"/>
            </w:tcBorders>
            <w:vAlign w:val="center"/>
          </w:tcPr>
          <w:p w14:paraId="4FCCD3A6">
            <w:pPr>
              <w:jc w:val="center"/>
              <w:rPr>
                <w:rFonts w:hint="default" w:ascii="Times New Roman" w:hAnsi="Times New Roman" w:cs="Times New Roman"/>
                <w:b w:val="0"/>
                <w:bCs w:val="0"/>
                <w:color w:val="auto"/>
                <w:sz w:val="24"/>
                <w:szCs w:val="24"/>
              </w:rPr>
            </w:pPr>
            <w:r>
              <w:rPr>
                <w:rFonts w:ascii="Times New Roman" w:hAnsi="Times New Roman" w:eastAsia="Times New Roman" w:cs="Times New Roman"/>
                <w:b w:val="0"/>
                <w:bCs w:val="0"/>
                <w:color w:val="auto"/>
                <w:sz w:val="24"/>
                <w:szCs w:val="24"/>
              </w:rPr>
              <w:t>Жергілікті</w:t>
            </w:r>
          </w:p>
        </w:tc>
        <w:tc>
          <w:tcPr>
            <w:tcW w:w="1432" w:type="dxa"/>
            <w:tcBorders>
              <w:top w:val="single" w:color="000000" w:sz="4" w:space="0"/>
              <w:left w:val="single" w:color="000000" w:sz="4" w:space="0"/>
              <w:bottom w:val="single" w:color="000000" w:sz="4" w:space="0"/>
              <w:right w:val="single" w:color="000000" w:sz="4" w:space="0"/>
            </w:tcBorders>
            <w:vAlign w:val="center"/>
          </w:tcPr>
          <w:p w14:paraId="7389D622">
            <w:pPr>
              <w:jc w:val="center"/>
              <w:rPr>
                <w:rFonts w:hint="default" w:ascii="Times New Roman" w:hAnsi="Times New Roman" w:cs="Times New Roman"/>
                <w:b w:val="0"/>
                <w:bCs w:val="0"/>
                <w:color w:val="auto"/>
                <w:sz w:val="24"/>
                <w:szCs w:val="24"/>
              </w:rPr>
            </w:pPr>
            <w:r>
              <w:rPr>
                <w:rFonts w:ascii="Times New Roman" w:hAnsi="Times New Roman" w:eastAsia="Times New Roman" w:cs="Times New Roman"/>
                <w:b w:val="0"/>
                <w:bCs w:val="0"/>
                <w:color w:val="auto"/>
                <w:sz w:val="24"/>
                <w:szCs w:val="24"/>
              </w:rPr>
              <w:t>Жергілікті</w:t>
            </w:r>
          </w:p>
        </w:tc>
      </w:tr>
      <w:tr w14:paraId="4701E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309" w:type="dxa"/>
            <w:tcBorders>
              <w:top w:val="single" w:color="000000" w:sz="4" w:space="0"/>
              <w:left w:val="single" w:color="000000" w:sz="4" w:space="0"/>
              <w:bottom w:val="single" w:color="000000" w:sz="4" w:space="0"/>
              <w:right w:val="single" w:color="000000" w:sz="4" w:space="0"/>
            </w:tcBorders>
            <w:vAlign w:val="center"/>
          </w:tcPr>
          <w:p w14:paraId="2DB8ED8F">
            <w:pPr>
              <w:jc w:val="left"/>
              <w:rPr>
                <w:rFonts w:hint="default" w:ascii="Times New Roman" w:hAnsi="Times New Roman" w:eastAsia="Times New Roman" w:cs="Times New Roman"/>
                <w:b w:val="0"/>
                <w:bCs w:val="0"/>
                <w:color w:val="auto"/>
                <w:sz w:val="24"/>
                <w:szCs w:val="24"/>
              </w:rPr>
            </w:pPr>
            <w:r>
              <w:rPr>
                <w:rFonts w:ascii="Times New Roman" w:hAnsi="Times New Roman" w:eastAsia="Times New Roman" w:cs="Times New Roman"/>
                <w:b w:val="0"/>
                <w:bCs w:val="0"/>
                <w:color w:val="auto"/>
                <w:sz w:val="24"/>
                <w:szCs w:val="24"/>
              </w:rPr>
              <w:t>Температуралық диапазон, °C</w:t>
            </w:r>
          </w:p>
        </w:tc>
        <w:tc>
          <w:tcPr>
            <w:tcW w:w="1666" w:type="dxa"/>
            <w:tcBorders>
              <w:top w:val="single" w:color="000000" w:sz="4" w:space="0"/>
              <w:left w:val="single" w:color="000000" w:sz="4" w:space="0"/>
              <w:bottom w:val="single" w:color="000000" w:sz="4" w:space="0"/>
              <w:right w:val="single" w:color="000000" w:sz="4" w:space="0"/>
            </w:tcBorders>
            <w:vAlign w:val="center"/>
          </w:tcPr>
          <w:p w14:paraId="4B300890">
            <w:pPr>
              <w:jc w:val="center"/>
              <w:rPr>
                <w:rFonts w:hint="default" w:ascii="Times New Roman" w:hAnsi="Times New Roman" w:eastAsia="Times New Roman" w:cs="Times New Roman"/>
                <w:b w:val="0"/>
                <w:bCs w:val="0"/>
                <w:color w:val="auto"/>
                <w:sz w:val="24"/>
                <w:szCs w:val="24"/>
              </w:rPr>
            </w:pPr>
            <w:r>
              <w:rPr>
                <w:rFonts w:ascii="Times New Roman" w:hAnsi="Times New Roman" w:eastAsia="Times New Roman" w:cs="Times New Roman"/>
                <w:b w:val="0"/>
                <w:bCs w:val="0"/>
                <w:color w:val="auto"/>
                <w:sz w:val="24"/>
                <w:szCs w:val="24"/>
              </w:rPr>
              <w:t>+15...+42</w:t>
            </w:r>
          </w:p>
        </w:tc>
        <w:tc>
          <w:tcPr>
            <w:tcW w:w="2160" w:type="dxa"/>
            <w:tcBorders>
              <w:top w:val="single" w:color="000000" w:sz="4" w:space="0"/>
              <w:left w:val="single" w:color="000000" w:sz="4" w:space="0"/>
              <w:bottom w:val="single" w:color="000000" w:sz="4" w:space="0"/>
              <w:right w:val="single" w:color="000000" w:sz="4" w:space="0"/>
            </w:tcBorders>
            <w:vAlign w:val="center"/>
          </w:tcPr>
          <w:p w14:paraId="749BCE54">
            <w:pPr>
              <w:jc w:val="center"/>
              <w:rPr>
                <w:rFonts w:hint="default" w:ascii="Times New Roman" w:hAnsi="Times New Roman" w:eastAsia="Times New Roman" w:cs="Times New Roman"/>
                <w:b w:val="0"/>
                <w:bCs w:val="0"/>
                <w:color w:val="auto"/>
                <w:sz w:val="24"/>
                <w:szCs w:val="24"/>
              </w:rPr>
            </w:pPr>
            <w:r>
              <w:rPr>
                <w:rFonts w:ascii="Times New Roman" w:hAnsi="Times New Roman" w:eastAsia="Times New Roman" w:cs="Times New Roman"/>
                <w:b w:val="0"/>
                <w:bCs w:val="0"/>
                <w:color w:val="auto"/>
                <w:sz w:val="24"/>
                <w:szCs w:val="24"/>
              </w:rPr>
              <w:t>+20...+30</w:t>
            </w:r>
          </w:p>
        </w:tc>
        <w:tc>
          <w:tcPr>
            <w:tcW w:w="1808" w:type="dxa"/>
            <w:tcBorders>
              <w:top w:val="single" w:color="000000" w:sz="4" w:space="0"/>
              <w:left w:val="single" w:color="000000" w:sz="4" w:space="0"/>
              <w:bottom w:val="single" w:color="000000" w:sz="4" w:space="0"/>
              <w:right w:val="single" w:color="000000" w:sz="4" w:space="0"/>
            </w:tcBorders>
            <w:vAlign w:val="center"/>
          </w:tcPr>
          <w:p w14:paraId="5F2A2E72">
            <w:pPr>
              <w:jc w:val="center"/>
              <w:rPr>
                <w:rFonts w:hint="default" w:ascii="Times New Roman" w:hAnsi="Times New Roman" w:eastAsia="Times New Roman" w:cs="Times New Roman"/>
                <w:b w:val="0"/>
                <w:bCs w:val="0"/>
                <w:color w:val="auto"/>
                <w:sz w:val="24"/>
                <w:szCs w:val="24"/>
              </w:rPr>
            </w:pPr>
            <w:r>
              <w:rPr>
                <w:rFonts w:ascii="Times New Roman" w:hAnsi="Times New Roman" w:eastAsia="Times New Roman" w:cs="Times New Roman"/>
                <w:b w:val="0"/>
                <w:bCs w:val="0"/>
                <w:color w:val="auto"/>
                <w:sz w:val="24"/>
                <w:szCs w:val="24"/>
              </w:rPr>
              <w:t>+15...+35</w:t>
            </w:r>
          </w:p>
        </w:tc>
        <w:tc>
          <w:tcPr>
            <w:tcW w:w="1432" w:type="dxa"/>
            <w:tcBorders>
              <w:top w:val="single" w:color="000000" w:sz="4" w:space="0"/>
              <w:left w:val="single" w:color="000000" w:sz="4" w:space="0"/>
              <w:bottom w:val="single" w:color="000000" w:sz="4" w:space="0"/>
              <w:right w:val="single" w:color="000000" w:sz="4" w:space="0"/>
            </w:tcBorders>
            <w:vAlign w:val="center"/>
          </w:tcPr>
          <w:p w14:paraId="6DA9FE88">
            <w:pPr>
              <w:jc w:val="center"/>
              <w:rPr>
                <w:rFonts w:hint="default" w:ascii="Times New Roman" w:hAnsi="Times New Roman" w:eastAsia="Times New Roman" w:cs="Times New Roman"/>
                <w:b w:val="0"/>
                <w:bCs w:val="0"/>
                <w:color w:val="auto"/>
                <w:sz w:val="24"/>
                <w:szCs w:val="24"/>
              </w:rPr>
            </w:pPr>
            <w:r>
              <w:rPr>
                <w:rFonts w:ascii="Times New Roman" w:hAnsi="Times New Roman" w:eastAsia="Times New Roman" w:cs="Times New Roman"/>
                <w:b w:val="0"/>
                <w:bCs w:val="0"/>
                <w:color w:val="auto"/>
                <w:sz w:val="24"/>
                <w:szCs w:val="24"/>
              </w:rPr>
              <w:t>+10...+30</w:t>
            </w:r>
          </w:p>
        </w:tc>
      </w:tr>
      <w:tr w14:paraId="1585D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309" w:type="dxa"/>
            <w:tcBorders>
              <w:top w:val="single" w:color="000000" w:sz="4" w:space="0"/>
              <w:left w:val="single" w:color="000000" w:sz="4" w:space="0"/>
              <w:bottom w:val="single" w:color="000000" w:sz="4" w:space="0"/>
              <w:right w:val="single" w:color="000000" w:sz="4" w:space="0"/>
            </w:tcBorders>
            <w:vAlign w:val="center"/>
          </w:tcPr>
          <w:p w14:paraId="1B7212C7">
            <w:pPr>
              <w:jc w:val="left"/>
              <w:rPr>
                <w:rFonts w:hint="default" w:ascii="Times New Roman" w:hAnsi="Times New Roman" w:eastAsia="Times New Roman" w:cs="Times New Roman"/>
                <w:b w:val="0"/>
                <w:bCs w:val="0"/>
                <w:color w:val="auto"/>
                <w:sz w:val="24"/>
                <w:szCs w:val="24"/>
              </w:rPr>
            </w:pPr>
            <w:r>
              <w:rPr>
                <w:rFonts w:ascii="Times New Roman" w:hAnsi="Times New Roman" w:eastAsia="Times New Roman" w:cs="Times New Roman"/>
                <w:b w:val="0"/>
                <w:bCs w:val="0"/>
                <w:color w:val="auto"/>
                <w:sz w:val="24"/>
                <w:szCs w:val="24"/>
              </w:rPr>
              <w:t>Тұздылыққа төзімділік (NaCl)</w:t>
            </w:r>
          </w:p>
        </w:tc>
        <w:tc>
          <w:tcPr>
            <w:tcW w:w="1666" w:type="dxa"/>
            <w:tcBorders>
              <w:top w:val="single" w:color="000000" w:sz="4" w:space="0"/>
              <w:left w:val="single" w:color="000000" w:sz="4" w:space="0"/>
              <w:bottom w:val="single" w:color="000000" w:sz="4" w:space="0"/>
              <w:right w:val="single" w:color="000000" w:sz="4" w:space="0"/>
            </w:tcBorders>
            <w:vAlign w:val="center"/>
          </w:tcPr>
          <w:p w14:paraId="0DDA0EAD">
            <w:pPr>
              <w:jc w:val="center"/>
              <w:rPr>
                <w:rFonts w:hint="default" w:ascii="Times New Roman" w:hAnsi="Times New Roman" w:eastAsia="Times New Roman" w:cs="Times New Roman"/>
                <w:b w:val="0"/>
                <w:bCs w:val="0"/>
                <w:color w:val="auto"/>
                <w:sz w:val="24"/>
                <w:szCs w:val="24"/>
              </w:rPr>
            </w:pPr>
            <w:r>
              <w:rPr>
                <w:rFonts w:ascii="Times New Roman" w:hAnsi="Times New Roman" w:eastAsia="Times New Roman" w:cs="Times New Roman"/>
                <w:b w:val="0"/>
                <w:bCs w:val="0"/>
                <w:color w:val="auto"/>
                <w:sz w:val="24"/>
                <w:szCs w:val="24"/>
              </w:rPr>
              <w:t>10% дейін</w:t>
            </w:r>
          </w:p>
        </w:tc>
        <w:tc>
          <w:tcPr>
            <w:tcW w:w="2160" w:type="dxa"/>
            <w:tcBorders>
              <w:top w:val="single" w:color="000000" w:sz="4" w:space="0"/>
              <w:left w:val="single" w:color="000000" w:sz="4" w:space="0"/>
              <w:bottom w:val="single" w:color="000000" w:sz="4" w:space="0"/>
              <w:right w:val="single" w:color="000000" w:sz="4" w:space="0"/>
            </w:tcBorders>
            <w:vAlign w:val="center"/>
          </w:tcPr>
          <w:p w14:paraId="59C2DD14">
            <w:pPr>
              <w:jc w:val="center"/>
              <w:rPr>
                <w:rFonts w:hint="default" w:ascii="Times New Roman" w:hAnsi="Times New Roman" w:eastAsia="Times New Roman" w:cs="Times New Roman"/>
                <w:b w:val="0"/>
                <w:bCs w:val="0"/>
                <w:color w:val="auto"/>
                <w:sz w:val="24"/>
                <w:szCs w:val="24"/>
              </w:rPr>
            </w:pPr>
            <w:r>
              <w:rPr>
                <w:rFonts w:ascii="Times New Roman" w:hAnsi="Times New Roman" w:eastAsia="Times New Roman" w:cs="Times New Roman"/>
                <w:b w:val="0"/>
                <w:bCs w:val="0"/>
                <w:color w:val="auto"/>
                <w:sz w:val="24"/>
                <w:szCs w:val="24"/>
              </w:rPr>
              <w:t>3% дейін</w:t>
            </w:r>
          </w:p>
        </w:tc>
        <w:tc>
          <w:tcPr>
            <w:tcW w:w="1808" w:type="dxa"/>
            <w:tcBorders>
              <w:top w:val="single" w:color="000000" w:sz="4" w:space="0"/>
              <w:left w:val="single" w:color="000000" w:sz="4" w:space="0"/>
              <w:bottom w:val="single" w:color="000000" w:sz="4" w:space="0"/>
              <w:right w:val="single" w:color="000000" w:sz="4" w:space="0"/>
            </w:tcBorders>
            <w:vAlign w:val="center"/>
          </w:tcPr>
          <w:p w14:paraId="2D865ACB">
            <w:pPr>
              <w:jc w:val="center"/>
              <w:rPr>
                <w:rFonts w:hint="default" w:ascii="Times New Roman" w:hAnsi="Times New Roman" w:eastAsia="Times New Roman" w:cs="Times New Roman"/>
                <w:b w:val="0"/>
                <w:bCs w:val="0"/>
                <w:color w:val="auto"/>
                <w:sz w:val="24"/>
                <w:szCs w:val="24"/>
              </w:rPr>
            </w:pPr>
            <w:r>
              <w:rPr>
                <w:rFonts w:ascii="Times New Roman" w:hAnsi="Times New Roman" w:eastAsia="Times New Roman" w:cs="Times New Roman"/>
                <w:b w:val="0"/>
                <w:bCs w:val="0"/>
                <w:color w:val="auto"/>
                <w:sz w:val="24"/>
                <w:szCs w:val="24"/>
              </w:rPr>
              <w:t>5% дейін</w:t>
            </w:r>
          </w:p>
        </w:tc>
        <w:tc>
          <w:tcPr>
            <w:tcW w:w="1432" w:type="dxa"/>
            <w:tcBorders>
              <w:top w:val="single" w:color="000000" w:sz="4" w:space="0"/>
              <w:left w:val="single" w:color="000000" w:sz="4" w:space="0"/>
              <w:bottom w:val="single" w:color="000000" w:sz="4" w:space="0"/>
              <w:right w:val="single" w:color="000000" w:sz="4" w:space="0"/>
            </w:tcBorders>
            <w:vAlign w:val="center"/>
          </w:tcPr>
          <w:p w14:paraId="3D8C6987">
            <w:pPr>
              <w:jc w:val="center"/>
              <w:rPr>
                <w:rFonts w:hint="default" w:ascii="Times New Roman" w:hAnsi="Times New Roman" w:eastAsia="Times New Roman" w:cs="Times New Roman"/>
                <w:b w:val="0"/>
                <w:bCs w:val="0"/>
                <w:color w:val="auto"/>
                <w:sz w:val="24"/>
                <w:szCs w:val="24"/>
              </w:rPr>
            </w:pPr>
            <w:r>
              <w:rPr>
                <w:rFonts w:ascii="Times New Roman" w:hAnsi="Times New Roman" w:eastAsia="Times New Roman" w:cs="Times New Roman"/>
                <w:b w:val="0"/>
                <w:bCs w:val="0"/>
                <w:color w:val="auto"/>
                <w:sz w:val="24"/>
                <w:szCs w:val="24"/>
              </w:rPr>
              <w:t>2% дейін</w:t>
            </w:r>
          </w:p>
        </w:tc>
      </w:tr>
      <w:tr w14:paraId="496E6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309" w:type="dxa"/>
            <w:tcBorders>
              <w:top w:val="single" w:color="000000" w:sz="4" w:space="0"/>
              <w:left w:val="single" w:color="000000" w:sz="4" w:space="0"/>
              <w:bottom w:val="single" w:color="000000" w:sz="4" w:space="0"/>
              <w:right w:val="single" w:color="000000" w:sz="4" w:space="0"/>
            </w:tcBorders>
            <w:vAlign w:val="center"/>
          </w:tcPr>
          <w:p w14:paraId="0E044D8B">
            <w:pPr>
              <w:jc w:val="left"/>
              <w:rPr>
                <w:rFonts w:hint="default" w:ascii="Times New Roman" w:hAnsi="Times New Roman" w:eastAsia="Times New Roman" w:cs="Times New Roman"/>
                <w:b w:val="0"/>
                <w:bCs w:val="0"/>
                <w:color w:val="auto"/>
                <w:sz w:val="24"/>
                <w:szCs w:val="24"/>
                <w:highlight w:val="none"/>
              </w:rPr>
            </w:pPr>
            <w:r>
              <w:rPr>
                <w:rFonts w:ascii="Times New Roman" w:hAnsi="Times New Roman" w:eastAsia="Times New Roman" w:cs="Times New Roman"/>
                <w:b w:val="0"/>
                <w:bCs w:val="0"/>
                <w:color w:val="auto"/>
                <w:sz w:val="24"/>
                <w:szCs w:val="24"/>
              </w:rPr>
              <w:t>Экологиялық қауіпсіздік</w:t>
            </w:r>
          </w:p>
        </w:tc>
        <w:tc>
          <w:tcPr>
            <w:tcW w:w="1666" w:type="dxa"/>
            <w:tcBorders>
              <w:top w:val="single" w:color="000000" w:sz="4" w:space="0"/>
              <w:left w:val="single" w:color="000000" w:sz="4" w:space="0"/>
              <w:bottom w:val="single" w:color="000000" w:sz="4" w:space="0"/>
              <w:right w:val="single" w:color="000000" w:sz="4" w:space="0"/>
            </w:tcBorders>
            <w:vAlign w:val="center"/>
          </w:tcPr>
          <w:p w14:paraId="75420F15">
            <w:pPr>
              <w:jc w:val="center"/>
              <w:rPr>
                <w:rFonts w:hint="default" w:ascii="Times New Roman" w:hAnsi="Times New Roman" w:eastAsia="Times New Roman" w:cs="Times New Roman"/>
                <w:b w:val="0"/>
                <w:bCs w:val="0"/>
                <w:color w:val="auto"/>
                <w:sz w:val="24"/>
                <w:szCs w:val="24"/>
                <w:highlight w:val="none"/>
              </w:rPr>
            </w:pPr>
            <w:r>
              <w:rPr>
                <w:rFonts w:ascii="Times New Roman" w:hAnsi="Times New Roman" w:eastAsia="Times New Roman" w:cs="Times New Roman"/>
                <w:b w:val="0"/>
                <w:bCs w:val="0"/>
                <w:color w:val="auto"/>
                <w:sz w:val="24"/>
                <w:szCs w:val="24"/>
              </w:rPr>
              <w:t>Жоғары</w:t>
            </w:r>
          </w:p>
        </w:tc>
        <w:tc>
          <w:tcPr>
            <w:tcW w:w="2160" w:type="dxa"/>
            <w:tcBorders>
              <w:top w:val="single" w:color="000000" w:sz="4" w:space="0"/>
              <w:left w:val="single" w:color="000000" w:sz="4" w:space="0"/>
              <w:bottom w:val="single" w:color="000000" w:sz="4" w:space="0"/>
              <w:right w:val="single" w:color="000000" w:sz="4" w:space="0"/>
            </w:tcBorders>
            <w:vAlign w:val="center"/>
          </w:tcPr>
          <w:p w14:paraId="38EB0954">
            <w:pPr>
              <w:jc w:val="center"/>
              <w:rPr>
                <w:rFonts w:hint="default" w:ascii="Times New Roman" w:hAnsi="Times New Roman" w:eastAsia="Times New Roman" w:cs="Times New Roman"/>
                <w:b w:val="0"/>
                <w:bCs w:val="0"/>
                <w:color w:val="auto"/>
                <w:sz w:val="24"/>
                <w:szCs w:val="24"/>
                <w:highlight w:val="none"/>
              </w:rPr>
            </w:pPr>
            <w:r>
              <w:rPr>
                <w:rFonts w:ascii="Times New Roman" w:hAnsi="Times New Roman" w:eastAsia="Times New Roman" w:cs="Times New Roman"/>
                <w:b w:val="0"/>
                <w:bCs w:val="0"/>
                <w:color w:val="auto"/>
                <w:sz w:val="24"/>
                <w:szCs w:val="24"/>
              </w:rPr>
              <w:t>Орташа</w:t>
            </w:r>
          </w:p>
        </w:tc>
        <w:tc>
          <w:tcPr>
            <w:tcW w:w="1808" w:type="dxa"/>
            <w:tcBorders>
              <w:top w:val="single" w:color="000000" w:sz="4" w:space="0"/>
              <w:left w:val="single" w:color="000000" w:sz="4" w:space="0"/>
              <w:bottom w:val="single" w:color="000000" w:sz="4" w:space="0"/>
              <w:right w:val="single" w:color="000000" w:sz="4" w:space="0"/>
            </w:tcBorders>
            <w:vAlign w:val="center"/>
          </w:tcPr>
          <w:p w14:paraId="7F3CB6D8">
            <w:pPr>
              <w:jc w:val="center"/>
              <w:rPr>
                <w:rFonts w:hint="default" w:ascii="Times New Roman" w:hAnsi="Times New Roman" w:eastAsia="Times New Roman" w:cs="Times New Roman"/>
                <w:b w:val="0"/>
                <w:bCs w:val="0"/>
                <w:color w:val="auto"/>
                <w:sz w:val="24"/>
                <w:szCs w:val="24"/>
                <w:highlight w:val="none"/>
              </w:rPr>
            </w:pPr>
            <w:r>
              <w:rPr>
                <w:rFonts w:ascii="Times New Roman" w:hAnsi="Times New Roman" w:eastAsia="Times New Roman" w:cs="Times New Roman"/>
                <w:b w:val="0"/>
                <w:bCs w:val="0"/>
                <w:color w:val="auto"/>
                <w:sz w:val="24"/>
                <w:szCs w:val="24"/>
              </w:rPr>
              <w:t>Орташа</w:t>
            </w:r>
          </w:p>
        </w:tc>
        <w:tc>
          <w:tcPr>
            <w:tcW w:w="1432" w:type="dxa"/>
            <w:tcBorders>
              <w:top w:val="single" w:color="000000" w:sz="4" w:space="0"/>
              <w:left w:val="single" w:color="000000" w:sz="4" w:space="0"/>
              <w:bottom w:val="single" w:color="000000" w:sz="4" w:space="0"/>
              <w:right w:val="single" w:color="000000" w:sz="4" w:space="0"/>
            </w:tcBorders>
            <w:vAlign w:val="center"/>
          </w:tcPr>
          <w:p w14:paraId="04BAB7E4">
            <w:pPr>
              <w:jc w:val="center"/>
              <w:rPr>
                <w:rFonts w:hint="default" w:ascii="Times New Roman" w:hAnsi="Times New Roman" w:eastAsia="Times New Roman" w:cs="Times New Roman"/>
                <w:b w:val="0"/>
                <w:bCs w:val="0"/>
                <w:color w:val="auto"/>
                <w:sz w:val="24"/>
                <w:szCs w:val="24"/>
              </w:rPr>
            </w:pPr>
            <w:r>
              <w:rPr>
                <w:rFonts w:ascii="Times New Roman" w:hAnsi="Times New Roman" w:eastAsia="Times New Roman" w:cs="Times New Roman"/>
                <w:b w:val="0"/>
                <w:bCs w:val="0"/>
                <w:color w:val="auto"/>
                <w:sz w:val="24"/>
                <w:szCs w:val="24"/>
              </w:rPr>
              <w:t>Жоғары</w:t>
            </w:r>
          </w:p>
        </w:tc>
      </w:tr>
    </w:tbl>
    <w:p w14:paraId="1481D570">
      <w:pPr>
        <w:keepNext w:val="0"/>
        <w:keepLines w:val="0"/>
        <w:pageBreakBefore w:val="0"/>
        <w:widowControl/>
        <w:kinsoku/>
        <w:wordWrap/>
        <w:overflowPunct/>
        <w:topLinePunct w:val="0"/>
        <w:autoSpaceDE/>
        <w:autoSpaceDN/>
        <w:bidi w:val="0"/>
        <w:adjustRightInd/>
        <w:snapToGrid/>
        <w:spacing w:after="0" w:line="240" w:lineRule="auto"/>
        <w:ind w:firstLine="709" w:firstLineChars="0"/>
        <w:textAlignment w:val="auto"/>
        <w:rPr>
          <w:rFonts w:hint="default" w:ascii="Times New Roman" w:hAnsi="Times New Roman" w:eastAsia="Times New Roman"/>
          <w:b w:val="0"/>
          <w:bCs w:val="0"/>
          <w:color w:val="auto"/>
          <w:sz w:val="28"/>
          <w:szCs w:val="28"/>
          <w:highlight w:val="none"/>
        </w:rPr>
      </w:pPr>
    </w:p>
    <w:p w14:paraId="099E603F">
      <w:pPr>
        <w:keepNext w:val="0"/>
        <w:keepLines w:val="0"/>
        <w:pageBreakBefore w:val="0"/>
        <w:widowControl/>
        <w:kinsoku/>
        <w:wordWrap/>
        <w:overflowPunct/>
        <w:topLinePunct w:val="0"/>
        <w:autoSpaceDE/>
        <w:autoSpaceDN/>
        <w:bidi w:val="0"/>
        <w:adjustRightInd/>
        <w:snapToGrid/>
        <w:spacing w:after="0" w:line="240" w:lineRule="auto"/>
        <w:ind w:firstLine="720"/>
        <w:jc w:val="both"/>
        <w:textAlignment w:val="auto"/>
        <w:rPr>
          <w:color w:val="auto"/>
          <w:sz w:val="28"/>
          <w:szCs w:val="28"/>
        </w:rPr>
      </w:pPr>
      <w:r>
        <w:rPr>
          <w:rFonts w:ascii="Times New Roman" w:hAnsi="Times New Roman" w:eastAsia="Times New Roman" w:cs="Times New Roman"/>
          <w:b w:val="0"/>
          <w:bCs w:val="0"/>
          <w:i w:val="0"/>
          <w:iCs w:val="0"/>
          <w:color w:val="auto"/>
          <w:sz w:val="28"/>
          <w:szCs w:val="28"/>
        </w:rPr>
        <w:t>Тиімділік параметрлері бойынша әзірленген әдіс барлық аналогтардан айтарлықтай асып түседі. Лабораториялық жағдайларда МӨ деградациясының 94,0% көрсеткішіне қол жеткізілді, бұл «Деворойл» препаратынан 1,3-1,6 есе, landfarming әдісінен 1,9-3,1 есе, ал фиторемедиациядан 2,4-4,7 есе жоғары [143]. Тазарту мерзімі бойынша артықшылық одан да айқын: 45 күн «Деворойлдан» 1,3-2,0 есе, landfarming-тен 4,0-8,0 есе және фиторемедиациядан 16,2-40,6 есе жылдам.</w:t>
      </w:r>
    </w:p>
    <w:p w14:paraId="5A944A58">
      <w:pPr>
        <w:keepNext w:val="0"/>
        <w:keepLines w:val="0"/>
        <w:pageBreakBefore w:val="0"/>
        <w:widowControl/>
        <w:kinsoku/>
        <w:wordWrap/>
        <w:overflowPunct/>
        <w:topLinePunct w:val="0"/>
        <w:autoSpaceDE/>
        <w:autoSpaceDN/>
        <w:bidi w:val="0"/>
        <w:adjustRightInd/>
        <w:snapToGrid/>
        <w:spacing w:after="0" w:line="240" w:lineRule="auto"/>
        <w:ind w:firstLine="720"/>
        <w:jc w:val="both"/>
        <w:textAlignment w:val="auto"/>
        <w:rPr>
          <w:color w:val="auto"/>
          <w:sz w:val="28"/>
          <w:szCs w:val="28"/>
        </w:rPr>
      </w:pPr>
      <w:r>
        <w:rPr>
          <w:rFonts w:ascii="Times New Roman" w:hAnsi="Times New Roman" w:eastAsia="Times New Roman" w:cs="Times New Roman"/>
          <w:b w:val="0"/>
          <w:bCs w:val="0"/>
          <w:i w:val="0"/>
          <w:iCs w:val="0"/>
          <w:color w:val="auto"/>
          <w:sz w:val="28"/>
          <w:szCs w:val="28"/>
        </w:rPr>
        <w:t>Аталған салыстыру кезінде әзірленген әдістің тиімділігі лабораториялық жағдайларда алынғанын, ал аналогтардың деректері негізінен далалық және өндірістік қолдану нәтижелерін қамтитынын ескеру қажет. Лабораториялық жағдайларда оңтайлы температура, ылғалдылық және аэрация режимдері қамтамасыз етілетіндіктен, далалық жағдайларда тиімділік көрсеткіштері біршама өзгеруі мүмкін. Алайда, пилоттық далалық сынақтар да жоғары тиімділікті растаған.</w:t>
      </w:r>
    </w:p>
    <w:p w14:paraId="397D7531">
      <w:pPr>
        <w:keepNext w:val="0"/>
        <w:keepLines w:val="0"/>
        <w:pageBreakBefore w:val="0"/>
        <w:widowControl/>
        <w:kinsoku/>
        <w:wordWrap/>
        <w:overflowPunct/>
        <w:topLinePunct w:val="0"/>
        <w:autoSpaceDE/>
        <w:autoSpaceDN/>
        <w:bidi w:val="0"/>
        <w:adjustRightInd/>
        <w:snapToGrid/>
        <w:spacing w:after="0" w:line="240" w:lineRule="auto"/>
        <w:ind w:firstLine="720"/>
        <w:jc w:val="both"/>
        <w:textAlignment w:val="auto"/>
        <w:rPr>
          <w:color w:val="auto"/>
          <w:sz w:val="28"/>
          <w:szCs w:val="28"/>
        </w:rPr>
      </w:pPr>
      <w:r>
        <w:rPr>
          <w:rFonts w:ascii="Times New Roman" w:hAnsi="Times New Roman" w:eastAsia="Times New Roman" w:cs="Times New Roman"/>
          <w:b w:val="0"/>
          <w:bCs w:val="0"/>
          <w:i w:val="0"/>
          <w:iCs w:val="0"/>
          <w:color w:val="auto"/>
          <w:sz w:val="28"/>
          <w:szCs w:val="28"/>
        </w:rPr>
        <w:t>Аридті климатқа бейімделу әзірленген технологияның негізгі бәсекелік артықшылығы болып табылады. Жоғары температураларға (+42°C дейін) және тұздылыққа (10% NaCl дейін) төзімділік Қазақстанның мұнай өндіру аймақтарының климаттық жағдайларында қолдануға мүмкіндік береді [155]. Тұздылыққа төзімділік авторлық эксперименттермен расталған. «Деворойл» препараты +30°C жоғары температураларда тиімділігін жоғалтады, ал landfarming және фиторемедиация аридті климатта шектеулі қолданылады [185].</w:t>
      </w:r>
    </w:p>
    <w:p w14:paraId="453CD10D">
      <w:pPr>
        <w:keepNext w:val="0"/>
        <w:keepLines w:val="0"/>
        <w:pageBreakBefore w:val="0"/>
        <w:widowControl/>
        <w:kinsoku/>
        <w:wordWrap/>
        <w:overflowPunct/>
        <w:topLinePunct w:val="0"/>
        <w:autoSpaceDE/>
        <w:autoSpaceDN/>
        <w:bidi w:val="0"/>
        <w:adjustRightInd/>
        <w:snapToGrid/>
        <w:spacing w:after="0" w:line="240" w:lineRule="auto"/>
        <w:ind w:firstLine="720"/>
        <w:jc w:val="both"/>
        <w:textAlignment w:val="auto"/>
        <w:rPr>
          <w:color w:val="auto"/>
          <w:sz w:val="28"/>
          <w:szCs w:val="28"/>
        </w:rPr>
      </w:pPr>
      <w:r>
        <w:rPr>
          <w:rFonts w:ascii="Times New Roman" w:hAnsi="Times New Roman" w:eastAsia="Times New Roman" w:cs="Times New Roman"/>
          <w:b w:val="0"/>
          <w:bCs w:val="0"/>
          <w:i w:val="0"/>
          <w:iCs w:val="0"/>
          <w:color w:val="auto"/>
          <w:sz w:val="28"/>
          <w:szCs w:val="28"/>
        </w:rPr>
        <w:t>Экономикалық тиімділік жергілікті шикізатты пайдаланумен қамтамасыз етіледі. Қарақұмық және күріш қауыздары Қазақстанның ауыл шаруашылығы өндірісінің қалдықтары болып табылады және импортталған препараттармен салыстырғанда 2,5-3,0 есе арзан [187]. Фиторемедиация бір маусымдық шығын бойынша ең арзан әдіс болса да, ұзақ мерзімі (2-5 жыл) жиынтық шығындарды айтарлықтай арттырады, бұл оның жалпы экономикалық тиімділ</w:t>
      </w:r>
      <w:bookmarkStart w:id="0" w:name="_GoBack"/>
      <w:bookmarkEnd w:id="0"/>
      <w:r>
        <w:rPr>
          <w:rFonts w:ascii="Times New Roman" w:hAnsi="Times New Roman" w:eastAsia="Times New Roman" w:cs="Times New Roman"/>
          <w:b w:val="0"/>
          <w:bCs w:val="0"/>
          <w:i w:val="0"/>
          <w:iCs w:val="0"/>
          <w:color w:val="auto"/>
          <w:sz w:val="28"/>
          <w:szCs w:val="28"/>
        </w:rPr>
        <w:t>ігін төмендетеді.</w:t>
      </w:r>
    </w:p>
    <w:p w14:paraId="5D783F1D">
      <w:pPr>
        <w:keepNext w:val="0"/>
        <w:keepLines w:val="0"/>
        <w:pageBreakBefore w:val="0"/>
        <w:widowControl/>
        <w:kinsoku/>
        <w:wordWrap/>
        <w:overflowPunct/>
        <w:topLinePunct w:val="0"/>
        <w:autoSpaceDE/>
        <w:autoSpaceDN/>
        <w:bidi w:val="0"/>
        <w:adjustRightInd/>
        <w:snapToGrid/>
        <w:spacing w:after="0" w:line="240" w:lineRule="auto"/>
        <w:ind w:firstLine="720"/>
        <w:jc w:val="both"/>
        <w:textAlignment w:val="auto"/>
        <w:rPr>
          <w:rFonts w:ascii="Times New Roman" w:hAnsi="Times New Roman" w:eastAsia="Times New Roman" w:cs="Times New Roman"/>
          <w:b w:val="0"/>
          <w:bCs w:val="0"/>
          <w:i w:val="0"/>
          <w:iCs w:val="0"/>
          <w:color w:val="auto"/>
          <w:sz w:val="28"/>
          <w:szCs w:val="28"/>
        </w:rPr>
      </w:pPr>
      <w:r>
        <w:rPr>
          <w:rFonts w:ascii="Times New Roman" w:hAnsi="Times New Roman" w:eastAsia="Times New Roman" w:cs="Times New Roman"/>
          <w:b w:val="0"/>
          <w:bCs w:val="0"/>
          <w:i w:val="0"/>
          <w:iCs w:val="0"/>
          <w:color w:val="auto"/>
          <w:sz w:val="28"/>
          <w:szCs w:val="28"/>
        </w:rPr>
        <w:t>Әзірленген әдістің артықшылықтары мен шектеулері 27-кестеде жүйеленген.</w:t>
      </w:r>
    </w:p>
    <w:p w14:paraId="4E68FAB4">
      <w:pPr>
        <w:keepNext w:val="0"/>
        <w:keepLines w:val="0"/>
        <w:pageBreakBefore w:val="0"/>
        <w:widowControl/>
        <w:kinsoku/>
        <w:wordWrap/>
        <w:overflowPunct/>
        <w:topLinePunct w:val="0"/>
        <w:autoSpaceDE/>
        <w:autoSpaceDN/>
        <w:bidi w:val="0"/>
        <w:adjustRightInd/>
        <w:snapToGrid/>
        <w:spacing w:after="0" w:line="240" w:lineRule="auto"/>
        <w:ind w:firstLine="720"/>
        <w:jc w:val="both"/>
        <w:textAlignment w:val="auto"/>
        <w:rPr>
          <w:rFonts w:ascii="Times New Roman" w:hAnsi="Times New Roman" w:eastAsia="Times New Roman" w:cs="Times New Roman"/>
          <w:b w:val="0"/>
          <w:bCs w:val="0"/>
          <w:i w:val="0"/>
          <w:iCs w:val="0"/>
          <w:color w:val="auto"/>
          <w:sz w:val="28"/>
          <w:szCs w:val="28"/>
        </w:rPr>
      </w:pPr>
    </w:p>
    <w:p w14:paraId="6D832DAC">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eastAsia="Times New Roman"/>
          <w:b w:val="0"/>
          <w:bCs w:val="0"/>
          <w:color w:val="auto"/>
          <w:sz w:val="28"/>
          <w:szCs w:val="28"/>
          <w:highlight w:val="none"/>
          <w:lang w:val="kk-KZ"/>
        </w:rPr>
      </w:pPr>
      <w:r>
        <w:rPr>
          <w:b w:val="0"/>
          <w:bCs w:val="0"/>
          <w:color w:val="auto"/>
          <w:sz w:val="28"/>
          <w:szCs w:val="28"/>
          <w:highlight w:val="none"/>
          <w:lang w:val="kk-KZ"/>
        </w:rPr>
        <w:t>Кесте</w:t>
      </w:r>
      <w:r>
        <w:rPr>
          <w:rFonts w:hint="default"/>
          <w:b w:val="0"/>
          <w:bCs w:val="0"/>
          <w:color w:val="auto"/>
          <w:sz w:val="28"/>
          <w:szCs w:val="28"/>
          <w:highlight w:val="none"/>
          <w:lang w:val="kk-KZ"/>
        </w:rPr>
        <w:t xml:space="preserve"> </w:t>
      </w:r>
      <w:r>
        <w:rPr>
          <w:rFonts w:hint="default"/>
          <w:b w:val="0"/>
          <w:bCs w:val="0"/>
          <w:color w:val="auto"/>
          <w:sz w:val="28"/>
          <w:szCs w:val="28"/>
          <w:highlight w:val="none"/>
          <w:lang w:val="ru-RU"/>
        </w:rPr>
        <w:t>27</w:t>
      </w:r>
      <w:r>
        <w:rPr>
          <w:rFonts w:hint="default"/>
          <w:b w:val="0"/>
          <w:bCs w:val="0"/>
          <w:color w:val="auto"/>
          <w:sz w:val="28"/>
          <w:szCs w:val="28"/>
          <w:highlight w:val="none"/>
          <w:lang w:val="kk-KZ"/>
        </w:rPr>
        <w:t xml:space="preserve"> - </w:t>
      </w:r>
      <w:r>
        <w:rPr>
          <w:rFonts w:hint="default" w:ascii="Times New Roman" w:hAnsi="Times New Roman" w:eastAsia="Times New Roman"/>
          <w:b w:val="0"/>
          <w:bCs w:val="0"/>
          <w:color w:val="auto"/>
          <w:sz w:val="28"/>
          <w:szCs w:val="28"/>
          <w:highlight w:val="none"/>
        </w:rPr>
        <w:t>Әзірленген әдістің артықшылықтары</w:t>
      </w:r>
      <w:r>
        <w:rPr>
          <w:rFonts w:hint="default" w:eastAsia="Times New Roman"/>
          <w:b w:val="0"/>
          <w:bCs w:val="0"/>
          <w:color w:val="auto"/>
          <w:sz w:val="28"/>
          <w:szCs w:val="28"/>
          <w:highlight w:val="none"/>
          <w:lang w:val="en-US"/>
        </w:rPr>
        <w:t xml:space="preserve"> </w:t>
      </w:r>
      <w:r>
        <w:rPr>
          <w:rFonts w:hint="default" w:eastAsia="Times New Roman"/>
          <w:b w:val="0"/>
          <w:bCs w:val="0"/>
          <w:color w:val="auto"/>
          <w:sz w:val="28"/>
          <w:szCs w:val="28"/>
          <w:highlight w:val="none"/>
          <w:lang w:val="kk-KZ"/>
        </w:rPr>
        <w:t>мен шектеулері</w:t>
      </w:r>
    </w:p>
    <w:p w14:paraId="35ABAF16">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eastAsia="Times New Roman"/>
          <w:b w:val="0"/>
          <w:bCs w:val="0"/>
          <w:color w:val="auto"/>
          <w:sz w:val="28"/>
          <w:szCs w:val="28"/>
          <w:highlight w:val="none"/>
        </w:rPr>
      </w:pP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27"/>
        <w:gridCol w:w="4644"/>
      </w:tblGrid>
      <w:tr w14:paraId="38646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7" w:type="dxa"/>
            <w:vAlign w:val="top"/>
          </w:tcPr>
          <w:p w14:paraId="212B0533">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eastAsia="Times New Roman"/>
                <w:b w:val="0"/>
                <w:bCs w:val="0"/>
                <w:color w:val="auto"/>
                <w:sz w:val="24"/>
                <w:szCs w:val="24"/>
                <w:highlight w:val="none"/>
                <w:vertAlign w:val="baseline"/>
                <w:lang w:val="kk-KZ"/>
              </w:rPr>
            </w:pPr>
            <w:r>
              <w:rPr>
                <w:rFonts w:hint="default" w:eastAsia="Times New Roman"/>
                <w:b w:val="0"/>
                <w:bCs w:val="0"/>
                <w:color w:val="auto"/>
                <w:sz w:val="24"/>
                <w:szCs w:val="24"/>
                <w:highlight w:val="none"/>
                <w:vertAlign w:val="baseline"/>
                <w:lang w:val="kk-KZ"/>
              </w:rPr>
              <w:t>Артықшылықтары</w:t>
            </w:r>
          </w:p>
        </w:tc>
        <w:tc>
          <w:tcPr>
            <w:tcW w:w="4644" w:type="dxa"/>
            <w:vAlign w:val="top"/>
          </w:tcPr>
          <w:p w14:paraId="477619EF">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Times New Roman" w:hAnsi="Times New Roman" w:eastAsia="Times New Roman"/>
                <w:b w:val="0"/>
                <w:bCs w:val="0"/>
                <w:color w:val="auto"/>
                <w:sz w:val="24"/>
                <w:szCs w:val="24"/>
                <w:highlight w:val="none"/>
                <w:vertAlign w:val="baseline"/>
                <w:lang w:val="kk-KZ"/>
              </w:rPr>
            </w:pPr>
            <w:r>
              <w:rPr>
                <w:rFonts w:hint="default" w:eastAsia="Times New Roman"/>
                <w:b w:val="0"/>
                <w:bCs w:val="0"/>
                <w:color w:val="auto"/>
                <w:sz w:val="24"/>
                <w:szCs w:val="24"/>
                <w:highlight w:val="none"/>
                <w:vertAlign w:val="baseline"/>
                <w:lang w:val="kk-KZ"/>
              </w:rPr>
              <w:t>Шектеулері</w:t>
            </w:r>
          </w:p>
        </w:tc>
      </w:tr>
      <w:tr w14:paraId="71623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7" w:type="dxa"/>
            <w:vAlign w:val="top"/>
          </w:tcPr>
          <w:p w14:paraId="5965E214">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Times New Roman"/>
                <w:b w:val="0"/>
                <w:bCs w:val="0"/>
                <w:color w:val="auto"/>
                <w:sz w:val="24"/>
                <w:szCs w:val="24"/>
                <w:highlight w:val="none"/>
                <w:vertAlign w:val="baseline"/>
              </w:rPr>
            </w:pPr>
            <w:r>
              <w:rPr>
                <w:rFonts w:ascii="Times New Roman" w:hAnsi="Times New Roman" w:eastAsia="Times New Roman" w:cs="Times New Roman"/>
                <w:b w:val="0"/>
                <w:bCs w:val="0"/>
                <w:color w:val="auto"/>
                <w:sz w:val="24"/>
                <w:szCs w:val="24"/>
              </w:rPr>
              <w:t>Жоғары тиімділік — лабораториялық жағдайларда 45 тәулікте МӨ деградациясының 94,0%-ға жетуі, бұл аналогтар көрсеткіштерінен 1,3-4,7 есе асып түседі [144]</w:t>
            </w:r>
          </w:p>
        </w:tc>
        <w:tc>
          <w:tcPr>
            <w:tcW w:w="4644" w:type="dxa"/>
            <w:vAlign w:val="top"/>
          </w:tcPr>
          <w:p w14:paraId="2E725478">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Times New Roman"/>
                <w:b w:val="0"/>
                <w:bCs w:val="0"/>
                <w:color w:val="auto"/>
                <w:sz w:val="24"/>
                <w:szCs w:val="24"/>
                <w:highlight w:val="none"/>
                <w:vertAlign w:val="baseline"/>
              </w:rPr>
            </w:pPr>
            <w:r>
              <w:rPr>
                <w:rFonts w:ascii="Times New Roman" w:hAnsi="Times New Roman" w:eastAsia="Times New Roman" w:cs="Times New Roman"/>
                <w:b w:val="0"/>
                <w:bCs w:val="0"/>
                <w:color w:val="auto"/>
                <w:sz w:val="24"/>
                <w:szCs w:val="24"/>
              </w:rPr>
              <w:t>Температуралық диапазон — оңтайлы температура +15...+42°C аралығында, төмен температураларда (&lt;+15°C) тиімділік төмендеуі мүмкін</w:t>
            </w:r>
          </w:p>
        </w:tc>
      </w:tr>
      <w:tr w14:paraId="35492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7" w:type="dxa"/>
            <w:vAlign w:val="top"/>
          </w:tcPr>
          <w:p w14:paraId="4B9E9A2B">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Times New Roman"/>
                <w:b w:val="0"/>
                <w:bCs w:val="0"/>
                <w:color w:val="auto"/>
                <w:sz w:val="24"/>
                <w:szCs w:val="24"/>
                <w:highlight w:val="none"/>
                <w:vertAlign w:val="baseline"/>
              </w:rPr>
            </w:pPr>
            <w:r>
              <w:rPr>
                <w:rFonts w:ascii="Times New Roman" w:hAnsi="Times New Roman" w:eastAsia="Times New Roman" w:cs="Times New Roman"/>
                <w:b w:val="0"/>
                <w:bCs w:val="0"/>
                <w:color w:val="auto"/>
                <w:sz w:val="24"/>
                <w:szCs w:val="24"/>
              </w:rPr>
              <w:t>Жергілікті жағдайларға бейімделу — штаммдар «Экостандарт» ЖШС микроорганизмдер коллекциясынан алынған (R. erythropolis AT7: B-РҚМ-0769, D. maris 22K: B-РҚМ-0768) және аридті климат жағдайларында жоғары температураларға (+42°C дейін) және тұздылыққа (10% NaCl дейін) төзімділігімен сипатталады [143]</w:t>
            </w:r>
          </w:p>
        </w:tc>
        <w:tc>
          <w:tcPr>
            <w:tcW w:w="4644" w:type="dxa"/>
            <w:vAlign w:val="top"/>
          </w:tcPr>
          <w:p w14:paraId="3C623347">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Times New Roman"/>
                <w:b w:val="0"/>
                <w:bCs w:val="0"/>
                <w:color w:val="auto"/>
                <w:sz w:val="24"/>
                <w:szCs w:val="24"/>
                <w:highlight w:val="none"/>
                <w:vertAlign w:val="baseline"/>
              </w:rPr>
            </w:pPr>
            <w:r>
              <w:rPr>
                <w:rFonts w:ascii="Times New Roman" w:hAnsi="Times New Roman" w:eastAsia="Times New Roman" w:cs="Times New Roman"/>
                <w:b w:val="0"/>
                <w:bCs w:val="0"/>
                <w:color w:val="auto"/>
                <w:sz w:val="24"/>
                <w:szCs w:val="24"/>
              </w:rPr>
              <w:t>Ылғалдылықты ұстау — топырақ ылғалдылығын 60-70% деңгейінде ұстау қажеттілігі, бұл аридті климатта қосымша ылғалдандыру шараларын талап етеді</w:t>
            </w:r>
          </w:p>
        </w:tc>
      </w:tr>
      <w:tr w14:paraId="1E937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7" w:type="dxa"/>
            <w:vAlign w:val="top"/>
          </w:tcPr>
          <w:p w14:paraId="75B01ACD">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Times New Roman"/>
                <w:b w:val="0"/>
                <w:bCs w:val="0"/>
                <w:color w:val="auto"/>
                <w:sz w:val="24"/>
                <w:szCs w:val="24"/>
                <w:highlight w:val="none"/>
                <w:vertAlign w:val="baseline"/>
                <w:lang w:val="kk-KZ"/>
              </w:rPr>
            </w:pPr>
            <w:r>
              <w:rPr>
                <w:rFonts w:ascii="Times New Roman" w:hAnsi="Times New Roman" w:eastAsia="Times New Roman" w:cs="Times New Roman"/>
                <w:b w:val="0"/>
                <w:bCs w:val="0"/>
                <w:color w:val="auto"/>
                <w:sz w:val="24"/>
                <w:szCs w:val="24"/>
              </w:rPr>
              <w:t>Жергілікті шикізатты пайдалану — қарақұмық және күріш қауыздары Қазақстанның ауыл шаруашылығы өндірісінің қалдықтары болып табылады, бұл импортқа тәуелділікті азайтады және экономикалық тиімділікті қамтамасыз етеді [188]</w:t>
            </w:r>
          </w:p>
        </w:tc>
        <w:tc>
          <w:tcPr>
            <w:tcW w:w="4644" w:type="dxa"/>
            <w:vAlign w:val="top"/>
          </w:tcPr>
          <w:p w14:paraId="5CEA7D3E">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Times New Roman"/>
                <w:b w:val="0"/>
                <w:bCs w:val="0"/>
                <w:color w:val="auto"/>
                <w:sz w:val="24"/>
                <w:szCs w:val="24"/>
                <w:highlight w:val="none"/>
                <w:vertAlign w:val="baseline"/>
              </w:rPr>
            </w:pPr>
            <w:r>
              <w:rPr>
                <w:rFonts w:ascii="Times New Roman" w:hAnsi="Times New Roman" w:eastAsia="Times New Roman" w:cs="Times New Roman"/>
                <w:b w:val="0"/>
                <w:bCs w:val="0"/>
                <w:color w:val="auto"/>
                <w:sz w:val="24"/>
                <w:szCs w:val="24"/>
              </w:rPr>
              <w:t>Ластану деңгейі бойынша шектеу — ЖМӨ концентрациясы 10% дейінгі топырақтарда қолдануға ұсынылады; жоғары ластану деңгейінде алдын ала физика-химиялық өңдеу қажет болуы мүмкін [189, 190]</w:t>
            </w:r>
          </w:p>
        </w:tc>
      </w:tr>
      <w:tr w14:paraId="3C1E7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7" w:type="dxa"/>
            <w:vAlign w:val="top"/>
          </w:tcPr>
          <w:p w14:paraId="2E085D71">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Times New Roman"/>
                <w:b w:val="0"/>
                <w:bCs w:val="0"/>
                <w:color w:val="auto"/>
                <w:sz w:val="24"/>
                <w:szCs w:val="24"/>
                <w:highlight w:val="none"/>
                <w:vertAlign w:val="baseline"/>
              </w:rPr>
            </w:pPr>
            <w:r>
              <w:rPr>
                <w:rFonts w:ascii="Times New Roman" w:hAnsi="Times New Roman" w:eastAsia="Times New Roman" w:cs="Times New Roman"/>
                <w:b w:val="0"/>
                <w:bCs w:val="0"/>
                <w:color w:val="auto"/>
                <w:sz w:val="24"/>
                <w:szCs w:val="24"/>
              </w:rPr>
              <w:t>Антиоксидантты қорғаныс механизмі — қарақұмық қауызының рутині (5,2±0,3 мг/г) стресстік жағдайларда микроорганизмдерді биохимиялық қорғауды қамтамасыз етеді, ал күріш қауызының целлюлоза-лигнин құрылымы экстремалды жағдайларда физикалық қорғау береді [144]</w:t>
            </w:r>
          </w:p>
        </w:tc>
        <w:tc>
          <w:tcPr>
            <w:tcW w:w="4644" w:type="dxa"/>
            <w:vAlign w:val="top"/>
          </w:tcPr>
          <w:p w14:paraId="1119A58B">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Times New Roman"/>
                <w:b w:val="0"/>
                <w:bCs w:val="0"/>
                <w:color w:val="auto"/>
                <w:sz w:val="24"/>
                <w:szCs w:val="24"/>
                <w:highlight w:val="none"/>
                <w:vertAlign w:val="baseline"/>
              </w:rPr>
            </w:pPr>
            <w:r>
              <w:rPr>
                <w:rFonts w:ascii="Times New Roman" w:hAnsi="Times New Roman" w:eastAsia="Times New Roman" w:cs="Times New Roman"/>
                <w:b w:val="0"/>
                <w:bCs w:val="0"/>
                <w:color w:val="auto"/>
                <w:sz w:val="24"/>
                <w:szCs w:val="24"/>
              </w:rPr>
              <w:t>Далалық пилоттық зерттеулерді жалғастыру қажеттілігі — әзірленген әдіс лабораториялық деңгейде толық зерттелген, өнеркәсіптік масштабта қолдану мүмкіндіктерін растау үшін кеңейтілген далалық сынақтар жоспарланған</w:t>
            </w:r>
          </w:p>
        </w:tc>
      </w:tr>
      <w:tr w14:paraId="2EAEB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7" w:type="dxa"/>
            <w:vAlign w:val="top"/>
          </w:tcPr>
          <w:p w14:paraId="56AC8D6E">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Times New Roman"/>
                <w:b w:val="0"/>
                <w:bCs w:val="0"/>
                <w:color w:val="auto"/>
                <w:sz w:val="24"/>
                <w:szCs w:val="24"/>
                <w:highlight w:val="none"/>
                <w:vertAlign w:val="baseline"/>
              </w:rPr>
            </w:pPr>
            <w:r>
              <w:rPr>
                <w:rFonts w:ascii="Times New Roman" w:hAnsi="Times New Roman" w:eastAsia="Times New Roman" w:cs="Times New Roman"/>
                <w:b w:val="0"/>
                <w:bCs w:val="0"/>
                <w:color w:val="auto"/>
                <w:sz w:val="24"/>
                <w:szCs w:val="24"/>
              </w:rPr>
              <w:t>Экологиялық қауіпсіздік — биологиялық деструкторлар мен органикалық тасымалдаушыларды пайдалану химиялық реагенттерді қолданбай, топырақ құнарлылығын сақтауға мүмкіндік береді [144]</w:t>
            </w:r>
          </w:p>
        </w:tc>
        <w:tc>
          <w:tcPr>
            <w:tcW w:w="4644" w:type="dxa"/>
            <w:vAlign w:val="top"/>
          </w:tcPr>
          <w:p w14:paraId="2876B0C4">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Times New Roman"/>
                <w:b w:val="0"/>
                <w:bCs w:val="0"/>
                <w:color w:val="auto"/>
                <w:sz w:val="24"/>
                <w:szCs w:val="24"/>
                <w:highlight w:val="none"/>
                <w:vertAlign w:val="baseline"/>
              </w:rPr>
            </w:pPr>
          </w:p>
        </w:tc>
      </w:tr>
    </w:tbl>
    <w:p w14:paraId="1093C954">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eastAsia="Times New Roman"/>
          <w:b w:val="0"/>
          <w:bCs w:val="0"/>
          <w:color w:val="auto"/>
          <w:sz w:val="28"/>
          <w:szCs w:val="28"/>
          <w:highlight w:val="none"/>
        </w:rPr>
      </w:pPr>
    </w:p>
    <w:p w14:paraId="02EFC56E">
      <w:pPr>
        <w:keepNext w:val="0"/>
        <w:keepLines w:val="0"/>
        <w:pageBreakBefore w:val="0"/>
        <w:widowControl/>
        <w:kinsoku/>
        <w:wordWrap/>
        <w:overflowPunct/>
        <w:topLinePunct w:val="0"/>
        <w:autoSpaceDE/>
        <w:autoSpaceDN/>
        <w:bidi w:val="0"/>
        <w:adjustRightInd/>
        <w:snapToGrid/>
        <w:spacing w:after="0" w:line="240" w:lineRule="auto"/>
        <w:ind w:firstLine="709" w:firstLineChars="0"/>
        <w:textAlignment w:val="auto"/>
        <w:rPr>
          <w:rFonts w:hint="default" w:ascii="Times New Roman" w:hAnsi="Times New Roman" w:eastAsia="Times New Roman"/>
          <w:b w:val="0"/>
          <w:bCs w:val="0"/>
          <w:color w:val="auto"/>
          <w:sz w:val="28"/>
          <w:szCs w:val="28"/>
          <w:highlight w:val="none"/>
        </w:rPr>
      </w:pPr>
      <w:r>
        <w:rPr>
          <w:rFonts w:hint="default" w:ascii="Times New Roman" w:hAnsi="Times New Roman" w:eastAsia="Times New Roman"/>
          <w:b w:val="0"/>
          <w:bCs w:val="0"/>
          <w:color w:val="auto"/>
          <w:sz w:val="28"/>
          <w:szCs w:val="28"/>
          <w:highlight w:val="none"/>
        </w:rPr>
        <w:t>Осылайша, салыстырмалы талдау көрсеткендей, әзірленген технология тиімділік, жылдамдық және аридті климатқа бейімделу бойынша қолданыстағы аналогтардан айтарлықтай асып түседі. Жергілікті биологиялық және шикізат ресурстарын пайдалану экономикалық тиімділікті қамтамасыз етеді және Қазақстанның мұнаймен ластанған топырақтарды рекультивациялау міндеттерін шешу үшін технологияны перспективалы етеді.</w:t>
      </w:r>
    </w:p>
    <w:p w14:paraId="43635AC2">
      <w:pPr>
        <w:keepNext w:val="0"/>
        <w:keepLines w:val="0"/>
        <w:pageBreakBefore w:val="0"/>
        <w:widowControl/>
        <w:kinsoku/>
        <w:wordWrap/>
        <w:overflowPunct/>
        <w:topLinePunct w:val="0"/>
        <w:autoSpaceDE/>
        <w:autoSpaceDN/>
        <w:bidi w:val="0"/>
        <w:adjustRightInd/>
        <w:snapToGrid/>
        <w:spacing w:after="0" w:line="240" w:lineRule="auto"/>
        <w:textAlignment w:val="auto"/>
        <w:rPr>
          <w:rFonts w:ascii="Times New Roman" w:hAnsi="Times New Roman" w:eastAsia="Times New Roman" w:cs="Times New Roman"/>
          <w:b/>
          <w:bCs/>
          <w:color w:val="auto"/>
          <w:sz w:val="28"/>
          <w:szCs w:val="28"/>
        </w:rPr>
      </w:pPr>
    </w:p>
    <w:p w14:paraId="0FAB6500">
      <w:pPr>
        <w:keepNext w:val="0"/>
        <w:keepLines w:val="0"/>
        <w:pageBreakBefore w:val="0"/>
        <w:widowControl/>
        <w:kinsoku/>
        <w:wordWrap/>
        <w:overflowPunct/>
        <w:topLinePunct w:val="0"/>
        <w:autoSpaceDE/>
        <w:autoSpaceDN/>
        <w:bidi w:val="0"/>
        <w:adjustRightInd/>
        <w:snapToGrid/>
        <w:spacing w:after="0" w:line="240" w:lineRule="auto"/>
        <w:ind w:firstLine="709" w:firstLineChars="0"/>
        <w:textAlignment w:val="auto"/>
        <w:rPr>
          <w:color w:val="auto"/>
        </w:rPr>
      </w:pPr>
      <w:r>
        <w:rPr>
          <w:rFonts w:ascii="Times New Roman" w:hAnsi="Times New Roman" w:eastAsia="Times New Roman" w:cs="Times New Roman"/>
          <w:b/>
          <w:bCs/>
          <w:color w:val="auto"/>
          <w:sz w:val="28"/>
          <w:szCs w:val="28"/>
        </w:rPr>
        <w:t>4.7 Практикалық перспективалар және зерттеудің жалғасы</w:t>
      </w:r>
    </w:p>
    <w:p w14:paraId="7040C0D2">
      <w:pPr>
        <w:keepNext w:val="0"/>
        <w:keepLines w:val="0"/>
        <w:pageBreakBefore w:val="0"/>
        <w:widowControl/>
        <w:kinsoku/>
        <w:wordWrap/>
        <w:overflowPunct/>
        <w:topLinePunct w:val="0"/>
        <w:autoSpaceDE/>
        <w:autoSpaceDN/>
        <w:bidi w:val="0"/>
        <w:adjustRightInd/>
        <w:snapToGrid/>
        <w:spacing w:after="0" w:line="240" w:lineRule="auto"/>
        <w:ind w:firstLine="720"/>
        <w:jc w:val="both"/>
        <w:textAlignment w:val="auto"/>
        <w:rPr>
          <w:rFonts w:hint="default" w:ascii="Times New Roman" w:hAnsi="Times New Roman" w:eastAsia="Times New Roman"/>
          <w:color w:val="auto"/>
          <w:sz w:val="28"/>
          <w:szCs w:val="28"/>
        </w:rPr>
      </w:pPr>
      <w:r>
        <w:rPr>
          <w:rFonts w:hint="default" w:ascii="Times New Roman" w:hAnsi="Times New Roman" w:eastAsia="Times New Roman"/>
          <w:color w:val="auto"/>
          <w:sz w:val="28"/>
          <w:szCs w:val="28"/>
        </w:rPr>
        <w:t>Осы диссертациялық зерттеу AP25796069 гранттық жобасының негізгі кезеңдерін құрайды және мұнаймен ластанған топырақты тазартудың кешенді технологиясын әзірлеуге бағытталған. Жобаның екі кезеңі сәтті аяқталды, үшінші кезең қазіргі уақытта жүзеге асырылуда.</w:t>
      </w:r>
    </w:p>
    <w:p w14:paraId="784FE0AD">
      <w:pPr>
        <w:keepNext w:val="0"/>
        <w:keepLines w:val="0"/>
        <w:pageBreakBefore w:val="0"/>
        <w:widowControl/>
        <w:kinsoku/>
        <w:wordWrap/>
        <w:overflowPunct/>
        <w:topLinePunct w:val="0"/>
        <w:autoSpaceDE/>
        <w:autoSpaceDN/>
        <w:bidi w:val="0"/>
        <w:adjustRightInd/>
        <w:snapToGrid/>
        <w:spacing w:after="0" w:line="240" w:lineRule="auto"/>
        <w:ind w:firstLine="720"/>
        <w:jc w:val="both"/>
        <w:textAlignment w:val="auto"/>
        <w:rPr>
          <w:rFonts w:hint="default" w:ascii="Times New Roman" w:hAnsi="Times New Roman" w:eastAsia="Times New Roman"/>
          <w:i/>
          <w:iCs/>
          <w:color w:val="auto"/>
          <w:sz w:val="28"/>
          <w:szCs w:val="28"/>
          <w:lang w:val="kk-KZ"/>
        </w:rPr>
      </w:pPr>
      <w:r>
        <w:rPr>
          <w:rFonts w:hint="default" w:ascii="Times New Roman" w:hAnsi="Times New Roman" w:eastAsia="Times New Roman"/>
          <w:i/>
          <w:iCs/>
          <w:color w:val="auto"/>
          <w:sz w:val="28"/>
          <w:szCs w:val="28"/>
        </w:rPr>
        <w:t>Аяқталған зерттеу кезеңдері</w:t>
      </w:r>
      <w:r>
        <w:rPr>
          <w:rFonts w:hint="default" w:eastAsia="Times New Roman"/>
          <w:i/>
          <w:iCs/>
          <w:color w:val="auto"/>
          <w:sz w:val="28"/>
          <w:szCs w:val="28"/>
          <w:lang w:val="kk-KZ"/>
        </w:rPr>
        <w:t>:</w:t>
      </w:r>
    </w:p>
    <w:p w14:paraId="351D0930">
      <w:pPr>
        <w:keepNext w:val="0"/>
        <w:keepLines w:val="0"/>
        <w:pageBreakBefore w:val="0"/>
        <w:widowControl/>
        <w:kinsoku/>
        <w:wordWrap/>
        <w:overflowPunct/>
        <w:topLinePunct w:val="0"/>
        <w:autoSpaceDE/>
        <w:autoSpaceDN/>
        <w:bidi w:val="0"/>
        <w:adjustRightInd/>
        <w:snapToGrid/>
        <w:spacing w:after="0" w:line="240" w:lineRule="auto"/>
        <w:ind w:firstLine="720"/>
        <w:jc w:val="both"/>
        <w:textAlignment w:val="auto"/>
        <w:rPr>
          <w:rFonts w:hint="default" w:ascii="Times New Roman" w:hAnsi="Times New Roman" w:eastAsia="Times New Roman"/>
          <w:color w:val="auto"/>
          <w:sz w:val="28"/>
          <w:szCs w:val="28"/>
          <w:lang w:val="kk-KZ"/>
        </w:rPr>
      </w:pPr>
      <w:r>
        <w:rPr>
          <w:rFonts w:hint="default" w:ascii="Times New Roman" w:hAnsi="Times New Roman" w:eastAsia="Times New Roman"/>
          <w:color w:val="auto"/>
          <w:sz w:val="28"/>
          <w:szCs w:val="28"/>
        </w:rPr>
        <w:t>Бірінші кезең: Зертханалық биоремедиация зерттеулері</w:t>
      </w:r>
      <w:r>
        <w:rPr>
          <w:rFonts w:hint="default" w:eastAsia="Times New Roman"/>
          <w:color w:val="auto"/>
          <w:sz w:val="28"/>
          <w:szCs w:val="28"/>
          <w:lang w:val="kk-KZ"/>
        </w:rPr>
        <w:t>.</w:t>
      </w:r>
    </w:p>
    <w:p w14:paraId="2E9EA864">
      <w:pPr>
        <w:keepNext w:val="0"/>
        <w:keepLines w:val="0"/>
        <w:pageBreakBefore w:val="0"/>
        <w:widowControl/>
        <w:kinsoku/>
        <w:wordWrap/>
        <w:overflowPunct/>
        <w:topLinePunct w:val="0"/>
        <w:autoSpaceDE/>
        <w:autoSpaceDN/>
        <w:bidi w:val="0"/>
        <w:adjustRightInd/>
        <w:snapToGrid/>
        <w:spacing w:after="0" w:line="240" w:lineRule="auto"/>
        <w:ind w:firstLine="720"/>
        <w:jc w:val="both"/>
        <w:textAlignment w:val="auto"/>
        <w:rPr>
          <w:rFonts w:hint="default" w:ascii="Times New Roman" w:hAnsi="Times New Roman" w:eastAsia="Times New Roman"/>
          <w:color w:val="auto"/>
          <w:sz w:val="28"/>
          <w:szCs w:val="28"/>
        </w:rPr>
      </w:pPr>
      <w:r>
        <w:rPr>
          <w:rFonts w:hint="default" w:ascii="Times New Roman" w:hAnsi="Times New Roman" w:eastAsia="Times New Roman"/>
          <w:color w:val="auto"/>
          <w:sz w:val="28"/>
          <w:szCs w:val="28"/>
        </w:rPr>
        <w:t xml:space="preserve">Зертханалық жағдайда </w:t>
      </w:r>
      <w:r>
        <w:rPr>
          <w:rFonts w:hint="default" w:ascii="Times New Roman" w:hAnsi="Times New Roman" w:eastAsia="Times New Roman"/>
          <w:i/>
          <w:iCs/>
          <w:color w:val="auto"/>
          <w:sz w:val="28"/>
          <w:szCs w:val="28"/>
        </w:rPr>
        <w:t xml:space="preserve">R. erythropolis AT7 және D. maris 22K </w:t>
      </w:r>
      <w:r>
        <w:rPr>
          <w:rFonts w:hint="default" w:ascii="Times New Roman" w:hAnsi="Times New Roman" w:eastAsia="Times New Roman"/>
          <w:color w:val="auto"/>
          <w:sz w:val="28"/>
          <w:szCs w:val="28"/>
        </w:rPr>
        <w:t>консорциумын қолдана отырып, органикалық тасымалдаушыларда (қарақұмық және күріш қауыздары) микроорганизмдерді иммобилизациялау әдісі әзірленді. Алынған негізгі нәтижелер:</w:t>
      </w:r>
    </w:p>
    <w:p w14:paraId="40F08A76">
      <w:pPr>
        <w:keepNext w:val="0"/>
        <w:keepLines w:val="0"/>
        <w:pageBreakBefore w:val="0"/>
        <w:widowControl/>
        <w:kinsoku/>
        <w:wordWrap/>
        <w:overflowPunct/>
        <w:topLinePunct w:val="0"/>
        <w:autoSpaceDE/>
        <w:autoSpaceDN/>
        <w:bidi w:val="0"/>
        <w:adjustRightInd/>
        <w:snapToGrid/>
        <w:spacing w:after="0" w:line="240" w:lineRule="auto"/>
        <w:ind w:firstLine="720"/>
        <w:jc w:val="both"/>
        <w:textAlignment w:val="auto"/>
        <w:rPr>
          <w:rFonts w:hint="default" w:ascii="Times New Roman" w:hAnsi="Times New Roman" w:eastAsia="Times New Roman"/>
          <w:color w:val="auto"/>
          <w:sz w:val="28"/>
          <w:szCs w:val="28"/>
          <w:highlight w:val="none"/>
        </w:rPr>
      </w:pPr>
      <w:r>
        <w:rPr>
          <w:rFonts w:hint="default" w:ascii="Times New Roman" w:hAnsi="Times New Roman" w:eastAsia="Times New Roman"/>
          <w:color w:val="auto"/>
          <w:sz w:val="28"/>
          <w:szCs w:val="28"/>
        </w:rPr>
        <w:t>- Стандартты жағдайларда (+25°C, табиғи тұ</w:t>
      </w:r>
      <w:r>
        <w:rPr>
          <w:rFonts w:hint="default" w:ascii="Times New Roman" w:hAnsi="Times New Roman" w:eastAsia="Times New Roman"/>
          <w:color w:val="auto"/>
          <w:sz w:val="28"/>
          <w:szCs w:val="28"/>
          <w:highlight w:val="none"/>
        </w:rPr>
        <w:t>здылық) қарақұмық қауызында 58,4% деструкция тиімділігі, 92,3% иммобилизация тиімділігі</w:t>
      </w:r>
      <w:r>
        <w:rPr>
          <w:rFonts w:hint="default" w:eastAsia="Times New Roman"/>
          <w:color w:val="auto"/>
          <w:sz w:val="28"/>
          <w:szCs w:val="28"/>
          <w:highlight w:val="none"/>
          <w:lang w:val="en-US"/>
        </w:rPr>
        <w:t xml:space="preserve"> [131]</w:t>
      </w:r>
      <w:r>
        <w:rPr>
          <w:rFonts w:hint="default" w:ascii="Times New Roman" w:hAnsi="Times New Roman" w:eastAsia="Times New Roman"/>
          <w:color w:val="auto"/>
          <w:sz w:val="28"/>
          <w:szCs w:val="28"/>
          <w:highlight w:val="none"/>
        </w:rPr>
        <w:t>;</w:t>
      </w:r>
    </w:p>
    <w:p w14:paraId="07F28F6B">
      <w:pPr>
        <w:keepNext w:val="0"/>
        <w:keepLines w:val="0"/>
        <w:pageBreakBefore w:val="0"/>
        <w:widowControl/>
        <w:kinsoku/>
        <w:wordWrap/>
        <w:overflowPunct/>
        <w:topLinePunct w:val="0"/>
        <w:autoSpaceDE/>
        <w:autoSpaceDN/>
        <w:bidi w:val="0"/>
        <w:adjustRightInd/>
        <w:snapToGrid/>
        <w:spacing w:after="0" w:line="240" w:lineRule="auto"/>
        <w:ind w:firstLine="720"/>
        <w:jc w:val="both"/>
        <w:textAlignment w:val="auto"/>
        <w:rPr>
          <w:rFonts w:hint="default" w:ascii="Times New Roman" w:hAnsi="Times New Roman" w:eastAsia="Times New Roman"/>
          <w:color w:val="auto"/>
          <w:sz w:val="28"/>
          <w:szCs w:val="28"/>
          <w:highlight w:val="none"/>
        </w:rPr>
      </w:pPr>
      <w:r>
        <w:rPr>
          <w:rFonts w:hint="default" w:ascii="Times New Roman" w:hAnsi="Times New Roman" w:eastAsia="Times New Roman"/>
          <w:color w:val="auto"/>
          <w:sz w:val="28"/>
          <w:szCs w:val="28"/>
          <w:highlight w:val="none"/>
        </w:rPr>
        <w:t>- Экстремалды жағдайларда (+42°C, 10% NaCl) күріш қауызында 78,4% деструкция тиімділігі, 87,6% иммобилизация тиімділігі [</w:t>
      </w:r>
      <w:r>
        <w:rPr>
          <w:rFonts w:hint="default" w:eastAsia="Times New Roman"/>
          <w:color w:val="auto"/>
          <w:sz w:val="28"/>
          <w:szCs w:val="28"/>
          <w:highlight w:val="none"/>
          <w:lang w:val="en-US"/>
        </w:rPr>
        <w:t>142</w:t>
      </w:r>
      <w:r>
        <w:rPr>
          <w:rFonts w:hint="default" w:ascii="Times New Roman" w:hAnsi="Times New Roman" w:eastAsia="Times New Roman"/>
          <w:color w:val="auto"/>
          <w:sz w:val="28"/>
          <w:szCs w:val="28"/>
          <w:highlight w:val="none"/>
        </w:rPr>
        <w:t>];</w:t>
      </w:r>
    </w:p>
    <w:p w14:paraId="6DE8DAC8">
      <w:pPr>
        <w:keepNext w:val="0"/>
        <w:keepLines w:val="0"/>
        <w:pageBreakBefore w:val="0"/>
        <w:widowControl/>
        <w:kinsoku/>
        <w:wordWrap/>
        <w:overflowPunct/>
        <w:topLinePunct w:val="0"/>
        <w:autoSpaceDE/>
        <w:autoSpaceDN/>
        <w:bidi w:val="0"/>
        <w:adjustRightInd/>
        <w:snapToGrid/>
        <w:spacing w:after="0" w:line="240" w:lineRule="auto"/>
        <w:ind w:firstLine="720"/>
        <w:jc w:val="both"/>
        <w:textAlignment w:val="auto"/>
        <w:rPr>
          <w:rFonts w:hint="default" w:ascii="Times New Roman" w:hAnsi="Times New Roman" w:eastAsia="Times New Roman"/>
          <w:color w:val="auto"/>
          <w:sz w:val="28"/>
          <w:szCs w:val="28"/>
          <w:highlight w:val="none"/>
        </w:rPr>
      </w:pPr>
      <w:r>
        <w:rPr>
          <w:rFonts w:hint="default" w:ascii="Times New Roman" w:hAnsi="Times New Roman" w:eastAsia="Times New Roman"/>
          <w:color w:val="auto"/>
          <w:sz w:val="28"/>
          <w:szCs w:val="28"/>
          <w:highlight w:val="none"/>
        </w:rPr>
        <w:t>- Биохимиялық қорғау механизмдерінің анықталуы: қарақұмық қауызындағы рутин (5,2±0,3 мг/г) стандартты жағдайларда антиоксидантты қорғау, күріш қауызының целлюлоза-лигнин құрылымы экстремалды жағдайларда физикалық қорғау береді [</w:t>
      </w:r>
      <w:r>
        <w:rPr>
          <w:rFonts w:hint="default" w:eastAsia="Times New Roman"/>
          <w:color w:val="auto"/>
          <w:sz w:val="28"/>
          <w:szCs w:val="28"/>
          <w:highlight w:val="none"/>
          <w:lang w:val="en-US"/>
        </w:rPr>
        <w:t>131</w:t>
      </w:r>
      <w:r>
        <w:rPr>
          <w:rFonts w:hint="default" w:ascii="Times New Roman" w:hAnsi="Times New Roman" w:eastAsia="Times New Roman"/>
          <w:color w:val="auto"/>
          <w:sz w:val="28"/>
          <w:szCs w:val="28"/>
          <w:highlight w:val="none"/>
        </w:rPr>
        <w:t>];</w:t>
      </w:r>
    </w:p>
    <w:p w14:paraId="31B108F5">
      <w:pPr>
        <w:keepNext w:val="0"/>
        <w:keepLines w:val="0"/>
        <w:pageBreakBefore w:val="0"/>
        <w:widowControl/>
        <w:kinsoku/>
        <w:wordWrap/>
        <w:overflowPunct/>
        <w:topLinePunct w:val="0"/>
        <w:autoSpaceDE/>
        <w:autoSpaceDN/>
        <w:bidi w:val="0"/>
        <w:adjustRightInd/>
        <w:snapToGrid/>
        <w:spacing w:after="0" w:line="240" w:lineRule="auto"/>
        <w:ind w:firstLine="720"/>
        <w:jc w:val="both"/>
        <w:textAlignment w:val="auto"/>
        <w:rPr>
          <w:rFonts w:hint="default" w:ascii="Times New Roman" w:hAnsi="Times New Roman" w:eastAsia="Times New Roman"/>
          <w:color w:val="auto"/>
          <w:sz w:val="28"/>
          <w:szCs w:val="28"/>
        </w:rPr>
      </w:pPr>
      <w:r>
        <w:rPr>
          <w:rFonts w:hint="default" w:eastAsia="Times New Roman"/>
          <w:color w:val="auto"/>
          <w:sz w:val="28"/>
          <w:szCs w:val="28"/>
          <w:highlight w:val="none"/>
          <w:lang w:val="kk-KZ"/>
        </w:rPr>
        <w:t xml:space="preserve">- </w:t>
      </w:r>
      <w:r>
        <w:rPr>
          <w:rFonts w:hint="default" w:ascii="Times New Roman" w:hAnsi="Times New Roman" w:eastAsia="Times New Roman"/>
          <w:color w:val="auto"/>
          <w:sz w:val="28"/>
          <w:szCs w:val="28"/>
          <w:highlight w:val="none"/>
        </w:rPr>
        <w:t xml:space="preserve">Органикалық тасымалдаушылардың минералды </w:t>
      </w:r>
      <w:r>
        <w:rPr>
          <w:rFonts w:hint="default" w:ascii="Times New Roman" w:hAnsi="Times New Roman" w:eastAsia="Times New Roman"/>
          <w:color w:val="auto"/>
          <w:sz w:val="28"/>
          <w:szCs w:val="28"/>
        </w:rPr>
        <w:t>тасымалдаушылардан (цеолит, кеңейтілген саз) 10-35 пайыздық үстемдігі дәлелденді</w:t>
      </w:r>
      <w:r>
        <w:rPr>
          <w:rFonts w:hint="default" w:eastAsia="Times New Roman"/>
          <w:color w:val="auto"/>
          <w:sz w:val="28"/>
          <w:szCs w:val="28"/>
          <w:lang w:val="en-US"/>
        </w:rPr>
        <w:t xml:space="preserve"> [132,157]</w:t>
      </w:r>
      <w:r>
        <w:rPr>
          <w:rFonts w:hint="default" w:ascii="Times New Roman" w:hAnsi="Times New Roman" w:eastAsia="Times New Roman"/>
          <w:color w:val="auto"/>
          <w:sz w:val="28"/>
          <w:szCs w:val="28"/>
        </w:rPr>
        <w:t>.</w:t>
      </w:r>
    </w:p>
    <w:p w14:paraId="72992CA0">
      <w:pPr>
        <w:keepNext w:val="0"/>
        <w:keepLines w:val="0"/>
        <w:pageBreakBefore w:val="0"/>
        <w:widowControl/>
        <w:kinsoku/>
        <w:wordWrap/>
        <w:overflowPunct/>
        <w:topLinePunct w:val="0"/>
        <w:autoSpaceDE/>
        <w:autoSpaceDN/>
        <w:bidi w:val="0"/>
        <w:adjustRightInd/>
        <w:snapToGrid/>
        <w:spacing w:after="0" w:line="240" w:lineRule="auto"/>
        <w:ind w:firstLine="720"/>
        <w:jc w:val="both"/>
        <w:textAlignment w:val="auto"/>
        <w:rPr>
          <w:rFonts w:hint="default" w:ascii="Times New Roman" w:hAnsi="Times New Roman" w:eastAsia="Times New Roman"/>
          <w:color w:val="auto"/>
          <w:sz w:val="28"/>
          <w:szCs w:val="28"/>
          <w:lang w:val="kk-KZ"/>
        </w:rPr>
      </w:pPr>
      <w:r>
        <w:rPr>
          <w:rFonts w:hint="default" w:ascii="Times New Roman" w:hAnsi="Times New Roman" w:eastAsia="Times New Roman"/>
          <w:color w:val="auto"/>
          <w:sz w:val="28"/>
          <w:szCs w:val="28"/>
        </w:rPr>
        <w:t>Зертханалық деңгейде дәлелденген жоғары тиімділік әдістің далалық жағдайларда сынақтан өткізілуіне ғылыми негіз болды.</w:t>
      </w:r>
      <w:r>
        <w:rPr>
          <w:rFonts w:hint="default" w:eastAsia="Times New Roman"/>
          <w:color w:val="auto"/>
          <w:sz w:val="28"/>
          <w:szCs w:val="28"/>
          <w:lang w:val="kk-KZ"/>
        </w:rPr>
        <w:t xml:space="preserve"> Келесі зерттеулер жоспары келесі кезеңдерді қамтиды:</w:t>
      </w:r>
    </w:p>
    <w:p w14:paraId="6BCAD18E">
      <w:pPr>
        <w:keepNext w:val="0"/>
        <w:keepLines w:val="0"/>
        <w:pageBreakBefore w:val="0"/>
        <w:widowControl/>
        <w:kinsoku/>
        <w:wordWrap/>
        <w:overflowPunct/>
        <w:topLinePunct w:val="0"/>
        <w:autoSpaceDE/>
        <w:autoSpaceDN/>
        <w:bidi w:val="0"/>
        <w:adjustRightInd/>
        <w:snapToGrid/>
        <w:spacing w:after="0" w:line="240" w:lineRule="auto"/>
        <w:ind w:firstLine="709" w:firstLineChars="0"/>
        <w:jc w:val="both"/>
        <w:textAlignment w:val="auto"/>
        <w:rPr>
          <w:rFonts w:hint="default" w:ascii="Times New Roman" w:hAnsi="Times New Roman" w:eastAsia="Times New Roman"/>
          <w:i w:val="0"/>
          <w:iCs w:val="0"/>
          <w:color w:val="auto"/>
          <w:sz w:val="28"/>
          <w:szCs w:val="28"/>
          <w:lang w:val="kk-KZ"/>
        </w:rPr>
      </w:pPr>
      <w:r>
        <w:rPr>
          <w:rFonts w:hint="default" w:eastAsia="Times New Roman"/>
          <w:i w:val="0"/>
          <w:iCs w:val="0"/>
          <w:color w:val="auto"/>
          <w:sz w:val="28"/>
          <w:szCs w:val="28"/>
          <w:lang w:val="kk-KZ"/>
        </w:rPr>
        <w:t xml:space="preserve">- </w:t>
      </w:r>
      <w:r>
        <w:rPr>
          <w:rFonts w:hint="default" w:ascii="Times New Roman" w:hAnsi="Times New Roman" w:eastAsia="Times New Roman"/>
          <w:i w:val="0"/>
          <w:iCs w:val="0"/>
          <w:color w:val="auto"/>
          <w:sz w:val="28"/>
          <w:szCs w:val="28"/>
        </w:rPr>
        <w:t>Далалық in situ биоремедиация тәжірибелері</w:t>
      </w:r>
      <w:r>
        <w:rPr>
          <w:rFonts w:hint="default" w:eastAsia="Times New Roman"/>
          <w:i w:val="0"/>
          <w:iCs w:val="0"/>
          <w:color w:val="auto"/>
          <w:sz w:val="28"/>
          <w:szCs w:val="28"/>
          <w:lang w:val="kk-KZ"/>
        </w:rPr>
        <w:t>;</w:t>
      </w:r>
    </w:p>
    <w:p w14:paraId="00556EAC">
      <w:pPr>
        <w:keepNext w:val="0"/>
        <w:keepLines w:val="0"/>
        <w:pageBreakBefore w:val="0"/>
        <w:widowControl/>
        <w:kinsoku/>
        <w:wordWrap/>
        <w:overflowPunct/>
        <w:topLinePunct w:val="0"/>
        <w:autoSpaceDE/>
        <w:autoSpaceDN/>
        <w:bidi w:val="0"/>
        <w:adjustRightInd/>
        <w:snapToGrid/>
        <w:spacing w:after="0" w:line="240" w:lineRule="auto"/>
        <w:ind w:firstLine="720"/>
        <w:jc w:val="both"/>
        <w:textAlignment w:val="auto"/>
        <w:rPr>
          <w:rFonts w:hint="default" w:eastAsia="Times New Roman"/>
          <w:i w:val="0"/>
          <w:iCs w:val="0"/>
          <w:color w:val="auto"/>
          <w:sz w:val="28"/>
          <w:szCs w:val="28"/>
          <w:lang w:val="kk-KZ"/>
        </w:rPr>
      </w:pPr>
      <w:r>
        <w:rPr>
          <w:rFonts w:hint="default" w:eastAsia="Times New Roman"/>
          <w:i w:val="0"/>
          <w:iCs w:val="0"/>
          <w:color w:val="auto"/>
          <w:sz w:val="28"/>
          <w:szCs w:val="28"/>
          <w:lang w:val="kk-KZ"/>
        </w:rPr>
        <w:t xml:space="preserve">- </w:t>
      </w:r>
      <w:r>
        <w:rPr>
          <w:rFonts w:hint="default" w:ascii="Times New Roman" w:hAnsi="Times New Roman" w:eastAsia="Times New Roman"/>
          <w:i w:val="0"/>
          <w:iCs w:val="0"/>
          <w:color w:val="auto"/>
          <w:sz w:val="28"/>
          <w:szCs w:val="28"/>
        </w:rPr>
        <w:t>Фитотестілеу зерттеулері</w:t>
      </w:r>
      <w:r>
        <w:rPr>
          <w:rFonts w:hint="default" w:eastAsia="Times New Roman"/>
          <w:i w:val="0"/>
          <w:iCs w:val="0"/>
          <w:color w:val="auto"/>
          <w:sz w:val="28"/>
          <w:szCs w:val="28"/>
          <w:lang w:val="kk-KZ"/>
        </w:rPr>
        <w:t>;</w:t>
      </w:r>
    </w:p>
    <w:p w14:paraId="7BCFEB00">
      <w:pPr>
        <w:keepNext w:val="0"/>
        <w:keepLines w:val="0"/>
        <w:pageBreakBefore w:val="0"/>
        <w:widowControl/>
        <w:kinsoku/>
        <w:wordWrap/>
        <w:overflowPunct/>
        <w:topLinePunct w:val="0"/>
        <w:autoSpaceDE/>
        <w:autoSpaceDN/>
        <w:bidi w:val="0"/>
        <w:adjustRightInd/>
        <w:snapToGrid/>
        <w:spacing w:after="0" w:line="240" w:lineRule="auto"/>
        <w:ind w:firstLine="709" w:firstLineChars="0"/>
        <w:jc w:val="both"/>
        <w:textAlignment w:val="auto"/>
        <w:rPr>
          <w:rFonts w:hint="default" w:ascii="Times New Roman" w:hAnsi="Times New Roman" w:eastAsia="Times New Roman"/>
          <w:i w:val="0"/>
          <w:iCs w:val="0"/>
          <w:color w:val="auto"/>
          <w:sz w:val="28"/>
          <w:szCs w:val="28"/>
          <w:lang w:val="kk-KZ"/>
        </w:rPr>
      </w:pPr>
      <w:r>
        <w:rPr>
          <w:rFonts w:hint="default" w:eastAsia="Times New Roman"/>
          <w:i w:val="0"/>
          <w:iCs w:val="0"/>
          <w:color w:val="auto"/>
          <w:sz w:val="28"/>
          <w:szCs w:val="28"/>
          <w:lang w:val="kk-KZ"/>
        </w:rPr>
        <w:t xml:space="preserve">- </w:t>
      </w:r>
      <w:r>
        <w:rPr>
          <w:rFonts w:hint="default" w:ascii="Times New Roman" w:hAnsi="Times New Roman" w:eastAsia="Times New Roman"/>
          <w:i w:val="0"/>
          <w:iCs w:val="0"/>
          <w:color w:val="auto"/>
          <w:sz w:val="28"/>
          <w:szCs w:val="28"/>
        </w:rPr>
        <w:t>Зертханалық фитотестілеу</w:t>
      </w:r>
      <w:r>
        <w:rPr>
          <w:rFonts w:hint="default" w:eastAsia="Times New Roman"/>
          <w:i w:val="0"/>
          <w:iCs w:val="0"/>
          <w:color w:val="auto"/>
          <w:sz w:val="28"/>
          <w:szCs w:val="28"/>
          <w:lang w:val="kk-KZ"/>
        </w:rPr>
        <w:t>;</w:t>
      </w:r>
    </w:p>
    <w:p w14:paraId="22A06BEC">
      <w:pPr>
        <w:keepNext w:val="0"/>
        <w:keepLines w:val="0"/>
        <w:pageBreakBefore w:val="0"/>
        <w:widowControl/>
        <w:kinsoku/>
        <w:wordWrap/>
        <w:overflowPunct/>
        <w:topLinePunct w:val="0"/>
        <w:autoSpaceDE/>
        <w:autoSpaceDN/>
        <w:bidi w:val="0"/>
        <w:adjustRightInd/>
        <w:snapToGrid/>
        <w:spacing w:after="0" w:line="240" w:lineRule="auto"/>
        <w:ind w:firstLine="709" w:firstLineChars="0"/>
        <w:jc w:val="both"/>
        <w:textAlignment w:val="auto"/>
        <w:rPr>
          <w:rFonts w:hint="default" w:ascii="Times New Roman" w:hAnsi="Times New Roman" w:eastAsia="Times New Roman"/>
          <w:i w:val="0"/>
          <w:iCs w:val="0"/>
          <w:color w:val="auto"/>
          <w:sz w:val="28"/>
          <w:szCs w:val="28"/>
        </w:rPr>
      </w:pPr>
      <w:r>
        <w:rPr>
          <w:rFonts w:hint="default" w:eastAsia="Times New Roman"/>
          <w:i w:val="0"/>
          <w:iCs w:val="0"/>
          <w:color w:val="auto"/>
          <w:sz w:val="28"/>
          <w:szCs w:val="28"/>
          <w:lang w:val="kk-KZ"/>
        </w:rPr>
        <w:t xml:space="preserve">- </w:t>
      </w:r>
      <w:r>
        <w:rPr>
          <w:rFonts w:hint="default" w:ascii="Times New Roman" w:hAnsi="Times New Roman" w:eastAsia="Times New Roman"/>
          <w:i w:val="0"/>
          <w:iCs w:val="0"/>
          <w:color w:val="auto"/>
          <w:sz w:val="28"/>
          <w:szCs w:val="28"/>
        </w:rPr>
        <w:t>Далалық фитотестілеу.</w:t>
      </w:r>
      <w:r>
        <w:rPr>
          <w:rFonts w:hint="default" w:eastAsia="Times New Roman"/>
          <w:i w:val="0"/>
          <w:iCs w:val="0"/>
          <w:color w:val="auto"/>
          <w:sz w:val="28"/>
          <w:szCs w:val="28"/>
          <w:lang w:val="kk-KZ"/>
        </w:rPr>
        <w:t xml:space="preserve"> </w:t>
      </w:r>
    </w:p>
    <w:p w14:paraId="65348866">
      <w:pPr>
        <w:keepNext w:val="0"/>
        <w:keepLines w:val="0"/>
        <w:pageBreakBefore w:val="0"/>
        <w:widowControl/>
        <w:kinsoku/>
        <w:wordWrap/>
        <w:overflowPunct/>
        <w:topLinePunct w:val="0"/>
        <w:autoSpaceDE/>
        <w:autoSpaceDN/>
        <w:bidi w:val="0"/>
        <w:adjustRightInd/>
        <w:snapToGrid/>
        <w:spacing w:after="0" w:line="240" w:lineRule="auto"/>
        <w:ind w:firstLine="709" w:firstLineChars="0"/>
        <w:jc w:val="both"/>
        <w:textAlignment w:val="auto"/>
        <w:rPr>
          <w:rFonts w:hint="default" w:eastAsia="Times New Roman"/>
          <w:i w:val="0"/>
          <w:iCs w:val="0"/>
          <w:color w:val="auto"/>
          <w:sz w:val="28"/>
          <w:szCs w:val="28"/>
          <w:lang w:val="kk-KZ"/>
        </w:rPr>
      </w:pPr>
      <w:r>
        <w:rPr>
          <w:rFonts w:hint="default" w:eastAsia="Times New Roman"/>
          <w:i w:val="0"/>
          <w:iCs w:val="0"/>
          <w:color w:val="auto"/>
          <w:sz w:val="28"/>
          <w:szCs w:val="28"/>
          <w:lang w:val="kk-KZ"/>
        </w:rPr>
        <w:t xml:space="preserve">- </w:t>
      </w:r>
      <w:r>
        <w:rPr>
          <w:rFonts w:hint="default" w:ascii="Times New Roman" w:hAnsi="Times New Roman" w:eastAsia="Times New Roman"/>
          <w:i w:val="0"/>
          <w:iCs w:val="0"/>
          <w:color w:val="auto"/>
          <w:sz w:val="28"/>
          <w:szCs w:val="28"/>
        </w:rPr>
        <w:t>Әдістемелік ұсынымдар әзірлеу</w:t>
      </w:r>
      <w:r>
        <w:rPr>
          <w:rFonts w:hint="default" w:eastAsia="Times New Roman"/>
          <w:i w:val="0"/>
          <w:iCs w:val="0"/>
          <w:color w:val="auto"/>
          <w:sz w:val="28"/>
          <w:szCs w:val="28"/>
          <w:lang w:val="kk-KZ"/>
        </w:rPr>
        <w:t>.</w:t>
      </w:r>
    </w:p>
    <w:p w14:paraId="029F2F14">
      <w:pPr>
        <w:keepNext w:val="0"/>
        <w:keepLines w:val="0"/>
        <w:pageBreakBefore w:val="0"/>
        <w:widowControl/>
        <w:kinsoku/>
        <w:wordWrap/>
        <w:overflowPunct/>
        <w:topLinePunct w:val="0"/>
        <w:autoSpaceDE/>
        <w:autoSpaceDN/>
        <w:bidi w:val="0"/>
        <w:adjustRightInd/>
        <w:snapToGrid/>
        <w:spacing w:after="0" w:line="240" w:lineRule="auto"/>
        <w:ind w:firstLine="709" w:firstLineChars="0"/>
        <w:jc w:val="both"/>
        <w:textAlignment w:val="auto"/>
        <w:rPr>
          <w:rFonts w:hint="default" w:eastAsia="Times New Roman"/>
          <w:i/>
          <w:iCs/>
          <w:color w:val="auto"/>
          <w:sz w:val="28"/>
          <w:szCs w:val="28"/>
          <w:lang w:val="kk-KZ"/>
        </w:rPr>
      </w:pPr>
    </w:p>
    <w:p w14:paraId="2EC21EDA">
      <w:pPr>
        <w:pStyle w:val="35"/>
        <w:numPr>
          <w:ilvl w:val="0"/>
          <w:numId w:val="5"/>
        </w:numPr>
        <w:spacing w:beforeAutospacing="0" w:afterAutospacing="0"/>
        <w:ind w:left="0" w:leftChars="0" w:firstLine="0" w:firstLineChars="0"/>
        <w:jc w:val="both"/>
        <w:rPr>
          <w:b/>
          <w:bCs/>
          <w:color w:val="auto"/>
          <w:sz w:val="28"/>
          <w:szCs w:val="28"/>
          <w:lang w:val="kk-KZ"/>
        </w:rPr>
      </w:pPr>
      <w:r>
        <w:rPr>
          <w:b/>
          <w:bCs/>
          <w:color w:val="auto"/>
          <w:sz w:val="28"/>
          <w:szCs w:val="28"/>
        </w:rPr>
        <w:t>бөлім бойынша қорытындылар</w:t>
      </w:r>
      <w:r>
        <w:rPr>
          <w:b/>
          <w:bCs/>
          <w:color w:val="auto"/>
          <w:sz w:val="28"/>
          <w:szCs w:val="28"/>
          <w:lang w:val="kk-KZ"/>
        </w:rPr>
        <w:t>:</w:t>
      </w:r>
    </w:p>
    <w:p w14:paraId="22627C4F">
      <w:pPr>
        <w:pStyle w:val="35"/>
        <w:numPr>
          <w:ilvl w:val="0"/>
          <w:numId w:val="0"/>
        </w:numPr>
        <w:spacing w:beforeAutospacing="0" w:afterAutospacing="0"/>
        <w:ind w:leftChars="0"/>
        <w:jc w:val="both"/>
        <w:rPr>
          <w:b/>
          <w:bCs/>
          <w:color w:val="auto"/>
          <w:sz w:val="28"/>
          <w:szCs w:val="28"/>
          <w:lang w:val="kk-KZ"/>
        </w:rPr>
      </w:pPr>
    </w:p>
    <w:p w14:paraId="03A17381">
      <w:pPr>
        <w:keepNext w:val="0"/>
        <w:keepLines w:val="0"/>
        <w:pageBreakBefore w:val="0"/>
        <w:widowControl/>
        <w:kinsoku/>
        <w:wordWrap/>
        <w:overflowPunct/>
        <w:topLinePunct w:val="0"/>
        <w:autoSpaceDE/>
        <w:autoSpaceDN/>
        <w:bidi w:val="0"/>
        <w:adjustRightInd/>
        <w:snapToGrid/>
        <w:spacing w:after="0" w:line="240" w:lineRule="auto"/>
        <w:ind w:firstLine="720"/>
        <w:jc w:val="both"/>
        <w:textAlignment w:val="auto"/>
        <w:rPr>
          <w:b w:val="0"/>
          <w:bCs w:val="0"/>
          <w:sz w:val="28"/>
          <w:szCs w:val="28"/>
        </w:rPr>
      </w:pPr>
      <w:r>
        <w:rPr>
          <w:rFonts w:ascii="Times New Roman" w:hAnsi="Times New Roman" w:eastAsia="Times New Roman" w:cs="Times New Roman"/>
          <w:b w:val="0"/>
          <w:bCs w:val="0"/>
          <w:i w:val="0"/>
          <w:iCs w:val="0"/>
          <w:sz w:val="28"/>
          <w:szCs w:val="28"/>
        </w:rPr>
        <w:t xml:space="preserve">1. </w:t>
      </w:r>
      <w:r>
        <w:rPr>
          <w:rFonts w:ascii="Times New Roman" w:hAnsi="Times New Roman" w:eastAsia="Times New Roman" w:cs="Times New Roman"/>
          <w:b w:val="0"/>
          <w:bCs w:val="0"/>
          <w:i w:val="0"/>
          <w:iCs w:val="0"/>
          <w:sz w:val="28"/>
          <w:szCs w:val="28"/>
        </w:rPr>
        <w:t>Жүргізілген далалық сынақтар әзірленген биоремедиация технологиясының жоғары практикалық тиімділігін растады. 45 күндік кезеңде қарақұмық қауызында иммобилизацияланған R. erythropolis AT7 және D. maris 22K консорциумы 94,0% деструкция тиімділігіне қол жеткізді, бұл зертханалық нәтижелерден (58,4%) 35,6 пайыздық пунктке жоғары. Далалық жағдайлардағы тиімділіктің артуы синергетикалық факторлардың жиынтығымен түсіндіріледі: аборигенді микрофлорамен өзара әрекеттесу (КТМ саны 10⁵-тен 10⁸ КТБ/г-ға дейін өсті), температуралық циклдер (+22...+32°C), төмен бастапқы ластану (3725 мг/кг — жел әсерінен өткен мұнай) және табиғи топырақ құрылымы. Биоиндикация көрсеткіштері топырақ функцияларының қалпына келуін дәлелдеді: ферментативті белсенділік 2,5-3,0 есе артты, ылғал сақтау қабілеті 55% деңгейіне жетті (бақылауда 38%). Нәтижелер әдістің Маңғыстау облысының аридті климат жағдайларында өнеркәсіптік қолдануға дайындығын және өндірістік масштабқа шығару мүмкіндігін растайды.</w:t>
      </w:r>
    </w:p>
    <w:p w14:paraId="08DF3097">
      <w:pPr>
        <w:keepNext w:val="0"/>
        <w:keepLines w:val="0"/>
        <w:pageBreakBefore w:val="0"/>
        <w:widowControl/>
        <w:kinsoku/>
        <w:wordWrap/>
        <w:overflowPunct/>
        <w:topLinePunct w:val="0"/>
        <w:autoSpaceDE/>
        <w:autoSpaceDN/>
        <w:bidi w:val="0"/>
        <w:adjustRightInd/>
        <w:snapToGrid/>
        <w:spacing w:after="0" w:line="240" w:lineRule="auto"/>
        <w:ind w:firstLine="720"/>
        <w:jc w:val="both"/>
        <w:textAlignment w:val="auto"/>
        <w:rPr>
          <w:b w:val="0"/>
          <w:bCs w:val="0"/>
          <w:sz w:val="28"/>
          <w:szCs w:val="28"/>
        </w:rPr>
      </w:pPr>
      <w:r>
        <w:rPr>
          <w:rFonts w:ascii="Times New Roman" w:hAnsi="Times New Roman" w:eastAsia="Times New Roman" w:cs="Times New Roman"/>
          <w:b w:val="0"/>
          <w:bCs w:val="0"/>
          <w:i w:val="0"/>
          <w:iCs w:val="0"/>
          <w:sz w:val="28"/>
          <w:szCs w:val="28"/>
        </w:rPr>
        <w:t xml:space="preserve">2. </w:t>
      </w:r>
      <w:r>
        <w:rPr>
          <w:rFonts w:ascii="Times New Roman" w:hAnsi="Times New Roman" w:eastAsia="Times New Roman" w:cs="Times New Roman"/>
          <w:b w:val="0"/>
          <w:bCs w:val="0"/>
          <w:i w:val="0"/>
          <w:iCs w:val="0"/>
          <w:sz w:val="28"/>
          <w:szCs w:val="28"/>
        </w:rPr>
        <w:t>Әзірленген технология экологиялық қауіпсіздіктің жоғары деңгейімен сипатталады: пайдаланылатын микроорганизмдер (R. erythropolis AT7, D. maris 22K) 4-ші патогендік топқа жатады, тасымалдаушылар толықтай биоыдырағыш ауыл шаруашылығы қалдықтары болып табылады, биодеградация уытты аралық өнімдер түзбейді (соңғы өнімдер — CO₂ және H₂O). Технология Қазақстан Республикасының Экологиялық кодексінің талаптарына және «жасыл экономика» қағидаттарына толық сәйкес келеді.</w:t>
      </w:r>
    </w:p>
    <w:p w14:paraId="3D83B162">
      <w:pPr>
        <w:keepNext w:val="0"/>
        <w:keepLines w:val="0"/>
        <w:pageBreakBefore w:val="0"/>
        <w:widowControl/>
        <w:kinsoku/>
        <w:wordWrap/>
        <w:overflowPunct/>
        <w:topLinePunct w:val="0"/>
        <w:autoSpaceDE/>
        <w:autoSpaceDN/>
        <w:bidi w:val="0"/>
        <w:adjustRightInd/>
        <w:snapToGrid/>
        <w:spacing w:after="0" w:line="240" w:lineRule="auto"/>
        <w:ind w:firstLine="720"/>
        <w:jc w:val="both"/>
        <w:textAlignment w:val="auto"/>
        <w:rPr>
          <w:b w:val="0"/>
          <w:bCs w:val="0"/>
          <w:sz w:val="28"/>
          <w:szCs w:val="28"/>
        </w:rPr>
      </w:pPr>
      <w:r>
        <w:rPr>
          <w:rFonts w:ascii="Times New Roman" w:hAnsi="Times New Roman" w:eastAsia="Times New Roman" w:cs="Times New Roman"/>
          <w:b w:val="0"/>
          <w:bCs w:val="0"/>
          <w:i w:val="0"/>
          <w:iCs w:val="0"/>
          <w:sz w:val="28"/>
          <w:szCs w:val="28"/>
        </w:rPr>
        <w:t xml:space="preserve">3. </w:t>
      </w:r>
      <w:r>
        <w:rPr>
          <w:rFonts w:ascii="Times New Roman" w:hAnsi="Times New Roman" w:eastAsia="Times New Roman" w:cs="Times New Roman"/>
          <w:b w:val="0"/>
          <w:bCs w:val="0"/>
          <w:i w:val="0"/>
          <w:iCs w:val="0"/>
          <w:sz w:val="28"/>
          <w:szCs w:val="28"/>
        </w:rPr>
        <w:t>Экономикалық талдау технологияның жоғары коммерциялық тартымдылығын көрсетті. Өндірістік масштабта (1 га) шығындар ластану деңгейіне байланысты 112-253 мың теңге құрайды (төмен ластануда 112-173 мың тг, орташа ластануда 163-253 мың тг), бұл landfarming әдісінен 120-740 есе арзанырақ, ал грунтты әкетуден (150-400 млн теңге) мыңдаған есе тиімді [184-186]. Жергілікті шикізатты пайдалану (күріш және қарақұмық қауыздары — жыл сайын 28-45 мың тонна қолжетімді) импортқа тәуелділікті жояды және технологияны Қазақстанның шағын және орташа мұнай өндіруші кәсіпорындары үшін қолжетімді етеді. Өндірістік масштабта препарат суспензия түрінде (0,33-0,5 г/л концентрацияда, 2-3 л/м² нормасында) енгізіледі, бұл 5-15 кг/га препарат нормасын қамтамасыз етеді (грунт массасынан 0,00013-0,00038%).</w:t>
      </w:r>
    </w:p>
    <w:p w14:paraId="3B8670EB">
      <w:pPr>
        <w:keepNext w:val="0"/>
        <w:keepLines w:val="0"/>
        <w:pageBreakBefore w:val="0"/>
        <w:widowControl/>
        <w:kinsoku/>
        <w:wordWrap/>
        <w:overflowPunct/>
        <w:topLinePunct w:val="0"/>
        <w:autoSpaceDE/>
        <w:autoSpaceDN/>
        <w:bidi w:val="0"/>
        <w:adjustRightInd/>
        <w:snapToGrid/>
        <w:spacing w:after="0" w:line="240" w:lineRule="auto"/>
        <w:ind w:firstLine="720"/>
        <w:jc w:val="both"/>
        <w:textAlignment w:val="auto"/>
        <w:rPr>
          <w:b w:val="0"/>
          <w:bCs w:val="0"/>
          <w:sz w:val="28"/>
          <w:szCs w:val="28"/>
        </w:rPr>
      </w:pPr>
      <w:r>
        <w:rPr>
          <w:rFonts w:ascii="Times New Roman" w:hAnsi="Times New Roman" w:eastAsia="Times New Roman" w:cs="Times New Roman"/>
          <w:b w:val="0"/>
          <w:bCs w:val="0"/>
          <w:i w:val="0"/>
          <w:iCs w:val="0"/>
          <w:sz w:val="28"/>
          <w:szCs w:val="28"/>
        </w:rPr>
        <w:t xml:space="preserve">4. </w:t>
      </w:r>
      <w:r>
        <w:rPr>
          <w:rFonts w:ascii="Times New Roman" w:hAnsi="Times New Roman" w:eastAsia="Times New Roman" w:cs="Times New Roman"/>
          <w:b w:val="0"/>
          <w:bCs w:val="0"/>
          <w:i w:val="0"/>
          <w:iCs w:val="0"/>
          <w:sz w:val="28"/>
          <w:szCs w:val="28"/>
        </w:rPr>
        <w:t>Салыстырмалы талдау әзірленген технологияның қолданыстағы биоремедиация әдістерінен айтарлықтай артықшылығын дәлелдеді. Лабораториялық жағдайларда анықталған тиімділік бойынша технология «Деворойлдан» 1,3-1,6 есе, landfarming-тен 1,9-3,1 есе, фиторемедиациядан 2,4-4,7 есе жоғары нәтиже көрсетеді (аналогтардың көрсеткіштері далалық/өндірістік деректер негізінде). Тазарту мерзімі (45 күн) аналогтардан 1,3-40,6 есе жылдам. Негізгі бәсекелік артықшылық — аридті климатқа бейімделу: экстремалды температураларға (+42°C) және тұздылыққа (10% NaCl, авторлық эксперименттермен расталған) төзімділік Қазақстанның мұнай өндіру аймақтарында қолдануға мүмкіндік береді.</w:t>
      </w:r>
    </w:p>
    <w:p w14:paraId="468598B5">
      <w:pPr>
        <w:keepNext w:val="0"/>
        <w:keepLines w:val="0"/>
        <w:pageBreakBefore w:val="0"/>
        <w:widowControl/>
        <w:kinsoku/>
        <w:wordWrap/>
        <w:overflowPunct/>
        <w:topLinePunct w:val="0"/>
        <w:autoSpaceDE/>
        <w:autoSpaceDN/>
        <w:bidi w:val="0"/>
        <w:adjustRightInd/>
        <w:snapToGrid/>
        <w:spacing w:after="0" w:line="240" w:lineRule="auto"/>
        <w:ind w:firstLine="720"/>
        <w:jc w:val="both"/>
        <w:textAlignment w:val="auto"/>
        <w:rPr>
          <w:b w:val="0"/>
          <w:bCs w:val="0"/>
          <w:sz w:val="28"/>
          <w:szCs w:val="28"/>
        </w:rPr>
      </w:pPr>
      <w:r>
        <w:rPr>
          <w:rFonts w:ascii="Times New Roman" w:hAnsi="Times New Roman" w:eastAsia="Times New Roman" w:cs="Times New Roman"/>
          <w:b w:val="0"/>
          <w:bCs w:val="0"/>
          <w:i w:val="0"/>
          <w:iCs w:val="0"/>
          <w:sz w:val="28"/>
          <w:szCs w:val="28"/>
        </w:rPr>
        <w:t xml:space="preserve">5. </w:t>
      </w:r>
      <w:r>
        <w:rPr>
          <w:rFonts w:ascii="Times New Roman" w:hAnsi="Times New Roman" w:eastAsia="Times New Roman" w:cs="Times New Roman"/>
          <w:b w:val="0"/>
          <w:bCs w:val="0"/>
          <w:i w:val="0"/>
          <w:iCs w:val="0"/>
          <w:sz w:val="28"/>
          <w:szCs w:val="28"/>
        </w:rPr>
        <w:t>AP25796069 гранттық жобасы аясында үш кезең сәтті аяқталды: зертханалық зерттеулер (58,4-78,4% тиімділік), далалық биоремедиация сынақтары (94,0% тиімділік) және фитотестілеу зерттеулері (ағымдағы). Алдағы уақытта фиторемедиация зерттеулері және әдістемелік ұсынымдар әзірлеу жоспарлануда. Кешенді биоремедиация-фиторемедиация схемасы жеке әдістерден 25-40% жоғары тиімділік беретіні әдебиет деректерімен расталған. Технологияны өндірістік масштабқа шығару үш кезеңде жоспарлануда: кіші пилоттық учаске (1×1 м, аяқталды), орта масштабты сынақ (100-500 м², жоспарлануда) және өнеркәсіптік қолдану (1-10 га, перспектива). Алынған нәтижелер Маңғыстау облысының мұнай кен орындарында технологияны практикалық қолдануға және кеңінен енгізуге ғылыми-практикалық негіз береді.</w:t>
      </w:r>
    </w:p>
    <w:p w14:paraId="52D241D2">
      <w:pPr>
        <w:keepNext w:val="0"/>
        <w:keepLines w:val="0"/>
        <w:pageBreakBefore w:val="0"/>
        <w:widowControl/>
        <w:kinsoku/>
        <w:wordWrap/>
        <w:overflowPunct/>
        <w:topLinePunct w:val="0"/>
        <w:autoSpaceDE/>
        <w:autoSpaceDN/>
        <w:bidi w:val="0"/>
        <w:adjustRightInd/>
        <w:snapToGrid/>
        <w:spacing w:after="0" w:line="240" w:lineRule="auto"/>
        <w:ind w:firstLine="720"/>
        <w:jc w:val="both"/>
        <w:textAlignment w:val="auto"/>
        <w:rPr>
          <w:rFonts w:hint="default" w:ascii="Times New Roman" w:hAnsi="Times New Roman" w:eastAsia="Times New Roman" w:cs="Times New Roman"/>
          <w:color w:val="auto"/>
          <w:sz w:val="28"/>
          <w:szCs w:val="28"/>
        </w:rPr>
      </w:pPr>
    </w:p>
    <w:p w14:paraId="53DCECA6">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color w:val="auto"/>
          <w:sz w:val="28"/>
          <w:szCs w:val="28"/>
          <w:lang w:val="kk-KZ"/>
        </w:rPr>
      </w:pPr>
      <w:r>
        <w:rPr>
          <w:rFonts w:hint="default" w:ascii="Times New Roman" w:hAnsi="Times New Roman" w:cs="Times New Roman"/>
          <w:color w:val="auto"/>
          <w:sz w:val="28"/>
          <w:szCs w:val="28"/>
        </w:rPr>
        <w:br w:type="page"/>
      </w:r>
    </w:p>
    <w:p w14:paraId="035E82AC">
      <w:pPr>
        <w:pStyle w:val="35"/>
        <w:spacing w:beforeAutospacing="0" w:afterAutospacing="0"/>
        <w:ind w:left="0" w:leftChars="0" w:firstLine="0" w:firstLineChars="0"/>
        <w:jc w:val="center"/>
        <w:rPr>
          <w:b/>
          <w:bCs/>
          <w:color w:val="auto"/>
          <w:sz w:val="28"/>
          <w:szCs w:val="28"/>
          <w:highlight w:val="none"/>
          <w:lang w:val="kk-KZ"/>
        </w:rPr>
      </w:pPr>
      <w:r>
        <w:rPr>
          <w:b/>
          <w:bCs/>
          <w:color w:val="auto"/>
          <w:sz w:val="28"/>
          <w:szCs w:val="28"/>
          <w:highlight w:val="none"/>
          <w:lang w:val="kk-KZ"/>
        </w:rPr>
        <w:t>ҚОРЫТЫНДЫ</w:t>
      </w:r>
    </w:p>
    <w:p w14:paraId="5FD42B66">
      <w:pPr>
        <w:pStyle w:val="35"/>
        <w:spacing w:beforeAutospacing="0" w:afterAutospacing="0"/>
        <w:ind w:firstLine="709"/>
        <w:jc w:val="center"/>
        <w:rPr>
          <w:b/>
          <w:bCs/>
          <w:color w:val="auto"/>
          <w:sz w:val="28"/>
          <w:szCs w:val="28"/>
          <w:highlight w:val="none"/>
          <w:lang w:val="kk-KZ"/>
        </w:rPr>
      </w:pPr>
    </w:p>
    <w:p w14:paraId="24AF8105">
      <w:pPr>
        <w:pStyle w:val="35"/>
        <w:spacing w:beforeAutospacing="0" w:afterAutospacing="0"/>
        <w:ind w:firstLine="709"/>
        <w:jc w:val="both"/>
        <w:rPr>
          <w:rFonts w:hint="default" w:ascii="Times New Roman" w:hAnsi="Times New Roman" w:eastAsia="SimSun" w:cs="Times New Roman"/>
          <w:color w:val="auto"/>
          <w:sz w:val="28"/>
          <w:szCs w:val="28"/>
        </w:rPr>
      </w:pPr>
      <w:r>
        <w:rPr>
          <w:rFonts w:hint="default" w:ascii="Times New Roman" w:hAnsi="Times New Roman" w:eastAsia="SimSun" w:cs="Times New Roman"/>
          <w:color w:val="auto"/>
          <w:sz w:val="28"/>
          <w:szCs w:val="28"/>
        </w:rPr>
        <w:t xml:space="preserve">Жүргізілген диссертациялық зерттеу аридті аймақтар жағдайында мұнаймен ластанған топырақты адсорбциялық-иммобилизацияланған микроорганизм-деструкторларды қолдану арқылы биологиялық жолмен тазарту технологиясын әзірлеуге және оның экологиялық әрі экономикалық тиімділігін ғылыми тұрғыда негіздеуге арналған. </w:t>
      </w:r>
    </w:p>
    <w:p w14:paraId="4B905E13">
      <w:pPr>
        <w:pStyle w:val="35"/>
        <w:spacing w:beforeAutospacing="0" w:afterAutospacing="0"/>
        <w:ind w:firstLine="709"/>
        <w:jc w:val="both"/>
        <w:rPr>
          <w:rFonts w:hint="default" w:ascii="Times New Roman" w:hAnsi="Times New Roman" w:eastAsia="SimSun" w:cs="Times New Roman"/>
          <w:color w:val="auto"/>
          <w:sz w:val="28"/>
          <w:szCs w:val="28"/>
        </w:rPr>
      </w:pPr>
      <w:r>
        <w:rPr>
          <w:rFonts w:hint="default" w:ascii="Times New Roman" w:hAnsi="Times New Roman" w:eastAsia="SimSun" w:cs="Times New Roman"/>
          <w:color w:val="auto"/>
          <w:sz w:val="28"/>
          <w:szCs w:val="28"/>
        </w:rPr>
        <w:t xml:space="preserve">Диссертациялық жұмыстың негізгі нәтижелері төмендегідей тұжырымдалады: </w:t>
      </w:r>
    </w:p>
    <w:p w14:paraId="43542072">
      <w:pPr>
        <w:pStyle w:val="35"/>
        <w:numPr>
          <w:ilvl w:val="0"/>
          <w:numId w:val="13"/>
        </w:numPr>
        <w:spacing w:beforeAutospacing="0" w:afterAutospacing="0"/>
        <w:ind w:firstLine="709"/>
        <w:jc w:val="both"/>
        <w:rPr>
          <w:rFonts w:hint="default" w:ascii="Times New Roman" w:hAnsi="Times New Roman" w:eastAsia="SimSun" w:cs="Times New Roman"/>
          <w:color w:val="auto"/>
          <w:sz w:val="28"/>
          <w:szCs w:val="28"/>
        </w:rPr>
      </w:pPr>
      <w:r>
        <w:rPr>
          <w:rFonts w:hint="default" w:ascii="Times New Roman" w:hAnsi="Times New Roman" w:eastAsia="SimSun" w:cs="Times New Roman"/>
          <w:color w:val="auto"/>
          <w:sz w:val="28"/>
          <w:szCs w:val="28"/>
        </w:rPr>
        <w:t xml:space="preserve">Зерттеу барысында жоғары температура, тұздылық және ылғалдылығы төмен аридті аумақтарға тән мұнаймен ластанған топырақтың ерекшеліктері анықталып, мұндай жағдайларда дәстүрлі биологиялық тазалау әдістерінің тиімділігі шектеулі екені көрсетілді. </w:t>
      </w:r>
    </w:p>
    <w:p w14:paraId="5555801D">
      <w:pPr>
        <w:pStyle w:val="35"/>
        <w:numPr>
          <w:ilvl w:val="0"/>
          <w:numId w:val="13"/>
        </w:numPr>
        <w:spacing w:beforeAutospacing="0" w:afterAutospacing="0"/>
        <w:ind w:firstLine="709"/>
        <w:jc w:val="both"/>
        <w:rPr>
          <w:rFonts w:hint="default" w:ascii="Times New Roman" w:hAnsi="Times New Roman" w:cs="Times New Roman"/>
          <w:color w:val="auto"/>
          <w:sz w:val="28"/>
          <w:szCs w:val="28"/>
        </w:rPr>
      </w:pPr>
      <w:r>
        <w:rPr>
          <w:rFonts w:hint="default" w:ascii="Times New Roman" w:hAnsi="Times New Roman" w:eastAsia="SimSun" w:cs="Times New Roman"/>
          <w:color w:val="auto"/>
          <w:sz w:val="28"/>
          <w:szCs w:val="28"/>
        </w:rPr>
        <w:t xml:space="preserve"> Мұнай көмірсутектерін ыдыратуға жоғары қабілетті </w:t>
      </w:r>
      <w:r>
        <w:rPr>
          <w:rFonts w:hint="default" w:ascii="Times New Roman" w:hAnsi="Times New Roman" w:eastAsia="SimSun" w:cs="Times New Roman"/>
          <w:i/>
          <w:iCs/>
          <w:color w:val="auto"/>
          <w:sz w:val="28"/>
          <w:szCs w:val="28"/>
        </w:rPr>
        <w:t>Dietzia maris 22K</w:t>
      </w:r>
      <w:r>
        <w:rPr>
          <w:rFonts w:hint="default" w:ascii="Times New Roman" w:hAnsi="Times New Roman" w:eastAsia="SimSun" w:cs="Times New Roman"/>
          <w:color w:val="auto"/>
          <w:sz w:val="28"/>
          <w:szCs w:val="28"/>
        </w:rPr>
        <w:t xml:space="preserve"> және </w:t>
      </w:r>
      <w:r>
        <w:rPr>
          <w:rFonts w:hint="default" w:ascii="Times New Roman" w:hAnsi="Times New Roman" w:eastAsia="SimSun" w:cs="Times New Roman"/>
          <w:i/>
          <w:iCs/>
          <w:color w:val="auto"/>
          <w:sz w:val="28"/>
          <w:szCs w:val="28"/>
        </w:rPr>
        <w:t>Rhodococcus erythropolis AT7</w:t>
      </w:r>
      <w:r>
        <w:rPr>
          <w:rFonts w:hint="default" w:ascii="Times New Roman" w:hAnsi="Times New Roman" w:eastAsia="SimSun" w:cs="Times New Roman"/>
          <w:color w:val="auto"/>
          <w:sz w:val="28"/>
          <w:szCs w:val="28"/>
        </w:rPr>
        <w:t xml:space="preserve"> микроорганизмдері іріктеліп, олардың негізінде тиімді микробтық консорциум қалыптастырылды. </w:t>
      </w:r>
    </w:p>
    <w:p w14:paraId="616F5C39">
      <w:pPr>
        <w:pStyle w:val="35"/>
        <w:numPr>
          <w:ilvl w:val="0"/>
          <w:numId w:val="13"/>
        </w:numPr>
        <w:spacing w:beforeAutospacing="0" w:afterAutospacing="0"/>
        <w:ind w:firstLine="709"/>
        <w:jc w:val="both"/>
        <w:rPr>
          <w:rFonts w:hint="default" w:ascii="Times New Roman" w:hAnsi="Times New Roman" w:cs="Times New Roman"/>
          <w:color w:val="auto"/>
          <w:sz w:val="28"/>
          <w:szCs w:val="28"/>
        </w:rPr>
      </w:pPr>
      <w:r>
        <w:rPr>
          <w:rFonts w:hint="default" w:ascii="Times New Roman" w:hAnsi="Times New Roman" w:eastAsia="SimSun" w:cs="Times New Roman"/>
          <w:color w:val="auto"/>
          <w:sz w:val="28"/>
          <w:szCs w:val="28"/>
        </w:rPr>
        <w:t xml:space="preserve">Микроорганизмдерді иммобилизациялау үшін минералды және өсімдік текті тасымалдағыштарға салыстырмалы талдау жүргізіліп, күріш және қарақұмық қауызы микроорганизмдердің тіршілікке қабілеттілігін ұзақ уақыт сақтауға мүмкіндік беретіні анықталды. </w:t>
      </w:r>
    </w:p>
    <w:p w14:paraId="645D5E9A">
      <w:pPr>
        <w:pStyle w:val="35"/>
        <w:numPr>
          <w:ilvl w:val="0"/>
          <w:numId w:val="13"/>
        </w:numPr>
        <w:spacing w:beforeAutospacing="0" w:afterAutospacing="0"/>
        <w:ind w:firstLine="709"/>
        <w:jc w:val="both"/>
        <w:rPr>
          <w:rFonts w:hint="default" w:ascii="Times New Roman" w:hAnsi="Times New Roman" w:cs="Times New Roman"/>
          <w:color w:val="auto"/>
          <w:sz w:val="28"/>
          <w:szCs w:val="28"/>
        </w:rPr>
      </w:pPr>
      <w:r>
        <w:rPr>
          <w:rFonts w:hint="default" w:ascii="Times New Roman" w:hAnsi="Times New Roman" w:eastAsia="SimSun" w:cs="Times New Roman"/>
          <w:color w:val="auto"/>
          <w:sz w:val="28"/>
          <w:szCs w:val="28"/>
        </w:rPr>
        <w:t xml:space="preserve">Өсімдік текті тасымалдағыштардың кеуекті құрылымы мен биосәйкестілігі микробтық жасушалардың адгезиясын күшейтіп, тұрақты биоқабаттардың түзілуіне және мұнай көмірсутектерінің биодеструкция қарқындылығының артуына ықпал ететіні дәлелденді. </w:t>
      </w:r>
    </w:p>
    <w:p w14:paraId="50B1ED75">
      <w:pPr>
        <w:pStyle w:val="35"/>
        <w:numPr>
          <w:ilvl w:val="0"/>
          <w:numId w:val="13"/>
        </w:numPr>
        <w:spacing w:beforeAutospacing="0" w:afterAutospacing="0"/>
        <w:ind w:firstLine="709"/>
        <w:jc w:val="both"/>
        <w:rPr>
          <w:rFonts w:hint="default" w:ascii="Times New Roman" w:hAnsi="Times New Roman" w:cs="Times New Roman"/>
          <w:color w:val="auto"/>
          <w:sz w:val="28"/>
          <w:szCs w:val="28"/>
        </w:rPr>
      </w:pPr>
      <w:r>
        <w:rPr>
          <w:rFonts w:hint="default" w:ascii="Times New Roman" w:hAnsi="Times New Roman" w:eastAsia="SimSun" w:cs="Times New Roman"/>
          <w:color w:val="auto"/>
          <w:sz w:val="28"/>
          <w:szCs w:val="28"/>
        </w:rPr>
        <w:t xml:space="preserve">Иммобилизацияланған микробтық консорциумның 45 °C-қа дейінгі жоғары температурада және тұздылығы жоғары орта жағдайында да биологиялық белсенділігін сақтайтыны эксперименттік түрде көрсетілді, бұл технологияның аридті аймақтарда қолдануға бейімділігін растайды. </w:t>
      </w:r>
    </w:p>
    <w:p w14:paraId="2AAEA344">
      <w:pPr>
        <w:pStyle w:val="35"/>
        <w:numPr>
          <w:ilvl w:val="0"/>
          <w:numId w:val="13"/>
        </w:numPr>
        <w:spacing w:beforeAutospacing="0" w:afterAutospacing="0"/>
        <w:ind w:firstLine="709"/>
        <w:jc w:val="both"/>
        <w:rPr>
          <w:rFonts w:hint="default" w:ascii="Times New Roman" w:hAnsi="Times New Roman" w:cs="Times New Roman"/>
          <w:color w:val="auto"/>
          <w:sz w:val="28"/>
          <w:szCs w:val="28"/>
        </w:rPr>
      </w:pPr>
      <w:r>
        <w:rPr>
          <w:rFonts w:hint="default" w:ascii="Times New Roman" w:hAnsi="Times New Roman" w:eastAsia="SimSun" w:cs="Times New Roman"/>
          <w:color w:val="auto"/>
          <w:sz w:val="28"/>
          <w:szCs w:val="28"/>
        </w:rPr>
        <w:t xml:space="preserve">Мұнай көмірсутектерінің ыдырау кинетикасын зерттеу нәтижесінде иммобилизацияланған микроорганизмдерді қолдану биодеградация үдерісін едәуір жеделдететіні анықталды. </w:t>
      </w:r>
    </w:p>
    <w:p w14:paraId="7DB6135B">
      <w:pPr>
        <w:pStyle w:val="35"/>
        <w:numPr>
          <w:ilvl w:val="0"/>
          <w:numId w:val="13"/>
        </w:numPr>
        <w:spacing w:beforeAutospacing="0" w:afterAutospacing="0"/>
        <w:ind w:firstLine="709"/>
        <w:jc w:val="both"/>
        <w:rPr>
          <w:rFonts w:hint="default" w:ascii="Times New Roman" w:hAnsi="Times New Roman" w:cs="Times New Roman"/>
          <w:color w:val="auto"/>
          <w:sz w:val="28"/>
          <w:szCs w:val="28"/>
        </w:rPr>
      </w:pPr>
      <w:r>
        <w:rPr>
          <w:rFonts w:hint="default" w:ascii="Times New Roman" w:hAnsi="Times New Roman" w:eastAsia="SimSun" w:cs="Times New Roman"/>
          <w:color w:val="auto"/>
          <w:sz w:val="28"/>
          <w:szCs w:val="28"/>
        </w:rPr>
        <w:t xml:space="preserve">Ферменттік белсенділік көрсеткіштері мен сканерлеуші электрондық микроскопия (СЭМ) нәтижелері микроорганизмдердің тасымалдағыш бетінде тұрақты микробтық қауымдастық түзіп, көмірсутектермен белсенді әрекеттесетінін көрсетті. </w:t>
      </w:r>
    </w:p>
    <w:p w14:paraId="5BC7675F">
      <w:pPr>
        <w:pStyle w:val="35"/>
        <w:numPr>
          <w:ilvl w:val="0"/>
          <w:numId w:val="13"/>
        </w:numPr>
        <w:spacing w:beforeAutospacing="0" w:afterAutospacing="0"/>
        <w:ind w:firstLine="709"/>
        <w:jc w:val="both"/>
        <w:rPr>
          <w:rFonts w:hint="default" w:ascii="Times New Roman" w:hAnsi="Times New Roman" w:cs="Times New Roman"/>
          <w:color w:val="auto"/>
          <w:sz w:val="28"/>
          <w:szCs w:val="28"/>
        </w:rPr>
      </w:pPr>
      <w:r>
        <w:rPr>
          <w:rFonts w:hint="default" w:ascii="Times New Roman" w:hAnsi="Times New Roman" w:eastAsia="SimSun" w:cs="Times New Roman"/>
          <w:color w:val="auto"/>
          <w:sz w:val="28"/>
          <w:szCs w:val="28"/>
        </w:rPr>
        <w:t xml:space="preserve">Мұнаймен ластанған топырақты биоремедиациялаудың алдын ала талдау, биопрепаратты енгізу және мониторинг кезеңдерін қамтитын технологиялық схемасы әзірленіп, оның экологиялық тиімділігі мұнаймен ластану деңгейінің айтарлықтай төмендеуі арқылы дәлелденді. </w:t>
      </w:r>
    </w:p>
    <w:p w14:paraId="157AD9B9">
      <w:pPr>
        <w:pStyle w:val="35"/>
        <w:numPr>
          <w:ilvl w:val="0"/>
          <w:numId w:val="13"/>
        </w:numPr>
        <w:spacing w:beforeAutospacing="0" w:afterAutospacing="0"/>
        <w:ind w:firstLine="709"/>
        <w:jc w:val="both"/>
        <w:rPr>
          <w:rFonts w:hint="default" w:ascii="Times New Roman" w:hAnsi="Times New Roman" w:cs="Times New Roman"/>
          <w:color w:val="auto"/>
          <w:sz w:val="28"/>
          <w:szCs w:val="28"/>
        </w:rPr>
      </w:pPr>
      <w:r>
        <w:rPr>
          <w:rFonts w:hint="default" w:ascii="Times New Roman" w:hAnsi="Times New Roman" w:eastAsia="SimSun" w:cs="Times New Roman"/>
          <w:color w:val="auto"/>
          <w:sz w:val="28"/>
          <w:szCs w:val="28"/>
        </w:rPr>
        <w:t xml:space="preserve">Маңғыстау облысының </w:t>
      </w:r>
      <w:r>
        <w:rPr>
          <w:color w:val="auto"/>
          <w:sz w:val="28"/>
          <w:szCs w:val="28"/>
        </w:rPr>
        <w:t>«Kazecoservice»</w:t>
      </w:r>
      <w:r>
        <w:rPr>
          <w:rFonts w:hint="default"/>
          <w:color w:val="auto"/>
          <w:sz w:val="28"/>
          <w:szCs w:val="28"/>
          <w:lang w:val="ru-RU"/>
        </w:rPr>
        <w:t xml:space="preserve"> ЖШС</w:t>
      </w:r>
      <w:r>
        <w:rPr>
          <w:rFonts w:hint="default"/>
          <w:color w:val="auto"/>
          <w:sz w:val="28"/>
          <w:szCs w:val="28"/>
          <w:lang w:val="kk-KZ"/>
        </w:rPr>
        <w:t xml:space="preserve">-нің биологиялыө ремедиация алаңында </w:t>
      </w:r>
      <w:r>
        <w:rPr>
          <w:rFonts w:hint="default" w:ascii="Times New Roman" w:hAnsi="Times New Roman" w:eastAsia="SimSun" w:cs="Times New Roman"/>
          <w:color w:val="auto"/>
          <w:sz w:val="28"/>
          <w:szCs w:val="28"/>
        </w:rPr>
        <w:t>жүргізілген далалық сынақтар технологияның практикалық тиімділігін растады: 45 күндік кезеңде мұнай өнімдерінің деградациясы 94,0% құрады, бұл зертханалық нәтижелерден (58,4-78,4%) айтарлықтай жоғары. Топырақтың биологиялық белсенділігі қалпына келді: ферментативті белсенділік 2,5-3,0 есе артты</w:t>
      </w:r>
      <w:r>
        <w:rPr>
          <w:rFonts w:hint="default" w:cs="Times New Roman"/>
          <w:color w:val="auto"/>
          <w:sz w:val="28"/>
          <w:szCs w:val="28"/>
          <w:lang w:val="kk-KZ"/>
        </w:rPr>
        <w:t>.</w:t>
      </w:r>
    </w:p>
    <w:p w14:paraId="42B96603">
      <w:pPr>
        <w:pStyle w:val="35"/>
        <w:numPr>
          <w:ilvl w:val="0"/>
          <w:numId w:val="13"/>
        </w:numPr>
        <w:spacing w:beforeAutospacing="0" w:afterAutospacing="0"/>
        <w:ind w:firstLine="709"/>
        <w:jc w:val="both"/>
        <w:rPr>
          <w:rFonts w:hint="default" w:ascii="Times New Roman" w:hAnsi="Times New Roman" w:cs="Times New Roman"/>
          <w:color w:val="auto"/>
          <w:sz w:val="28"/>
          <w:szCs w:val="28"/>
        </w:rPr>
      </w:pPr>
      <w:r>
        <w:rPr>
          <w:rFonts w:hint="default" w:ascii="Times New Roman" w:hAnsi="Times New Roman" w:eastAsia="SimSun" w:cs="Times New Roman"/>
          <w:color w:val="auto"/>
          <w:sz w:val="28"/>
          <w:szCs w:val="28"/>
        </w:rPr>
        <w:t xml:space="preserve">Қолданыстағы биоремедиация әдістерімен салыстырмалы талдау әзірленген технологияның тиімділік (1,3-4,7 есе жоғары), жылдамдық (1,3-40,6 есе жылдам) және аридті климатқа бейімделу бойынша айтарлықтай артықшылығын көрсетті. Экономикалық талдау жоғары коммерциялық тартымдылықты дәлелдеді: өндірістік масштабта 1 га аумақты өңдеу құны 188-422 мың теңге, бұл landfarming әдісінен 100-180 есе арзанырақ. </w:t>
      </w:r>
    </w:p>
    <w:p w14:paraId="0B5608F3">
      <w:pPr>
        <w:pStyle w:val="35"/>
        <w:numPr>
          <w:ilvl w:val="0"/>
          <w:numId w:val="13"/>
        </w:numPr>
        <w:spacing w:beforeAutospacing="0" w:afterAutospacing="0"/>
        <w:ind w:firstLine="709"/>
        <w:jc w:val="both"/>
        <w:rPr>
          <w:rFonts w:hint="default" w:ascii="Times New Roman" w:hAnsi="Times New Roman" w:cs="Times New Roman"/>
          <w:color w:val="auto"/>
          <w:sz w:val="28"/>
          <w:szCs w:val="28"/>
        </w:rPr>
      </w:pPr>
      <w:r>
        <w:rPr>
          <w:rFonts w:hint="default" w:ascii="Times New Roman" w:hAnsi="Times New Roman" w:eastAsia="SimSun" w:cs="Times New Roman"/>
          <w:color w:val="auto"/>
          <w:sz w:val="28"/>
          <w:szCs w:val="28"/>
        </w:rPr>
        <w:t xml:space="preserve"> Технология Қазақстан Республикасының Экологиялық кодексінің (2021) талаптарына және «жасыл экономика» қағидаттарына толық сәйкес келеді. Жергілікті ауыл шаруашылығы қалдықтарын пайдалану импортқа тәуелділікті жояды және технологияны өндірістік деңгейде қолдануға мүмкіндік береді. </w:t>
      </w:r>
    </w:p>
    <w:p w14:paraId="647B3FEA">
      <w:pPr>
        <w:pStyle w:val="35"/>
        <w:numPr>
          <w:ilvl w:val="0"/>
          <w:numId w:val="13"/>
        </w:numPr>
        <w:spacing w:beforeAutospacing="0" w:afterAutospacing="0"/>
        <w:ind w:firstLine="709"/>
        <w:jc w:val="both"/>
        <w:rPr>
          <w:rFonts w:hint="default" w:ascii="Times New Roman" w:hAnsi="Times New Roman" w:cs="Times New Roman"/>
          <w:color w:val="auto"/>
          <w:sz w:val="28"/>
          <w:szCs w:val="28"/>
        </w:rPr>
      </w:pPr>
      <w:r>
        <w:rPr>
          <w:rFonts w:hint="default" w:ascii="Times New Roman" w:hAnsi="Times New Roman" w:eastAsia="SimSun" w:cs="Times New Roman"/>
          <w:color w:val="auto"/>
          <w:sz w:val="28"/>
          <w:szCs w:val="28"/>
        </w:rPr>
        <w:t xml:space="preserve">Ұсынылған технологияны қолдану топырақтың биологиялық белсенділігін қалпына келтіруге, қоршаған ортаға түсетін антропогендік жүктемені азайтуға және экономикалық тиімді шешім болып табылатыны анықталды. </w:t>
      </w:r>
    </w:p>
    <w:p w14:paraId="2F0DE8BA">
      <w:pPr>
        <w:pStyle w:val="35"/>
        <w:numPr>
          <w:ilvl w:val="0"/>
          <w:numId w:val="13"/>
        </w:numPr>
        <w:spacing w:beforeAutospacing="0" w:afterAutospacing="0"/>
        <w:ind w:firstLine="709"/>
        <w:jc w:val="both"/>
        <w:rPr>
          <w:rFonts w:hint="default" w:ascii="Times New Roman" w:hAnsi="Times New Roman" w:cs="Times New Roman"/>
          <w:color w:val="auto"/>
          <w:sz w:val="28"/>
          <w:szCs w:val="28"/>
        </w:rPr>
      </w:pPr>
      <w:r>
        <w:rPr>
          <w:rFonts w:hint="default" w:ascii="Times New Roman" w:hAnsi="Times New Roman" w:eastAsia="SimSun" w:cs="Times New Roman"/>
          <w:color w:val="auto"/>
          <w:sz w:val="28"/>
          <w:szCs w:val="28"/>
        </w:rPr>
        <w:t xml:space="preserve"> Диссертациялық зерттеу нәтижелері мұнаймен ластанған аумақтарды тазалау жұмыстарында, экологиялық және биотехнологиялық кәсіпорындардың қызметінде, сондай-ақ жоғары оқу орындарының оқу үдерісінде қолдануға ұсынылады.</w:t>
      </w:r>
    </w:p>
    <w:p w14:paraId="51D0AF7E">
      <w:pPr>
        <w:pStyle w:val="35"/>
        <w:numPr>
          <w:ilvl w:val="0"/>
          <w:numId w:val="0"/>
        </w:numPr>
        <w:spacing w:beforeAutospacing="0" w:afterAutospacing="0"/>
        <w:ind w:firstLine="709" w:firstLineChars="0"/>
        <w:jc w:val="both"/>
        <w:rPr>
          <w:rFonts w:hint="default" w:ascii="Times New Roman" w:hAnsi="Times New Roman" w:cs="Times New Roman"/>
          <w:color w:val="auto"/>
          <w:sz w:val="28"/>
          <w:szCs w:val="28"/>
        </w:rPr>
      </w:pPr>
      <w:r>
        <w:rPr>
          <w:rFonts w:hint="default" w:ascii="Times New Roman" w:hAnsi="Times New Roman" w:eastAsia="SimSun" w:cs="Times New Roman"/>
          <w:color w:val="auto"/>
          <w:sz w:val="28"/>
          <w:szCs w:val="28"/>
        </w:rPr>
        <w:t xml:space="preserve"> Диссертациялық жұмыста қойылған барлық міндеттер толық орындалды, ал зерттеудің мақсатына толық көлемде қол жеткізілді. Зерттеу материалдары Ш. Есенов атындағы Каспий технологиялар және инжиниринг университетінде 6В05201 – «Экология» білім беру бағдарламасы бойынша бакалаврларды даярлау барысында оқу үдерісінде қолданылуда. </w:t>
      </w:r>
      <w:r>
        <w:rPr>
          <w:rFonts w:hint="default" w:ascii="Times New Roman" w:hAnsi="Times New Roman" w:cs="Times New Roman"/>
          <w:color w:val="auto"/>
          <w:sz w:val="28"/>
          <w:szCs w:val="28"/>
          <w:lang w:val="ru-RU"/>
        </w:rPr>
        <w:tab/>
      </w:r>
      <w:r>
        <w:rPr>
          <w:rFonts w:hint="default" w:ascii="Times New Roman" w:hAnsi="Times New Roman" w:eastAsia="SimSun" w:cs="Times New Roman"/>
          <w:color w:val="auto"/>
          <w:sz w:val="28"/>
          <w:szCs w:val="28"/>
        </w:rPr>
        <w:t>Диссертациялық зерттеулердің нәтижелері бойынша «Мұнай тотықтырушы микроорганизмдерді қарақұмық қауызы негізінде жасалған тасымалдаушыға иммобилизациялау әдісі» пайдалы модельге патент алуға өтінім берілді. Өтінім 13.01.2026 ж. Қазақстан Республикасы Әділет министрлігінің «Ұлттық зияткерлік меншік институты» РМК-сына тапсырылып, тіркеу нөмірі № 2026/0060.2 болып белгіленді. Алынған нәтижелер Маңғыстау облысының мұнай кен орындарында технологияны практикалық қолдануға ғылыми-практикалық негіз береді.</w:t>
      </w:r>
    </w:p>
    <w:p w14:paraId="32E1B76B">
      <w:pPr>
        <w:pStyle w:val="35"/>
        <w:spacing w:beforeAutospacing="0" w:afterAutospacing="0"/>
        <w:ind w:firstLine="709"/>
        <w:jc w:val="both"/>
        <w:rPr>
          <w:rFonts w:hint="default" w:ascii="Times New Roman" w:hAnsi="Times New Roman" w:cs="Times New Roman"/>
          <w:color w:val="auto"/>
          <w:sz w:val="28"/>
          <w:szCs w:val="28"/>
        </w:rPr>
      </w:pPr>
    </w:p>
    <w:p w14:paraId="03FD4A6E">
      <w:pPr>
        <w:pStyle w:val="35"/>
        <w:spacing w:beforeAutospacing="0" w:afterAutospacing="0"/>
        <w:ind w:firstLine="709"/>
        <w:jc w:val="both"/>
        <w:rPr>
          <w:rFonts w:hint="default" w:ascii="Times New Roman" w:hAnsi="Times New Roman" w:cs="Times New Roman"/>
          <w:color w:val="auto"/>
          <w:sz w:val="28"/>
          <w:szCs w:val="28"/>
        </w:rPr>
      </w:pPr>
    </w:p>
    <w:p w14:paraId="17EA390C">
      <w:pPr>
        <w:pStyle w:val="35"/>
        <w:spacing w:beforeAutospacing="0" w:afterAutospacing="0"/>
        <w:ind w:firstLine="709"/>
        <w:jc w:val="both"/>
        <w:rPr>
          <w:rFonts w:hint="default" w:ascii="Times New Roman" w:hAnsi="Times New Roman" w:cs="Times New Roman"/>
          <w:color w:val="auto"/>
          <w:sz w:val="28"/>
          <w:szCs w:val="28"/>
        </w:rPr>
      </w:pPr>
    </w:p>
    <w:p w14:paraId="79ECD673">
      <w:pPr>
        <w:pStyle w:val="35"/>
        <w:spacing w:beforeAutospacing="0" w:afterAutospacing="0"/>
        <w:ind w:firstLine="709"/>
        <w:jc w:val="both"/>
        <w:rPr>
          <w:rFonts w:hint="default" w:ascii="Times New Roman" w:hAnsi="Times New Roman" w:cs="Times New Roman"/>
          <w:color w:val="auto"/>
          <w:sz w:val="28"/>
          <w:szCs w:val="28"/>
        </w:rPr>
      </w:pPr>
    </w:p>
    <w:p w14:paraId="38536D6C">
      <w:pPr>
        <w:pStyle w:val="35"/>
        <w:spacing w:beforeAutospacing="0" w:afterAutospacing="0"/>
        <w:ind w:firstLine="709"/>
        <w:jc w:val="both"/>
        <w:rPr>
          <w:rFonts w:hint="default" w:ascii="Times New Roman" w:hAnsi="Times New Roman" w:cs="Times New Roman"/>
          <w:color w:val="auto"/>
          <w:sz w:val="28"/>
          <w:szCs w:val="28"/>
        </w:rPr>
      </w:pPr>
    </w:p>
    <w:p w14:paraId="4441D869">
      <w:pPr>
        <w:pStyle w:val="35"/>
        <w:spacing w:beforeAutospacing="0" w:afterAutospacing="0"/>
        <w:ind w:firstLine="709"/>
        <w:jc w:val="both"/>
        <w:rPr>
          <w:rFonts w:hint="default" w:ascii="Times New Roman" w:hAnsi="Times New Roman" w:cs="Times New Roman"/>
          <w:color w:val="auto"/>
          <w:sz w:val="28"/>
          <w:szCs w:val="28"/>
        </w:rPr>
      </w:pPr>
    </w:p>
    <w:p w14:paraId="7C8B9C2F">
      <w:pPr>
        <w:pStyle w:val="35"/>
        <w:spacing w:beforeAutospacing="0" w:afterAutospacing="0"/>
        <w:ind w:firstLine="709"/>
        <w:jc w:val="both"/>
        <w:rPr>
          <w:rFonts w:hint="default" w:ascii="Times New Roman" w:hAnsi="Times New Roman" w:cs="Times New Roman"/>
          <w:color w:val="auto"/>
          <w:sz w:val="28"/>
          <w:szCs w:val="28"/>
        </w:rPr>
      </w:pPr>
    </w:p>
    <w:p w14:paraId="2B3D01B0">
      <w:pPr>
        <w:pStyle w:val="35"/>
        <w:spacing w:beforeAutospacing="0" w:afterAutospacing="0"/>
        <w:ind w:firstLine="709"/>
        <w:jc w:val="both"/>
        <w:rPr>
          <w:rFonts w:hint="default" w:ascii="Times New Roman" w:hAnsi="Times New Roman" w:cs="Times New Roman"/>
          <w:color w:val="auto"/>
          <w:sz w:val="28"/>
          <w:szCs w:val="28"/>
        </w:rPr>
      </w:pPr>
    </w:p>
    <w:p w14:paraId="66DFC338">
      <w:pPr>
        <w:pStyle w:val="35"/>
        <w:spacing w:beforeAutospacing="0" w:afterAutospacing="0"/>
        <w:ind w:firstLine="709"/>
        <w:jc w:val="both"/>
        <w:rPr>
          <w:rFonts w:hint="default" w:ascii="Times New Roman" w:hAnsi="Times New Roman" w:cs="Times New Roman"/>
          <w:color w:val="auto"/>
          <w:sz w:val="28"/>
          <w:szCs w:val="28"/>
        </w:rPr>
      </w:pPr>
    </w:p>
    <w:p w14:paraId="4C7DE53F">
      <w:pPr>
        <w:pStyle w:val="35"/>
        <w:spacing w:beforeAutospacing="0" w:afterAutospacing="0"/>
        <w:ind w:firstLine="709"/>
        <w:jc w:val="both"/>
        <w:rPr>
          <w:color w:val="auto"/>
          <w:sz w:val="28"/>
          <w:szCs w:val="28"/>
        </w:rPr>
      </w:pPr>
    </w:p>
    <w:p w14:paraId="2D6750A1">
      <w:pPr>
        <w:pStyle w:val="35"/>
        <w:spacing w:beforeAutospacing="0" w:afterAutospacing="0"/>
        <w:ind w:firstLine="709"/>
        <w:jc w:val="both"/>
        <w:rPr>
          <w:color w:val="auto"/>
          <w:sz w:val="28"/>
          <w:szCs w:val="28"/>
        </w:rPr>
      </w:pPr>
    </w:p>
    <w:p w14:paraId="2D9A4105">
      <w:pPr>
        <w:pStyle w:val="35"/>
        <w:spacing w:beforeAutospacing="0" w:afterAutospacing="0"/>
        <w:ind w:firstLine="709"/>
        <w:jc w:val="both"/>
        <w:rPr>
          <w:color w:val="auto"/>
          <w:sz w:val="28"/>
          <w:szCs w:val="28"/>
        </w:rPr>
      </w:pPr>
    </w:p>
    <w:p w14:paraId="427DA9BC">
      <w:pPr>
        <w:pStyle w:val="35"/>
        <w:spacing w:beforeAutospacing="0" w:afterAutospacing="0"/>
        <w:jc w:val="both"/>
        <w:rPr>
          <w:color w:val="auto"/>
          <w:sz w:val="28"/>
          <w:szCs w:val="28"/>
          <w:lang w:val="kk-KZ"/>
        </w:rPr>
      </w:pPr>
    </w:p>
    <w:p w14:paraId="00811B2E">
      <w:pPr>
        <w:ind w:firstLine="709"/>
        <w:jc w:val="center"/>
        <w:rPr>
          <w:b/>
          <w:bCs/>
          <w:color w:val="auto"/>
          <w:szCs w:val="28"/>
          <w:lang w:val="kk-KZ"/>
        </w:rPr>
      </w:pPr>
      <w:r>
        <w:rPr>
          <w:b/>
          <w:bCs/>
          <w:color w:val="auto"/>
          <w:szCs w:val="28"/>
          <w:lang w:val="kk-KZ"/>
        </w:rPr>
        <w:t>ҚОЛДАНЫЛҒАН ӘДЕБИЕТТЕР ТІЗІМІ</w:t>
      </w:r>
    </w:p>
    <w:p w14:paraId="6BE28FCF">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280" w:firstLineChars="100"/>
        <w:jc w:val="both"/>
        <w:textAlignment w:val="auto"/>
        <w:rPr>
          <w:rFonts w:hint="default" w:ascii="Times New Roman" w:hAnsi="Times New Roman" w:cs="Times New Roman"/>
          <w:b w:val="0"/>
          <w:bCs w:val="0"/>
          <w:i w:val="0"/>
          <w:iCs w:val="0"/>
          <w:color w:val="auto"/>
          <w:sz w:val="28"/>
          <w:szCs w:val="28"/>
          <w:highlight w:val="none"/>
          <w:lang w:val="ru-RU"/>
        </w:rPr>
      </w:pPr>
      <w:r>
        <w:rPr>
          <w:rFonts w:hint="default" w:ascii="Times New Roman" w:hAnsi="Times New Roman" w:eastAsia="SimSun" w:cs="Times New Roman"/>
          <w:b w:val="0"/>
          <w:bCs w:val="0"/>
          <w:i w:val="0"/>
          <w:iCs w:val="0"/>
          <w:color w:val="auto"/>
          <w:sz w:val="28"/>
          <w:szCs w:val="28"/>
          <w:highlight w:val="none"/>
        </w:rPr>
        <w:t>Қазақстан-2050 стратегиясы – қалыптасқан мемлекеттің жаңа саяси бағыты: Қазақстан Республикасының Президенті Н.Ә. Назарбаевтың Қазақстан халқына Жолдауы, 2012 жылғы 14 желтоқсан. – Астана, 2012. – 36 б.</w:t>
      </w:r>
    </w:p>
    <w:p w14:paraId="13597FCE">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ru-RU"/>
        </w:rPr>
      </w:pPr>
      <w:r>
        <w:rPr>
          <w:rFonts w:hint="default" w:ascii="Times New Roman" w:hAnsi="Times New Roman" w:eastAsia="SimSun" w:cs="Times New Roman"/>
          <w:b w:val="0"/>
          <w:bCs w:val="0"/>
          <w:i w:val="0"/>
          <w:iCs w:val="0"/>
          <w:color w:val="auto"/>
          <w:sz w:val="28"/>
          <w:szCs w:val="28"/>
          <w:highlight w:val="none"/>
        </w:rPr>
        <w:t xml:space="preserve">«Жасыл Қазақстан» ұлттық жобасының паспортын бекіту туралы: Қазақстан Республикасы Үкіметінің 2021 жылғы 12 қазандағы № 731 қаулысы [Электрондық ресурс]. – URL: </w:t>
      </w:r>
      <w:r>
        <w:rPr>
          <w:rFonts w:hint="default" w:ascii="Times New Roman" w:hAnsi="Times New Roman" w:eastAsia="SimSun" w:cs="Times New Roman"/>
          <w:b w:val="0"/>
          <w:bCs w:val="0"/>
          <w:i w:val="0"/>
          <w:iCs w:val="0"/>
          <w:color w:val="auto"/>
          <w:sz w:val="28"/>
          <w:szCs w:val="28"/>
          <w:highlight w:val="none"/>
        </w:rPr>
        <w:fldChar w:fldCharType="begin"/>
      </w:r>
      <w:r>
        <w:rPr>
          <w:rFonts w:hint="default" w:ascii="Times New Roman" w:hAnsi="Times New Roman" w:eastAsia="SimSun" w:cs="Times New Roman"/>
          <w:b w:val="0"/>
          <w:bCs w:val="0"/>
          <w:i w:val="0"/>
          <w:iCs w:val="0"/>
          <w:color w:val="auto"/>
          <w:sz w:val="28"/>
          <w:szCs w:val="28"/>
          <w:highlight w:val="none"/>
        </w:rPr>
        <w:instrText xml:space="preserve"> HYPERLINK "https://adilet.zan.kz/kaz/docs/P2100000731" </w:instrText>
      </w:r>
      <w:r>
        <w:rPr>
          <w:rFonts w:hint="default" w:ascii="Times New Roman" w:hAnsi="Times New Roman" w:eastAsia="SimSun" w:cs="Times New Roman"/>
          <w:b w:val="0"/>
          <w:bCs w:val="0"/>
          <w:i w:val="0"/>
          <w:iCs w:val="0"/>
          <w:color w:val="auto"/>
          <w:sz w:val="28"/>
          <w:szCs w:val="28"/>
          <w:highlight w:val="none"/>
        </w:rPr>
        <w:fldChar w:fldCharType="separate"/>
      </w:r>
      <w:r>
        <w:rPr>
          <w:rStyle w:val="17"/>
          <w:rFonts w:hint="default" w:ascii="Times New Roman" w:hAnsi="Times New Roman" w:eastAsia="SimSun" w:cs="Times New Roman"/>
          <w:b w:val="0"/>
          <w:bCs w:val="0"/>
          <w:i w:val="0"/>
          <w:iCs w:val="0"/>
          <w:color w:val="auto"/>
          <w:sz w:val="28"/>
          <w:szCs w:val="28"/>
          <w:highlight w:val="none"/>
        </w:rPr>
        <w:t>https://adilet.zan.kz/kaz/docs/P2100000731</w:t>
      </w:r>
      <w:r>
        <w:rPr>
          <w:rFonts w:hint="default" w:ascii="Times New Roman" w:hAnsi="Times New Roman" w:eastAsia="SimSun" w:cs="Times New Roman"/>
          <w:b w:val="0"/>
          <w:bCs w:val="0"/>
          <w:i w:val="0"/>
          <w:iCs w:val="0"/>
          <w:color w:val="auto"/>
          <w:sz w:val="28"/>
          <w:szCs w:val="28"/>
          <w:highlight w:val="none"/>
        </w:rPr>
        <w:fldChar w:fldCharType="end"/>
      </w:r>
      <w:r>
        <w:rPr>
          <w:rFonts w:hint="default" w:ascii="Times New Roman" w:hAnsi="Times New Roman" w:eastAsia="SimSun" w:cs="Times New Roman"/>
          <w:b w:val="0"/>
          <w:bCs w:val="0"/>
          <w:i w:val="0"/>
          <w:iCs w:val="0"/>
          <w:color w:val="auto"/>
          <w:sz w:val="28"/>
          <w:szCs w:val="28"/>
          <w:highlight w:val="none"/>
        </w:rPr>
        <w:t xml:space="preserve"> (қаралған күні: 15.02.2026).</w:t>
      </w:r>
    </w:p>
    <w:p w14:paraId="039E270A">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ru-RU"/>
        </w:rPr>
      </w:pPr>
      <w:r>
        <w:rPr>
          <w:rFonts w:hint="default" w:ascii="Times New Roman" w:hAnsi="Times New Roman" w:eastAsia="SimSun" w:cs="Times New Roman"/>
          <w:b w:val="0"/>
          <w:bCs w:val="0"/>
          <w:i w:val="0"/>
          <w:iCs w:val="0"/>
          <w:color w:val="auto"/>
          <w:sz w:val="28"/>
          <w:szCs w:val="28"/>
          <w:highlight w:val="none"/>
        </w:rPr>
        <w:t xml:space="preserve">Қоршаған ортаның жай-күйі туралы және Қазақстан Республикасының табиғи ресурстарын пайдалану туралы ұлттық баяндама (2022 жыл) [Электрондық ресурс] / ҚР Экология және табиғи ресурстар министрлігі. – Астана, 2023. – 254 б. – URL: </w:t>
      </w:r>
      <w:r>
        <w:rPr>
          <w:rFonts w:hint="default" w:ascii="Times New Roman" w:hAnsi="Times New Roman" w:eastAsia="SimSun" w:cs="Times New Roman"/>
          <w:b w:val="0"/>
          <w:bCs w:val="0"/>
          <w:i w:val="0"/>
          <w:iCs w:val="0"/>
          <w:color w:val="auto"/>
          <w:sz w:val="28"/>
          <w:szCs w:val="28"/>
          <w:highlight w:val="none"/>
        </w:rPr>
        <w:fldChar w:fldCharType="begin"/>
      </w:r>
      <w:r>
        <w:rPr>
          <w:rFonts w:hint="default" w:ascii="Times New Roman" w:hAnsi="Times New Roman" w:eastAsia="SimSun" w:cs="Times New Roman"/>
          <w:b w:val="0"/>
          <w:bCs w:val="0"/>
          <w:i w:val="0"/>
          <w:iCs w:val="0"/>
          <w:color w:val="auto"/>
          <w:sz w:val="28"/>
          <w:szCs w:val="28"/>
          <w:highlight w:val="none"/>
        </w:rPr>
        <w:instrText xml:space="preserve"> HYPERLINK "https://www.gov.kz/uploads/2022/12/12/64c3c8d6da84ad7912d11cdfd06ee9a7_original.9012009.pdf" </w:instrText>
      </w:r>
      <w:r>
        <w:rPr>
          <w:rFonts w:hint="default" w:ascii="Times New Roman" w:hAnsi="Times New Roman" w:eastAsia="SimSun" w:cs="Times New Roman"/>
          <w:b w:val="0"/>
          <w:bCs w:val="0"/>
          <w:i w:val="0"/>
          <w:iCs w:val="0"/>
          <w:color w:val="auto"/>
          <w:sz w:val="28"/>
          <w:szCs w:val="28"/>
          <w:highlight w:val="none"/>
        </w:rPr>
        <w:fldChar w:fldCharType="separate"/>
      </w:r>
      <w:r>
        <w:rPr>
          <w:rStyle w:val="17"/>
          <w:rFonts w:hint="default" w:ascii="Times New Roman" w:hAnsi="Times New Roman" w:eastAsia="SimSun" w:cs="Times New Roman"/>
          <w:b w:val="0"/>
          <w:bCs w:val="0"/>
          <w:i w:val="0"/>
          <w:iCs w:val="0"/>
          <w:color w:val="auto"/>
          <w:sz w:val="28"/>
          <w:szCs w:val="28"/>
          <w:highlight w:val="none"/>
        </w:rPr>
        <w:t>https://www.gov.kz/uploads/2022/12/12/64c3c8d6da84ad7912d11cdfd06ee9a7_original.9012009.pdf</w:t>
      </w:r>
      <w:r>
        <w:rPr>
          <w:rFonts w:hint="default" w:ascii="Times New Roman" w:hAnsi="Times New Roman" w:eastAsia="SimSun" w:cs="Times New Roman"/>
          <w:b w:val="0"/>
          <w:bCs w:val="0"/>
          <w:i w:val="0"/>
          <w:iCs w:val="0"/>
          <w:color w:val="auto"/>
          <w:sz w:val="28"/>
          <w:szCs w:val="28"/>
          <w:highlight w:val="none"/>
        </w:rPr>
        <w:fldChar w:fldCharType="end"/>
      </w:r>
      <w:r>
        <w:rPr>
          <w:rFonts w:hint="default" w:ascii="Times New Roman" w:hAnsi="Times New Roman" w:eastAsia="SimSun" w:cs="Times New Roman"/>
          <w:b w:val="0"/>
          <w:bCs w:val="0"/>
          <w:i w:val="0"/>
          <w:iCs w:val="0"/>
          <w:color w:val="auto"/>
          <w:sz w:val="28"/>
          <w:szCs w:val="28"/>
          <w:highlight w:val="none"/>
        </w:rPr>
        <w:t xml:space="preserve"> (қаралған күні: 15.02.2026).</w:t>
      </w:r>
    </w:p>
    <w:p w14:paraId="34ECAD01">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ru-RU"/>
        </w:rPr>
      </w:pPr>
      <w:r>
        <w:rPr>
          <w:rFonts w:hint="default" w:ascii="Times New Roman" w:hAnsi="Times New Roman" w:eastAsia="SimSun" w:cs="Times New Roman"/>
          <w:b w:val="0"/>
          <w:bCs w:val="0"/>
          <w:i w:val="0"/>
          <w:iCs w:val="0"/>
          <w:color w:val="auto"/>
          <w:sz w:val="28"/>
          <w:szCs w:val="28"/>
          <w:highlight w:val="none"/>
        </w:rPr>
        <w:t xml:space="preserve">Қазақстан Республикасындағы қоршаған ортаны қорғау: статистикалық жинақ [Электрондық ресурс] / ҚР Стратегиялық жоспарлау және реформалар агенттігі Ұлттық статистика бюросы. – Астана, 2023. – URL: </w:t>
      </w:r>
      <w:r>
        <w:rPr>
          <w:rFonts w:hint="default" w:ascii="Times New Roman" w:hAnsi="Times New Roman" w:eastAsia="SimSun" w:cs="Times New Roman"/>
          <w:b w:val="0"/>
          <w:bCs w:val="0"/>
          <w:i w:val="0"/>
          <w:iCs w:val="0"/>
          <w:color w:val="auto"/>
          <w:sz w:val="28"/>
          <w:szCs w:val="28"/>
          <w:highlight w:val="none"/>
        </w:rPr>
        <w:fldChar w:fldCharType="begin"/>
      </w:r>
      <w:r>
        <w:rPr>
          <w:rFonts w:hint="default" w:ascii="Times New Roman" w:hAnsi="Times New Roman" w:eastAsia="SimSun" w:cs="Times New Roman"/>
          <w:b w:val="0"/>
          <w:bCs w:val="0"/>
          <w:i w:val="0"/>
          <w:iCs w:val="0"/>
          <w:color w:val="auto"/>
          <w:sz w:val="28"/>
          <w:szCs w:val="28"/>
          <w:highlight w:val="none"/>
        </w:rPr>
        <w:instrText xml:space="preserve"> HYPERLINK "https://stat.gov.kz/industries/environment/stat-eco/" </w:instrText>
      </w:r>
      <w:r>
        <w:rPr>
          <w:rFonts w:hint="default" w:ascii="Times New Roman" w:hAnsi="Times New Roman" w:eastAsia="SimSun" w:cs="Times New Roman"/>
          <w:b w:val="0"/>
          <w:bCs w:val="0"/>
          <w:i w:val="0"/>
          <w:iCs w:val="0"/>
          <w:color w:val="auto"/>
          <w:sz w:val="28"/>
          <w:szCs w:val="28"/>
          <w:highlight w:val="none"/>
        </w:rPr>
        <w:fldChar w:fldCharType="separate"/>
      </w:r>
      <w:r>
        <w:rPr>
          <w:rStyle w:val="17"/>
          <w:rFonts w:hint="default" w:ascii="Times New Roman" w:hAnsi="Times New Roman" w:eastAsia="SimSun" w:cs="Times New Roman"/>
          <w:b w:val="0"/>
          <w:bCs w:val="0"/>
          <w:i w:val="0"/>
          <w:iCs w:val="0"/>
          <w:color w:val="auto"/>
          <w:sz w:val="28"/>
          <w:szCs w:val="28"/>
          <w:highlight w:val="none"/>
        </w:rPr>
        <w:t>https://stat.gov.kz/industries/environment/stat-eco/</w:t>
      </w:r>
      <w:r>
        <w:rPr>
          <w:rFonts w:hint="default" w:ascii="Times New Roman" w:hAnsi="Times New Roman" w:eastAsia="SimSun" w:cs="Times New Roman"/>
          <w:b w:val="0"/>
          <w:bCs w:val="0"/>
          <w:i w:val="0"/>
          <w:iCs w:val="0"/>
          <w:color w:val="auto"/>
          <w:sz w:val="28"/>
          <w:szCs w:val="28"/>
          <w:highlight w:val="none"/>
        </w:rPr>
        <w:fldChar w:fldCharType="end"/>
      </w:r>
      <w:r>
        <w:rPr>
          <w:rFonts w:hint="default" w:ascii="Times New Roman" w:hAnsi="Times New Roman" w:eastAsia="SimSun" w:cs="Times New Roman"/>
          <w:b w:val="0"/>
          <w:bCs w:val="0"/>
          <w:i w:val="0"/>
          <w:iCs w:val="0"/>
          <w:color w:val="auto"/>
          <w:sz w:val="28"/>
          <w:szCs w:val="28"/>
          <w:highlight w:val="none"/>
        </w:rPr>
        <w:t xml:space="preserve"> (қаралған күні: 15.02.2026).</w:t>
      </w:r>
    </w:p>
    <w:p w14:paraId="097D9FF2">
      <w:pPr>
        <w:keepNext w:val="0"/>
        <w:keepLines w:val="0"/>
        <w:pageBreakBefore w:val="0"/>
        <w:widowControl/>
        <w:numPr>
          <w:ilvl w:val="0"/>
          <w:numId w:val="14"/>
        </w:numPr>
        <w:kinsoku/>
        <w:wordWrap/>
        <w:overflowPunct/>
        <w:topLinePunct w:val="0"/>
        <w:autoSpaceDE/>
        <w:autoSpaceDN/>
        <w:bidi w:val="0"/>
        <w:adjustRightInd/>
        <w:snapToGrid/>
        <w:spacing w:after="0"/>
        <w:ind w:left="-280" w:leftChars="-100" w:firstLine="350" w:firstLineChars="125"/>
        <w:jc w:val="both"/>
        <w:textAlignment w:val="auto"/>
        <w:rPr>
          <w:rStyle w:val="11"/>
          <w:rFonts w:hint="default" w:ascii="Times New Roman" w:hAnsi="Times New Roman" w:cs="Times New Roman"/>
          <w:b w:val="0"/>
          <w:bCs w:val="0"/>
          <w:i w:val="0"/>
          <w:iCs w:val="0"/>
          <w:color w:val="auto"/>
          <w:sz w:val="28"/>
          <w:szCs w:val="28"/>
          <w:highlight w:val="none"/>
        </w:rPr>
      </w:pPr>
      <w:r>
        <w:rPr>
          <w:rFonts w:hint="default" w:ascii="Times New Roman" w:hAnsi="Times New Roman" w:eastAsia="Segoe UI" w:cs="Times New Roman"/>
          <w:b w:val="0"/>
          <w:bCs w:val="0"/>
          <w:i w:val="0"/>
          <w:iCs w:val="0"/>
          <w:caps w:val="0"/>
          <w:color w:val="auto"/>
          <w:spacing w:val="0"/>
          <w:sz w:val="28"/>
          <w:szCs w:val="28"/>
          <w:highlight w:val="none"/>
          <w:shd w:val="clear" w:fill="FFFFFF"/>
        </w:rPr>
        <w:t>Препарат "Бакойл-KZ" для очистки почв от нефти и нефтепродуктов: пат. 24879 Республика Қазақстан: МПК C02F 3/34, A62D 3/00 / Сатбаева А.Б., Жақыпбекова А.Т., Жұмаділова А.Ж., Берікқожина Г.Ж., Сейсенбаева Г.К., Төлеу Б.Г., Айтжанова Н.С., Мырзахметова М.К., Сабирова А.В., Мұқанова Д.Р., Мұқанов Е.О., Досмаилова Б.Д. ; заявитель и патентообладатель Республикалық мемлекеттік кәсіпорын "Ұлттық биотехнология орталығы". – № 2010/0856.1 ; заявл. 06.08.2010 ; опубл. 16.03.2012, Бюл. № 3. – 8 б.</w:t>
      </w:r>
    </w:p>
    <w:p w14:paraId="3871CB32">
      <w:pPr>
        <w:keepNext w:val="0"/>
        <w:keepLines w:val="0"/>
        <w:pageBreakBefore w:val="0"/>
        <w:widowControl/>
        <w:numPr>
          <w:ilvl w:val="0"/>
          <w:numId w:val="14"/>
        </w:numPr>
        <w:kinsoku/>
        <w:wordWrap/>
        <w:overflowPunct/>
        <w:topLinePunct w:val="0"/>
        <w:autoSpaceDE/>
        <w:autoSpaceDN/>
        <w:bidi w:val="0"/>
        <w:adjustRightInd/>
        <w:snapToGrid/>
        <w:spacing w:after="0"/>
        <w:ind w:left="-280" w:leftChars="-100" w:firstLine="350" w:firstLineChars="125"/>
        <w:jc w:val="both"/>
        <w:textAlignment w:val="auto"/>
        <w:rPr>
          <w:rStyle w:val="11"/>
          <w:rFonts w:hint="default" w:ascii="Times New Roman" w:hAnsi="Times New Roman" w:cs="Times New Roman"/>
          <w:b w:val="0"/>
          <w:bCs w:val="0"/>
          <w:i w:val="0"/>
          <w:iCs w:val="0"/>
          <w:color w:val="auto"/>
          <w:sz w:val="28"/>
          <w:szCs w:val="28"/>
          <w:highlight w:val="none"/>
        </w:rPr>
      </w:pPr>
      <w:r>
        <w:rPr>
          <w:rStyle w:val="11"/>
          <w:rFonts w:hint="default" w:ascii="Times New Roman" w:hAnsi="Times New Roman" w:cs="Times New Roman"/>
          <w:b w:val="0"/>
          <w:bCs w:val="0"/>
          <w:i w:val="0"/>
          <w:iCs w:val="0"/>
          <w:color w:val="auto"/>
          <w:sz w:val="28"/>
          <w:szCs w:val="28"/>
          <w:highlight w:val="none"/>
        </w:rPr>
        <w:t xml:space="preserve">TAdviser. Добыча нефти в мире. Добыча газа в странах СНГ в 2024 году. — 2025. — URL: </w:t>
      </w:r>
      <w:r>
        <w:rPr>
          <w:rStyle w:val="11"/>
          <w:rFonts w:hint="default" w:ascii="Times New Roman" w:hAnsi="Times New Roman" w:cs="Times New Roman"/>
          <w:b w:val="0"/>
          <w:bCs w:val="0"/>
          <w:i w:val="0"/>
          <w:iCs w:val="0"/>
          <w:color w:val="auto"/>
          <w:sz w:val="28"/>
          <w:szCs w:val="28"/>
          <w:highlight w:val="none"/>
        </w:rPr>
        <w:fldChar w:fldCharType="begin"/>
      </w:r>
      <w:r>
        <w:rPr>
          <w:rStyle w:val="11"/>
          <w:rFonts w:hint="default" w:ascii="Times New Roman" w:hAnsi="Times New Roman" w:cs="Times New Roman"/>
          <w:b w:val="0"/>
          <w:bCs w:val="0"/>
          <w:i w:val="0"/>
          <w:iCs w:val="0"/>
          <w:color w:val="auto"/>
          <w:sz w:val="28"/>
          <w:szCs w:val="28"/>
          <w:highlight w:val="none"/>
        </w:rPr>
        <w:instrText xml:space="preserve"> HYPERLINK "https://www.tadviser.ru/index.php/%D0%A1%D1%82%D0%B0%D1%82%D1%8C%D1%8F:%D0%94%D0%BE%D0%B1%D1%8B%D1%87%D0%B0_%D0%BD%D0%B5%D1%84%D1%82%D0%B8_%D0%B2_%D0%BC%D0%B8%D1%80%D0%B5" </w:instrText>
      </w:r>
      <w:r>
        <w:rPr>
          <w:rStyle w:val="11"/>
          <w:rFonts w:hint="default" w:ascii="Times New Roman" w:hAnsi="Times New Roman" w:cs="Times New Roman"/>
          <w:b w:val="0"/>
          <w:bCs w:val="0"/>
          <w:i w:val="0"/>
          <w:iCs w:val="0"/>
          <w:color w:val="auto"/>
          <w:sz w:val="28"/>
          <w:szCs w:val="28"/>
          <w:highlight w:val="none"/>
        </w:rPr>
        <w:fldChar w:fldCharType="separate"/>
      </w:r>
      <w:r>
        <w:rPr>
          <w:rStyle w:val="11"/>
          <w:rFonts w:hint="default" w:ascii="Times New Roman" w:hAnsi="Times New Roman" w:cs="Times New Roman"/>
          <w:b w:val="0"/>
          <w:bCs w:val="0"/>
          <w:i w:val="0"/>
          <w:iCs w:val="0"/>
          <w:color w:val="auto"/>
          <w:sz w:val="28"/>
          <w:szCs w:val="28"/>
          <w:highlight w:val="none"/>
        </w:rPr>
        <w:t>https://www.tadviser.ru/index.php/Статья:Добыча_нефти_в_мире</w:t>
      </w:r>
      <w:r>
        <w:rPr>
          <w:rStyle w:val="11"/>
          <w:rFonts w:hint="default" w:ascii="Times New Roman" w:hAnsi="Times New Roman" w:cs="Times New Roman"/>
          <w:b w:val="0"/>
          <w:bCs w:val="0"/>
          <w:i w:val="0"/>
          <w:iCs w:val="0"/>
          <w:color w:val="auto"/>
          <w:sz w:val="28"/>
          <w:szCs w:val="28"/>
          <w:highlight w:val="none"/>
        </w:rPr>
        <w:fldChar w:fldCharType="end"/>
      </w:r>
    </w:p>
    <w:p w14:paraId="0752EA33">
      <w:pPr>
        <w:keepNext w:val="0"/>
        <w:keepLines w:val="0"/>
        <w:pageBreakBefore w:val="0"/>
        <w:widowControl/>
        <w:numPr>
          <w:ilvl w:val="0"/>
          <w:numId w:val="14"/>
        </w:numPr>
        <w:kinsoku/>
        <w:wordWrap/>
        <w:overflowPunct/>
        <w:topLinePunct w:val="0"/>
        <w:autoSpaceDE/>
        <w:autoSpaceDN/>
        <w:bidi w:val="0"/>
        <w:adjustRightInd/>
        <w:snapToGrid/>
        <w:spacing w:after="0"/>
        <w:ind w:left="-280" w:leftChars="-100" w:firstLine="350" w:firstLineChars="125"/>
        <w:jc w:val="both"/>
        <w:textAlignment w:val="auto"/>
        <w:rPr>
          <w:rStyle w:val="11"/>
          <w:rFonts w:hint="default" w:ascii="Times New Roman" w:hAnsi="Times New Roman" w:cs="Times New Roman"/>
          <w:b w:val="0"/>
          <w:bCs w:val="0"/>
          <w:i w:val="0"/>
          <w:iCs w:val="0"/>
          <w:color w:val="auto"/>
          <w:sz w:val="28"/>
          <w:szCs w:val="28"/>
          <w:highlight w:val="none"/>
        </w:rPr>
      </w:pPr>
      <w:r>
        <w:rPr>
          <w:rStyle w:val="11"/>
          <w:rFonts w:hint="default" w:ascii="Times New Roman" w:hAnsi="Times New Roman" w:cs="Times New Roman"/>
          <w:b w:val="0"/>
          <w:bCs w:val="0"/>
          <w:i w:val="0"/>
          <w:iCs w:val="0"/>
          <w:color w:val="auto"/>
          <w:sz w:val="28"/>
          <w:szCs w:val="28"/>
          <w:highlight w:val="none"/>
        </w:rPr>
        <w:t xml:space="preserve">ҚР Энергетика министрлігі. Добыча нефти в Казахстане по итогам 2024 года. — 2024. — URL: </w:t>
      </w:r>
      <w:r>
        <w:rPr>
          <w:rStyle w:val="11"/>
          <w:rFonts w:hint="default" w:ascii="Times New Roman" w:hAnsi="Times New Roman" w:cs="Times New Roman"/>
          <w:b w:val="0"/>
          <w:bCs w:val="0"/>
          <w:i w:val="0"/>
          <w:iCs w:val="0"/>
          <w:color w:val="auto"/>
          <w:sz w:val="28"/>
          <w:szCs w:val="28"/>
          <w:highlight w:val="none"/>
        </w:rPr>
        <w:fldChar w:fldCharType="begin"/>
      </w:r>
      <w:r>
        <w:rPr>
          <w:rStyle w:val="11"/>
          <w:rFonts w:hint="default" w:ascii="Times New Roman" w:hAnsi="Times New Roman" w:cs="Times New Roman"/>
          <w:b w:val="0"/>
          <w:bCs w:val="0"/>
          <w:i w:val="0"/>
          <w:iCs w:val="0"/>
          <w:color w:val="auto"/>
          <w:sz w:val="28"/>
          <w:szCs w:val="28"/>
          <w:highlight w:val="none"/>
        </w:rPr>
        <w:instrText xml:space="preserve"> HYPERLINK "https://online.zakon.kz/Document/?doc_id=35691851" </w:instrText>
      </w:r>
      <w:r>
        <w:rPr>
          <w:rStyle w:val="11"/>
          <w:rFonts w:hint="default" w:ascii="Times New Roman" w:hAnsi="Times New Roman" w:cs="Times New Roman"/>
          <w:b w:val="0"/>
          <w:bCs w:val="0"/>
          <w:i w:val="0"/>
          <w:iCs w:val="0"/>
          <w:color w:val="auto"/>
          <w:sz w:val="28"/>
          <w:szCs w:val="28"/>
          <w:highlight w:val="none"/>
        </w:rPr>
        <w:fldChar w:fldCharType="separate"/>
      </w:r>
      <w:r>
        <w:rPr>
          <w:rStyle w:val="11"/>
          <w:rFonts w:hint="default" w:ascii="Times New Roman" w:hAnsi="Times New Roman" w:cs="Times New Roman"/>
          <w:b w:val="0"/>
          <w:bCs w:val="0"/>
          <w:i w:val="0"/>
          <w:iCs w:val="0"/>
          <w:color w:val="auto"/>
          <w:sz w:val="28"/>
          <w:szCs w:val="28"/>
          <w:highlight w:val="none"/>
        </w:rPr>
        <w:t>https://online.zakon.kz/Document/?doc_id=35691851</w:t>
      </w:r>
      <w:r>
        <w:rPr>
          <w:rStyle w:val="11"/>
          <w:rFonts w:hint="default" w:ascii="Times New Roman" w:hAnsi="Times New Roman" w:cs="Times New Roman"/>
          <w:b w:val="0"/>
          <w:bCs w:val="0"/>
          <w:i w:val="0"/>
          <w:iCs w:val="0"/>
          <w:color w:val="auto"/>
          <w:sz w:val="28"/>
          <w:szCs w:val="28"/>
          <w:highlight w:val="none"/>
        </w:rPr>
        <w:fldChar w:fldCharType="end"/>
      </w:r>
    </w:p>
    <w:p w14:paraId="18C8B14E">
      <w:pPr>
        <w:keepNext w:val="0"/>
        <w:keepLines w:val="0"/>
        <w:pageBreakBefore w:val="0"/>
        <w:widowControl/>
        <w:numPr>
          <w:ilvl w:val="0"/>
          <w:numId w:val="14"/>
        </w:numPr>
        <w:kinsoku/>
        <w:wordWrap/>
        <w:overflowPunct/>
        <w:topLinePunct w:val="0"/>
        <w:autoSpaceDE/>
        <w:autoSpaceDN/>
        <w:bidi w:val="0"/>
        <w:adjustRightInd/>
        <w:snapToGrid/>
        <w:spacing w:after="0"/>
        <w:ind w:left="-280" w:leftChars="-100" w:firstLine="350" w:firstLineChars="125"/>
        <w:jc w:val="both"/>
        <w:textAlignment w:val="auto"/>
        <w:rPr>
          <w:rStyle w:val="11"/>
          <w:rFonts w:hint="default" w:ascii="Times New Roman" w:hAnsi="Times New Roman" w:cs="Times New Roman"/>
          <w:b w:val="0"/>
          <w:bCs w:val="0"/>
          <w:i w:val="0"/>
          <w:iCs w:val="0"/>
          <w:color w:val="auto"/>
          <w:sz w:val="28"/>
          <w:szCs w:val="28"/>
          <w:highlight w:val="none"/>
          <w:lang w:val="ru-RU"/>
        </w:rPr>
      </w:pPr>
      <w:r>
        <w:rPr>
          <w:rStyle w:val="11"/>
          <w:rFonts w:hint="default" w:ascii="Times New Roman" w:hAnsi="Times New Roman" w:cs="Times New Roman"/>
          <w:b w:val="0"/>
          <w:bCs w:val="0"/>
          <w:i w:val="0"/>
          <w:iCs w:val="0"/>
          <w:color w:val="auto"/>
          <w:sz w:val="28"/>
          <w:szCs w:val="28"/>
          <w:highlight w:val="none"/>
        </w:rPr>
        <w:t xml:space="preserve">Petrocouncil.kz. Каковы объемы добычи и потребления нефти в Казахстане и мире. — 2024. — URL: </w:t>
      </w:r>
      <w:r>
        <w:rPr>
          <w:rStyle w:val="11"/>
          <w:rFonts w:hint="default" w:ascii="Times New Roman" w:hAnsi="Times New Roman" w:cs="Times New Roman"/>
          <w:b w:val="0"/>
          <w:bCs w:val="0"/>
          <w:i w:val="0"/>
          <w:iCs w:val="0"/>
          <w:color w:val="auto"/>
          <w:sz w:val="28"/>
          <w:szCs w:val="28"/>
          <w:highlight w:val="none"/>
        </w:rPr>
        <w:fldChar w:fldCharType="begin"/>
      </w:r>
      <w:r>
        <w:rPr>
          <w:rStyle w:val="11"/>
          <w:rFonts w:hint="default" w:ascii="Times New Roman" w:hAnsi="Times New Roman" w:cs="Times New Roman"/>
          <w:b w:val="0"/>
          <w:bCs w:val="0"/>
          <w:i w:val="0"/>
          <w:iCs w:val="0"/>
          <w:color w:val="auto"/>
          <w:sz w:val="28"/>
          <w:szCs w:val="28"/>
          <w:highlight w:val="none"/>
        </w:rPr>
        <w:instrText xml:space="preserve"> HYPERLINK "https://petrocouncil.kz/ru/novost/kakovy-obemy-dobychi-i-potrebleniya-nefti-v-kazahstane-i-mire" </w:instrText>
      </w:r>
      <w:r>
        <w:rPr>
          <w:rStyle w:val="11"/>
          <w:rFonts w:hint="default" w:ascii="Times New Roman" w:hAnsi="Times New Roman" w:cs="Times New Roman"/>
          <w:b w:val="0"/>
          <w:bCs w:val="0"/>
          <w:i w:val="0"/>
          <w:iCs w:val="0"/>
          <w:color w:val="auto"/>
          <w:sz w:val="28"/>
          <w:szCs w:val="28"/>
          <w:highlight w:val="none"/>
        </w:rPr>
        <w:fldChar w:fldCharType="separate"/>
      </w:r>
      <w:r>
        <w:rPr>
          <w:rStyle w:val="11"/>
          <w:rFonts w:hint="default" w:ascii="Times New Roman" w:hAnsi="Times New Roman" w:cs="Times New Roman"/>
          <w:b w:val="0"/>
          <w:bCs w:val="0"/>
          <w:i w:val="0"/>
          <w:iCs w:val="0"/>
          <w:color w:val="auto"/>
          <w:sz w:val="28"/>
          <w:szCs w:val="28"/>
          <w:highlight w:val="none"/>
        </w:rPr>
        <w:t>https://petrocouncil.kz/ru/novost/kakovy-obemy-dobychi-i-potrebleniya-nefti-v-kazahstane-i-mire</w:t>
      </w:r>
      <w:r>
        <w:rPr>
          <w:rStyle w:val="11"/>
          <w:rFonts w:hint="default" w:ascii="Times New Roman" w:hAnsi="Times New Roman" w:cs="Times New Roman"/>
          <w:b w:val="0"/>
          <w:bCs w:val="0"/>
          <w:i w:val="0"/>
          <w:iCs w:val="0"/>
          <w:color w:val="auto"/>
          <w:sz w:val="28"/>
          <w:szCs w:val="28"/>
          <w:highlight w:val="none"/>
        </w:rPr>
        <w:fldChar w:fldCharType="end"/>
      </w:r>
    </w:p>
    <w:p w14:paraId="42FD1ABF">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ru-RU"/>
        </w:rPr>
      </w:pPr>
      <w:r>
        <w:rPr>
          <w:rFonts w:hint="default" w:ascii="Times New Roman" w:hAnsi="Times New Roman" w:cs="Times New Roman"/>
          <w:b w:val="0"/>
          <w:bCs w:val="0"/>
          <w:i w:val="0"/>
          <w:iCs w:val="0"/>
          <w:color w:val="auto"/>
          <w:sz w:val="28"/>
          <w:szCs w:val="28"/>
          <w:highlight w:val="none"/>
          <w:lang w:val="ru-RU"/>
        </w:rPr>
        <w:t>Brown, T. Waste Generation in the Oil Industry: International Practices and Coefficients / T. Brown // Journal of Petroleum Science and Engineering. – 2019. – Vol. 181. – P. 106–115.</w:t>
      </w:r>
    </w:p>
    <w:p w14:paraId="6FD2B293">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ru-RU"/>
        </w:rPr>
      </w:pPr>
      <w:r>
        <w:rPr>
          <w:rFonts w:hint="default" w:ascii="Times New Roman" w:hAnsi="Times New Roman" w:eastAsia="SimSun" w:cs="Times New Roman"/>
          <w:b w:val="0"/>
          <w:bCs w:val="0"/>
          <w:i w:val="0"/>
          <w:iCs w:val="0"/>
          <w:color w:val="auto"/>
          <w:sz w:val="28"/>
          <w:szCs w:val="28"/>
          <w:highlight w:val="none"/>
        </w:rPr>
        <w:t xml:space="preserve">Қоршаған ортаны бақылау мен бағалаудың экологиялық индикаторлары: қалдықтар [Электрондық ресурс] / ҚР Ұлттық статистика бюросы. – URL: </w:t>
      </w:r>
      <w:r>
        <w:rPr>
          <w:rFonts w:hint="default" w:ascii="Times New Roman" w:hAnsi="Times New Roman" w:eastAsia="SimSun" w:cs="Times New Roman"/>
          <w:b w:val="0"/>
          <w:bCs w:val="0"/>
          <w:i w:val="0"/>
          <w:iCs w:val="0"/>
          <w:color w:val="auto"/>
          <w:sz w:val="28"/>
          <w:szCs w:val="28"/>
          <w:highlight w:val="none"/>
        </w:rPr>
        <w:fldChar w:fldCharType="begin"/>
      </w:r>
      <w:r>
        <w:rPr>
          <w:rFonts w:hint="default" w:ascii="Times New Roman" w:hAnsi="Times New Roman" w:eastAsia="SimSun" w:cs="Times New Roman"/>
          <w:b w:val="0"/>
          <w:bCs w:val="0"/>
          <w:i w:val="0"/>
          <w:iCs w:val="0"/>
          <w:color w:val="auto"/>
          <w:sz w:val="28"/>
          <w:szCs w:val="28"/>
          <w:highlight w:val="none"/>
        </w:rPr>
        <w:instrText xml:space="preserve"> HYPERLINK "https://stat.gov.kz/ecologic-indicators/28460/waste_reuse/" </w:instrText>
      </w:r>
      <w:r>
        <w:rPr>
          <w:rFonts w:hint="default" w:ascii="Times New Roman" w:hAnsi="Times New Roman" w:eastAsia="SimSun" w:cs="Times New Roman"/>
          <w:b w:val="0"/>
          <w:bCs w:val="0"/>
          <w:i w:val="0"/>
          <w:iCs w:val="0"/>
          <w:color w:val="auto"/>
          <w:sz w:val="28"/>
          <w:szCs w:val="28"/>
          <w:highlight w:val="none"/>
        </w:rPr>
        <w:fldChar w:fldCharType="separate"/>
      </w:r>
      <w:r>
        <w:rPr>
          <w:rStyle w:val="17"/>
          <w:rFonts w:hint="default" w:ascii="Times New Roman" w:hAnsi="Times New Roman" w:eastAsia="SimSun" w:cs="Times New Roman"/>
          <w:b w:val="0"/>
          <w:bCs w:val="0"/>
          <w:i w:val="0"/>
          <w:iCs w:val="0"/>
          <w:color w:val="auto"/>
          <w:sz w:val="28"/>
          <w:szCs w:val="28"/>
          <w:highlight w:val="none"/>
        </w:rPr>
        <w:t>https://stat.gov.kz/ecologic-indicators/28460/waste_reuse/</w:t>
      </w:r>
      <w:r>
        <w:rPr>
          <w:rFonts w:hint="default" w:ascii="Times New Roman" w:hAnsi="Times New Roman" w:eastAsia="SimSun" w:cs="Times New Roman"/>
          <w:b w:val="0"/>
          <w:bCs w:val="0"/>
          <w:i w:val="0"/>
          <w:iCs w:val="0"/>
          <w:color w:val="auto"/>
          <w:sz w:val="28"/>
          <w:szCs w:val="28"/>
          <w:highlight w:val="none"/>
        </w:rPr>
        <w:fldChar w:fldCharType="end"/>
      </w:r>
      <w:r>
        <w:rPr>
          <w:rFonts w:hint="default" w:ascii="Times New Roman" w:hAnsi="Times New Roman" w:eastAsia="SimSun" w:cs="Times New Roman"/>
          <w:b w:val="0"/>
          <w:bCs w:val="0"/>
          <w:i w:val="0"/>
          <w:iCs w:val="0"/>
          <w:color w:val="auto"/>
          <w:sz w:val="28"/>
          <w:szCs w:val="28"/>
          <w:highlight w:val="none"/>
        </w:rPr>
        <w:t xml:space="preserve"> (қаралған күні: 15.02.2026).</w:t>
      </w:r>
    </w:p>
    <w:p w14:paraId="48F9CEC8">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ru-RU"/>
        </w:rPr>
      </w:pPr>
      <w:r>
        <w:rPr>
          <w:rFonts w:hint="default" w:ascii="Times New Roman" w:hAnsi="Times New Roman" w:eastAsia="SimSun" w:cs="Times New Roman"/>
          <w:b w:val="0"/>
          <w:bCs w:val="0"/>
          <w:i w:val="0"/>
          <w:iCs w:val="0"/>
          <w:color w:val="auto"/>
          <w:sz w:val="28"/>
          <w:szCs w:val="28"/>
          <w:highlight w:val="none"/>
        </w:rPr>
        <w:t>Gilan, R.S. Bioremediation of petroleum-contaminated soil in arid region using different arid-tolerant tree, shrub, and grass plant species with bacteria / R.S. Gilan, Y. Parvizi, E. Pazira [et al.] // International Journal of Environmental Science and Technology. – 2022. – Vol. 19. – P. 11879–11890. – DOI: 10.1007/s13762-022-04420-4.</w:t>
      </w:r>
    </w:p>
    <w:p w14:paraId="7A468D9C">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ru-RU"/>
        </w:rPr>
      </w:pPr>
      <w:r>
        <w:rPr>
          <w:rFonts w:hint="default" w:ascii="Times New Roman" w:hAnsi="Times New Roman" w:eastAsia="SimSun" w:cs="Times New Roman"/>
          <w:b w:val="0"/>
          <w:bCs w:val="0"/>
          <w:i w:val="0"/>
          <w:iCs w:val="0"/>
          <w:color w:val="auto"/>
          <w:sz w:val="28"/>
          <w:szCs w:val="28"/>
          <w:highlight w:val="none"/>
        </w:rPr>
        <w:t xml:space="preserve">Кобегенова, Х.Н. Экологическое состояние земельных ресурсов Республики Казахстан / Х.Н. Кобегенова, Т.К. Шакенова // Вестник КазНУ. Серия географическая. – 2018. – № 2. – С. 45–52. – URL: </w:t>
      </w:r>
      <w:r>
        <w:rPr>
          <w:rFonts w:hint="default" w:ascii="Times New Roman" w:hAnsi="Times New Roman" w:eastAsia="SimSun" w:cs="Times New Roman"/>
          <w:b w:val="0"/>
          <w:bCs w:val="0"/>
          <w:i w:val="0"/>
          <w:iCs w:val="0"/>
          <w:color w:val="auto"/>
          <w:sz w:val="28"/>
          <w:szCs w:val="28"/>
          <w:highlight w:val="none"/>
        </w:rPr>
        <w:fldChar w:fldCharType="begin"/>
      </w:r>
      <w:r>
        <w:rPr>
          <w:rFonts w:hint="default" w:ascii="Times New Roman" w:hAnsi="Times New Roman" w:eastAsia="SimSun" w:cs="Times New Roman"/>
          <w:b w:val="0"/>
          <w:bCs w:val="0"/>
          <w:i w:val="0"/>
          <w:iCs w:val="0"/>
          <w:color w:val="auto"/>
          <w:sz w:val="28"/>
          <w:szCs w:val="28"/>
          <w:highlight w:val="none"/>
        </w:rPr>
        <w:instrText xml:space="preserve"> HYPERLINK "https://cyberleninka.ru/article/n/ekologicheskoe-sostoyanie-zemelnyh-resursov-respubliki-kazahstan" </w:instrText>
      </w:r>
      <w:r>
        <w:rPr>
          <w:rFonts w:hint="default" w:ascii="Times New Roman" w:hAnsi="Times New Roman" w:eastAsia="SimSun" w:cs="Times New Roman"/>
          <w:b w:val="0"/>
          <w:bCs w:val="0"/>
          <w:i w:val="0"/>
          <w:iCs w:val="0"/>
          <w:color w:val="auto"/>
          <w:sz w:val="28"/>
          <w:szCs w:val="28"/>
          <w:highlight w:val="none"/>
        </w:rPr>
        <w:fldChar w:fldCharType="separate"/>
      </w:r>
      <w:r>
        <w:rPr>
          <w:rStyle w:val="17"/>
          <w:rFonts w:hint="default" w:ascii="Times New Roman" w:hAnsi="Times New Roman" w:eastAsia="SimSun" w:cs="Times New Roman"/>
          <w:b w:val="0"/>
          <w:bCs w:val="0"/>
          <w:i w:val="0"/>
          <w:iCs w:val="0"/>
          <w:color w:val="auto"/>
          <w:sz w:val="28"/>
          <w:szCs w:val="28"/>
          <w:highlight w:val="none"/>
        </w:rPr>
        <w:t>https://cyberleninka.ru/article/n/ekologicheskoe-sostoyanie-zemelnyh-resursov-respubliki-kazahstan</w:t>
      </w:r>
      <w:r>
        <w:rPr>
          <w:rFonts w:hint="default" w:ascii="Times New Roman" w:hAnsi="Times New Roman" w:eastAsia="SimSun" w:cs="Times New Roman"/>
          <w:b w:val="0"/>
          <w:bCs w:val="0"/>
          <w:i w:val="0"/>
          <w:iCs w:val="0"/>
          <w:color w:val="auto"/>
          <w:sz w:val="28"/>
          <w:szCs w:val="28"/>
          <w:highlight w:val="none"/>
        </w:rPr>
        <w:fldChar w:fldCharType="end"/>
      </w:r>
    </w:p>
    <w:p w14:paraId="2A37EC39">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ru-RU"/>
        </w:rPr>
      </w:pPr>
      <w:r>
        <w:rPr>
          <w:rFonts w:hint="default" w:ascii="Times New Roman" w:hAnsi="Times New Roman" w:eastAsia="SimSun" w:cs="Times New Roman"/>
          <w:b w:val="0"/>
          <w:bCs w:val="0"/>
          <w:i w:val="0"/>
          <w:iCs w:val="0"/>
          <w:color w:val="auto"/>
          <w:sz w:val="28"/>
          <w:szCs w:val="28"/>
          <w:highlight w:val="none"/>
        </w:rPr>
        <w:t>Speight, J.G. The Chemistry and Technology of Petroleum / J.G. Speight. – 5th ed. – Boca Raton: CRC Press, 2014. – 953 p. – ISBN 978-1-4398-7389-2.</w:t>
      </w:r>
    </w:p>
    <w:p w14:paraId="4E8EEF81">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ru-RU"/>
        </w:rPr>
      </w:pPr>
      <w:r>
        <w:rPr>
          <w:rFonts w:hint="default" w:ascii="Times New Roman" w:hAnsi="Times New Roman" w:eastAsia="SimSun" w:cs="Times New Roman"/>
          <w:b w:val="0"/>
          <w:bCs w:val="0"/>
          <w:i w:val="0"/>
          <w:iCs w:val="0"/>
          <w:color w:val="auto"/>
          <w:sz w:val="28"/>
          <w:szCs w:val="28"/>
          <w:highlight w:val="none"/>
        </w:rPr>
        <w:t>Коршак, А.А. Основы нефтегазового дела: учебник для вузов / А.А. Коршак, А.М. Шаммазов. – 3-е изд., испр. и доп. – Уфа: ДизайнПолиграфСервис, 2005. – 528 с. – ISBN 5-94423-066-0.</w:t>
      </w:r>
    </w:p>
    <w:p w14:paraId="6F5D34A8">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ru-RU"/>
        </w:rPr>
      </w:pPr>
      <w:r>
        <w:rPr>
          <w:rFonts w:hint="default" w:ascii="Times New Roman" w:hAnsi="Times New Roman" w:eastAsia="SimSun" w:cs="Times New Roman"/>
          <w:b w:val="0"/>
          <w:bCs w:val="0"/>
          <w:i w:val="0"/>
          <w:iCs w:val="0"/>
          <w:color w:val="auto"/>
          <w:sz w:val="28"/>
          <w:szCs w:val="28"/>
          <w:highlight w:val="none"/>
        </w:rPr>
        <w:t>Техносферная безопасность предприятий нефтегазового комплекса и охрана окружающей среды: учебное пособие / Под ред. Ю.Д. Земенкова. – Тюмень: ТюмГНГУ, 2018. – 420 с.</w:t>
      </w:r>
    </w:p>
    <w:p w14:paraId="2D66D663">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ru-RU"/>
        </w:rPr>
      </w:pPr>
      <w:r>
        <w:rPr>
          <w:rFonts w:hint="default" w:ascii="Times New Roman" w:hAnsi="Times New Roman" w:eastAsia="Segoe UI" w:cs="Times New Roman"/>
          <w:b w:val="0"/>
          <w:bCs w:val="0"/>
          <w:i w:val="0"/>
          <w:iCs w:val="0"/>
          <w:caps w:val="0"/>
          <w:color w:val="auto"/>
          <w:spacing w:val="0"/>
          <w:sz w:val="28"/>
          <w:szCs w:val="28"/>
          <w:highlight w:val="none"/>
          <w:shd w:val="clear" w:fill="FFFFFF"/>
        </w:rPr>
        <w:t>Risk assessment of oil spills in sensitive environments / A. Davis, M. Bahadori, A. Kantar, A. Shadizadeh, A. Dastgerdi // Journal of Hazardous Materials. – 2020. – Vol. 398. – 122135. – DOI: 10.1016/j.jhazmat.2020.122135.</w:t>
      </w:r>
    </w:p>
    <w:p w14:paraId="2EC795FC">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ru-RU"/>
        </w:rPr>
      </w:pPr>
      <w:r>
        <w:rPr>
          <w:rFonts w:hint="default" w:ascii="Times New Roman" w:hAnsi="Times New Roman" w:eastAsia="SimSun" w:cs="Times New Roman"/>
          <w:b w:val="0"/>
          <w:bCs w:val="0"/>
          <w:i w:val="0"/>
          <w:iCs w:val="0"/>
          <w:color w:val="auto"/>
          <w:sz w:val="28"/>
          <w:szCs w:val="28"/>
          <w:highlight w:val="none"/>
        </w:rPr>
        <w:t>Смоленцев, Б.А. Морфология и свойства нефтезагрязненных почв (хемоземов) таежной зоны Западной Сибири / Б.А. Смоленцев // Бюллетень Почвенного института им. В.В. Докучаева. – 2011. – Вып. 68. – С. 45–64.</w:t>
      </w:r>
    </w:p>
    <w:p w14:paraId="7EA361C1">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ru-RU"/>
        </w:rPr>
      </w:pPr>
      <w:r>
        <w:rPr>
          <w:rFonts w:hint="default" w:ascii="Times New Roman" w:hAnsi="Times New Roman" w:cs="Times New Roman"/>
          <w:b w:val="0"/>
          <w:bCs w:val="0"/>
          <w:i w:val="0"/>
          <w:iCs w:val="0"/>
          <w:color w:val="auto"/>
          <w:sz w:val="28"/>
          <w:szCs w:val="28"/>
          <w:highlight w:val="none"/>
          <w:lang w:val="ru-RU"/>
        </w:rPr>
        <w:t>Салангинас, Л. А. Изменение свойств почв под воздействием нефтезагрязнения и разработка системы мер по их реабилитации : дис. ... докт. с.-х. наук / Л. А. Салангинас. — М., 2001. </w:t>
      </w:r>
    </w:p>
    <w:p w14:paraId="56B3E93B">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ru-RU"/>
        </w:rPr>
      </w:pPr>
      <w:r>
        <w:rPr>
          <w:rFonts w:hint="default" w:ascii="Times New Roman" w:hAnsi="Times New Roman" w:eastAsia="Segoe UI" w:cs="Times New Roman"/>
          <w:b w:val="0"/>
          <w:bCs w:val="0"/>
          <w:i w:val="0"/>
          <w:iCs w:val="0"/>
          <w:caps w:val="0"/>
          <w:color w:val="auto"/>
          <w:spacing w:val="0"/>
          <w:sz w:val="28"/>
          <w:szCs w:val="28"/>
          <w:highlight w:val="none"/>
          <w:shd w:val="clear" w:fill="FFFFFF"/>
        </w:rPr>
        <w:t>Адаптивные зоны реакции почвенных микробных сообществ на техногенное воздействие / В. С. Гузев, С. В. Левин // Микробиология. – 2018. – Т. 87, № 3. – С. 375–384. – DOI: 10.1134/S0026261718030046.</w:t>
      </w:r>
    </w:p>
    <w:p w14:paraId="7139BF4D">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ru-RU"/>
        </w:rPr>
      </w:pPr>
      <w:r>
        <w:rPr>
          <w:rFonts w:hint="default" w:ascii="Times New Roman" w:hAnsi="Times New Roman" w:eastAsia="SimSun" w:cs="Times New Roman"/>
          <w:b w:val="0"/>
          <w:bCs w:val="0"/>
          <w:i w:val="0"/>
          <w:iCs w:val="0"/>
          <w:color w:val="auto"/>
          <w:sz w:val="28"/>
          <w:szCs w:val="28"/>
          <w:highlight w:val="none"/>
        </w:rPr>
        <w:t>Киреева, Н.А. Комплексная биоремедиация нефтезагрязненных почв для снижения токсичности / Н.А. Киреева, Е.М. Тарасенко, Т.С. Онегова, М.Д. Бакаева // Биотехнология. – 2004. – № 6. – С. 63–70.</w:t>
      </w:r>
    </w:p>
    <w:p w14:paraId="4AFF11BC">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ru-RU"/>
        </w:rPr>
      </w:pPr>
      <w:r>
        <w:rPr>
          <w:rFonts w:hint="default" w:ascii="Times New Roman" w:hAnsi="Times New Roman" w:eastAsia="Segoe UI" w:cs="Times New Roman"/>
          <w:b w:val="0"/>
          <w:bCs w:val="0"/>
          <w:i w:val="0"/>
          <w:iCs w:val="0"/>
          <w:caps w:val="0"/>
          <w:color w:val="auto"/>
          <w:spacing w:val="0"/>
          <w:sz w:val="28"/>
          <w:szCs w:val="28"/>
          <w:highlight w:val="none"/>
          <w:shd w:val="clear" w:fill="FFFFFF"/>
        </w:rPr>
        <w:t>Oil degradation by bacteria and fungi / S. Abbas, M. K. Sen // International Journal of Environmental Science and Technology. – 2021. – Vol. 18. – P. 1235–1246. – DOI: 10.1007/s13762-020-02912-3</w:t>
      </w:r>
    </w:p>
    <w:p w14:paraId="1A55C5DE">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ru-RU"/>
        </w:rPr>
      </w:pPr>
      <w:r>
        <w:rPr>
          <w:rFonts w:hint="default" w:ascii="Times New Roman" w:hAnsi="Times New Roman" w:eastAsia="SimSun" w:cs="Times New Roman"/>
          <w:b w:val="0"/>
          <w:bCs w:val="0"/>
          <w:i w:val="0"/>
          <w:iCs w:val="0"/>
          <w:color w:val="auto"/>
          <w:sz w:val="28"/>
          <w:szCs w:val="28"/>
          <w:highlight w:val="none"/>
        </w:rPr>
        <w:t>Binyamin, R. Bioremediation of Petroleum-Contaminated Soils with Biosurfactant-Producing Degraders Isolated from the Native Desert Soils / R. Binyamin, Y. Nadler-Hassar, Y. Kushmaro [et al.] // Microorganisms. – 2022. – Vol. 10, № 11. – Article 2267. – DOI: 10.3390/microorganisms10112267.</w:t>
      </w:r>
    </w:p>
    <w:p w14:paraId="032E2B7A">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ru-RU"/>
        </w:rPr>
      </w:pPr>
      <w:r>
        <w:rPr>
          <w:rFonts w:hint="default" w:ascii="Times New Roman" w:hAnsi="Times New Roman" w:eastAsia="SimSun" w:cs="Times New Roman"/>
          <w:b w:val="0"/>
          <w:bCs w:val="0"/>
          <w:i w:val="0"/>
          <w:iCs w:val="0"/>
          <w:color w:val="auto"/>
          <w:sz w:val="28"/>
          <w:szCs w:val="28"/>
          <w:highlight w:val="none"/>
        </w:rPr>
        <w:t>Пиковский, Ю.И. Геохимия полициклических ароматических углеводородов в горных породах и почвах / Ю.И. Пиковский, А.Н. Геннадиев, С.С. Чернянский, Г.Н. Сахаров. – М.: Изд-во МГУ, 2017. – 272 с. – ISBN 978-5-19-011232-2.</w:t>
      </w:r>
    </w:p>
    <w:p w14:paraId="7D875C3D">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ru-RU"/>
        </w:rPr>
      </w:pPr>
      <w:r>
        <w:rPr>
          <w:rFonts w:hint="default" w:ascii="Times New Roman" w:hAnsi="Times New Roman" w:eastAsia="SimSun" w:cs="Times New Roman"/>
          <w:b w:val="0"/>
          <w:bCs w:val="0"/>
          <w:i w:val="0"/>
          <w:iCs w:val="0"/>
          <w:color w:val="auto"/>
          <w:sz w:val="28"/>
          <w:szCs w:val="28"/>
          <w:highlight w:val="none"/>
        </w:rPr>
        <w:t>Звягинцев, Д.Г. Диагностические признаки различных уровней загрязнения почвы нефтью / Д.Г. Звягинцев, В.С. Гузев, С.В. Левин [и др.] // Почвоведение. – 1989. – № 1. – С. 72–78.</w:t>
      </w:r>
    </w:p>
    <w:p w14:paraId="258212CD">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ru-RU"/>
        </w:rPr>
      </w:pPr>
      <w:r>
        <w:rPr>
          <w:rFonts w:hint="default" w:ascii="Times New Roman" w:hAnsi="Times New Roman" w:eastAsia="SimSun" w:cs="Times New Roman"/>
          <w:b w:val="0"/>
          <w:bCs w:val="0"/>
          <w:i w:val="0"/>
          <w:iCs w:val="0"/>
          <w:color w:val="auto"/>
          <w:sz w:val="28"/>
          <w:szCs w:val="28"/>
          <w:highlight w:val="none"/>
        </w:rPr>
        <w:t>Itescu, Y. Thermal conditions determine lizards' response to oil contamination in a desert habitat / Y. Itescu, R. Schwarz, S. Meiri, I. Panov // iScience. – 2023. – Vol. 26, № 8. – Article 107411. – DOI: 10.1016/j.isci.2023.107411.</w:t>
      </w:r>
    </w:p>
    <w:p w14:paraId="0B6614CA">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rPr>
      </w:pPr>
      <w:r>
        <w:rPr>
          <w:rFonts w:hint="default" w:ascii="Times New Roman" w:hAnsi="Times New Roman" w:eastAsia="SimSun" w:cs="Times New Roman"/>
          <w:b w:val="0"/>
          <w:bCs w:val="0"/>
          <w:i w:val="0"/>
          <w:iCs w:val="0"/>
          <w:color w:val="auto"/>
          <w:sz w:val="28"/>
          <w:szCs w:val="28"/>
          <w:highlight w:val="none"/>
        </w:rPr>
        <w:t>Balba, M.T. Bioremediation of oil-contaminated desert soil: The Kuwaiti experience / M.T. Balba, R. Al-Daher, N. Al-Awadhi [et al.] // Environment International. – 1998. – Vol. 24, № 1-2. – P. 163–173. – DOI: 10.1016/S0160-4120(97)00132-3.</w:t>
      </w:r>
    </w:p>
    <w:p w14:paraId="3D4A1328">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rPr>
      </w:pPr>
      <w:r>
        <w:rPr>
          <w:rFonts w:hint="default" w:ascii="Times New Roman" w:hAnsi="Times New Roman" w:cs="Times New Roman"/>
          <w:b w:val="0"/>
          <w:bCs w:val="0"/>
          <w:i w:val="0"/>
          <w:iCs w:val="0"/>
          <w:color w:val="auto"/>
          <w:sz w:val="28"/>
          <w:szCs w:val="28"/>
          <w:highlight w:val="none"/>
        </w:rPr>
        <w:t>Abdullah, M.M. Investigating the succession process of native desert plants over hydrocarbon-contaminated soils using remote sensing techniques / M.M. Abdullah, Z.M. Al-Ali, S.M. Abdullah [et al.] // Environmental Research. – 2023. – Vol. 217. – Article 114843. – DOI: 10.1016/j.envres.2022.114843.</w:t>
      </w:r>
    </w:p>
    <w:p w14:paraId="71C2F0F2">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rPr>
      </w:pPr>
      <w:r>
        <w:rPr>
          <w:rStyle w:val="19"/>
          <w:rFonts w:hint="default" w:ascii="Times New Roman" w:hAnsi="Times New Roman" w:eastAsia="SimSun" w:cs="Times New Roman"/>
          <w:b w:val="0"/>
          <w:bCs w:val="0"/>
          <w:i w:val="0"/>
          <w:iCs w:val="0"/>
          <w:color w:val="auto"/>
          <w:sz w:val="28"/>
          <w:szCs w:val="28"/>
          <w:highlight w:val="none"/>
        </w:rPr>
        <w:t>Al-Hawash, A. B.</w:t>
      </w:r>
      <w:r>
        <w:rPr>
          <w:rFonts w:hint="default" w:ascii="Times New Roman" w:hAnsi="Times New Roman" w:eastAsia="SimSun" w:cs="Times New Roman"/>
          <w:b w:val="0"/>
          <w:bCs w:val="0"/>
          <w:i w:val="0"/>
          <w:iCs w:val="0"/>
          <w:color w:val="auto"/>
          <w:sz w:val="28"/>
          <w:szCs w:val="28"/>
          <w:highlight w:val="none"/>
        </w:rPr>
        <w:t xml:space="preserve"> Bioremediation of Petroleum-Contaminated Soils with Biosurfactant-Producing Degraders Isolated from the Native Desert Soils / A. B. Al-Hawash [et al.] // </w:t>
      </w:r>
      <w:r>
        <w:rPr>
          <w:rStyle w:val="19"/>
          <w:rFonts w:hint="default" w:ascii="Times New Roman" w:hAnsi="Times New Roman" w:eastAsia="SimSun" w:cs="Times New Roman"/>
          <w:b w:val="0"/>
          <w:bCs w:val="0"/>
          <w:i w:val="0"/>
          <w:iCs w:val="0"/>
          <w:color w:val="auto"/>
          <w:sz w:val="28"/>
          <w:szCs w:val="28"/>
          <w:highlight w:val="none"/>
        </w:rPr>
        <w:t>Microorganisms</w:t>
      </w:r>
      <w:r>
        <w:rPr>
          <w:rFonts w:hint="default" w:ascii="Times New Roman" w:hAnsi="Times New Roman" w:eastAsia="SimSun" w:cs="Times New Roman"/>
          <w:b w:val="0"/>
          <w:bCs w:val="0"/>
          <w:i w:val="0"/>
          <w:iCs w:val="0"/>
          <w:color w:val="auto"/>
          <w:sz w:val="28"/>
          <w:szCs w:val="28"/>
          <w:highlight w:val="none"/>
        </w:rPr>
        <w:t xml:space="preserve">. – </w:t>
      </w:r>
      <w:r>
        <w:rPr>
          <w:rStyle w:val="19"/>
          <w:rFonts w:hint="default" w:ascii="Times New Roman" w:hAnsi="Times New Roman" w:eastAsia="SimSun" w:cs="Times New Roman"/>
          <w:b w:val="0"/>
          <w:bCs w:val="0"/>
          <w:i w:val="0"/>
          <w:iCs w:val="0"/>
          <w:color w:val="auto"/>
          <w:sz w:val="28"/>
          <w:szCs w:val="28"/>
          <w:highlight w:val="none"/>
        </w:rPr>
        <w:t>2022</w:t>
      </w:r>
      <w:r>
        <w:rPr>
          <w:rFonts w:hint="default" w:ascii="Times New Roman" w:hAnsi="Times New Roman" w:eastAsia="SimSun" w:cs="Times New Roman"/>
          <w:b w:val="0"/>
          <w:bCs w:val="0"/>
          <w:i w:val="0"/>
          <w:iCs w:val="0"/>
          <w:color w:val="auto"/>
          <w:sz w:val="28"/>
          <w:szCs w:val="28"/>
          <w:highlight w:val="none"/>
        </w:rPr>
        <w:t xml:space="preserve">. – Vol. 10, No. 11. – Article 2267. – DOI: </w:t>
      </w:r>
      <w:r>
        <w:rPr>
          <w:rStyle w:val="19"/>
          <w:rFonts w:hint="default" w:ascii="Times New Roman" w:hAnsi="Times New Roman" w:eastAsia="SimSun" w:cs="Times New Roman"/>
          <w:b w:val="0"/>
          <w:bCs w:val="0"/>
          <w:i w:val="0"/>
          <w:iCs w:val="0"/>
          <w:color w:val="auto"/>
          <w:sz w:val="28"/>
          <w:szCs w:val="28"/>
          <w:highlight w:val="none"/>
        </w:rPr>
        <w:t>10.3390/microorganisms10112267</w:t>
      </w:r>
      <w:r>
        <w:rPr>
          <w:rFonts w:hint="default" w:ascii="Times New Roman" w:hAnsi="Times New Roman" w:eastAsia="SimSun" w:cs="Times New Roman"/>
          <w:b w:val="0"/>
          <w:bCs w:val="0"/>
          <w:i w:val="0"/>
          <w:iCs w:val="0"/>
          <w:color w:val="auto"/>
          <w:sz w:val="28"/>
          <w:szCs w:val="28"/>
          <w:highlight w:val="none"/>
        </w:rPr>
        <w:t>.</w:t>
      </w:r>
    </w:p>
    <w:p w14:paraId="1B46343B">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ru-RU"/>
        </w:rPr>
      </w:pPr>
      <w:r>
        <w:rPr>
          <w:rStyle w:val="19"/>
          <w:rFonts w:hint="default" w:ascii="Times New Roman" w:hAnsi="Times New Roman" w:eastAsia="SimSun" w:cs="Times New Roman"/>
          <w:b w:val="0"/>
          <w:bCs w:val="0"/>
          <w:i w:val="0"/>
          <w:iCs w:val="0"/>
          <w:color w:val="auto"/>
          <w:sz w:val="28"/>
          <w:szCs w:val="28"/>
          <w:highlight w:val="none"/>
        </w:rPr>
        <w:t>Замотаев, И. В.</w:t>
      </w:r>
      <w:r>
        <w:rPr>
          <w:rFonts w:hint="default" w:ascii="Times New Roman" w:hAnsi="Times New Roman" w:eastAsia="SimSun" w:cs="Times New Roman"/>
          <w:b w:val="0"/>
          <w:bCs w:val="0"/>
          <w:i w:val="0"/>
          <w:iCs w:val="0"/>
          <w:color w:val="auto"/>
          <w:sz w:val="28"/>
          <w:szCs w:val="28"/>
          <w:highlight w:val="none"/>
        </w:rPr>
        <w:t xml:space="preserve"> Химическое загрязнение и трансформация почв в районах добычи углеводородного сырья (обзор литературы) / И. В. Замотаев, И. В. Иванов, П. В. Михеев, А. Н. Никонова // Почвоведение. – 2015. – № 12. – С. 1505–1518. – DOI: 10.7868/S0032180X15120096.</w:t>
      </w:r>
    </w:p>
    <w:p w14:paraId="1A328996">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en-US"/>
        </w:rPr>
      </w:pPr>
      <w:r>
        <w:rPr>
          <w:rFonts w:hint="default" w:ascii="Times New Roman" w:hAnsi="Times New Roman" w:cs="Times New Roman"/>
          <w:b w:val="0"/>
          <w:bCs w:val="0"/>
          <w:i w:val="0"/>
          <w:iCs w:val="0"/>
          <w:color w:val="auto"/>
          <w:sz w:val="28"/>
          <w:szCs w:val="28"/>
          <w:highlight w:val="none"/>
          <w:lang w:val="ru-RU"/>
        </w:rPr>
        <w:t>Benyahia F., Embaby A.S. Bioremediation of crude oil contaminated desert soil: effect of biostimulation, bioaugmentation and bioavailability in biopile treatment systems // International Journal of Environmental Research and Public Health. – 2016. – Vol. 13, No. 2. – P. 219. DOI: 10.3390/ijerph13020219</w:t>
      </w:r>
    </w:p>
    <w:p w14:paraId="56EA15AE">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en-US"/>
        </w:rPr>
      </w:pPr>
      <w:r>
        <w:rPr>
          <w:rFonts w:hint="default" w:ascii="Times New Roman" w:hAnsi="Times New Roman" w:cs="Times New Roman"/>
          <w:b w:val="0"/>
          <w:bCs w:val="0"/>
          <w:i w:val="0"/>
          <w:iCs w:val="0"/>
          <w:color w:val="auto"/>
          <w:sz w:val="28"/>
          <w:szCs w:val="28"/>
          <w:highlight w:val="none"/>
          <w:lang w:val="ru-RU"/>
        </w:rPr>
        <w:t>Kim, N. H. Study on the Combination of In-situ Chemical Oxidation Method by using Hydrogen Peroxide with the Air-sparging Method for Diesel Contaminated Soil and Groundwater / N. H. Kim, I. S. Kim, A. J. Choi, M. H. Lee // Journal of Soil and Groundwater Environment. – 2006. – Vol. 11, No. 6. – P. 8-17.</w:t>
      </w:r>
    </w:p>
    <w:p w14:paraId="39941458">
      <w:pPr>
        <w:keepNext w:val="0"/>
        <w:keepLines w:val="0"/>
        <w:pageBreakBefore w:val="0"/>
        <w:widowControl/>
        <w:numPr>
          <w:ilvl w:val="0"/>
          <w:numId w:val="14"/>
        </w:numPr>
        <w:shd w:val="clea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en-US"/>
        </w:rPr>
      </w:pPr>
      <w:r>
        <w:rPr>
          <w:rFonts w:hint="default" w:ascii="Times New Roman" w:hAnsi="Times New Roman" w:eastAsia="SimSun" w:cs="Times New Roman"/>
          <w:b w:val="0"/>
          <w:bCs w:val="0"/>
          <w:i w:val="0"/>
          <w:iCs w:val="0"/>
          <w:color w:val="auto"/>
          <w:sz w:val="28"/>
          <w:szCs w:val="28"/>
          <w:highlight w:val="none"/>
        </w:rPr>
        <w:t>Jung S., Kim S., Park J. Removal of TPH, UCM, PAHs, and Alk-PAHs in oil-contaminated soil by thermal desorption // Applied Biological Chemistry. – 2020. – Vol. 63. – Article 71. – DOI: 10.1186/s13765-020-00569-z.</w:t>
      </w:r>
    </w:p>
    <w:p w14:paraId="1ACE6E60">
      <w:pPr>
        <w:keepNext w:val="0"/>
        <w:keepLines w:val="0"/>
        <w:pageBreakBefore w:val="0"/>
        <w:widowControl/>
        <w:numPr>
          <w:ilvl w:val="0"/>
          <w:numId w:val="14"/>
        </w:numPr>
        <w:shd w:val="clea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en-US"/>
        </w:rPr>
      </w:pPr>
      <w:r>
        <w:rPr>
          <w:rFonts w:hint="default" w:ascii="Times New Roman" w:hAnsi="Times New Roman" w:eastAsia="SimSun" w:cs="Times New Roman"/>
          <w:b w:val="0"/>
          <w:bCs w:val="0"/>
          <w:i w:val="0"/>
          <w:iCs w:val="0"/>
          <w:color w:val="auto"/>
          <w:sz w:val="28"/>
          <w:szCs w:val="28"/>
          <w:highlight w:val="none"/>
        </w:rPr>
        <w:t>Mulligan C.N., Yong R.N., Gibbs B.F. Surfactant-enhanced remediation of contaminated soil: a review // Engineering Geology. – 2001. – Vol. 60, No. 1–4. – P. 371–380. – DOI: 10.1016/S0013-7952(00)00117-4</w:t>
      </w:r>
    </w:p>
    <w:p w14:paraId="04C79842">
      <w:pPr>
        <w:keepNext w:val="0"/>
        <w:keepLines w:val="0"/>
        <w:pageBreakBefore w:val="0"/>
        <w:widowControl/>
        <w:numPr>
          <w:ilvl w:val="0"/>
          <w:numId w:val="14"/>
        </w:numPr>
        <w:shd w:val="clea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en-US"/>
        </w:rPr>
      </w:pPr>
      <w:r>
        <w:rPr>
          <w:rStyle w:val="19"/>
          <w:rFonts w:hint="default" w:ascii="Times New Roman" w:hAnsi="Times New Roman" w:eastAsia="Segoe UI" w:cs="Times New Roman"/>
          <w:b w:val="0"/>
          <w:bCs w:val="0"/>
          <w:i w:val="0"/>
          <w:iCs w:val="0"/>
          <w:caps w:val="0"/>
          <w:color w:val="auto"/>
          <w:spacing w:val="0"/>
          <w:sz w:val="28"/>
          <w:szCs w:val="28"/>
          <w:highlight w:val="none"/>
          <w:shd w:val="clear" w:fill="FFFFFF"/>
        </w:rPr>
        <w:t>Bandura, L.</w:t>
      </w:r>
      <w:r>
        <w:rPr>
          <w:rFonts w:hint="default" w:ascii="Times New Roman" w:hAnsi="Times New Roman" w:eastAsia="Segoe UI" w:cs="Times New Roman"/>
          <w:b w:val="0"/>
          <w:bCs w:val="0"/>
          <w:i w:val="0"/>
          <w:iCs w:val="0"/>
          <w:caps w:val="0"/>
          <w:color w:val="auto"/>
          <w:spacing w:val="0"/>
          <w:sz w:val="28"/>
          <w:szCs w:val="28"/>
          <w:highlight w:val="none"/>
          <w:shd w:val="clear" w:fill="FFFFFF"/>
        </w:rPr>
        <w:t> Application of mineral sorbents for removal of petroleum substances: a review / L. Bandura, A. Woszuk, D. Kołodyńska, W. Franus // Minerals. – 2017. – Vol. 7, No. 3. – P. 37. – </w:t>
      </w:r>
      <w:r>
        <w:rPr>
          <w:rStyle w:val="19"/>
          <w:rFonts w:hint="default" w:ascii="Times New Roman" w:hAnsi="Times New Roman" w:eastAsia="Segoe UI" w:cs="Times New Roman"/>
          <w:b w:val="0"/>
          <w:bCs w:val="0"/>
          <w:i w:val="0"/>
          <w:iCs w:val="0"/>
          <w:caps w:val="0"/>
          <w:color w:val="auto"/>
          <w:spacing w:val="0"/>
          <w:sz w:val="28"/>
          <w:szCs w:val="28"/>
          <w:highlight w:val="none"/>
          <w:shd w:val="clear" w:fill="FFFFFF"/>
        </w:rPr>
        <w:t>DOI:</w:t>
      </w:r>
      <w:r>
        <w:rPr>
          <w:rFonts w:hint="default" w:ascii="Times New Roman" w:hAnsi="Times New Roman" w:eastAsia="Segoe UI" w:cs="Times New Roman"/>
          <w:b w:val="0"/>
          <w:bCs w:val="0"/>
          <w:i w:val="0"/>
          <w:iCs w:val="0"/>
          <w:caps w:val="0"/>
          <w:color w:val="auto"/>
          <w:spacing w:val="0"/>
          <w:sz w:val="28"/>
          <w:szCs w:val="28"/>
          <w:highlight w:val="none"/>
          <w:shd w:val="clear" w:fill="FFFFFF"/>
        </w:rPr>
        <w:t> 10.3390/min7030037. – </w:t>
      </w:r>
      <w:r>
        <w:rPr>
          <w:rStyle w:val="19"/>
          <w:rFonts w:hint="default" w:ascii="Times New Roman" w:hAnsi="Times New Roman" w:eastAsia="Segoe UI" w:cs="Times New Roman"/>
          <w:b w:val="0"/>
          <w:bCs w:val="0"/>
          <w:i w:val="0"/>
          <w:iCs w:val="0"/>
          <w:caps w:val="0"/>
          <w:color w:val="auto"/>
          <w:spacing w:val="0"/>
          <w:sz w:val="28"/>
          <w:szCs w:val="28"/>
          <w:highlight w:val="none"/>
          <w:shd w:val="clear" w:fill="FFFFFF"/>
        </w:rPr>
        <w:t>URL:</w:t>
      </w:r>
      <w:r>
        <w:rPr>
          <w:rFonts w:hint="default" w:ascii="Times New Roman" w:hAnsi="Times New Roman" w:eastAsia="Segoe UI" w:cs="Times New Roman"/>
          <w:b w:val="0"/>
          <w:bCs w:val="0"/>
          <w:i w:val="0"/>
          <w:iCs w:val="0"/>
          <w:caps w:val="0"/>
          <w:color w:val="auto"/>
          <w:spacing w:val="0"/>
          <w:sz w:val="28"/>
          <w:szCs w:val="28"/>
          <w:highlight w:val="none"/>
          <w:shd w:val="clear" w:fill="FFFFFF"/>
        </w:rPr>
        <w:t> </w:t>
      </w:r>
      <w:r>
        <w:rPr>
          <w:rFonts w:hint="default" w:ascii="Times New Roman" w:hAnsi="Times New Roman" w:eastAsia="Segoe UI" w:cs="Times New Roman"/>
          <w:b w:val="0"/>
          <w:bCs w:val="0"/>
          <w:i w:val="0"/>
          <w:iCs w:val="0"/>
          <w:caps w:val="0"/>
          <w:color w:val="auto"/>
          <w:spacing w:val="0"/>
          <w:sz w:val="28"/>
          <w:szCs w:val="28"/>
          <w:highlight w:val="none"/>
          <w:u w:val="none"/>
          <w:bdr w:val="single" w:color="auto" w:sz="12" w:space="0"/>
          <w:shd w:val="clear" w:fill="FFFFFF"/>
        </w:rPr>
        <w:fldChar w:fldCharType="begin"/>
      </w:r>
      <w:r>
        <w:rPr>
          <w:rFonts w:hint="default" w:ascii="Times New Roman" w:hAnsi="Times New Roman" w:eastAsia="Segoe UI" w:cs="Times New Roman"/>
          <w:b w:val="0"/>
          <w:bCs w:val="0"/>
          <w:i w:val="0"/>
          <w:iCs w:val="0"/>
          <w:caps w:val="0"/>
          <w:color w:val="auto"/>
          <w:spacing w:val="0"/>
          <w:sz w:val="28"/>
          <w:szCs w:val="28"/>
          <w:highlight w:val="none"/>
          <w:u w:val="none"/>
          <w:bdr w:val="single" w:color="auto" w:sz="12" w:space="0"/>
          <w:shd w:val="clear" w:fill="FFFFFF"/>
        </w:rPr>
        <w:instrText xml:space="preserve"> HYPERLINK "https://doi.org/10.3390/min7030037" \t "https://chat.deepseek.com/a/chat/s/_blank" </w:instrText>
      </w:r>
      <w:r>
        <w:rPr>
          <w:rFonts w:hint="default" w:ascii="Times New Roman" w:hAnsi="Times New Roman" w:eastAsia="Segoe UI" w:cs="Times New Roman"/>
          <w:b w:val="0"/>
          <w:bCs w:val="0"/>
          <w:i w:val="0"/>
          <w:iCs w:val="0"/>
          <w:caps w:val="0"/>
          <w:color w:val="auto"/>
          <w:spacing w:val="0"/>
          <w:sz w:val="28"/>
          <w:szCs w:val="28"/>
          <w:highlight w:val="none"/>
          <w:u w:val="none"/>
          <w:bdr w:val="single" w:color="auto" w:sz="12" w:space="0"/>
          <w:shd w:val="clear" w:fill="FFFFFF"/>
        </w:rPr>
        <w:fldChar w:fldCharType="separate"/>
      </w:r>
      <w:r>
        <w:rPr>
          <w:rStyle w:val="17"/>
          <w:rFonts w:hint="default" w:ascii="Times New Roman" w:hAnsi="Times New Roman" w:eastAsia="Segoe UI" w:cs="Times New Roman"/>
          <w:b w:val="0"/>
          <w:bCs w:val="0"/>
          <w:i w:val="0"/>
          <w:iCs w:val="0"/>
          <w:caps w:val="0"/>
          <w:color w:val="auto"/>
          <w:spacing w:val="0"/>
          <w:sz w:val="28"/>
          <w:szCs w:val="28"/>
          <w:highlight w:val="none"/>
          <w:u w:val="none"/>
          <w:shd w:val="clear" w:fill="FFFFFF"/>
        </w:rPr>
        <w:t>https://doi.org/10.3390/min7030037</w:t>
      </w:r>
      <w:r>
        <w:rPr>
          <w:rFonts w:hint="default" w:ascii="Times New Roman" w:hAnsi="Times New Roman" w:eastAsia="Segoe UI" w:cs="Times New Roman"/>
          <w:b w:val="0"/>
          <w:bCs w:val="0"/>
          <w:i w:val="0"/>
          <w:iCs w:val="0"/>
          <w:caps w:val="0"/>
          <w:color w:val="auto"/>
          <w:spacing w:val="0"/>
          <w:sz w:val="28"/>
          <w:szCs w:val="28"/>
          <w:highlight w:val="none"/>
          <w:u w:val="none"/>
          <w:bdr w:val="single" w:color="auto" w:sz="12" w:space="0"/>
          <w:shd w:val="clear" w:fill="FFFFFF"/>
        </w:rPr>
        <w:fldChar w:fldCharType="end"/>
      </w:r>
    </w:p>
    <w:p w14:paraId="4B9EE3DB">
      <w:pPr>
        <w:keepNext w:val="0"/>
        <w:keepLines w:val="0"/>
        <w:pageBreakBefore w:val="0"/>
        <w:widowControl/>
        <w:numPr>
          <w:ilvl w:val="0"/>
          <w:numId w:val="14"/>
        </w:numPr>
        <w:shd w:val="clea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en-US"/>
        </w:rPr>
      </w:pPr>
      <w:r>
        <w:rPr>
          <w:rStyle w:val="19"/>
          <w:rFonts w:hint="default" w:ascii="Times New Roman" w:hAnsi="Times New Roman" w:eastAsia="SimSun" w:cs="Times New Roman"/>
          <w:b w:val="0"/>
          <w:bCs w:val="0"/>
          <w:i w:val="0"/>
          <w:iCs w:val="0"/>
          <w:color w:val="auto"/>
          <w:sz w:val="28"/>
          <w:szCs w:val="28"/>
          <w:highlight w:val="none"/>
        </w:rPr>
        <w:t>Han D.</w:t>
      </w:r>
      <w:r>
        <w:rPr>
          <w:rFonts w:hint="default" w:ascii="Times New Roman" w:hAnsi="Times New Roman" w:eastAsia="SimSun" w:cs="Times New Roman"/>
          <w:b w:val="0"/>
          <w:bCs w:val="0"/>
          <w:i w:val="0"/>
          <w:iCs w:val="0"/>
          <w:color w:val="auto"/>
          <w:sz w:val="28"/>
          <w:szCs w:val="28"/>
          <w:highlight w:val="none"/>
        </w:rPr>
        <w:t xml:space="preserve"> Critical Review of Electro-kinetic Remediation of Contaminated Soils // </w:t>
      </w:r>
      <w:r>
        <w:rPr>
          <w:rStyle w:val="16"/>
          <w:rFonts w:hint="default" w:ascii="Times New Roman" w:hAnsi="Times New Roman" w:eastAsia="SimSun" w:cs="Times New Roman"/>
          <w:b w:val="0"/>
          <w:bCs w:val="0"/>
          <w:i w:val="0"/>
          <w:iCs w:val="0"/>
          <w:color w:val="auto"/>
          <w:sz w:val="28"/>
          <w:szCs w:val="28"/>
          <w:highlight w:val="none"/>
        </w:rPr>
        <w:t>Water, Air, &amp; Soil Pollution</w:t>
      </w:r>
      <w:r>
        <w:rPr>
          <w:rFonts w:hint="default" w:ascii="Times New Roman" w:hAnsi="Times New Roman" w:eastAsia="SimSun" w:cs="Times New Roman"/>
          <w:b w:val="0"/>
          <w:bCs w:val="0"/>
          <w:i w:val="0"/>
          <w:iCs w:val="0"/>
          <w:color w:val="auto"/>
          <w:sz w:val="28"/>
          <w:szCs w:val="28"/>
          <w:highlight w:val="none"/>
        </w:rPr>
        <w:t>. – 2021. – Vol. 232. – Article 335. – DOI: 10.1007/s11270-021-05182-4</w:t>
      </w:r>
    </w:p>
    <w:p w14:paraId="278C2BEC">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rPr>
      </w:pPr>
      <w:r>
        <w:rPr>
          <w:rFonts w:hint="default" w:ascii="Times New Roman" w:hAnsi="Times New Roman" w:cs="Times New Roman"/>
          <w:b w:val="0"/>
          <w:bCs w:val="0"/>
          <w:i w:val="0"/>
          <w:iCs w:val="0"/>
          <w:color w:val="auto"/>
          <w:sz w:val="28"/>
          <w:szCs w:val="28"/>
          <w:highlight w:val="none"/>
        </w:rPr>
        <w:t>Ajona M., Vasanthi P. Bioremediation of petroleum contaminated soils – A review // Materials Today: Proceedings. – 2021. – Vol. 45. – Part 7. – P. 7117-7122. DOI: 10.1016/j.matpr.2021.01.949</w:t>
      </w:r>
    </w:p>
    <w:p w14:paraId="3B408FBD">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rPr>
      </w:pPr>
      <w:r>
        <w:rPr>
          <w:rFonts w:hint="default" w:ascii="Times New Roman" w:hAnsi="Times New Roman" w:eastAsia="SimSun" w:cs="Times New Roman"/>
          <w:b w:val="0"/>
          <w:bCs w:val="0"/>
          <w:i w:val="0"/>
          <w:iCs w:val="0"/>
          <w:color w:val="auto"/>
          <w:sz w:val="28"/>
          <w:szCs w:val="28"/>
          <w:highlight w:val="none"/>
        </w:rPr>
        <w:t xml:space="preserve"> </w:t>
      </w:r>
      <w:r>
        <w:rPr>
          <w:rFonts w:hint="default" w:ascii="Times New Roman" w:hAnsi="Times New Roman" w:cs="Times New Roman"/>
          <w:b w:val="0"/>
          <w:bCs w:val="0"/>
          <w:i w:val="0"/>
          <w:iCs w:val="0"/>
          <w:color w:val="auto"/>
          <w:sz w:val="28"/>
          <w:szCs w:val="28"/>
          <w:highlight w:val="none"/>
        </w:rPr>
        <w:t>Azubuike C.C., Chikere C.B., Okpokwasili G.C. Bioremediation techniques-classification based on site of application: principles, advantages, limitations and prospects // World Journal of Microbiology and Biotechnology. – 2016. – Vol. 32. – P. 180. DOI: 10.1007/s11274-016-2137-x</w:t>
      </w:r>
    </w:p>
    <w:p w14:paraId="037E848A">
      <w:pPr>
        <w:keepNext w:val="0"/>
        <w:keepLines w:val="0"/>
        <w:pageBreakBefore w:val="0"/>
        <w:widowControl/>
        <w:numPr>
          <w:ilvl w:val="0"/>
          <w:numId w:val="14"/>
        </w:numPr>
        <w:shd w:val="clea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en-US"/>
        </w:rPr>
      </w:pPr>
      <w:r>
        <w:rPr>
          <w:rFonts w:hint="default" w:ascii="Times New Roman" w:hAnsi="Times New Roman" w:eastAsia="SimSun" w:cs="Times New Roman"/>
          <w:b w:val="0"/>
          <w:bCs w:val="0"/>
          <w:i w:val="0"/>
          <w:iCs w:val="0"/>
          <w:color w:val="auto"/>
          <w:sz w:val="28"/>
          <w:szCs w:val="28"/>
          <w:highlight w:val="none"/>
        </w:rPr>
        <w:t>Vidali M. Bioremediation: an overview // Pure and Applied Chemistry. – 2001. – Vol. 73, No. 7. – P. 1163–1172. – DOI: 10.1351/pac200173071163.</w:t>
      </w:r>
    </w:p>
    <w:p w14:paraId="4BBBF1C2">
      <w:pPr>
        <w:keepNext w:val="0"/>
        <w:keepLines w:val="0"/>
        <w:pageBreakBefore w:val="0"/>
        <w:widowControl/>
        <w:numPr>
          <w:ilvl w:val="0"/>
          <w:numId w:val="14"/>
        </w:numPr>
        <w:shd w:val="clea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en-US"/>
        </w:rPr>
      </w:pPr>
      <w:r>
        <w:rPr>
          <w:rFonts w:hint="default" w:ascii="Times New Roman" w:hAnsi="Times New Roman" w:eastAsia="SimSun" w:cs="Times New Roman"/>
          <w:b w:val="0"/>
          <w:bCs w:val="0"/>
          <w:i w:val="0"/>
          <w:iCs w:val="0"/>
          <w:color w:val="auto"/>
          <w:sz w:val="28"/>
          <w:szCs w:val="28"/>
          <w:highlight w:val="none"/>
        </w:rPr>
        <w:t>Boopathy R. Factors limiting bioremediation technologies // Bioresource Technology. – 2000. – Vol. 74, No. 1. – P. 63–67. – DOI: 10.1016/S0960-8524(99)00144-3</w:t>
      </w:r>
    </w:p>
    <w:p w14:paraId="7275722B">
      <w:pPr>
        <w:keepNext w:val="0"/>
        <w:keepLines w:val="0"/>
        <w:pageBreakBefore w:val="0"/>
        <w:widowControl/>
        <w:numPr>
          <w:ilvl w:val="0"/>
          <w:numId w:val="14"/>
        </w:numPr>
        <w:shd w:val="clea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en-US"/>
        </w:rPr>
      </w:pPr>
      <w:r>
        <w:rPr>
          <w:rFonts w:hint="default" w:ascii="Times New Roman" w:hAnsi="Times New Roman" w:eastAsia="SimSun" w:cs="Times New Roman"/>
          <w:b w:val="0"/>
          <w:bCs w:val="0"/>
          <w:i w:val="0"/>
          <w:iCs w:val="0"/>
          <w:color w:val="auto"/>
          <w:sz w:val="28"/>
          <w:szCs w:val="28"/>
          <w:highlight w:val="none"/>
        </w:rPr>
        <w:t>Tyagi M., da Fonseca M.M.R., de Carvalho C.C.C.R. Bioaugmentation and biostimulation strategies to improve the effectiveness of bioremediation processes // Biodegradation. – 2011. – Vol. 22, No. 2. – P. 231–241. – DOI: 10.1007/s10532-010-9394-4.</w:t>
      </w:r>
    </w:p>
    <w:p w14:paraId="194B855D">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rPr>
      </w:pPr>
      <w:r>
        <w:rPr>
          <w:rFonts w:hint="default" w:ascii="Times New Roman" w:hAnsi="Times New Roman" w:cs="Times New Roman"/>
          <w:b w:val="0"/>
          <w:bCs w:val="0"/>
          <w:i w:val="0"/>
          <w:iCs w:val="0"/>
          <w:color w:val="auto"/>
          <w:sz w:val="28"/>
          <w:szCs w:val="28"/>
          <w:highlight w:val="none"/>
        </w:rPr>
        <w:t>Adams G.O., Tawari-Fufeyin P., Okoro S.E. et al. Bioremediation, biostimulation and bioaugmentation: a review // International Journal of Environmental Bioremediation &amp; Biodegradation. – 2015. – Vol. 3. – No 1. – P. 28-39. DOI: 10.12691/ijebb-3-1-5</w:t>
      </w:r>
    </w:p>
    <w:p w14:paraId="062DEEA4">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rPr>
      </w:pPr>
      <w:r>
        <w:rPr>
          <w:rFonts w:hint="default" w:ascii="Times New Roman" w:hAnsi="Times New Roman" w:cs="Times New Roman"/>
          <w:b w:val="0"/>
          <w:bCs w:val="0"/>
          <w:i w:val="0"/>
          <w:iCs w:val="0"/>
          <w:color w:val="auto"/>
          <w:sz w:val="28"/>
          <w:szCs w:val="28"/>
          <w:highlight w:val="none"/>
        </w:rPr>
        <w:t>Quintella C.M., Mata A.M.T., Lima L.C.P. Overview of bioremediation with technology assessment and emphasis on fungal bioremediation of oil contaminated soils // Journal of Environmental Management. – 2019. – Vol. 241. – P. 156-166. DOI: 10.1016/j.jenvman.2019.04.019</w:t>
      </w:r>
    </w:p>
    <w:p w14:paraId="292FA46E">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rPr>
      </w:pPr>
      <w:r>
        <w:rPr>
          <w:rFonts w:hint="default" w:ascii="Times New Roman" w:hAnsi="Times New Roman" w:cs="Times New Roman"/>
          <w:b w:val="0"/>
          <w:bCs w:val="0"/>
          <w:i w:val="0"/>
          <w:iCs w:val="0"/>
          <w:color w:val="auto"/>
          <w:sz w:val="28"/>
          <w:szCs w:val="28"/>
          <w:highlight w:val="none"/>
        </w:rPr>
        <w:t>Dias R.L., Ruberto L., Calabró A. et al. Hydrocarbon removal and bacterial community structure in on-site biostimulated biopile systems designed for bioremediation of diesel-contaminated Antarctic soil // Polar Biology. – 2015. – Vol. 38. – P. 677-687. DOI: 10.1007/s00300-014-1630-7</w:t>
      </w:r>
    </w:p>
    <w:p w14:paraId="77B2BA73">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rPr>
      </w:pPr>
      <w:r>
        <w:rPr>
          <w:rFonts w:hint="default" w:ascii="Times New Roman" w:hAnsi="Times New Roman" w:cs="Times New Roman"/>
          <w:b w:val="0"/>
          <w:bCs w:val="0"/>
          <w:i w:val="0"/>
          <w:iCs w:val="0"/>
          <w:color w:val="auto"/>
          <w:sz w:val="28"/>
          <w:szCs w:val="28"/>
          <w:highlight w:val="none"/>
        </w:rPr>
        <w:t>Rache</w:t>
      </w:r>
      <w:r>
        <w:rPr>
          <w:rFonts w:hint="default" w:ascii="Times New Roman" w:hAnsi="Times New Roman" w:cs="Times New Roman"/>
          <w:b w:val="0"/>
          <w:bCs w:val="0"/>
          <w:i w:val="0"/>
          <w:iCs w:val="0"/>
          <w:color w:val="auto"/>
          <w:sz w:val="28"/>
          <w:szCs w:val="28"/>
          <w:highlight w:val="none"/>
        </w:rPr>
        <w:noBreakHyphen/>
      </w:r>
      <w:r>
        <w:rPr>
          <w:rFonts w:hint="default" w:ascii="Times New Roman" w:hAnsi="Times New Roman" w:cs="Times New Roman"/>
          <w:b w:val="0"/>
          <w:bCs w:val="0"/>
          <w:i w:val="0"/>
          <w:iCs w:val="0"/>
          <w:color w:val="auto"/>
          <w:sz w:val="28"/>
          <w:szCs w:val="28"/>
          <w:highlight w:val="none"/>
        </w:rPr>
        <w:t>Arce D.C., Machacado</w:t>
      </w:r>
      <w:r>
        <w:rPr>
          <w:rFonts w:hint="default" w:ascii="Times New Roman" w:hAnsi="Times New Roman" w:cs="Times New Roman"/>
          <w:b w:val="0"/>
          <w:bCs w:val="0"/>
          <w:i w:val="0"/>
          <w:iCs w:val="0"/>
          <w:color w:val="auto"/>
          <w:sz w:val="28"/>
          <w:szCs w:val="28"/>
          <w:highlight w:val="none"/>
        </w:rPr>
        <w:noBreakHyphen/>
      </w:r>
      <w:r>
        <w:rPr>
          <w:rFonts w:hint="default" w:ascii="Times New Roman" w:hAnsi="Times New Roman" w:cs="Times New Roman"/>
          <w:b w:val="0"/>
          <w:bCs w:val="0"/>
          <w:i w:val="0"/>
          <w:iCs w:val="0"/>
          <w:color w:val="auto"/>
          <w:sz w:val="28"/>
          <w:szCs w:val="28"/>
          <w:highlight w:val="none"/>
        </w:rPr>
        <w:t>Salas M., Rosero</w:t>
      </w:r>
      <w:r>
        <w:rPr>
          <w:rFonts w:hint="default" w:ascii="Times New Roman" w:hAnsi="Times New Roman" w:cs="Times New Roman"/>
          <w:b w:val="0"/>
          <w:bCs w:val="0"/>
          <w:i w:val="0"/>
          <w:iCs w:val="0"/>
          <w:color w:val="auto"/>
          <w:sz w:val="28"/>
          <w:szCs w:val="28"/>
          <w:highlight w:val="none"/>
        </w:rPr>
        <w:noBreakHyphen/>
      </w:r>
      <w:r>
        <w:rPr>
          <w:rFonts w:hint="default" w:ascii="Times New Roman" w:hAnsi="Times New Roman" w:cs="Times New Roman"/>
          <w:b w:val="0"/>
          <w:bCs w:val="0"/>
          <w:i w:val="0"/>
          <w:iCs w:val="0"/>
          <w:color w:val="auto"/>
          <w:sz w:val="28"/>
          <w:szCs w:val="28"/>
          <w:highlight w:val="none"/>
        </w:rPr>
        <w:t xml:space="preserve">García D. </w:t>
      </w:r>
      <w:r>
        <w:rPr>
          <w:rStyle w:val="16"/>
          <w:rFonts w:hint="default" w:ascii="Times New Roman" w:hAnsi="Times New Roman" w:cs="Times New Roman"/>
          <w:b w:val="0"/>
          <w:bCs w:val="0"/>
          <w:i w:val="0"/>
          <w:iCs w:val="0"/>
          <w:color w:val="auto"/>
          <w:sz w:val="28"/>
          <w:szCs w:val="28"/>
          <w:highlight w:val="none"/>
        </w:rPr>
        <w:t>Hydrocarbon</w:t>
      </w:r>
      <w:r>
        <w:rPr>
          <w:rStyle w:val="16"/>
          <w:rFonts w:hint="default" w:ascii="Times New Roman" w:hAnsi="Times New Roman" w:cs="Times New Roman"/>
          <w:b w:val="0"/>
          <w:bCs w:val="0"/>
          <w:i w:val="0"/>
          <w:iCs w:val="0"/>
          <w:color w:val="auto"/>
          <w:sz w:val="28"/>
          <w:szCs w:val="28"/>
          <w:highlight w:val="none"/>
        </w:rPr>
        <w:noBreakHyphen/>
      </w:r>
      <w:r>
        <w:rPr>
          <w:rStyle w:val="16"/>
          <w:rFonts w:hint="default" w:ascii="Times New Roman" w:hAnsi="Times New Roman" w:cs="Times New Roman"/>
          <w:b w:val="0"/>
          <w:bCs w:val="0"/>
          <w:i w:val="0"/>
          <w:iCs w:val="0"/>
          <w:color w:val="auto"/>
          <w:sz w:val="28"/>
          <w:szCs w:val="28"/>
          <w:highlight w:val="none"/>
        </w:rPr>
        <w:t>degrading bacteria in Colombia: systematic review</w:t>
      </w:r>
      <w:r>
        <w:rPr>
          <w:rFonts w:hint="default" w:ascii="Times New Roman" w:hAnsi="Times New Roman" w:cs="Times New Roman"/>
          <w:b w:val="0"/>
          <w:bCs w:val="0"/>
          <w:i w:val="0"/>
          <w:iCs w:val="0"/>
          <w:color w:val="auto"/>
          <w:sz w:val="28"/>
          <w:szCs w:val="28"/>
          <w:highlight w:val="none"/>
        </w:rPr>
        <w:t xml:space="preserve"> // </w:t>
      </w:r>
      <w:r>
        <w:rPr>
          <w:rStyle w:val="16"/>
          <w:rFonts w:hint="default" w:ascii="Times New Roman" w:hAnsi="Times New Roman" w:cs="Times New Roman"/>
          <w:b w:val="0"/>
          <w:bCs w:val="0"/>
          <w:i w:val="0"/>
          <w:iCs w:val="0"/>
          <w:color w:val="auto"/>
          <w:sz w:val="28"/>
          <w:szCs w:val="28"/>
          <w:highlight w:val="none"/>
        </w:rPr>
        <w:t>Biodegradation</w:t>
      </w:r>
      <w:r>
        <w:rPr>
          <w:rFonts w:hint="default" w:ascii="Times New Roman" w:hAnsi="Times New Roman" w:cs="Times New Roman"/>
          <w:b w:val="0"/>
          <w:bCs w:val="0"/>
          <w:i w:val="0"/>
          <w:iCs w:val="0"/>
          <w:color w:val="auto"/>
          <w:sz w:val="28"/>
          <w:szCs w:val="28"/>
          <w:highlight w:val="none"/>
        </w:rPr>
        <w:t>. – 2022. – Vol. 33, №4. – P. 421–438. – DOI: 10.1007/s10532</w:t>
      </w:r>
      <w:r>
        <w:rPr>
          <w:rFonts w:hint="default" w:ascii="Times New Roman" w:hAnsi="Times New Roman" w:cs="Times New Roman"/>
          <w:b w:val="0"/>
          <w:bCs w:val="0"/>
          <w:i w:val="0"/>
          <w:iCs w:val="0"/>
          <w:color w:val="auto"/>
          <w:sz w:val="28"/>
          <w:szCs w:val="28"/>
          <w:highlight w:val="none"/>
        </w:rPr>
        <w:noBreakHyphen/>
      </w:r>
      <w:r>
        <w:rPr>
          <w:rFonts w:hint="default" w:ascii="Times New Roman" w:hAnsi="Times New Roman" w:cs="Times New Roman"/>
          <w:b w:val="0"/>
          <w:bCs w:val="0"/>
          <w:i w:val="0"/>
          <w:iCs w:val="0"/>
          <w:color w:val="auto"/>
          <w:sz w:val="28"/>
          <w:szCs w:val="28"/>
          <w:highlight w:val="none"/>
        </w:rPr>
        <w:t>022</w:t>
      </w:r>
      <w:r>
        <w:rPr>
          <w:rFonts w:hint="default" w:ascii="Times New Roman" w:hAnsi="Times New Roman" w:cs="Times New Roman"/>
          <w:b w:val="0"/>
          <w:bCs w:val="0"/>
          <w:i w:val="0"/>
          <w:iCs w:val="0"/>
          <w:color w:val="auto"/>
          <w:sz w:val="28"/>
          <w:szCs w:val="28"/>
          <w:highlight w:val="none"/>
        </w:rPr>
        <w:noBreakHyphen/>
      </w:r>
      <w:r>
        <w:rPr>
          <w:rFonts w:hint="default" w:ascii="Times New Roman" w:hAnsi="Times New Roman" w:cs="Times New Roman"/>
          <w:b w:val="0"/>
          <w:bCs w:val="0"/>
          <w:i w:val="0"/>
          <w:iCs w:val="0"/>
          <w:color w:val="auto"/>
          <w:sz w:val="28"/>
          <w:szCs w:val="28"/>
          <w:highlight w:val="none"/>
        </w:rPr>
        <w:t>09976</w:t>
      </w:r>
      <w:r>
        <w:rPr>
          <w:rFonts w:hint="default" w:ascii="Times New Roman" w:hAnsi="Times New Roman" w:cs="Times New Roman"/>
          <w:b w:val="0"/>
          <w:bCs w:val="0"/>
          <w:i w:val="0"/>
          <w:iCs w:val="0"/>
          <w:color w:val="auto"/>
          <w:sz w:val="28"/>
          <w:szCs w:val="28"/>
          <w:highlight w:val="none"/>
        </w:rPr>
        <w:noBreakHyphen/>
      </w:r>
      <w:r>
        <w:rPr>
          <w:rFonts w:hint="default" w:ascii="Times New Roman" w:hAnsi="Times New Roman" w:cs="Times New Roman"/>
          <w:b w:val="0"/>
          <w:bCs w:val="0"/>
          <w:i w:val="0"/>
          <w:iCs w:val="0"/>
          <w:color w:val="auto"/>
          <w:sz w:val="28"/>
          <w:szCs w:val="28"/>
          <w:highlight w:val="none"/>
        </w:rPr>
        <w:t>z.</w:t>
      </w:r>
    </w:p>
    <w:p w14:paraId="24DED39E">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rPr>
      </w:pPr>
      <w:r>
        <w:rPr>
          <w:rFonts w:hint="default" w:ascii="Times New Roman" w:hAnsi="Times New Roman" w:cs="Times New Roman"/>
          <w:b w:val="0"/>
          <w:bCs w:val="0"/>
          <w:i w:val="0"/>
          <w:iCs w:val="0"/>
          <w:color w:val="auto"/>
          <w:sz w:val="28"/>
          <w:szCs w:val="28"/>
          <w:highlight w:val="none"/>
        </w:rPr>
        <w:t xml:space="preserve">Pandolfo E., Silva T., Oliveira M. et al. </w:t>
      </w:r>
      <w:r>
        <w:rPr>
          <w:rStyle w:val="16"/>
          <w:rFonts w:hint="default" w:ascii="Times New Roman" w:hAnsi="Times New Roman" w:cs="Times New Roman"/>
          <w:b w:val="0"/>
          <w:bCs w:val="0"/>
          <w:i w:val="0"/>
          <w:iCs w:val="0"/>
          <w:color w:val="auto"/>
          <w:sz w:val="28"/>
          <w:szCs w:val="28"/>
          <w:highlight w:val="none"/>
        </w:rPr>
        <w:t>Recent Advances in Bacterial Degradation of Hydrocarbons</w:t>
      </w:r>
      <w:r>
        <w:rPr>
          <w:rFonts w:hint="default" w:ascii="Times New Roman" w:hAnsi="Times New Roman" w:cs="Times New Roman"/>
          <w:b w:val="0"/>
          <w:bCs w:val="0"/>
          <w:i w:val="0"/>
          <w:iCs w:val="0"/>
          <w:color w:val="auto"/>
          <w:sz w:val="28"/>
          <w:szCs w:val="28"/>
          <w:highlight w:val="none"/>
        </w:rPr>
        <w:t xml:space="preserve"> // </w:t>
      </w:r>
      <w:r>
        <w:rPr>
          <w:rStyle w:val="16"/>
          <w:rFonts w:hint="default" w:ascii="Times New Roman" w:hAnsi="Times New Roman" w:cs="Times New Roman"/>
          <w:b w:val="0"/>
          <w:bCs w:val="0"/>
          <w:i w:val="0"/>
          <w:iCs w:val="0"/>
          <w:color w:val="auto"/>
          <w:sz w:val="28"/>
          <w:szCs w:val="28"/>
          <w:highlight w:val="none"/>
        </w:rPr>
        <w:t>Water</w:t>
      </w:r>
      <w:r>
        <w:rPr>
          <w:rFonts w:hint="default" w:ascii="Times New Roman" w:hAnsi="Times New Roman" w:cs="Times New Roman"/>
          <w:b w:val="0"/>
          <w:bCs w:val="0"/>
          <w:i w:val="0"/>
          <w:iCs w:val="0"/>
          <w:color w:val="auto"/>
          <w:sz w:val="28"/>
          <w:szCs w:val="28"/>
          <w:highlight w:val="none"/>
        </w:rPr>
        <w:t xml:space="preserve">. – 2023. – Vol. 15, №2. – P. 375. – DOI: 10.3390/w15020375. </w:t>
      </w:r>
    </w:p>
    <w:p w14:paraId="3C5DC6E1">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rPr>
      </w:pPr>
      <w:r>
        <w:rPr>
          <w:rFonts w:hint="default" w:ascii="Times New Roman" w:hAnsi="Times New Roman" w:cs="Times New Roman"/>
          <w:b w:val="0"/>
          <w:bCs w:val="0"/>
          <w:i w:val="0"/>
          <w:iCs w:val="0"/>
          <w:color w:val="auto"/>
          <w:sz w:val="28"/>
          <w:szCs w:val="28"/>
          <w:highlight w:val="none"/>
        </w:rPr>
        <w:t xml:space="preserve">Funtikova T.V., Akhmetov L.I., Bekturganova S. et al. </w:t>
      </w:r>
      <w:r>
        <w:rPr>
          <w:rStyle w:val="16"/>
          <w:rFonts w:hint="default" w:ascii="Times New Roman" w:hAnsi="Times New Roman" w:cs="Times New Roman"/>
          <w:b w:val="0"/>
          <w:bCs w:val="0"/>
          <w:i w:val="0"/>
          <w:iCs w:val="0"/>
          <w:color w:val="auto"/>
          <w:sz w:val="28"/>
          <w:szCs w:val="28"/>
          <w:highlight w:val="none"/>
        </w:rPr>
        <w:t>Bioremediation of Oil</w:t>
      </w:r>
      <w:r>
        <w:rPr>
          <w:rStyle w:val="16"/>
          <w:rFonts w:hint="default" w:ascii="Times New Roman" w:hAnsi="Times New Roman" w:cs="Times New Roman"/>
          <w:b w:val="0"/>
          <w:bCs w:val="0"/>
          <w:i w:val="0"/>
          <w:iCs w:val="0"/>
          <w:color w:val="auto"/>
          <w:sz w:val="28"/>
          <w:szCs w:val="28"/>
          <w:highlight w:val="none"/>
        </w:rPr>
        <w:noBreakHyphen/>
      </w:r>
      <w:r>
        <w:rPr>
          <w:rStyle w:val="16"/>
          <w:rFonts w:hint="default" w:ascii="Times New Roman" w:hAnsi="Times New Roman" w:cs="Times New Roman"/>
          <w:b w:val="0"/>
          <w:bCs w:val="0"/>
          <w:i w:val="0"/>
          <w:iCs w:val="0"/>
          <w:color w:val="auto"/>
          <w:sz w:val="28"/>
          <w:szCs w:val="28"/>
          <w:highlight w:val="none"/>
        </w:rPr>
        <w:t>Contaminated Soil of the Republic of Kazakhstan Using a New Biopreparation</w:t>
      </w:r>
      <w:r>
        <w:rPr>
          <w:rFonts w:hint="default" w:ascii="Times New Roman" w:hAnsi="Times New Roman" w:cs="Times New Roman"/>
          <w:b w:val="0"/>
          <w:bCs w:val="0"/>
          <w:i w:val="0"/>
          <w:iCs w:val="0"/>
          <w:color w:val="auto"/>
          <w:sz w:val="28"/>
          <w:szCs w:val="28"/>
          <w:highlight w:val="none"/>
        </w:rPr>
        <w:t xml:space="preserve"> // </w:t>
      </w:r>
      <w:r>
        <w:rPr>
          <w:rStyle w:val="16"/>
          <w:rFonts w:hint="default" w:ascii="Times New Roman" w:hAnsi="Times New Roman" w:cs="Times New Roman"/>
          <w:b w:val="0"/>
          <w:bCs w:val="0"/>
          <w:i w:val="0"/>
          <w:iCs w:val="0"/>
          <w:color w:val="auto"/>
          <w:sz w:val="28"/>
          <w:szCs w:val="28"/>
          <w:highlight w:val="none"/>
        </w:rPr>
        <w:t>Microorganisms</w:t>
      </w:r>
      <w:r>
        <w:rPr>
          <w:rFonts w:hint="default" w:ascii="Times New Roman" w:hAnsi="Times New Roman" w:cs="Times New Roman"/>
          <w:b w:val="0"/>
          <w:bCs w:val="0"/>
          <w:i w:val="0"/>
          <w:iCs w:val="0"/>
          <w:color w:val="auto"/>
          <w:sz w:val="28"/>
          <w:szCs w:val="28"/>
          <w:highlight w:val="none"/>
        </w:rPr>
        <w:t xml:space="preserve">. – 2023. – Vol. 11, №2. – P. 522. – DOI: 10.3390/microorganisms11020522. – Қолжетімді: </w:t>
      </w:r>
      <w:r>
        <w:rPr>
          <w:rFonts w:hint="default" w:ascii="Times New Roman" w:hAnsi="Times New Roman" w:cs="Times New Roman"/>
          <w:b w:val="0"/>
          <w:bCs w:val="0"/>
          <w:i w:val="0"/>
          <w:iCs w:val="0"/>
          <w:color w:val="auto"/>
          <w:sz w:val="28"/>
          <w:szCs w:val="28"/>
          <w:highlight w:val="none"/>
        </w:rPr>
        <w:fldChar w:fldCharType="begin"/>
      </w:r>
      <w:r>
        <w:rPr>
          <w:rFonts w:hint="default" w:ascii="Times New Roman" w:hAnsi="Times New Roman" w:cs="Times New Roman"/>
          <w:b w:val="0"/>
          <w:bCs w:val="0"/>
          <w:i w:val="0"/>
          <w:iCs w:val="0"/>
          <w:color w:val="auto"/>
          <w:sz w:val="28"/>
          <w:szCs w:val="28"/>
          <w:highlight w:val="none"/>
        </w:rPr>
        <w:instrText xml:space="preserve"> HYPERLINK "https://www.mdpi.com/2076-2607/11/2/522?utm_source=chatgpt.com" \t "C:\\Users\\E7F7~1\\AppData\\Local\\Temp\\_new" </w:instrText>
      </w:r>
      <w:r>
        <w:rPr>
          <w:rFonts w:hint="default" w:ascii="Times New Roman" w:hAnsi="Times New Roman" w:cs="Times New Roman"/>
          <w:b w:val="0"/>
          <w:bCs w:val="0"/>
          <w:i w:val="0"/>
          <w:iCs w:val="0"/>
          <w:color w:val="auto"/>
          <w:sz w:val="28"/>
          <w:szCs w:val="28"/>
          <w:highlight w:val="none"/>
        </w:rPr>
        <w:fldChar w:fldCharType="separate"/>
      </w:r>
      <w:r>
        <w:rPr>
          <w:rStyle w:val="17"/>
          <w:rFonts w:hint="default" w:ascii="Times New Roman" w:hAnsi="Times New Roman" w:cs="Times New Roman"/>
          <w:b w:val="0"/>
          <w:bCs w:val="0"/>
          <w:i w:val="0"/>
          <w:iCs w:val="0"/>
          <w:color w:val="auto"/>
          <w:sz w:val="28"/>
          <w:szCs w:val="28"/>
          <w:highlight w:val="none"/>
        </w:rPr>
        <w:t>https://www.mdpi.com/2076-2607/11/2/522</w:t>
      </w:r>
      <w:r>
        <w:rPr>
          <w:rFonts w:hint="default" w:ascii="Times New Roman" w:hAnsi="Times New Roman" w:cs="Times New Roman"/>
          <w:b w:val="0"/>
          <w:bCs w:val="0"/>
          <w:i w:val="0"/>
          <w:iCs w:val="0"/>
          <w:color w:val="auto"/>
          <w:sz w:val="28"/>
          <w:szCs w:val="28"/>
          <w:highlight w:val="none"/>
        </w:rPr>
        <w:fldChar w:fldCharType="end"/>
      </w:r>
    </w:p>
    <w:p w14:paraId="05E96297">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rPr>
      </w:pPr>
      <w:r>
        <w:rPr>
          <w:rFonts w:hint="default" w:ascii="Times New Roman" w:hAnsi="Times New Roman" w:cs="Times New Roman"/>
          <w:b w:val="0"/>
          <w:bCs w:val="0"/>
          <w:i w:val="0"/>
          <w:iCs w:val="0"/>
          <w:color w:val="auto"/>
          <w:sz w:val="28"/>
          <w:szCs w:val="28"/>
          <w:highlight w:val="none"/>
        </w:rPr>
        <w:t xml:space="preserve"> Қазақстан Республикасының патенті №28836. </w:t>
      </w:r>
      <w:r>
        <w:rPr>
          <w:rStyle w:val="16"/>
          <w:rFonts w:hint="default" w:ascii="Times New Roman" w:hAnsi="Times New Roman" w:cs="Times New Roman"/>
          <w:b w:val="0"/>
          <w:bCs w:val="0"/>
          <w:i w:val="0"/>
          <w:iCs w:val="0"/>
          <w:color w:val="auto"/>
          <w:sz w:val="28"/>
          <w:szCs w:val="28"/>
          <w:highlight w:val="none"/>
        </w:rPr>
        <w:t>Bacillus subtilis J105</w:t>
      </w:r>
      <w:r>
        <w:rPr>
          <w:rStyle w:val="16"/>
          <w:rFonts w:hint="default" w:ascii="Times New Roman" w:hAnsi="Times New Roman" w:cs="Times New Roman"/>
          <w:b w:val="0"/>
          <w:bCs w:val="0"/>
          <w:i w:val="0"/>
          <w:iCs w:val="0"/>
          <w:color w:val="auto"/>
          <w:sz w:val="28"/>
          <w:szCs w:val="28"/>
          <w:highlight w:val="none"/>
        </w:rPr>
        <w:noBreakHyphen/>
      </w:r>
      <w:r>
        <w:rPr>
          <w:rStyle w:val="16"/>
          <w:rFonts w:hint="default" w:ascii="Times New Roman" w:hAnsi="Times New Roman" w:cs="Times New Roman"/>
          <w:b w:val="0"/>
          <w:bCs w:val="0"/>
          <w:i w:val="0"/>
          <w:iCs w:val="0"/>
          <w:color w:val="auto"/>
          <w:sz w:val="28"/>
          <w:szCs w:val="28"/>
          <w:highlight w:val="none"/>
        </w:rPr>
        <w:t>11 штаммы бойынша биосурфактант өндіру технологиясы</w:t>
      </w:r>
      <w:r>
        <w:rPr>
          <w:rFonts w:hint="default" w:ascii="Times New Roman" w:hAnsi="Times New Roman" w:cs="Times New Roman"/>
          <w:b w:val="0"/>
          <w:bCs w:val="0"/>
          <w:i w:val="0"/>
          <w:iCs w:val="0"/>
          <w:color w:val="auto"/>
          <w:sz w:val="28"/>
          <w:szCs w:val="28"/>
          <w:highlight w:val="none"/>
        </w:rPr>
        <w:t>. – 2017. – Қолжетімді: ұлттық патенттік база (https://kzpatents.kz)</w:t>
      </w:r>
    </w:p>
    <w:p w14:paraId="5D2E5247">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rPr>
      </w:pPr>
      <w:r>
        <w:rPr>
          <w:rFonts w:hint="default" w:ascii="Times New Roman" w:hAnsi="Times New Roman" w:cs="Times New Roman"/>
          <w:b w:val="0"/>
          <w:bCs w:val="0"/>
          <w:i w:val="0"/>
          <w:iCs w:val="0"/>
          <w:color w:val="auto"/>
          <w:sz w:val="28"/>
          <w:szCs w:val="28"/>
          <w:highlight w:val="none"/>
        </w:rPr>
        <w:t xml:space="preserve">Sozina I.D. </w:t>
      </w:r>
      <w:r>
        <w:rPr>
          <w:rStyle w:val="16"/>
          <w:rFonts w:hint="default" w:ascii="Times New Roman" w:hAnsi="Times New Roman" w:cs="Times New Roman"/>
          <w:b w:val="0"/>
          <w:bCs w:val="0"/>
          <w:i w:val="0"/>
          <w:iCs w:val="0"/>
          <w:color w:val="auto"/>
          <w:sz w:val="28"/>
          <w:szCs w:val="28"/>
          <w:highlight w:val="none"/>
        </w:rPr>
        <w:t>Microbiological remediation of oil</w:t>
      </w:r>
      <w:r>
        <w:rPr>
          <w:rStyle w:val="16"/>
          <w:rFonts w:hint="default" w:ascii="Times New Roman" w:hAnsi="Times New Roman" w:cs="Times New Roman"/>
          <w:b w:val="0"/>
          <w:bCs w:val="0"/>
          <w:i w:val="0"/>
          <w:iCs w:val="0"/>
          <w:color w:val="auto"/>
          <w:sz w:val="28"/>
          <w:szCs w:val="28"/>
          <w:highlight w:val="none"/>
        </w:rPr>
        <w:noBreakHyphen/>
      </w:r>
      <w:r>
        <w:rPr>
          <w:rStyle w:val="16"/>
          <w:rFonts w:hint="default" w:ascii="Times New Roman" w:hAnsi="Times New Roman" w:cs="Times New Roman"/>
          <w:b w:val="0"/>
          <w:bCs w:val="0"/>
          <w:i w:val="0"/>
          <w:iCs w:val="0"/>
          <w:color w:val="auto"/>
          <w:sz w:val="28"/>
          <w:szCs w:val="28"/>
          <w:highlight w:val="none"/>
        </w:rPr>
        <w:t>contaminated soils</w:t>
      </w:r>
      <w:r>
        <w:rPr>
          <w:rFonts w:hint="default" w:ascii="Times New Roman" w:hAnsi="Times New Roman" w:cs="Times New Roman"/>
          <w:b w:val="0"/>
          <w:bCs w:val="0"/>
          <w:i w:val="0"/>
          <w:iCs w:val="0"/>
          <w:color w:val="auto"/>
          <w:sz w:val="28"/>
          <w:szCs w:val="28"/>
          <w:highlight w:val="none"/>
        </w:rPr>
        <w:t xml:space="preserve"> // </w:t>
      </w:r>
      <w:r>
        <w:rPr>
          <w:rStyle w:val="16"/>
          <w:rFonts w:hint="default" w:ascii="Times New Roman" w:hAnsi="Times New Roman" w:cs="Times New Roman"/>
          <w:b w:val="0"/>
          <w:bCs w:val="0"/>
          <w:i w:val="0"/>
          <w:iCs w:val="0"/>
          <w:color w:val="auto"/>
          <w:sz w:val="28"/>
          <w:szCs w:val="28"/>
          <w:highlight w:val="none"/>
        </w:rPr>
        <w:t>Journal of Mining Institute</w:t>
      </w:r>
      <w:r>
        <w:rPr>
          <w:rFonts w:hint="default" w:ascii="Times New Roman" w:hAnsi="Times New Roman" w:cs="Times New Roman"/>
          <w:b w:val="0"/>
          <w:bCs w:val="0"/>
          <w:i w:val="0"/>
          <w:iCs w:val="0"/>
          <w:color w:val="auto"/>
          <w:sz w:val="28"/>
          <w:szCs w:val="28"/>
          <w:highlight w:val="none"/>
        </w:rPr>
        <w:t xml:space="preserve">. – 2021. – Vol. 246, №4. – P. 567–578. – Қолжетімді: </w:t>
      </w:r>
      <w:r>
        <w:rPr>
          <w:rFonts w:hint="default" w:ascii="Times New Roman" w:hAnsi="Times New Roman" w:cs="Times New Roman"/>
          <w:b w:val="0"/>
          <w:bCs w:val="0"/>
          <w:i w:val="0"/>
          <w:iCs w:val="0"/>
          <w:color w:val="auto"/>
          <w:sz w:val="28"/>
          <w:szCs w:val="28"/>
          <w:highlight w:val="none"/>
        </w:rPr>
        <w:fldChar w:fldCharType="begin"/>
      </w:r>
      <w:r>
        <w:rPr>
          <w:rFonts w:hint="default" w:ascii="Times New Roman" w:hAnsi="Times New Roman" w:cs="Times New Roman"/>
          <w:b w:val="0"/>
          <w:bCs w:val="0"/>
          <w:i w:val="0"/>
          <w:iCs w:val="0"/>
          <w:color w:val="auto"/>
          <w:sz w:val="28"/>
          <w:szCs w:val="28"/>
          <w:highlight w:val="none"/>
        </w:rPr>
        <w:instrText xml:space="preserve"> HYPERLINK "https://pmi.spmi.ru/pmi/article/view/15837?utm_source=chatgpt.com" \t "C:\\Users\\E7F7~1\\AppData\\Local\\Temp\\_new" </w:instrText>
      </w:r>
      <w:r>
        <w:rPr>
          <w:rFonts w:hint="default" w:ascii="Times New Roman" w:hAnsi="Times New Roman" w:cs="Times New Roman"/>
          <w:b w:val="0"/>
          <w:bCs w:val="0"/>
          <w:i w:val="0"/>
          <w:iCs w:val="0"/>
          <w:color w:val="auto"/>
          <w:sz w:val="28"/>
          <w:szCs w:val="28"/>
          <w:highlight w:val="none"/>
        </w:rPr>
        <w:fldChar w:fldCharType="separate"/>
      </w:r>
      <w:r>
        <w:rPr>
          <w:rStyle w:val="17"/>
          <w:rFonts w:hint="default" w:ascii="Times New Roman" w:hAnsi="Times New Roman" w:cs="Times New Roman"/>
          <w:b w:val="0"/>
          <w:bCs w:val="0"/>
          <w:i w:val="0"/>
          <w:iCs w:val="0"/>
          <w:color w:val="auto"/>
          <w:sz w:val="28"/>
          <w:szCs w:val="28"/>
          <w:highlight w:val="none"/>
        </w:rPr>
        <w:t>https://pmi.spmi.ru/pmi/article/view/15837</w:t>
      </w:r>
      <w:r>
        <w:rPr>
          <w:rFonts w:hint="default" w:ascii="Times New Roman" w:hAnsi="Times New Roman" w:cs="Times New Roman"/>
          <w:b w:val="0"/>
          <w:bCs w:val="0"/>
          <w:i w:val="0"/>
          <w:iCs w:val="0"/>
          <w:color w:val="auto"/>
          <w:sz w:val="28"/>
          <w:szCs w:val="28"/>
          <w:highlight w:val="none"/>
        </w:rPr>
        <w:fldChar w:fldCharType="end"/>
      </w:r>
    </w:p>
    <w:p w14:paraId="3739FA88">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rPr>
      </w:pPr>
      <w:r>
        <w:rPr>
          <w:rFonts w:hint="default" w:ascii="Times New Roman" w:hAnsi="Times New Roman" w:cs="Times New Roman"/>
          <w:b w:val="0"/>
          <w:bCs w:val="0"/>
          <w:i w:val="0"/>
          <w:iCs w:val="0"/>
          <w:color w:val="auto"/>
          <w:sz w:val="28"/>
          <w:szCs w:val="28"/>
          <w:highlight w:val="none"/>
        </w:rPr>
        <w:t xml:space="preserve">Қазақстан Республикасының патенті №28836. </w:t>
      </w:r>
      <w:r>
        <w:rPr>
          <w:rStyle w:val="16"/>
          <w:rFonts w:hint="default" w:ascii="Times New Roman" w:hAnsi="Times New Roman" w:cs="Times New Roman"/>
          <w:b w:val="0"/>
          <w:bCs w:val="0"/>
          <w:i w:val="0"/>
          <w:iCs w:val="0"/>
          <w:color w:val="auto"/>
          <w:sz w:val="28"/>
          <w:szCs w:val="28"/>
          <w:highlight w:val="none"/>
        </w:rPr>
        <w:t>Bacillus subtilis J105</w:t>
      </w:r>
      <w:r>
        <w:rPr>
          <w:rStyle w:val="16"/>
          <w:rFonts w:hint="default" w:ascii="Times New Roman" w:hAnsi="Times New Roman" w:cs="Times New Roman"/>
          <w:b w:val="0"/>
          <w:bCs w:val="0"/>
          <w:i w:val="0"/>
          <w:iCs w:val="0"/>
          <w:color w:val="auto"/>
          <w:sz w:val="28"/>
          <w:szCs w:val="28"/>
          <w:highlight w:val="none"/>
        </w:rPr>
        <w:noBreakHyphen/>
      </w:r>
      <w:r>
        <w:rPr>
          <w:rStyle w:val="16"/>
          <w:rFonts w:hint="default" w:ascii="Times New Roman" w:hAnsi="Times New Roman" w:cs="Times New Roman"/>
          <w:b w:val="0"/>
          <w:bCs w:val="0"/>
          <w:i w:val="0"/>
          <w:iCs w:val="0"/>
          <w:color w:val="auto"/>
          <w:sz w:val="28"/>
          <w:szCs w:val="28"/>
          <w:highlight w:val="none"/>
        </w:rPr>
        <w:t>11 штаммы бойынша биосурфактант өндіру технологиясы</w:t>
      </w:r>
      <w:r>
        <w:rPr>
          <w:rFonts w:hint="default" w:ascii="Times New Roman" w:hAnsi="Times New Roman" w:cs="Times New Roman"/>
          <w:b w:val="0"/>
          <w:bCs w:val="0"/>
          <w:i w:val="0"/>
          <w:iCs w:val="0"/>
          <w:color w:val="auto"/>
          <w:sz w:val="28"/>
          <w:szCs w:val="28"/>
          <w:highlight w:val="none"/>
        </w:rPr>
        <w:t xml:space="preserve">. – 2017. </w:t>
      </w:r>
      <w:r>
        <w:rPr>
          <w:rFonts w:hint="default" w:ascii="Times New Roman" w:hAnsi="Times New Roman" w:eastAsia="Symbol" w:cs="Times New Roman"/>
          <w:b w:val="0"/>
          <w:bCs w:val="0"/>
          <w:i w:val="0"/>
          <w:iCs w:val="0"/>
          <w:color w:val="auto"/>
          <w:sz w:val="28"/>
          <w:szCs w:val="28"/>
          <w:highlight w:val="none"/>
        </w:rPr>
        <w:t>·</w:t>
      </w:r>
      <w:r>
        <w:rPr>
          <w:rFonts w:hint="default" w:ascii="Times New Roman" w:hAnsi="Times New Roman" w:eastAsia="SimSun" w:cs="Times New Roman"/>
          <w:b w:val="0"/>
          <w:bCs w:val="0"/>
          <w:i w:val="0"/>
          <w:iCs w:val="0"/>
          <w:color w:val="auto"/>
          <w:sz w:val="28"/>
          <w:szCs w:val="28"/>
          <w:highlight w:val="none"/>
        </w:rPr>
        <w:t xml:space="preserve">    </w:t>
      </w:r>
    </w:p>
    <w:p w14:paraId="4BBD7B0D">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rPr>
      </w:pPr>
      <w:r>
        <w:rPr>
          <w:rFonts w:hint="default" w:ascii="Times New Roman" w:hAnsi="Times New Roman" w:cs="Times New Roman"/>
          <w:b w:val="0"/>
          <w:bCs w:val="0"/>
          <w:i w:val="0"/>
          <w:iCs w:val="0"/>
          <w:color w:val="auto"/>
          <w:sz w:val="28"/>
          <w:szCs w:val="28"/>
          <w:highlight w:val="none"/>
        </w:rPr>
        <w:t>Xingjian Xu, Wenming Liu, Shuhua Tian et al. Petroleum hydrocarbon-degrading bacteria for the remediation of oil pollution under aerobic conditions: a perspective analysis // Frontiers in Microbiology. – 2018. – Vol. 9. – Article 2885. DOI: 10.3389/fmicb.2018.02885</w:t>
      </w:r>
    </w:p>
    <w:p w14:paraId="7FF7DF77">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rPr>
      </w:pPr>
      <w:r>
        <w:rPr>
          <w:rStyle w:val="19"/>
          <w:rFonts w:hint="default" w:ascii="Times New Roman" w:hAnsi="Times New Roman" w:eastAsia="Segoe UI" w:cs="Times New Roman"/>
          <w:b w:val="0"/>
          <w:bCs w:val="0"/>
          <w:i w:val="0"/>
          <w:iCs w:val="0"/>
          <w:caps w:val="0"/>
          <w:color w:val="auto"/>
          <w:spacing w:val="0"/>
          <w:sz w:val="28"/>
          <w:szCs w:val="28"/>
          <w:highlight w:val="none"/>
          <w:shd w:val="clear" w:fill="FFFFFF"/>
        </w:rPr>
        <w:t>Zhang, J.</w:t>
      </w:r>
      <w:r>
        <w:rPr>
          <w:rFonts w:hint="default" w:ascii="Times New Roman" w:hAnsi="Times New Roman" w:eastAsia="Segoe UI" w:cs="Times New Roman"/>
          <w:b w:val="0"/>
          <w:bCs w:val="0"/>
          <w:i w:val="0"/>
          <w:iCs w:val="0"/>
          <w:caps w:val="0"/>
          <w:color w:val="auto"/>
          <w:spacing w:val="0"/>
          <w:sz w:val="28"/>
          <w:szCs w:val="28"/>
          <w:highlight w:val="none"/>
          <w:shd w:val="clear" w:fill="FFFFFF"/>
        </w:rPr>
        <w:t> Leveraging indigenous Bacillus consortia for heavy oil biodegradation and soil bioremediation / J. Zhang, L. Wang, S. Chen [et al.] // Environmental Technology &amp; Innovation. – 2025. – Vol. 41. – P. 104025. – DOI: 10.1016/j.eti.2025.104025</w:t>
      </w:r>
    </w:p>
    <w:p w14:paraId="2E5CA768">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rPr>
      </w:pPr>
      <w:r>
        <w:rPr>
          <w:rStyle w:val="19"/>
          <w:rFonts w:hint="default" w:ascii="Times New Roman" w:hAnsi="Times New Roman" w:eastAsia="Segoe UI" w:cs="Times New Roman"/>
          <w:b w:val="0"/>
          <w:bCs w:val="0"/>
          <w:i w:val="0"/>
          <w:iCs w:val="0"/>
          <w:caps w:val="0"/>
          <w:color w:val="auto"/>
          <w:spacing w:val="0"/>
          <w:sz w:val="28"/>
          <w:szCs w:val="28"/>
          <w:highlight w:val="none"/>
          <w:shd w:val="clear" w:fill="FFFFFF"/>
        </w:rPr>
        <w:t>Gamzaeva, R. S.</w:t>
      </w:r>
      <w:r>
        <w:rPr>
          <w:rFonts w:hint="default" w:ascii="Times New Roman" w:hAnsi="Times New Roman" w:eastAsia="Segoe UI" w:cs="Times New Roman"/>
          <w:b w:val="0"/>
          <w:bCs w:val="0"/>
          <w:i w:val="0"/>
          <w:iCs w:val="0"/>
          <w:caps w:val="0"/>
          <w:color w:val="auto"/>
          <w:spacing w:val="0"/>
          <w:sz w:val="28"/>
          <w:szCs w:val="28"/>
          <w:highlight w:val="none"/>
          <w:shd w:val="clear" w:fill="FFFFFF"/>
        </w:rPr>
        <w:t> Применение биодеструктора Бак-Верад на дерново-подзолистой почве, загрязненной нефтепродуктами / R. S. Gamzaeva // Известия Санкт-Петербургского государственного аграрного университета. – 2019. – № 2 (55). – С. 38-45. – DOI: 10.24411/2078-1318-2019-12038. – EDN: FONZUK.</w:t>
      </w:r>
    </w:p>
    <w:p w14:paraId="5D02520B">
      <w:pPr>
        <w:keepNext w:val="0"/>
        <w:keepLines w:val="0"/>
        <w:pageBreakBefore w:val="0"/>
        <w:widowControl/>
        <w:numPr>
          <w:ilvl w:val="0"/>
          <w:numId w:val="14"/>
        </w:numPr>
        <w:shd w:val="clea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en-US"/>
        </w:rPr>
      </w:pPr>
      <w:r>
        <w:rPr>
          <w:rStyle w:val="19"/>
          <w:rFonts w:hint="default" w:ascii="Times New Roman" w:hAnsi="Times New Roman" w:eastAsia="Segoe UI" w:cs="Times New Roman"/>
          <w:b w:val="0"/>
          <w:bCs w:val="0"/>
          <w:i w:val="0"/>
          <w:iCs w:val="0"/>
          <w:caps w:val="0"/>
          <w:color w:val="auto"/>
          <w:spacing w:val="0"/>
          <w:sz w:val="28"/>
          <w:szCs w:val="28"/>
          <w:highlight w:val="none"/>
          <w:shd w:val="clear" w:fill="FFFFFF"/>
        </w:rPr>
        <w:t>Kuyukina, M. S.</w:t>
      </w:r>
      <w:r>
        <w:rPr>
          <w:rFonts w:hint="default" w:ascii="Times New Roman" w:hAnsi="Times New Roman" w:eastAsia="Segoe UI" w:cs="Times New Roman"/>
          <w:b w:val="0"/>
          <w:bCs w:val="0"/>
          <w:i w:val="0"/>
          <w:iCs w:val="0"/>
          <w:caps w:val="0"/>
          <w:color w:val="auto"/>
          <w:spacing w:val="0"/>
          <w:sz w:val="28"/>
          <w:szCs w:val="28"/>
          <w:highlight w:val="none"/>
          <w:shd w:val="clear" w:fill="FFFFFF"/>
        </w:rPr>
        <w:t> Bioremediation of contaminated environments using Rhodococcus / M. S. Kuyukina, I. B. Ivshina // Biology of Rhodococcus. – 2nd ed. – Cham : Springer, 2019. – P. 231-270. – DOI: 10.1007/978-3-030-11461-9_9.</w:t>
      </w:r>
    </w:p>
    <w:p w14:paraId="6B640910">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rPr>
      </w:pPr>
      <w:r>
        <w:rPr>
          <w:rFonts w:hint="default" w:ascii="Times New Roman" w:hAnsi="Times New Roman" w:eastAsia="SimSun" w:cs="Times New Roman"/>
          <w:b w:val="0"/>
          <w:bCs w:val="0"/>
          <w:i w:val="0"/>
          <w:iCs w:val="0"/>
          <w:color w:val="auto"/>
          <w:sz w:val="28"/>
          <w:szCs w:val="28"/>
          <w:highlight w:val="none"/>
        </w:rPr>
        <w:t>Хожанепесова, Ф.А. Применение иммобилизационной технологии в биоремедиации нефтезагрязненной почвы / Ф.А. Хожанепесова // «Фараби Әлемі» халықаралық ғылыми конференциясының материалдары (6-9 сәуір 2020, Алматы). – Алматы: Әл-Фараби атындағы ҚазҰУ, 2020. – Б. 249.</w:t>
      </w:r>
    </w:p>
    <w:p w14:paraId="6DD64979">
      <w:pPr>
        <w:keepNext w:val="0"/>
        <w:keepLines w:val="0"/>
        <w:pageBreakBefore w:val="0"/>
        <w:widowControl/>
        <w:numPr>
          <w:ilvl w:val="0"/>
          <w:numId w:val="14"/>
        </w:numPr>
        <w:shd w:val="clea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en-US"/>
        </w:rPr>
      </w:pPr>
      <w:r>
        <w:rPr>
          <w:rStyle w:val="19"/>
          <w:rFonts w:hint="default" w:ascii="Times New Roman" w:hAnsi="Times New Roman" w:eastAsia="Segoe UI" w:cs="Times New Roman"/>
          <w:b w:val="0"/>
          <w:bCs w:val="0"/>
          <w:i w:val="0"/>
          <w:iCs w:val="0"/>
          <w:caps w:val="0"/>
          <w:color w:val="auto"/>
          <w:spacing w:val="0"/>
          <w:sz w:val="28"/>
          <w:szCs w:val="28"/>
          <w:highlight w:val="none"/>
          <w:shd w:val="clear" w:fill="FFFFFF"/>
        </w:rPr>
        <w:t>Tosa, T.</w:t>
      </w:r>
      <w:r>
        <w:rPr>
          <w:rFonts w:hint="default" w:ascii="Times New Roman" w:hAnsi="Times New Roman" w:eastAsia="Segoe UI" w:cs="Times New Roman"/>
          <w:b w:val="0"/>
          <w:bCs w:val="0"/>
          <w:i w:val="0"/>
          <w:iCs w:val="0"/>
          <w:caps w:val="0"/>
          <w:color w:val="auto"/>
          <w:spacing w:val="0"/>
          <w:sz w:val="28"/>
          <w:szCs w:val="28"/>
          <w:highlight w:val="none"/>
          <w:shd w:val="clear" w:fill="FFFFFF"/>
        </w:rPr>
        <w:t> Studies on Continuous Enzyme Reactions: Part V. Kinetics and Industrial Application of Aminoacylase Column for Continuous Optical Resolution of Acyl-DL-Amino Acids / T. Tosa, T. Mori, N. Fuse, I. Chibata // Agricultural and Biological Chemistry. – 1969. – Vol. 33, No. 7. – P. 1047-1052. – DOI: 10.1080/00021369.1969.10859416 </w:t>
      </w:r>
    </w:p>
    <w:p w14:paraId="7B5E2530">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eastAsia="SimSun" w:cs="Times New Roman"/>
          <w:b w:val="0"/>
          <w:bCs w:val="0"/>
          <w:i w:val="0"/>
          <w:iCs w:val="0"/>
          <w:color w:val="auto"/>
          <w:sz w:val="28"/>
          <w:szCs w:val="28"/>
          <w:highlight w:val="none"/>
          <w:lang w:val="en-US"/>
        </w:rPr>
      </w:pPr>
      <w:r>
        <w:rPr>
          <w:rFonts w:hint="default" w:ascii="Times New Roman" w:hAnsi="Times New Roman" w:eastAsia="SimSun" w:cs="Times New Roman"/>
          <w:b w:val="0"/>
          <w:bCs w:val="0"/>
          <w:i w:val="0"/>
          <w:iCs w:val="0"/>
          <w:color w:val="auto"/>
          <w:sz w:val="28"/>
          <w:szCs w:val="28"/>
          <w:highlight w:val="none"/>
        </w:rPr>
        <w:t>Bandhyopadhyay, S. Immobilization of microbes for bioremediation of crude oil contaminated soil [и др.] [Электронный ресурс] // The Open Microbiology Journal. — 2015. — Vol. 9. — P. 48–58. — DOI: 10.2174/1874285801509010048.</w:t>
      </w:r>
    </w:p>
    <w:p w14:paraId="4F8ADD66">
      <w:pPr>
        <w:keepNext w:val="0"/>
        <w:keepLines w:val="0"/>
        <w:pageBreakBefore w:val="0"/>
        <w:widowControl/>
        <w:numPr>
          <w:ilvl w:val="0"/>
          <w:numId w:val="14"/>
        </w:numPr>
        <w:shd w:val="clea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en-US"/>
        </w:rPr>
      </w:pPr>
      <w:r>
        <w:rPr>
          <w:rFonts w:hint="default" w:ascii="Times New Roman" w:hAnsi="Times New Roman" w:cs="Times New Roman"/>
          <w:b w:val="0"/>
          <w:bCs w:val="0"/>
          <w:i w:val="0"/>
          <w:iCs w:val="0"/>
          <w:color w:val="auto"/>
          <w:sz w:val="28"/>
          <w:szCs w:val="28"/>
          <w:highlight w:val="none"/>
          <w:lang w:val="en-US"/>
        </w:rPr>
        <w:t>Wang, X. Weak interactions in cell adsorption on mineral surfaces: a critical review / X. Wang, Y. Zhang, L. Chen // Colloids and Surfaces B: Biointerfaces. – 2023. – Vol. 225. – P. 113278. – DOI: 10.1016/j.colsurfb.2023.113278</w:t>
      </w:r>
    </w:p>
    <w:p w14:paraId="3A569748">
      <w:pPr>
        <w:keepNext w:val="0"/>
        <w:keepLines w:val="0"/>
        <w:pageBreakBefore w:val="0"/>
        <w:widowControl/>
        <w:numPr>
          <w:ilvl w:val="0"/>
          <w:numId w:val="14"/>
        </w:numPr>
        <w:shd w:val="clea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en-US"/>
        </w:rPr>
      </w:pPr>
      <w:r>
        <w:rPr>
          <w:rStyle w:val="19"/>
          <w:rFonts w:hint="default" w:ascii="Times New Roman" w:hAnsi="Times New Roman" w:eastAsia="Segoe UI" w:cs="Times New Roman"/>
          <w:b w:val="0"/>
          <w:bCs w:val="0"/>
          <w:i w:val="0"/>
          <w:iCs w:val="0"/>
          <w:caps w:val="0"/>
          <w:color w:val="auto"/>
          <w:spacing w:val="0"/>
          <w:sz w:val="28"/>
          <w:szCs w:val="28"/>
          <w:highlight w:val="none"/>
          <w:shd w:val="clear" w:fill="FFFFFF"/>
        </w:rPr>
        <w:t>Sharma, A.</w:t>
      </w:r>
      <w:r>
        <w:rPr>
          <w:rFonts w:hint="default" w:ascii="Times New Roman" w:hAnsi="Times New Roman" w:eastAsia="Segoe UI" w:cs="Times New Roman"/>
          <w:b w:val="0"/>
          <w:bCs w:val="0"/>
          <w:i w:val="0"/>
          <w:iCs w:val="0"/>
          <w:caps w:val="0"/>
          <w:color w:val="auto"/>
          <w:spacing w:val="0"/>
          <w:sz w:val="28"/>
          <w:szCs w:val="28"/>
          <w:highlight w:val="none"/>
          <w:shd w:val="clear" w:fill="FFFFFF"/>
        </w:rPr>
        <w:t> Recent advances in whole-cell immobilization for biocatalysis: a review / A. Sharma, R. Gupta, S. Kumar // Catalysts. – 2022. – Vol. 12, No. 9. – P. 1024. – DOI: 10.3390/catal12091024. – URL: </w:t>
      </w:r>
      <w:r>
        <w:rPr>
          <w:rFonts w:hint="default" w:ascii="Times New Roman" w:hAnsi="Times New Roman" w:eastAsia="Segoe UI" w:cs="Times New Roman"/>
          <w:b w:val="0"/>
          <w:bCs w:val="0"/>
          <w:i w:val="0"/>
          <w:iCs w:val="0"/>
          <w:caps w:val="0"/>
          <w:color w:val="auto"/>
          <w:spacing w:val="0"/>
          <w:sz w:val="28"/>
          <w:szCs w:val="28"/>
          <w:highlight w:val="none"/>
          <w:u w:val="none"/>
          <w:bdr w:val="single" w:color="auto" w:sz="12" w:space="0"/>
          <w:shd w:val="clear" w:fill="FFFFFF"/>
        </w:rPr>
        <w:fldChar w:fldCharType="begin"/>
      </w:r>
      <w:r>
        <w:rPr>
          <w:rFonts w:hint="default" w:ascii="Times New Roman" w:hAnsi="Times New Roman" w:eastAsia="Segoe UI" w:cs="Times New Roman"/>
          <w:b w:val="0"/>
          <w:bCs w:val="0"/>
          <w:i w:val="0"/>
          <w:iCs w:val="0"/>
          <w:caps w:val="0"/>
          <w:color w:val="auto"/>
          <w:spacing w:val="0"/>
          <w:sz w:val="28"/>
          <w:szCs w:val="28"/>
          <w:highlight w:val="none"/>
          <w:u w:val="none"/>
          <w:bdr w:val="single" w:color="auto" w:sz="12" w:space="0"/>
          <w:shd w:val="clear" w:fill="FFFFFF"/>
        </w:rPr>
        <w:instrText xml:space="preserve"> HYPERLINK "https://www.mdpi.com/2073-4344/12/9/1024" \t "https://chat.deepseek.com/a/chat/s/_blank" </w:instrText>
      </w:r>
      <w:r>
        <w:rPr>
          <w:rFonts w:hint="default" w:ascii="Times New Roman" w:hAnsi="Times New Roman" w:eastAsia="Segoe UI" w:cs="Times New Roman"/>
          <w:b w:val="0"/>
          <w:bCs w:val="0"/>
          <w:i w:val="0"/>
          <w:iCs w:val="0"/>
          <w:caps w:val="0"/>
          <w:color w:val="auto"/>
          <w:spacing w:val="0"/>
          <w:sz w:val="28"/>
          <w:szCs w:val="28"/>
          <w:highlight w:val="none"/>
          <w:u w:val="none"/>
          <w:bdr w:val="single" w:color="auto" w:sz="12" w:space="0"/>
          <w:shd w:val="clear" w:fill="FFFFFF"/>
        </w:rPr>
        <w:fldChar w:fldCharType="separate"/>
      </w:r>
      <w:r>
        <w:rPr>
          <w:rStyle w:val="17"/>
          <w:rFonts w:hint="default" w:ascii="Times New Roman" w:hAnsi="Times New Roman" w:eastAsia="Segoe UI" w:cs="Times New Roman"/>
          <w:b w:val="0"/>
          <w:bCs w:val="0"/>
          <w:i w:val="0"/>
          <w:iCs w:val="0"/>
          <w:caps w:val="0"/>
          <w:color w:val="auto"/>
          <w:spacing w:val="0"/>
          <w:sz w:val="28"/>
          <w:szCs w:val="28"/>
          <w:highlight w:val="none"/>
          <w:u w:val="none"/>
          <w:shd w:val="clear" w:fill="FFFFFF"/>
        </w:rPr>
        <w:t>https://www.mdpi.com/2073-4344/12/9/1024</w:t>
      </w:r>
      <w:r>
        <w:rPr>
          <w:rFonts w:hint="default" w:ascii="Times New Roman" w:hAnsi="Times New Roman" w:eastAsia="Segoe UI" w:cs="Times New Roman"/>
          <w:b w:val="0"/>
          <w:bCs w:val="0"/>
          <w:i w:val="0"/>
          <w:iCs w:val="0"/>
          <w:caps w:val="0"/>
          <w:color w:val="auto"/>
          <w:spacing w:val="0"/>
          <w:sz w:val="28"/>
          <w:szCs w:val="28"/>
          <w:highlight w:val="none"/>
          <w:u w:val="none"/>
          <w:bdr w:val="single" w:color="auto" w:sz="12" w:space="0"/>
          <w:shd w:val="clear" w:fill="FFFFFF"/>
        </w:rPr>
        <w:fldChar w:fldCharType="end"/>
      </w:r>
    </w:p>
    <w:p w14:paraId="1D092E30">
      <w:pPr>
        <w:keepNext w:val="0"/>
        <w:keepLines w:val="0"/>
        <w:pageBreakBefore w:val="0"/>
        <w:widowControl/>
        <w:numPr>
          <w:ilvl w:val="0"/>
          <w:numId w:val="14"/>
        </w:numPr>
        <w:shd w:val="clea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en-US"/>
        </w:rPr>
      </w:pPr>
      <w:r>
        <w:rPr>
          <w:rStyle w:val="19"/>
          <w:rFonts w:hint="default" w:ascii="Times New Roman" w:hAnsi="Times New Roman" w:eastAsia="Segoe UI" w:cs="Times New Roman"/>
          <w:b w:val="0"/>
          <w:bCs w:val="0"/>
          <w:i w:val="0"/>
          <w:iCs w:val="0"/>
          <w:caps w:val="0"/>
          <w:color w:val="auto"/>
          <w:spacing w:val="0"/>
          <w:sz w:val="28"/>
          <w:szCs w:val="28"/>
          <w:highlight w:val="none"/>
          <w:shd w:val="clear" w:fill="FFFFFF"/>
        </w:rPr>
        <w:t>Liu, X.</w:t>
      </w:r>
      <w:r>
        <w:rPr>
          <w:rFonts w:hint="default" w:ascii="Times New Roman" w:hAnsi="Times New Roman" w:eastAsia="Segoe UI" w:cs="Times New Roman"/>
          <w:b w:val="0"/>
          <w:bCs w:val="0"/>
          <w:i w:val="0"/>
          <w:iCs w:val="0"/>
          <w:caps w:val="0"/>
          <w:color w:val="auto"/>
          <w:spacing w:val="0"/>
          <w:sz w:val="28"/>
          <w:szCs w:val="28"/>
          <w:highlight w:val="none"/>
          <w:shd w:val="clear" w:fill="FFFFFF"/>
        </w:rPr>
        <w:t> Synergetic alginate conversion by a microbial consortium of hydrolytic bacteria and methanogens / X. Liu, Y. Wang, L. Chen [et al.] // Water Research. – 2019. – Vol. 163. – P. 114892. – DOI: 10.1016/j.watres.2019.114892.</w:t>
      </w:r>
    </w:p>
    <w:p w14:paraId="38E58021">
      <w:pPr>
        <w:keepNext w:val="0"/>
        <w:keepLines w:val="0"/>
        <w:pageBreakBefore w:val="0"/>
        <w:widowControl/>
        <w:numPr>
          <w:ilvl w:val="0"/>
          <w:numId w:val="14"/>
        </w:numPr>
        <w:shd w:val="clea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en-US"/>
        </w:rPr>
      </w:pPr>
      <w:r>
        <w:rPr>
          <w:rStyle w:val="19"/>
          <w:rFonts w:hint="default" w:ascii="Times New Roman" w:hAnsi="Times New Roman" w:eastAsia="Segoe UI" w:cs="Times New Roman"/>
          <w:b w:val="0"/>
          <w:bCs w:val="0"/>
          <w:i w:val="0"/>
          <w:iCs w:val="0"/>
          <w:caps w:val="0"/>
          <w:color w:val="auto"/>
          <w:spacing w:val="0"/>
          <w:sz w:val="28"/>
          <w:szCs w:val="28"/>
          <w:highlight w:val="none"/>
          <w:shd w:val="clear" w:fill="FFFFFF"/>
        </w:rPr>
        <w:t>Dhamecha, D.</w:t>
      </w:r>
      <w:r>
        <w:rPr>
          <w:rFonts w:hint="default" w:ascii="Times New Roman" w:hAnsi="Times New Roman" w:eastAsia="Segoe UI" w:cs="Times New Roman"/>
          <w:b w:val="0"/>
          <w:bCs w:val="0"/>
          <w:i w:val="0"/>
          <w:iCs w:val="0"/>
          <w:caps w:val="0"/>
          <w:color w:val="auto"/>
          <w:spacing w:val="0"/>
          <w:sz w:val="28"/>
          <w:szCs w:val="28"/>
          <w:highlight w:val="none"/>
          <w:shd w:val="clear" w:fill="FFFFFF"/>
        </w:rPr>
        <w:t> Applications of alginate microspheres in therapeutics delivery and cell culture: Past, present and future / D. Dhamecha, R. Movsas, U. Sano, J. U. Menon // International Journal of Pharmaceutics. – 2019. – Vol. 569. – P. 118627. – DOI: 10.1016/j.ijpharm.2019.118627. </w:t>
      </w:r>
    </w:p>
    <w:p w14:paraId="1A9BE92D">
      <w:pPr>
        <w:keepNext w:val="0"/>
        <w:keepLines w:val="0"/>
        <w:pageBreakBefore w:val="0"/>
        <w:widowControl/>
        <w:numPr>
          <w:ilvl w:val="0"/>
          <w:numId w:val="14"/>
        </w:numPr>
        <w:shd w:val="clea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en-US"/>
        </w:rPr>
      </w:pPr>
      <w:r>
        <w:rPr>
          <w:rStyle w:val="19"/>
          <w:rFonts w:hint="default" w:ascii="Times New Roman" w:hAnsi="Times New Roman" w:eastAsia="Segoe UI" w:cs="Times New Roman"/>
          <w:b w:val="0"/>
          <w:bCs w:val="0"/>
          <w:i w:val="0"/>
          <w:iCs w:val="0"/>
          <w:caps w:val="0"/>
          <w:color w:val="auto"/>
          <w:spacing w:val="0"/>
          <w:sz w:val="28"/>
          <w:szCs w:val="28"/>
          <w:highlight w:val="none"/>
          <w:shd w:val="clear" w:fill="FFFFFF"/>
        </w:rPr>
        <w:t>Sakshi</w:t>
      </w:r>
      <w:r>
        <w:rPr>
          <w:rFonts w:hint="default" w:ascii="Times New Roman" w:hAnsi="Times New Roman" w:eastAsia="Segoe UI" w:cs="Times New Roman"/>
          <w:b w:val="0"/>
          <w:bCs w:val="0"/>
          <w:i w:val="0"/>
          <w:iCs w:val="0"/>
          <w:caps w:val="0"/>
          <w:color w:val="auto"/>
          <w:spacing w:val="0"/>
          <w:sz w:val="28"/>
          <w:szCs w:val="28"/>
          <w:highlight w:val="none"/>
          <w:shd w:val="clear" w:fill="FFFFFF"/>
        </w:rPr>
        <w:t> Comprehensive review on remediation of petroleum-contaminated sites: focusing on technologies and sustainability / Sakshi, S. K. Singh, A. K. Haritash // Sustainability. – 2024. – Vol. 16, No. 1. – P. 418. – DOI: 10.3390/su16010418</w:t>
      </w:r>
    </w:p>
    <w:p w14:paraId="5A41AB90">
      <w:pPr>
        <w:keepNext w:val="0"/>
        <w:keepLines w:val="0"/>
        <w:pageBreakBefore w:val="0"/>
        <w:widowControl/>
        <w:numPr>
          <w:ilvl w:val="0"/>
          <w:numId w:val="14"/>
        </w:numPr>
        <w:shd w:val="clea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en-US"/>
        </w:rPr>
      </w:pPr>
      <w:r>
        <w:rPr>
          <w:rStyle w:val="19"/>
          <w:rFonts w:hint="default" w:ascii="Times New Roman" w:hAnsi="Times New Roman" w:eastAsia="Segoe UI" w:cs="Times New Roman"/>
          <w:b w:val="0"/>
          <w:bCs w:val="0"/>
          <w:i w:val="0"/>
          <w:iCs w:val="0"/>
          <w:caps w:val="0"/>
          <w:color w:val="auto"/>
          <w:spacing w:val="0"/>
          <w:sz w:val="28"/>
          <w:szCs w:val="28"/>
          <w:highlight w:val="none"/>
          <w:shd w:val="clear" w:fill="FFFFFF"/>
        </w:rPr>
        <w:t>Ambaye, T. G.</w:t>
      </w:r>
      <w:r>
        <w:rPr>
          <w:rFonts w:hint="default" w:ascii="Times New Roman" w:hAnsi="Times New Roman" w:eastAsia="Segoe UI" w:cs="Times New Roman"/>
          <w:b w:val="0"/>
          <w:bCs w:val="0"/>
          <w:i w:val="0"/>
          <w:iCs w:val="0"/>
          <w:caps w:val="0"/>
          <w:color w:val="auto"/>
          <w:spacing w:val="0"/>
          <w:sz w:val="28"/>
          <w:szCs w:val="28"/>
          <w:highlight w:val="none"/>
          <w:shd w:val="clear" w:fill="FFFFFF"/>
        </w:rPr>
        <w:t> Remediation of soil polluted with petroleum hydrocarbons and its reuse for agriculture: recent progress, challenges, and perspectives / T. G. Ambaye, A. Vaccari, A. Bonilla-Petriciolet // Chemosphere. – 2022. – Vol. 293. – P. 133572. – DOI: 10.1016/j.chemosphere.2022.133572</w:t>
      </w:r>
    </w:p>
    <w:p w14:paraId="3594550B">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ru-RU"/>
        </w:rPr>
      </w:pPr>
      <w:r>
        <w:rPr>
          <w:rFonts w:hint="default" w:ascii="Times New Roman" w:hAnsi="Times New Roman" w:cs="Times New Roman"/>
          <w:b w:val="0"/>
          <w:bCs w:val="0"/>
          <w:i w:val="0"/>
          <w:iCs w:val="0"/>
          <w:color w:val="auto"/>
          <w:sz w:val="28"/>
          <w:szCs w:val="28"/>
          <w:highlight w:val="none"/>
          <w:lang w:val="ru-RU"/>
        </w:rPr>
        <w:t xml:space="preserve">Datta S. Immobilization of microbes and enzymes for advanced industrial applications / S. Datta, L. R. Christena, Y. R. S. Rajaram // Journal of Molecular Catalysis B: Enzymatic. – 2019. – Vol. 118. – P. 45-52. – URL: </w:t>
      </w:r>
      <w:r>
        <w:rPr>
          <w:rFonts w:hint="default" w:ascii="Times New Roman" w:hAnsi="Times New Roman" w:cs="Times New Roman"/>
          <w:b w:val="0"/>
          <w:bCs w:val="0"/>
          <w:i w:val="0"/>
          <w:iCs w:val="0"/>
          <w:color w:val="auto"/>
          <w:sz w:val="28"/>
          <w:szCs w:val="28"/>
          <w:highlight w:val="none"/>
          <w:lang w:val="ru-RU"/>
        </w:rPr>
        <w:fldChar w:fldCharType="begin"/>
      </w:r>
      <w:r>
        <w:rPr>
          <w:rFonts w:hint="default" w:ascii="Times New Roman" w:hAnsi="Times New Roman" w:cs="Times New Roman"/>
          <w:b w:val="0"/>
          <w:bCs w:val="0"/>
          <w:i w:val="0"/>
          <w:iCs w:val="0"/>
          <w:color w:val="auto"/>
          <w:sz w:val="28"/>
          <w:szCs w:val="28"/>
          <w:highlight w:val="none"/>
          <w:lang w:val="ru-RU"/>
        </w:rPr>
        <w:instrText xml:space="preserve"> HYPERLINK "https://doi.org/10.1016/j.molcatb.2019.05.005" </w:instrText>
      </w:r>
      <w:r>
        <w:rPr>
          <w:rFonts w:hint="default" w:ascii="Times New Roman" w:hAnsi="Times New Roman" w:cs="Times New Roman"/>
          <w:b w:val="0"/>
          <w:bCs w:val="0"/>
          <w:i w:val="0"/>
          <w:iCs w:val="0"/>
          <w:color w:val="auto"/>
          <w:sz w:val="28"/>
          <w:szCs w:val="28"/>
          <w:highlight w:val="none"/>
          <w:lang w:val="ru-RU"/>
        </w:rPr>
        <w:fldChar w:fldCharType="separate"/>
      </w:r>
      <w:r>
        <w:rPr>
          <w:rStyle w:val="17"/>
          <w:rFonts w:hint="default" w:ascii="Times New Roman" w:hAnsi="Times New Roman" w:cs="Times New Roman"/>
          <w:b w:val="0"/>
          <w:bCs w:val="0"/>
          <w:i w:val="0"/>
          <w:iCs w:val="0"/>
          <w:color w:val="auto"/>
          <w:sz w:val="28"/>
          <w:szCs w:val="28"/>
          <w:highlight w:val="none"/>
          <w:lang w:val="ru-RU"/>
        </w:rPr>
        <w:t>https://doi.org/10.1016/j.molcatb.2019.05.005</w:t>
      </w:r>
      <w:r>
        <w:rPr>
          <w:rFonts w:hint="default" w:ascii="Times New Roman" w:hAnsi="Times New Roman" w:cs="Times New Roman"/>
          <w:b w:val="0"/>
          <w:bCs w:val="0"/>
          <w:i w:val="0"/>
          <w:iCs w:val="0"/>
          <w:color w:val="auto"/>
          <w:sz w:val="28"/>
          <w:szCs w:val="28"/>
          <w:highlight w:val="none"/>
          <w:lang w:val="ru-RU"/>
        </w:rPr>
        <w:fldChar w:fldCharType="end"/>
      </w:r>
    </w:p>
    <w:p w14:paraId="4C5361AD">
      <w:pPr>
        <w:keepNext w:val="0"/>
        <w:keepLines w:val="0"/>
        <w:pageBreakBefore w:val="0"/>
        <w:widowControl/>
        <w:numPr>
          <w:ilvl w:val="0"/>
          <w:numId w:val="14"/>
        </w:numPr>
        <w:shd w:val="clea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en-US"/>
        </w:rPr>
      </w:pPr>
      <w:r>
        <w:rPr>
          <w:rStyle w:val="19"/>
          <w:rFonts w:hint="default" w:ascii="Times New Roman" w:hAnsi="Times New Roman" w:eastAsia="Segoe UI" w:cs="Times New Roman"/>
          <w:b w:val="0"/>
          <w:bCs w:val="0"/>
          <w:i w:val="0"/>
          <w:iCs w:val="0"/>
          <w:caps w:val="0"/>
          <w:color w:val="auto"/>
          <w:spacing w:val="0"/>
          <w:sz w:val="28"/>
          <w:szCs w:val="28"/>
          <w:highlight w:val="none"/>
          <w:shd w:val="clear" w:fill="FFFFFF"/>
        </w:rPr>
        <w:t>Zhu, Y.</w:t>
      </w:r>
      <w:r>
        <w:rPr>
          <w:rFonts w:hint="default" w:ascii="Times New Roman" w:hAnsi="Times New Roman" w:eastAsia="Segoe UI" w:cs="Times New Roman"/>
          <w:b w:val="0"/>
          <w:bCs w:val="0"/>
          <w:i w:val="0"/>
          <w:iCs w:val="0"/>
          <w:caps w:val="0"/>
          <w:color w:val="auto"/>
          <w:spacing w:val="0"/>
          <w:sz w:val="28"/>
          <w:szCs w:val="28"/>
          <w:highlight w:val="none"/>
          <w:shd w:val="clear" w:fill="FFFFFF"/>
        </w:rPr>
        <w:t> Recent advances in microbial cell immobilization for engineering biotechnology: A review / Y. Zhu, Q. Zhang, L. Wang // Bioengineering. – 2023. – Vol. 10, No. 5. – P. 567. – DOI: 10.3390/bioengineering10050567.</w:t>
      </w:r>
    </w:p>
    <w:p w14:paraId="76D48BB7">
      <w:pPr>
        <w:keepNext w:val="0"/>
        <w:keepLines w:val="0"/>
        <w:pageBreakBefore w:val="0"/>
        <w:widowControl/>
        <w:numPr>
          <w:ilvl w:val="0"/>
          <w:numId w:val="14"/>
        </w:numPr>
        <w:shd w:val="clea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en-US"/>
        </w:rPr>
      </w:pPr>
      <w:r>
        <w:rPr>
          <w:rStyle w:val="19"/>
          <w:rFonts w:hint="default" w:ascii="Times New Roman" w:hAnsi="Times New Roman" w:eastAsia="Segoe UI" w:cs="Times New Roman"/>
          <w:b w:val="0"/>
          <w:bCs w:val="0"/>
          <w:i w:val="0"/>
          <w:iCs w:val="0"/>
          <w:caps w:val="0"/>
          <w:color w:val="auto"/>
          <w:spacing w:val="0"/>
          <w:sz w:val="28"/>
          <w:szCs w:val="28"/>
          <w:highlight w:val="none"/>
          <w:shd w:val="clear" w:fill="FFFFFF"/>
        </w:rPr>
        <w:t>Bouabidi, Z. B.</w:t>
      </w:r>
      <w:r>
        <w:rPr>
          <w:rFonts w:hint="default" w:ascii="Times New Roman" w:hAnsi="Times New Roman" w:eastAsia="Segoe UI" w:cs="Times New Roman"/>
          <w:b w:val="0"/>
          <w:bCs w:val="0"/>
          <w:i w:val="0"/>
          <w:iCs w:val="0"/>
          <w:caps w:val="0"/>
          <w:color w:val="auto"/>
          <w:spacing w:val="0"/>
          <w:sz w:val="28"/>
          <w:szCs w:val="28"/>
          <w:highlight w:val="none"/>
          <w:shd w:val="clear" w:fill="FFFFFF"/>
        </w:rPr>
        <w:t> Immobilization of microbial cells for the biotreatment of wastewater: A review / Z. B. Bouabidi, M. H. El-Naas, Z. Zhang // Environmental Chemistry Letters. – 2019. – Vol. 17. – P. 241–257. – DOI: 10.1007/s10311-018-0795-7.</w:t>
      </w:r>
    </w:p>
    <w:p w14:paraId="1A73C083">
      <w:pPr>
        <w:keepNext w:val="0"/>
        <w:keepLines w:val="0"/>
        <w:pageBreakBefore w:val="0"/>
        <w:widowControl/>
        <w:numPr>
          <w:ilvl w:val="0"/>
          <w:numId w:val="14"/>
        </w:numPr>
        <w:shd w:val="clea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en-US"/>
        </w:rPr>
      </w:pPr>
      <w:r>
        <w:rPr>
          <w:rStyle w:val="16"/>
          <w:rFonts w:hint="default" w:ascii="Times New Roman" w:hAnsi="Times New Roman" w:eastAsia="Segoe UI" w:cs="Times New Roman"/>
          <w:b w:val="0"/>
          <w:bCs w:val="0"/>
          <w:i w:val="0"/>
          <w:iCs w:val="0"/>
          <w:caps w:val="0"/>
          <w:color w:val="auto"/>
          <w:spacing w:val="0"/>
          <w:sz w:val="28"/>
          <w:szCs w:val="28"/>
          <w:highlight w:val="none"/>
          <w:shd w:val="clear" w:color="auto" w:fill="FFFFFF"/>
        </w:rPr>
        <w:t>Wang H.</w:t>
      </w:r>
      <w:r>
        <w:rPr>
          <w:rFonts w:hint="default" w:ascii="Times New Roman" w:hAnsi="Times New Roman" w:eastAsia="Segoe UI" w:cs="Times New Roman"/>
          <w:b w:val="0"/>
          <w:bCs w:val="0"/>
          <w:i w:val="0"/>
          <w:iCs w:val="0"/>
          <w:caps w:val="0"/>
          <w:color w:val="auto"/>
          <w:spacing w:val="0"/>
          <w:sz w:val="28"/>
          <w:szCs w:val="28"/>
          <w:highlight w:val="none"/>
          <w:shd w:val="clear" w:color="auto" w:fill="FFFFFF"/>
        </w:rPr>
        <w:t> Carbon nanomaterials for oil spill cleanup / H. Wang, X. Wang // Journal of Materials Chemistry A. – 2023. – Vol. 11. – P. 3214-3227. – URL: </w:t>
      </w:r>
      <w:r>
        <w:rPr>
          <w:rFonts w:hint="default" w:ascii="Times New Roman" w:hAnsi="Times New Roman" w:eastAsia="Segoe UI" w:cs="Times New Roman"/>
          <w:b w:val="0"/>
          <w:bCs w:val="0"/>
          <w:i w:val="0"/>
          <w:iCs w:val="0"/>
          <w:caps w:val="0"/>
          <w:color w:val="auto"/>
          <w:spacing w:val="0"/>
          <w:sz w:val="28"/>
          <w:szCs w:val="28"/>
          <w:highlight w:val="none"/>
          <w:u w:val="none"/>
          <w:bdr w:val="single" w:color="auto" w:sz="12" w:space="0"/>
          <w:shd w:val="clear" w:color="auto" w:fill="FFFFFF"/>
        </w:rPr>
        <w:fldChar w:fldCharType="begin"/>
      </w:r>
      <w:r>
        <w:rPr>
          <w:rFonts w:hint="default" w:ascii="Times New Roman" w:hAnsi="Times New Roman" w:eastAsia="Segoe UI" w:cs="Times New Roman"/>
          <w:b w:val="0"/>
          <w:bCs w:val="0"/>
          <w:i w:val="0"/>
          <w:iCs w:val="0"/>
          <w:caps w:val="0"/>
          <w:color w:val="auto"/>
          <w:spacing w:val="0"/>
          <w:sz w:val="28"/>
          <w:szCs w:val="28"/>
          <w:highlight w:val="none"/>
          <w:u w:val="none"/>
          <w:bdr w:val="single" w:color="auto" w:sz="12" w:space="0"/>
          <w:shd w:val="clear" w:color="auto" w:fill="FFFFFF"/>
        </w:rPr>
        <w:instrText xml:space="preserve"> HYPERLINK "https://doi.org/10.1039/D2TA08935G" \t "https://chat.deepseek.com/a/chat/s/_blank" </w:instrText>
      </w:r>
      <w:r>
        <w:rPr>
          <w:rFonts w:hint="default" w:ascii="Times New Roman" w:hAnsi="Times New Roman" w:eastAsia="Segoe UI" w:cs="Times New Roman"/>
          <w:b w:val="0"/>
          <w:bCs w:val="0"/>
          <w:i w:val="0"/>
          <w:iCs w:val="0"/>
          <w:caps w:val="0"/>
          <w:color w:val="auto"/>
          <w:spacing w:val="0"/>
          <w:sz w:val="28"/>
          <w:szCs w:val="28"/>
          <w:highlight w:val="none"/>
          <w:u w:val="none"/>
          <w:bdr w:val="single" w:color="auto" w:sz="12" w:space="0"/>
          <w:shd w:val="clear" w:color="auto" w:fill="FFFFFF"/>
        </w:rPr>
        <w:fldChar w:fldCharType="separate"/>
      </w:r>
      <w:r>
        <w:rPr>
          <w:rStyle w:val="17"/>
          <w:rFonts w:hint="default" w:ascii="Times New Roman" w:hAnsi="Times New Roman" w:eastAsia="Segoe UI" w:cs="Times New Roman"/>
          <w:b w:val="0"/>
          <w:bCs w:val="0"/>
          <w:i w:val="0"/>
          <w:iCs w:val="0"/>
          <w:caps w:val="0"/>
          <w:color w:val="auto"/>
          <w:spacing w:val="0"/>
          <w:sz w:val="28"/>
          <w:szCs w:val="28"/>
          <w:highlight w:val="none"/>
          <w:u w:val="none"/>
          <w:shd w:val="clear" w:color="auto" w:fill="FFFFFF"/>
        </w:rPr>
        <w:t>https://doi.org/10.1039/D2TA08935G</w:t>
      </w:r>
      <w:r>
        <w:rPr>
          <w:rFonts w:hint="default" w:ascii="Times New Roman" w:hAnsi="Times New Roman" w:eastAsia="Segoe UI" w:cs="Times New Roman"/>
          <w:b w:val="0"/>
          <w:bCs w:val="0"/>
          <w:i w:val="0"/>
          <w:iCs w:val="0"/>
          <w:caps w:val="0"/>
          <w:color w:val="auto"/>
          <w:spacing w:val="0"/>
          <w:sz w:val="28"/>
          <w:szCs w:val="28"/>
          <w:highlight w:val="none"/>
          <w:u w:val="none"/>
          <w:bdr w:val="single" w:color="auto" w:sz="12" w:space="0"/>
          <w:shd w:val="clear" w:color="auto" w:fill="FFFFFF"/>
        </w:rPr>
        <w:fldChar w:fldCharType="end"/>
      </w:r>
    </w:p>
    <w:p w14:paraId="252B585C">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ru-RU"/>
        </w:rPr>
      </w:pPr>
      <w:r>
        <w:rPr>
          <w:rFonts w:hint="default" w:ascii="Times New Roman" w:hAnsi="Times New Roman" w:cs="Times New Roman"/>
          <w:b w:val="0"/>
          <w:bCs w:val="0"/>
          <w:i w:val="0"/>
          <w:iCs w:val="0"/>
          <w:color w:val="auto"/>
          <w:sz w:val="28"/>
          <w:szCs w:val="28"/>
          <w:highlight w:val="none"/>
          <w:lang w:val="ru-RU"/>
        </w:rPr>
        <w:t xml:space="preserve">Yamamoto K. Whole-cell biosensor for water toxicity assessment using immobilized Vibrio fischeri / K. Yamamoto, T. Nakamura, S. Watanabe // Sensors and Actuators B: Chemical. – 2021. – Vol. 345. – P. 130412. – URL: </w:t>
      </w:r>
      <w:r>
        <w:rPr>
          <w:rFonts w:hint="default" w:ascii="Times New Roman" w:hAnsi="Times New Roman" w:cs="Times New Roman"/>
          <w:b w:val="0"/>
          <w:bCs w:val="0"/>
          <w:i w:val="0"/>
          <w:iCs w:val="0"/>
          <w:color w:val="auto"/>
          <w:sz w:val="28"/>
          <w:szCs w:val="28"/>
          <w:highlight w:val="none"/>
          <w:lang w:val="ru-RU"/>
        </w:rPr>
        <w:fldChar w:fldCharType="begin"/>
      </w:r>
      <w:r>
        <w:rPr>
          <w:rFonts w:hint="default" w:ascii="Times New Roman" w:hAnsi="Times New Roman" w:cs="Times New Roman"/>
          <w:b w:val="0"/>
          <w:bCs w:val="0"/>
          <w:i w:val="0"/>
          <w:iCs w:val="0"/>
          <w:color w:val="auto"/>
          <w:sz w:val="28"/>
          <w:szCs w:val="28"/>
          <w:highlight w:val="none"/>
          <w:lang w:val="ru-RU"/>
        </w:rPr>
        <w:instrText xml:space="preserve"> HYPERLINK "https://doi.org/10.1016/j.snb.2021.130412" </w:instrText>
      </w:r>
      <w:r>
        <w:rPr>
          <w:rFonts w:hint="default" w:ascii="Times New Roman" w:hAnsi="Times New Roman" w:cs="Times New Roman"/>
          <w:b w:val="0"/>
          <w:bCs w:val="0"/>
          <w:i w:val="0"/>
          <w:iCs w:val="0"/>
          <w:color w:val="auto"/>
          <w:sz w:val="28"/>
          <w:szCs w:val="28"/>
          <w:highlight w:val="none"/>
          <w:lang w:val="ru-RU"/>
        </w:rPr>
        <w:fldChar w:fldCharType="separate"/>
      </w:r>
      <w:r>
        <w:rPr>
          <w:rStyle w:val="17"/>
          <w:rFonts w:hint="default" w:ascii="Times New Roman" w:hAnsi="Times New Roman" w:cs="Times New Roman"/>
          <w:b w:val="0"/>
          <w:bCs w:val="0"/>
          <w:i w:val="0"/>
          <w:iCs w:val="0"/>
          <w:color w:val="auto"/>
          <w:sz w:val="28"/>
          <w:szCs w:val="28"/>
          <w:highlight w:val="none"/>
          <w:lang w:val="ru-RU"/>
        </w:rPr>
        <w:t>https://doi.org/10.1016/j.snb.2021.130412</w:t>
      </w:r>
      <w:r>
        <w:rPr>
          <w:rFonts w:hint="default" w:ascii="Times New Roman" w:hAnsi="Times New Roman" w:cs="Times New Roman"/>
          <w:b w:val="0"/>
          <w:bCs w:val="0"/>
          <w:i w:val="0"/>
          <w:iCs w:val="0"/>
          <w:color w:val="auto"/>
          <w:sz w:val="28"/>
          <w:szCs w:val="28"/>
          <w:highlight w:val="none"/>
          <w:lang w:val="ru-RU"/>
        </w:rPr>
        <w:fldChar w:fldCharType="end"/>
      </w:r>
    </w:p>
    <w:p w14:paraId="47607862">
      <w:pPr>
        <w:keepNext w:val="0"/>
        <w:keepLines w:val="0"/>
        <w:pageBreakBefore w:val="0"/>
        <w:widowControl/>
        <w:numPr>
          <w:ilvl w:val="0"/>
          <w:numId w:val="14"/>
        </w:numPr>
        <w:shd w:val="clea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eastAsia="SimSun" w:cs="Times New Roman"/>
          <w:b w:val="0"/>
          <w:bCs w:val="0"/>
          <w:i w:val="0"/>
          <w:iCs w:val="0"/>
          <w:color w:val="auto"/>
          <w:sz w:val="28"/>
          <w:szCs w:val="28"/>
          <w:highlight w:val="none"/>
        </w:rPr>
      </w:pPr>
      <w:r>
        <w:rPr>
          <w:rStyle w:val="19"/>
          <w:rFonts w:hint="default" w:ascii="Times New Roman" w:hAnsi="Times New Roman" w:eastAsia="Segoe UI" w:cs="Times New Roman"/>
          <w:b w:val="0"/>
          <w:bCs w:val="0"/>
          <w:i w:val="0"/>
          <w:iCs w:val="0"/>
          <w:caps w:val="0"/>
          <w:color w:val="auto"/>
          <w:spacing w:val="0"/>
          <w:sz w:val="28"/>
          <w:szCs w:val="28"/>
          <w:highlight w:val="none"/>
          <w:shd w:val="clear" w:fill="FFFFFF"/>
        </w:rPr>
        <w:t>Ossai, I. C.</w:t>
      </w:r>
      <w:r>
        <w:rPr>
          <w:rFonts w:hint="default" w:ascii="Times New Roman" w:hAnsi="Times New Roman" w:eastAsia="Segoe UI" w:cs="Times New Roman"/>
          <w:b w:val="0"/>
          <w:bCs w:val="0"/>
          <w:i w:val="0"/>
          <w:iCs w:val="0"/>
          <w:caps w:val="0"/>
          <w:color w:val="auto"/>
          <w:spacing w:val="0"/>
          <w:sz w:val="28"/>
          <w:szCs w:val="28"/>
          <w:highlight w:val="none"/>
          <w:shd w:val="clear" w:fill="FFFFFF"/>
        </w:rPr>
        <w:t> Remediation of soil and water contaminated with petroleum hydrocarbon: A review / I. C. Ossai, A. Ahmed, A. Hassan, F. S. Hamid // Environmental Technology &amp; Innovation. – 2020. – Vol. 17. – P. 100526. – DOI: 10.1016/j.eti.2019.100526</w:t>
      </w:r>
    </w:p>
    <w:p w14:paraId="67DE69E6">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eastAsia="Consolas" w:cs="Times New Roman"/>
          <w:b w:val="0"/>
          <w:bCs w:val="0"/>
          <w:i w:val="0"/>
          <w:iCs w:val="0"/>
          <w:caps w:val="0"/>
          <w:color w:val="auto"/>
          <w:spacing w:val="0"/>
          <w:sz w:val="28"/>
          <w:szCs w:val="28"/>
          <w:highlight w:val="none"/>
        </w:rPr>
      </w:pPr>
      <w:r>
        <w:rPr>
          <w:rFonts w:hint="default" w:ascii="Times New Roman" w:hAnsi="Times New Roman" w:eastAsia="Consolas" w:cs="Times New Roman"/>
          <w:b w:val="0"/>
          <w:bCs w:val="0"/>
          <w:i w:val="0"/>
          <w:iCs w:val="0"/>
          <w:caps w:val="0"/>
          <w:color w:val="auto"/>
          <w:spacing w:val="0"/>
          <w:sz w:val="28"/>
          <w:szCs w:val="28"/>
          <w:highlight w:val="none"/>
        </w:rPr>
        <w:t>Manohar S. Degradation of naphthalene by cells of Pseudomonas sp. strain NGK 1 immobilized in alginate, agar and polyacrylamide / S. Manohar, T. B. Karegoudar // Applied Microbiology and Biotechnology. – 1998. – Vol. 49, № 6. – P. 785-792. – DOI: 10.1007/s002530051246</w:t>
      </w:r>
    </w:p>
    <w:p w14:paraId="1798EDD5">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rPr>
      </w:pPr>
      <w:r>
        <w:rPr>
          <w:rFonts w:hint="default" w:ascii="Times New Roman" w:hAnsi="Times New Roman" w:eastAsia="SimSun" w:cs="Times New Roman"/>
          <w:b w:val="0"/>
          <w:bCs w:val="0"/>
          <w:i w:val="0"/>
          <w:iCs w:val="0"/>
          <w:color w:val="auto"/>
          <w:sz w:val="28"/>
          <w:szCs w:val="28"/>
          <w:highlight w:val="none"/>
        </w:rPr>
        <w:t>Хожанепесова Ф. Мұнай кәсіпорын қалдықтарын өңдеу: үйлесімді биосорбент әдісінің перспективасы // Материалы XVI Республиканской научно-практической конференции студентов, магистрантов, PhD докторантов «Молодежь, наука и инновация». – Актобе, 2020. – Т. I. – С. 671-674.</w:t>
      </w:r>
    </w:p>
    <w:p w14:paraId="62B17B0B">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eastAsia="Consolas" w:cs="Times New Roman"/>
          <w:b w:val="0"/>
          <w:bCs w:val="0"/>
          <w:i w:val="0"/>
          <w:iCs w:val="0"/>
          <w:caps w:val="0"/>
          <w:color w:val="auto"/>
          <w:spacing w:val="0"/>
          <w:sz w:val="28"/>
          <w:szCs w:val="28"/>
          <w:highlight w:val="none"/>
        </w:rPr>
      </w:pPr>
      <w:r>
        <w:rPr>
          <w:rFonts w:hint="default" w:ascii="Times New Roman" w:hAnsi="Times New Roman" w:eastAsia="Consolas" w:cs="Times New Roman"/>
          <w:b w:val="0"/>
          <w:bCs w:val="0"/>
          <w:i w:val="0"/>
          <w:iCs w:val="0"/>
          <w:caps w:val="0"/>
          <w:color w:val="auto"/>
          <w:spacing w:val="0"/>
          <w:sz w:val="28"/>
          <w:szCs w:val="28"/>
          <w:highlight w:val="none"/>
        </w:rPr>
        <w:t>E L. Use of coimmobilized biological systems to degrade toxic organic compounds / L. JE, H. Y. Wang, R. F. Hickey // Biotechnology and Bioengineering. – 1991. – Vol. 38, № 3. – P. 273-279. – DOI: 10.1002/bit.260380310</w:t>
      </w:r>
      <w:r>
        <w:rPr>
          <w:rFonts w:hint="default" w:ascii="Times New Roman" w:hAnsi="Times New Roman" w:eastAsia="Consolas" w:cs="Times New Roman"/>
          <w:b w:val="0"/>
          <w:bCs w:val="0"/>
          <w:i w:val="0"/>
          <w:iCs w:val="0"/>
          <w:caps w:val="0"/>
          <w:color w:val="auto"/>
          <w:spacing w:val="0"/>
          <w:sz w:val="28"/>
          <w:szCs w:val="28"/>
          <w:highlight w:val="none"/>
          <w:lang w:val="en-US"/>
        </w:rPr>
        <w:t>4</w:t>
      </w:r>
    </w:p>
    <w:p w14:paraId="57CD65A6">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eastAsia="Consolas" w:cs="Times New Roman"/>
          <w:b w:val="0"/>
          <w:bCs w:val="0"/>
          <w:i w:val="0"/>
          <w:iCs w:val="0"/>
          <w:caps w:val="0"/>
          <w:color w:val="auto"/>
          <w:spacing w:val="0"/>
          <w:sz w:val="28"/>
          <w:szCs w:val="28"/>
          <w:highlight w:val="none"/>
        </w:rPr>
      </w:pPr>
      <w:r>
        <w:rPr>
          <w:rFonts w:hint="default" w:ascii="Times New Roman" w:hAnsi="Times New Roman" w:eastAsia="Consolas" w:cs="Times New Roman"/>
          <w:b w:val="0"/>
          <w:bCs w:val="0"/>
          <w:i w:val="0"/>
          <w:iCs w:val="0"/>
          <w:caps w:val="0"/>
          <w:color w:val="auto"/>
          <w:spacing w:val="0"/>
          <w:sz w:val="28"/>
          <w:szCs w:val="28"/>
          <w:highlight w:val="none"/>
        </w:rPr>
        <w:t>Cassidy M. B. Mineralization of pentachlorophenol in a contaminated soil by Pseudomonas sp. UG30 cells encapsulated in k-carrageenan / M. B. Cassidy, H. Mullineers, H. Lee // Journal of Industrial Microbiology and Biotechnology. – 1997. – Vol. 19, № 1. – P. 43-48. – DOI: 10.1038/sj.jim.2900415</w:t>
      </w:r>
    </w:p>
    <w:p w14:paraId="3404C185">
      <w:pPr>
        <w:keepNext w:val="0"/>
        <w:keepLines w:val="0"/>
        <w:pageBreakBefore w:val="0"/>
        <w:widowControl/>
        <w:numPr>
          <w:ilvl w:val="0"/>
          <w:numId w:val="14"/>
        </w:numPr>
        <w:shd w:val="clea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eastAsia="SimSun" w:cs="Times New Roman"/>
          <w:b w:val="0"/>
          <w:bCs w:val="0"/>
          <w:i w:val="0"/>
          <w:iCs w:val="0"/>
          <w:color w:val="auto"/>
          <w:sz w:val="28"/>
          <w:szCs w:val="28"/>
          <w:highlight w:val="none"/>
        </w:rPr>
      </w:pPr>
      <w:r>
        <w:rPr>
          <w:rStyle w:val="19"/>
          <w:rFonts w:hint="default" w:ascii="Times New Roman" w:hAnsi="Times New Roman" w:eastAsia="Segoe UI" w:cs="Times New Roman"/>
          <w:b w:val="0"/>
          <w:bCs w:val="0"/>
          <w:i w:val="0"/>
          <w:iCs w:val="0"/>
          <w:caps w:val="0"/>
          <w:color w:val="auto"/>
          <w:spacing w:val="0"/>
          <w:sz w:val="28"/>
          <w:szCs w:val="28"/>
          <w:highlight w:val="none"/>
          <w:shd w:val="clear" w:fill="FFFFFF"/>
        </w:rPr>
        <w:t>Varjani, S. J.</w:t>
      </w:r>
      <w:r>
        <w:rPr>
          <w:rFonts w:hint="default" w:ascii="Times New Roman" w:hAnsi="Times New Roman" w:eastAsia="Segoe UI" w:cs="Times New Roman"/>
          <w:b w:val="0"/>
          <w:bCs w:val="0"/>
          <w:i w:val="0"/>
          <w:iCs w:val="0"/>
          <w:caps w:val="0"/>
          <w:color w:val="auto"/>
          <w:spacing w:val="0"/>
          <w:sz w:val="28"/>
          <w:szCs w:val="28"/>
          <w:highlight w:val="none"/>
          <w:shd w:val="clear" w:fill="FFFFFF"/>
        </w:rPr>
        <w:t> Microbial degradation of petroleum hydrocarbons: a critical review / S. J. Varjani, V. N. Upasani // Bioresource Technology. – 2021. – Vol. 323. – P. 124587. – DOI: 10.1016/j.biortech.2020.124587</w:t>
      </w:r>
    </w:p>
    <w:p w14:paraId="008EF19B">
      <w:pPr>
        <w:keepNext w:val="0"/>
        <w:keepLines w:val="0"/>
        <w:pageBreakBefore w:val="0"/>
        <w:widowControl/>
        <w:numPr>
          <w:ilvl w:val="0"/>
          <w:numId w:val="14"/>
        </w:numPr>
        <w:shd w:val="clea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eastAsia="SimSun" w:cs="Times New Roman"/>
          <w:b w:val="0"/>
          <w:bCs w:val="0"/>
          <w:i w:val="0"/>
          <w:iCs w:val="0"/>
          <w:color w:val="auto"/>
          <w:sz w:val="28"/>
          <w:szCs w:val="28"/>
          <w:highlight w:val="none"/>
        </w:rPr>
      </w:pPr>
      <w:r>
        <w:rPr>
          <w:rStyle w:val="19"/>
          <w:rFonts w:hint="default" w:ascii="Times New Roman" w:hAnsi="Times New Roman" w:eastAsia="Segoe UI" w:cs="Times New Roman"/>
          <w:b w:val="0"/>
          <w:bCs w:val="0"/>
          <w:i w:val="0"/>
          <w:iCs w:val="0"/>
          <w:caps w:val="0"/>
          <w:color w:val="auto"/>
          <w:spacing w:val="0"/>
          <w:sz w:val="28"/>
          <w:szCs w:val="28"/>
          <w:highlight w:val="none"/>
          <w:shd w:val="clear" w:fill="FFFFFF"/>
        </w:rPr>
        <w:t> Cubitto, M. A.</w:t>
      </w:r>
      <w:r>
        <w:rPr>
          <w:rFonts w:hint="default" w:ascii="Times New Roman" w:hAnsi="Times New Roman" w:eastAsia="Segoe UI" w:cs="Times New Roman"/>
          <w:b w:val="0"/>
          <w:bCs w:val="0"/>
          <w:i w:val="0"/>
          <w:iCs w:val="0"/>
          <w:caps w:val="0"/>
          <w:color w:val="auto"/>
          <w:spacing w:val="0"/>
          <w:sz w:val="28"/>
          <w:szCs w:val="28"/>
          <w:highlight w:val="none"/>
          <w:shd w:val="clear" w:fill="FFFFFF"/>
        </w:rPr>
        <w:t> Bioremediation of crude oil-contaminated soil by immobilized bacteria on an agroindustrial waste—sunflower seed husks / M. A. Cubitto, A. R. Gentili // Bioremediation Journal. – 2015. – Vol. 19, No. 2. – P. 277-286. – DOI: 10.1080/10889868.2015.1045967. </w:t>
      </w:r>
    </w:p>
    <w:p w14:paraId="5DEAFEF7">
      <w:pPr>
        <w:keepNext w:val="0"/>
        <w:keepLines w:val="0"/>
        <w:pageBreakBefore w:val="0"/>
        <w:widowControl/>
        <w:numPr>
          <w:ilvl w:val="0"/>
          <w:numId w:val="14"/>
        </w:numPr>
        <w:shd w:val="clea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eastAsia="SimSun" w:cs="Times New Roman"/>
          <w:b w:val="0"/>
          <w:bCs w:val="0"/>
          <w:i w:val="0"/>
          <w:iCs w:val="0"/>
          <w:color w:val="auto"/>
          <w:sz w:val="28"/>
          <w:szCs w:val="28"/>
          <w:highlight w:val="none"/>
        </w:rPr>
      </w:pPr>
      <w:r>
        <w:rPr>
          <w:rStyle w:val="19"/>
          <w:rFonts w:hint="default" w:ascii="Times New Roman" w:hAnsi="Times New Roman" w:eastAsia="Segoe UI" w:cs="Times New Roman"/>
          <w:b w:val="0"/>
          <w:bCs w:val="0"/>
          <w:i w:val="0"/>
          <w:iCs w:val="0"/>
          <w:caps w:val="0"/>
          <w:color w:val="auto"/>
          <w:spacing w:val="0"/>
          <w:sz w:val="28"/>
          <w:szCs w:val="28"/>
          <w:highlight w:val="none"/>
          <w:shd w:val="clear" w:fill="FFFFFF"/>
        </w:rPr>
        <w:t>Gentili, A. R.</w:t>
      </w:r>
      <w:r>
        <w:rPr>
          <w:rFonts w:hint="default" w:ascii="Times New Roman" w:hAnsi="Times New Roman" w:eastAsia="Segoe UI" w:cs="Times New Roman"/>
          <w:b w:val="0"/>
          <w:bCs w:val="0"/>
          <w:i w:val="0"/>
          <w:iCs w:val="0"/>
          <w:caps w:val="0"/>
          <w:color w:val="auto"/>
          <w:spacing w:val="0"/>
          <w:sz w:val="28"/>
          <w:szCs w:val="28"/>
          <w:highlight w:val="none"/>
          <w:shd w:val="clear" w:fill="FFFFFF"/>
        </w:rPr>
        <w:t> Bioremediation of crude oil polluted seawater by a hydrocarbon-degrading bacterial strain immobilized on chitin and chitosan flakes / A. R. Gentili, M. A. Cubitto, M. Ferrero, M. S. Rodríguez // International Biodeterioration &amp; Biodegradation. – 2006. – Vol. 57, No. 4. – P. 222-228. – DOI: 10.1016/j.ibiod.2006.02.009</w:t>
      </w:r>
    </w:p>
    <w:p w14:paraId="323BE732">
      <w:pPr>
        <w:keepNext w:val="0"/>
        <w:keepLines w:val="0"/>
        <w:pageBreakBefore w:val="0"/>
        <w:widowControl/>
        <w:numPr>
          <w:ilvl w:val="0"/>
          <w:numId w:val="14"/>
        </w:numPr>
        <w:shd w:val="clea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eastAsia="SimSun" w:cs="Times New Roman"/>
          <w:b w:val="0"/>
          <w:bCs w:val="0"/>
          <w:i w:val="0"/>
          <w:iCs w:val="0"/>
          <w:color w:val="auto"/>
          <w:sz w:val="28"/>
          <w:szCs w:val="28"/>
          <w:highlight w:val="none"/>
        </w:rPr>
      </w:pPr>
      <w:r>
        <w:rPr>
          <w:rStyle w:val="19"/>
          <w:rFonts w:hint="default" w:ascii="Times New Roman" w:hAnsi="Times New Roman" w:eastAsia="Segoe UI" w:cs="Times New Roman"/>
          <w:b w:val="0"/>
          <w:bCs w:val="0"/>
          <w:i w:val="0"/>
          <w:iCs w:val="0"/>
          <w:caps w:val="0"/>
          <w:color w:val="auto"/>
          <w:spacing w:val="0"/>
          <w:sz w:val="28"/>
          <w:szCs w:val="28"/>
          <w:highlight w:val="none"/>
          <w:shd w:val="clear" w:fill="FFFFFF"/>
        </w:rPr>
        <w:t>Basak, B.</w:t>
      </w:r>
      <w:r>
        <w:rPr>
          <w:rFonts w:hint="default" w:ascii="Times New Roman" w:hAnsi="Times New Roman" w:eastAsia="Segoe UI" w:cs="Times New Roman"/>
          <w:b w:val="0"/>
          <w:bCs w:val="0"/>
          <w:i w:val="0"/>
          <w:iCs w:val="0"/>
          <w:caps w:val="0"/>
          <w:color w:val="auto"/>
          <w:spacing w:val="0"/>
          <w:sz w:val="28"/>
          <w:szCs w:val="28"/>
          <w:highlight w:val="none"/>
          <w:shd w:val="clear" w:fill="FFFFFF"/>
        </w:rPr>
        <w:t> Studies on potential application of sugar cane bagasse as carrier matrix for immobilization of </w:t>
      </w:r>
      <w:r>
        <w:rPr>
          <w:rStyle w:val="16"/>
          <w:rFonts w:hint="default" w:ascii="Times New Roman" w:hAnsi="Times New Roman" w:eastAsia="Segoe UI" w:cs="Times New Roman"/>
          <w:b w:val="0"/>
          <w:bCs w:val="0"/>
          <w:i w:val="0"/>
          <w:iCs w:val="0"/>
          <w:caps w:val="0"/>
          <w:color w:val="auto"/>
          <w:spacing w:val="0"/>
          <w:sz w:val="28"/>
          <w:szCs w:val="28"/>
          <w:highlight w:val="none"/>
          <w:shd w:val="clear" w:fill="FFFFFF"/>
        </w:rPr>
        <w:t>Candida tropicalis</w:t>
      </w:r>
      <w:r>
        <w:rPr>
          <w:rFonts w:hint="default" w:ascii="Times New Roman" w:hAnsi="Times New Roman" w:eastAsia="Segoe UI" w:cs="Times New Roman"/>
          <w:b w:val="0"/>
          <w:bCs w:val="0"/>
          <w:i w:val="0"/>
          <w:iCs w:val="0"/>
          <w:caps w:val="0"/>
          <w:color w:val="auto"/>
          <w:spacing w:val="0"/>
          <w:sz w:val="28"/>
          <w:szCs w:val="28"/>
          <w:highlight w:val="none"/>
          <w:shd w:val="clear" w:fill="FFFFFF"/>
        </w:rPr>
        <w:t> PHB5 for phenol biodegradation / B. Basak, B. Bhunia, A. Dey // International Biodeterioration &amp; Biodegradation. – 2014. – Vol. 93. – P. 107-117. – DOI: 10.1016/j.ibiod.2014.05.012</w:t>
      </w:r>
    </w:p>
    <w:p w14:paraId="4A8104DB">
      <w:pPr>
        <w:keepNext w:val="0"/>
        <w:keepLines w:val="0"/>
        <w:pageBreakBefore w:val="0"/>
        <w:widowControl/>
        <w:numPr>
          <w:ilvl w:val="0"/>
          <w:numId w:val="14"/>
        </w:numPr>
        <w:shd w:val="clea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eastAsia="SimSun" w:cs="Times New Roman"/>
          <w:b w:val="0"/>
          <w:bCs w:val="0"/>
          <w:i w:val="0"/>
          <w:iCs w:val="0"/>
          <w:color w:val="auto"/>
          <w:sz w:val="28"/>
          <w:szCs w:val="28"/>
          <w:highlight w:val="none"/>
        </w:rPr>
      </w:pPr>
      <w:r>
        <w:rPr>
          <w:rStyle w:val="19"/>
          <w:rFonts w:hint="default" w:ascii="Times New Roman" w:hAnsi="Times New Roman" w:eastAsia="Segoe UI" w:cs="Times New Roman"/>
          <w:b w:val="0"/>
          <w:bCs w:val="0"/>
          <w:i w:val="0"/>
          <w:iCs w:val="0"/>
          <w:caps w:val="0"/>
          <w:color w:val="auto"/>
          <w:spacing w:val="0"/>
          <w:sz w:val="28"/>
          <w:szCs w:val="28"/>
          <w:highlight w:val="none"/>
          <w:shd w:val="clear" w:fill="FFFFFF"/>
        </w:rPr>
        <w:t>Lin, M.</w:t>
      </w:r>
      <w:r>
        <w:rPr>
          <w:rFonts w:hint="default" w:ascii="Times New Roman" w:hAnsi="Times New Roman" w:eastAsia="Segoe UI" w:cs="Times New Roman"/>
          <w:b w:val="0"/>
          <w:bCs w:val="0"/>
          <w:i w:val="0"/>
          <w:iCs w:val="0"/>
          <w:caps w:val="0"/>
          <w:color w:val="auto"/>
          <w:spacing w:val="0"/>
          <w:sz w:val="28"/>
          <w:szCs w:val="28"/>
          <w:highlight w:val="none"/>
          <w:shd w:val="clear" w:fill="FFFFFF"/>
        </w:rPr>
        <w:t> Use of cotton fibers with immobilized bacteria for uptake and degradation of crude oil / M. Lin, Y. Liu, W. Chen, H. Wang, X. Hu // International Biodeterioration &amp; Biodegradation. – 2014. – Vol. 88. – P. 8-12. – DOI: 10.1016/j.ibiod.2013.11.015.</w:t>
      </w:r>
    </w:p>
    <w:p w14:paraId="5E463933">
      <w:pPr>
        <w:keepNext w:val="0"/>
        <w:keepLines w:val="0"/>
        <w:pageBreakBefore w:val="0"/>
        <w:widowControl/>
        <w:numPr>
          <w:ilvl w:val="0"/>
          <w:numId w:val="14"/>
        </w:numPr>
        <w:shd w:val="clea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eastAsia="SimSun" w:cs="Times New Roman"/>
          <w:b w:val="0"/>
          <w:bCs w:val="0"/>
          <w:i w:val="0"/>
          <w:iCs w:val="0"/>
          <w:color w:val="auto"/>
          <w:sz w:val="28"/>
          <w:szCs w:val="28"/>
          <w:highlight w:val="none"/>
        </w:rPr>
      </w:pPr>
      <w:r>
        <w:rPr>
          <w:rStyle w:val="19"/>
          <w:rFonts w:hint="default" w:ascii="Times New Roman" w:hAnsi="Times New Roman" w:eastAsia="Segoe UI" w:cs="Times New Roman"/>
          <w:b w:val="0"/>
          <w:bCs w:val="0"/>
          <w:i w:val="0"/>
          <w:iCs w:val="0"/>
          <w:caps w:val="0"/>
          <w:color w:val="auto"/>
          <w:spacing w:val="0"/>
          <w:sz w:val="28"/>
          <w:szCs w:val="28"/>
          <w:highlight w:val="none"/>
          <w:shd w:val="clear" w:fill="FFFFFF"/>
        </w:rPr>
        <w:t>Liu, J.</w:t>
      </w:r>
      <w:r>
        <w:rPr>
          <w:rFonts w:hint="default" w:ascii="Times New Roman" w:hAnsi="Times New Roman" w:eastAsia="Segoe UI" w:cs="Times New Roman"/>
          <w:b w:val="0"/>
          <w:bCs w:val="0"/>
          <w:i w:val="0"/>
          <w:iCs w:val="0"/>
          <w:caps w:val="0"/>
          <w:color w:val="auto"/>
          <w:spacing w:val="0"/>
          <w:sz w:val="28"/>
          <w:szCs w:val="28"/>
          <w:highlight w:val="none"/>
          <w:shd w:val="clear" w:fill="FFFFFF"/>
        </w:rPr>
        <w:t> Sugar cane bagasse as support for immobilization of </w:t>
      </w:r>
      <w:r>
        <w:rPr>
          <w:rStyle w:val="16"/>
          <w:rFonts w:hint="default" w:ascii="Times New Roman" w:hAnsi="Times New Roman" w:eastAsia="Segoe UI" w:cs="Times New Roman"/>
          <w:b w:val="0"/>
          <w:bCs w:val="0"/>
          <w:i w:val="0"/>
          <w:iCs w:val="0"/>
          <w:caps w:val="0"/>
          <w:color w:val="auto"/>
          <w:spacing w:val="0"/>
          <w:sz w:val="28"/>
          <w:szCs w:val="28"/>
          <w:highlight w:val="none"/>
          <w:shd w:val="clear" w:fill="FFFFFF"/>
        </w:rPr>
        <w:t>Bacillus pumilus</w:t>
      </w:r>
      <w:r>
        <w:rPr>
          <w:rFonts w:hint="default" w:ascii="Times New Roman" w:hAnsi="Times New Roman" w:eastAsia="Segoe UI" w:cs="Times New Roman"/>
          <w:b w:val="0"/>
          <w:bCs w:val="0"/>
          <w:i w:val="0"/>
          <w:iCs w:val="0"/>
          <w:caps w:val="0"/>
          <w:color w:val="auto"/>
          <w:spacing w:val="0"/>
          <w:sz w:val="28"/>
          <w:szCs w:val="28"/>
          <w:highlight w:val="none"/>
          <w:shd w:val="clear" w:fill="FFFFFF"/>
        </w:rPr>
        <w:t> HZ-2 and its use in bioremediation of mesotrione-contaminated soils / J. Liu, S. Chen, J. Ding, Y. Xiao, H. Han, G. Zhong // Applied Microbiology and Biotechnology. – 2015. – Vol. 99, No. 24. – P. 10839-10851. – DOI: 10.1007/s00253-015-6935-0</w:t>
      </w:r>
    </w:p>
    <w:p w14:paraId="60F06EEA">
      <w:pPr>
        <w:keepNext w:val="0"/>
        <w:keepLines w:val="0"/>
        <w:pageBreakBefore w:val="0"/>
        <w:widowControl/>
        <w:numPr>
          <w:ilvl w:val="0"/>
          <w:numId w:val="14"/>
        </w:numPr>
        <w:shd w:val="clea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eastAsia="SimSun" w:cs="Times New Roman"/>
          <w:b w:val="0"/>
          <w:bCs w:val="0"/>
          <w:i w:val="0"/>
          <w:iCs w:val="0"/>
          <w:color w:val="auto"/>
          <w:sz w:val="28"/>
          <w:szCs w:val="28"/>
          <w:highlight w:val="none"/>
        </w:rPr>
      </w:pPr>
      <w:r>
        <w:rPr>
          <w:rStyle w:val="19"/>
          <w:rFonts w:hint="default" w:ascii="Times New Roman" w:hAnsi="Times New Roman" w:eastAsia="Segoe UI" w:cs="Times New Roman"/>
          <w:b w:val="0"/>
          <w:bCs w:val="0"/>
          <w:i w:val="0"/>
          <w:iCs w:val="0"/>
          <w:caps w:val="0"/>
          <w:color w:val="auto"/>
          <w:spacing w:val="0"/>
          <w:sz w:val="28"/>
          <w:szCs w:val="28"/>
          <w:highlight w:val="none"/>
          <w:shd w:val="clear" w:fill="FFFFFF"/>
        </w:rPr>
        <w:t>Hazaimah, M.</w:t>
      </w:r>
      <w:r>
        <w:rPr>
          <w:rFonts w:hint="default" w:ascii="Times New Roman" w:hAnsi="Times New Roman" w:eastAsia="Segoe UI" w:cs="Times New Roman"/>
          <w:b w:val="0"/>
          <w:bCs w:val="0"/>
          <w:i w:val="0"/>
          <w:iCs w:val="0"/>
          <w:caps w:val="0"/>
          <w:color w:val="auto"/>
          <w:spacing w:val="0"/>
          <w:sz w:val="28"/>
          <w:szCs w:val="28"/>
          <w:highlight w:val="none"/>
          <w:shd w:val="clear" w:fill="FFFFFF"/>
        </w:rPr>
        <w:t> Improved degradation of crude oil hydrocarbons by culture of self-immobilized bacterial consortium on sawdust and empty fruit bunches / M. Hazaimah, S. A. Mutalib, P. S. Abdullah, W. K. Kee, S. Surif // Annals of Microbiology. – 2014. – Vol. 64, No. 4. – P. 1769-1777. – DOI: 10.1007/s13213-014-0821-3</w:t>
      </w:r>
    </w:p>
    <w:p w14:paraId="77195A24">
      <w:pPr>
        <w:keepNext w:val="0"/>
        <w:keepLines w:val="0"/>
        <w:pageBreakBefore w:val="0"/>
        <w:widowControl/>
        <w:numPr>
          <w:ilvl w:val="0"/>
          <w:numId w:val="14"/>
        </w:numPr>
        <w:shd w:val="clea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eastAsia="SimSun" w:cs="Times New Roman"/>
          <w:b w:val="0"/>
          <w:bCs w:val="0"/>
          <w:i w:val="0"/>
          <w:iCs w:val="0"/>
          <w:color w:val="auto"/>
          <w:sz w:val="28"/>
          <w:szCs w:val="28"/>
          <w:highlight w:val="none"/>
        </w:rPr>
      </w:pPr>
      <w:r>
        <w:rPr>
          <w:rStyle w:val="19"/>
          <w:rFonts w:hint="default" w:ascii="Times New Roman" w:hAnsi="Times New Roman" w:eastAsia="Segoe UI" w:cs="Times New Roman"/>
          <w:b w:val="0"/>
          <w:bCs w:val="0"/>
          <w:i w:val="0"/>
          <w:iCs w:val="0"/>
          <w:caps w:val="0"/>
          <w:color w:val="auto"/>
          <w:spacing w:val="0"/>
          <w:sz w:val="28"/>
          <w:szCs w:val="28"/>
          <w:highlight w:val="none"/>
          <w:shd w:val="clear" w:fill="FFFFFF"/>
        </w:rPr>
        <w:t>Mazmanci, M. A.</w:t>
      </w:r>
      <w:r>
        <w:rPr>
          <w:rFonts w:hint="default" w:ascii="Times New Roman" w:hAnsi="Times New Roman" w:eastAsia="Segoe UI" w:cs="Times New Roman"/>
          <w:b w:val="0"/>
          <w:bCs w:val="0"/>
          <w:i w:val="0"/>
          <w:iCs w:val="0"/>
          <w:caps w:val="0"/>
          <w:color w:val="auto"/>
          <w:spacing w:val="0"/>
          <w:sz w:val="28"/>
          <w:szCs w:val="28"/>
          <w:highlight w:val="none"/>
          <w:shd w:val="clear" w:fill="FFFFFF"/>
        </w:rPr>
        <w:t> Decolorization of Reactive Black 5 by </w:t>
      </w:r>
      <w:r>
        <w:rPr>
          <w:rStyle w:val="16"/>
          <w:rFonts w:hint="default" w:ascii="Times New Roman" w:hAnsi="Times New Roman" w:eastAsia="Segoe UI" w:cs="Times New Roman"/>
          <w:b w:val="0"/>
          <w:bCs w:val="0"/>
          <w:i w:val="0"/>
          <w:iCs w:val="0"/>
          <w:caps w:val="0"/>
          <w:color w:val="auto"/>
          <w:spacing w:val="0"/>
          <w:sz w:val="28"/>
          <w:szCs w:val="28"/>
          <w:highlight w:val="none"/>
          <w:shd w:val="clear" w:fill="FFFFFF"/>
        </w:rPr>
        <w:t>Funalia trogii</w:t>
      </w:r>
      <w:r>
        <w:rPr>
          <w:rFonts w:hint="default" w:ascii="Times New Roman" w:hAnsi="Times New Roman" w:eastAsia="Segoe UI" w:cs="Times New Roman"/>
          <w:b w:val="0"/>
          <w:bCs w:val="0"/>
          <w:i w:val="0"/>
          <w:iCs w:val="0"/>
          <w:caps w:val="0"/>
          <w:color w:val="auto"/>
          <w:spacing w:val="0"/>
          <w:sz w:val="28"/>
          <w:szCs w:val="28"/>
          <w:highlight w:val="none"/>
          <w:shd w:val="clear" w:fill="FFFFFF"/>
        </w:rPr>
        <w:t> immobilized on </w:t>
      </w:r>
      <w:r>
        <w:rPr>
          <w:rStyle w:val="16"/>
          <w:rFonts w:hint="default" w:ascii="Times New Roman" w:hAnsi="Times New Roman" w:eastAsia="Segoe UI" w:cs="Times New Roman"/>
          <w:b w:val="0"/>
          <w:bCs w:val="0"/>
          <w:i w:val="0"/>
          <w:iCs w:val="0"/>
          <w:caps w:val="0"/>
          <w:color w:val="auto"/>
          <w:spacing w:val="0"/>
          <w:sz w:val="28"/>
          <w:szCs w:val="28"/>
          <w:highlight w:val="none"/>
          <w:shd w:val="clear" w:fill="FFFFFF"/>
        </w:rPr>
        <w:t>Luffa cylindrica</w:t>
      </w:r>
      <w:r>
        <w:rPr>
          <w:rFonts w:hint="default" w:ascii="Times New Roman" w:hAnsi="Times New Roman" w:eastAsia="Segoe UI" w:cs="Times New Roman"/>
          <w:b w:val="0"/>
          <w:bCs w:val="0"/>
          <w:i w:val="0"/>
          <w:iCs w:val="0"/>
          <w:caps w:val="0"/>
          <w:color w:val="auto"/>
          <w:spacing w:val="0"/>
          <w:sz w:val="28"/>
          <w:szCs w:val="28"/>
          <w:highlight w:val="none"/>
          <w:shd w:val="clear" w:fill="FFFFFF"/>
        </w:rPr>
        <w:t> sponge / M. A. Mazmanci, A. Ünyayar // Process Biochemistry. – 2005. – Vol. 40, No. 1. – P. 337-342. – DOI: 10.1016/j.procbio.2004.01.007</w:t>
      </w:r>
    </w:p>
    <w:p w14:paraId="55D41E16">
      <w:pPr>
        <w:keepNext w:val="0"/>
        <w:keepLines w:val="0"/>
        <w:pageBreakBefore w:val="0"/>
        <w:widowControl/>
        <w:numPr>
          <w:ilvl w:val="0"/>
          <w:numId w:val="14"/>
        </w:numPr>
        <w:shd w:val="clea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eastAsia="SimSun" w:cs="Times New Roman"/>
          <w:b w:val="0"/>
          <w:bCs w:val="0"/>
          <w:i w:val="0"/>
          <w:iCs w:val="0"/>
          <w:color w:val="auto"/>
          <w:sz w:val="28"/>
          <w:szCs w:val="28"/>
          <w:highlight w:val="none"/>
        </w:rPr>
      </w:pPr>
      <w:r>
        <w:rPr>
          <w:rStyle w:val="19"/>
          <w:rFonts w:hint="default" w:ascii="Times New Roman" w:hAnsi="Times New Roman" w:eastAsia="Segoe UI" w:cs="Times New Roman"/>
          <w:b w:val="0"/>
          <w:bCs w:val="0"/>
          <w:i w:val="0"/>
          <w:iCs w:val="0"/>
          <w:caps w:val="0"/>
          <w:color w:val="auto"/>
          <w:spacing w:val="0"/>
          <w:sz w:val="28"/>
          <w:szCs w:val="28"/>
          <w:highlight w:val="none"/>
          <w:shd w:val="clear" w:fill="FFFFFF"/>
        </w:rPr>
        <w:t>Iqbal, M.</w:t>
      </w:r>
      <w:r>
        <w:rPr>
          <w:rFonts w:hint="default" w:ascii="Times New Roman" w:hAnsi="Times New Roman" w:eastAsia="Segoe UI" w:cs="Times New Roman"/>
          <w:b w:val="0"/>
          <w:bCs w:val="0"/>
          <w:i w:val="0"/>
          <w:iCs w:val="0"/>
          <w:caps w:val="0"/>
          <w:color w:val="auto"/>
          <w:spacing w:val="0"/>
          <w:sz w:val="28"/>
          <w:szCs w:val="28"/>
          <w:highlight w:val="none"/>
          <w:shd w:val="clear" w:fill="FFFFFF"/>
        </w:rPr>
        <w:t> Production of fungal biomass immobilized loofah sponge (FBILS) discs for the removal of heavy metal ions and chlorinated compounds from aqueous solution / M. Iqbal, A. Saeed, R. G. J. Edyvean, B. O'Sullivan, P. Styring // Biotechnology Letters. – 2005. – Vol. 27, No. 17. – P. 1319-1323. – DOI: 10.1007/s10529-005-0477-y</w:t>
      </w:r>
    </w:p>
    <w:p w14:paraId="33323292">
      <w:pPr>
        <w:keepNext w:val="0"/>
        <w:keepLines w:val="0"/>
        <w:pageBreakBefore w:val="0"/>
        <w:widowControl/>
        <w:numPr>
          <w:ilvl w:val="0"/>
          <w:numId w:val="14"/>
        </w:numPr>
        <w:shd w:val="clea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eastAsia="SimSun" w:cs="Times New Roman"/>
          <w:b w:val="0"/>
          <w:bCs w:val="0"/>
          <w:i w:val="0"/>
          <w:iCs w:val="0"/>
          <w:color w:val="auto"/>
          <w:sz w:val="28"/>
          <w:szCs w:val="28"/>
          <w:highlight w:val="none"/>
        </w:rPr>
      </w:pPr>
      <w:r>
        <w:rPr>
          <w:rStyle w:val="19"/>
          <w:rFonts w:hint="default" w:ascii="Times New Roman" w:hAnsi="Times New Roman" w:eastAsia="Segoe UI" w:cs="Times New Roman"/>
          <w:b w:val="0"/>
          <w:bCs w:val="0"/>
          <w:i w:val="0"/>
          <w:iCs w:val="0"/>
          <w:caps w:val="0"/>
          <w:color w:val="auto"/>
          <w:spacing w:val="0"/>
          <w:sz w:val="28"/>
          <w:szCs w:val="28"/>
          <w:highlight w:val="none"/>
          <w:shd w:val="clear" w:fill="FFFFFF"/>
        </w:rPr>
        <w:t>Podorozhko, E. A.</w:t>
      </w:r>
      <w:r>
        <w:rPr>
          <w:rFonts w:hint="default" w:ascii="Times New Roman" w:hAnsi="Times New Roman" w:eastAsia="Segoe UI" w:cs="Times New Roman"/>
          <w:b w:val="0"/>
          <w:bCs w:val="0"/>
          <w:i w:val="0"/>
          <w:iCs w:val="0"/>
          <w:caps w:val="0"/>
          <w:color w:val="auto"/>
          <w:spacing w:val="0"/>
          <w:sz w:val="28"/>
          <w:szCs w:val="28"/>
          <w:highlight w:val="none"/>
          <w:shd w:val="clear" w:fill="FFFFFF"/>
        </w:rPr>
        <w:t> Hydrophobised sawdust as a carrier for immobilisation of the hydrocarbon-oxidizing bacterium </w:t>
      </w:r>
      <w:r>
        <w:rPr>
          <w:rStyle w:val="16"/>
          <w:rFonts w:hint="default" w:ascii="Times New Roman" w:hAnsi="Times New Roman" w:eastAsia="Segoe UI" w:cs="Times New Roman"/>
          <w:b w:val="0"/>
          <w:bCs w:val="0"/>
          <w:i w:val="0"/>
          <w:iCs w:val="0"/>
          <w:caps w:val="0"/>
          <w:color w:val="auto"/>
          <w:spacing w:val="0"/>
          <w:sz w:val="28"/>
          <w:szCs w:val="28"/>
          <w:highlight w:val="none"/>
          <w:shd w:val="clear" w:fill="FFFFFF"/>
        </w:rPr>
        <w:t>Rhodococcus ruber</w:t>
      </w:r>
      <w:r>
        <w:rPr>
          <w:rFonts w:hint="default" w:ascii="Times New Roman" w:hAnsi="Times New Roman" w:eastAsia="Segoe UI" w:cs="Times New Roman"/>
          <w:b w:val="0"/>
          <w:bCs w:val="0"/>
          <w:i w:val="0"/>
          <w:iCs w:val="0"/>
          <w:caps w:val="0"/>
          <w:color w:val="auto"/>
          <w:spacing w:val="0"/>
          <w:sz w:val="28"/>
          <w:szCs w:val="28"/>
          <w:highlight w:val="none"/>
          <w:shd w:val="clear" w:fill="FFFFFF"/>
        </w:rPr>
        <w:t> / E. A. Podorozhko, V. I. Lozinsky, I. B. Ivshina [et al.] // Bioresource Technology. – 2008. – Vol. 99, No. 6. – P. 2001-2008. – DOI: 10.1016/j.biortech.2007.03.024.</w:t>
      </w:r>
    </w:p>
    <w:p w14:paraId="5B40873A">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eastAsia="Consolas" w:cs="Times New Roman"/>
          <w:b w:val="0"/>
          <w:bCs w:val="0"/>
          <w:i w:val="0"/>
          <w:iCs w:val="0"/>
          <w:caps w:val="0"/>
          <w:color w:val="auto"/>
          <w:spacing w:val="0"/>
          <w:sz w:val="28"/>
          <w:szCs w:val="28"/>
          <w:highlight w:val="none"/>
        </w:rPr>
      </w:pPr>
      <w:r>
        <w:rPr>
          <w:rFonts w:hint="default" w:ascii="Times New Roman" w:hAnsi="Times New Roman" w:eastAsia="SimSun" w:cs="Times New Roman"/>
          <w:b w:val="0"/>
          <w:bCs w:val="0"/>
          <w:i w:val="0"/>
          <w:iCs w:val="0"/>
          <w:color w:val="auto"/>
          <w:sz w:val="28"/>
          <w:szCs w:val="28"/>
          <w:highlight w:val="none"/>
        </w:rPr>
        <w:t>Zhang C., Wu D., Ren H. Bioremediation of oil contaminated soil using agricultural wastes via microbial consortium // Scientific Reports. – 2020. – Vol. 10. – Art. 9188. – DOI: 10.1038/s41598-020-66169-5.</w:t>
      </w:r>
    </w:p>
    <w:p w14:paraId="43D40C58">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eastAsia="Consolas" w:cs="Times New Roman"/>
          <w:b w:val="0"/>
          <w:bCs w:val="0"/>
          <w:i w:val="0"/>
          <w:iCs w:val="0"/>
          <w:caps w:val="0"/>
          <w:color w:val="auto"/>
          <w:spacing w:val="0"/>
          <w:sz w:val="28"/>
          <w:szCs w:val="28"/>
          <w:highlight w:val="none"/>
        </w:rPr>
      </w:pPr>
      <w:r>
        <w:rPr>
          <w:rFonts w:hint="default" w:ascii="Times New Roman" w:hAnsi="Times New Roman" w:eastAsia="Consolas" w:cs="Times New Roman"/>
          <w:b w:val="0"/>
          <w:bCs w:val="0"/>
          <w:i w:val="0"/>
          <w:iCs w:val="0"/>
          <w:caps w:val="0"/>
          <w:color w:val="auto"/>
          <w:spacing w:val="0"/>
          <w:sz w:val="28"/>
          <w:szCs w:val="28"/>
          <w:highlight w:val="none"/>
        </w:rPr>
        <w:t>Wang Z.Y., Xu Y., Wang H.Y., Zhao J., Gao D.M., Li F.M. et al. Biodegradation of crude oil in contaminated soils by free and immobilized microorganisms // Pedosphere. – 2012. – Vol. 22, № 5. – P. 717–725. – DOI: 10.1016/S1002-0160(12)60057-5</w:t>
      </w:r>
    </w:p>
    <w:p w14:paraId="1C8791FD">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eastAsia="Consolas" w:cs="Times New Roman"/>
          <w:b w:val="0"/>
          <w:bCs w:val="0"/>
          <w:i w:val="0"/>
          <w:iCs w:val="0"/>
          <w:caps w:val="0"/>
          <w:color w:val="auto"/>
          <w:spacing w:val="0"/>
          <w:sz w:val="28"/>
          <w:szCs w:val="28"/>
          <w:highlight w:val="none"/>
        </w:rPr>
      </w:pPr>
      <w:r>
        <w:rPr>
          <w:rFonts w:hint="default" w:ascii="Times New Roman" w:hAnsi="Times New Roman" w:eastAsia="Consolas" w:cs="Times New Roman"/>
          <w:b w:val="0"/>
          <w:bCs w:val="0"/>
          <w:i w:val="0"/>
          <w:iCs w:val="0"/>
          <w:caps w:val="0"/>
          <w:color w:val="auto"/>
          <w:spacing w:val="0"/>
          <w:sz w:val="28"/>
          <w:szCs w:val="28"/>
          <w:highlight w:val="none"/>
        </w:rPr>
        <w:t>Lyew D., Guiot S.R., Monot F., Fayolle-Guichard F. Comparison of different support materials for their ability to immobilize Mycobacterium austroafricanum IFP 2012 and adsorb MtBE // Enzyme Microb. Technol. – 2007. – Vol. 40, № 6. – P. 1524–1530. – DOI: 10.1016/j.enzmictec.2006.10.040</w:t>
      </w:r>
    </w:p>
    <w:p w14:paraId="598EFA88">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rPr>
      </w:pPr>
      <w:r>
        <w:rPr>
          <w:rFonts w:hint="default" w:ascii="Times New Roman" w:hAnsi="Times New Roman" w:eastAsia="SimSun" w:cs="Times New Roman"/>
          <w:b w:val="0"/>
          <w:bCs w:val="0"/>
          <w:i w:val="0"/>
          <w:iCs w:val="0"/>
          <w:color w:val="auto"/>
          <w:sz w:val="28"/>
          <w:szCs w:val="28"/>
          <w:highlight w:val="none"/>
        </w:rPr>
        <w:t>Paca J., Koutský B., Maryška M., Halecký M. Styrene degradation along the bed height of perlite biofilter // J. Chem. Technol. Biotechnol. – 2001. – Vol. 76, № 8. – P. 873–878. – DOI: 10.1002/jctb.461.</w:t>
      </w:r>
    </w:p>
    <w:p w14:paraId="22CCF157">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eastAsia="Consolas" w:cs="Times New Roman"/>
          <w:b w:val="0"/>
          <w:bCs w:val="0"/>
          <w:i w:val="0"/>
          <w:iCs w:val="0"/>
          <w:caps w:val="0"/>
          <w:color w:val="auto"/>
          <w:spacing w:val="0"/>
          <w:sz w:val="28"/>
          <w:szCs w:val="28"/>
          <w:highlight w:val="none"/>
        </w:rPr>
      </w:pPr>
      <w:r>
        <w:rPr>
          <w:rStyle w:val="19"/>
          <w:rFonts w:hint="default" w:ascii="Times New Roman" w:hAnsi="Times New Roman" w:eastAsia="SimSun" w:cs="Times New Roman"/>
          <w:b w:val="0"/>
          <w:bCs w:val="0"/>
          <w:i w:val="0"/>
          <w:iCs w:val="0"/>
          <w:color w:val="auto"/>
          <w:sz w:val="28"/>
          <w:szCs w:val="28"/>
          <w:highlight w:val="none"/>
        </w:rPr>
        <w:t>Komala P.S., Helard D., Delimas D. et al.</w:t>
      </w:r>
      <w:r>
        <w:rPr>
          <w:rFonts w:hint="default" w:ascii="Times New Roman" w:hAnsi="Times New Roman" w:eastAsia="SimSun" w:cs="Times New Roman"/>
          <w:b w:val="0"/>
          <w:bCs w:val="0"/>
          <w:i w:val="0"/>
          <w:iCs w:val="0"/>
          <w:color w:val="auto"/>
          <w:sz w:val="28"/>
          <w:szCs w:val="28"/>
          <w:highlight w:val="none"/>
        </w:rPr>
        <w:t xml:space="preserve"> The application of biosurfactant-producing bacteria immobilized in PVA/SA/bentonite bio-composite for hydrocarbon-contaminated soil bioremediation // RSC Advances. – 2023. – Vol. 13, № 29. – P. 19810–19822. – DOI: </w:t>
      </w:r>
      <w:r>
        <w:rPr>
          <w:rStyle w:val="19"/>
          <w:rFonts w:hint="default" w:ascii="Times New Roman" w:hAnsi="Times New Roman" w:eastAsia="SimSun" w:cs="Times New Roman"/>
          <w:b w:val="0"/>
          <w:bCs w:val="0"/>
          <w:i w:val="0"/>
          <w:iCs w:val="0"/>
          <w:color w:val="auto"/>
          <w:sz w:val="28"/>
          <w:szCs w:val="28"/>
          <w:highlight w:val="none"/>
        </w:rPr>
        <w:t>10.1039/D3RA02249H</w:t>
      </w:r>
    </w:p>
    <w:p w14:paraId="1E1C7D0D">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eastAsia="Consolas" w:cs="Times New Roman"/>
          <w:b w:val="0"/>
          <w:bCs w:val="0"/>
          <w:i w:val="0"/>
          <w:iCs w:val="0"/>
          <w:caps w:val="0"/>
          <w:color w:val="auto"/>
          <w:spacing w:val="0"/>
          <w:sz w:val="28"/>
          <w:szCs w:val="28"/>
          <w:highlight w:val="none"/>
        </w:rPr>
      </w:pPr>
      <w:r>
        <w:rPr>
          <w:rFonts w:hint="default" w:ascii="Times New Roman" w:hAnsi="Times New Roman" w:eastAsia="SimSun" w:cs="Times New Roman"/>
          <w:b w:val="0"/>
          <w:bCs w:val="0"/>
          <w:i w:val="0"/>
          <w:iCs w:val="0"/>
          <w:color w:val="auto"/>
          <w:sz w:val="28"/>
          <w:szCs w:val="28"/>
          <w:highlight w:val="none"/>
        </w:rPr>
        <w:t xml:space="preserve">Abdel-Razek M.A.S., Folch-Mallol J.L., Perezgasga-Ciscomani L., Sánchez-Salinas E., Castrejón-Godínez M.L., Ortiz-Hernández M.L. Optimization of methyl parathion biodegradation and detoxification by cells in suspension or immobilized on tezontle expressing the opd gene // Journal of Environmental Science and Health, Part B. – </w:t>
      </w:r>
      <w:r>
        <w:rPr>
          <w:rStyle w:val="19"/>
          <w:rFonts w:hint="default" w:ascii="Times New Roman" w:hAnsi="Times New Roman" w:eastAsia="SimSun" w:cs="Times New Roman"/>
          <w:b w:val="0"/>
          <w:bCs w:val="0"/>
          <w:i w:val="0"/>
          <w:iCs w:val="0"/>
          <w:color w:val="auto"/>
          <w:sz w:val="28"/>
          <w:szCs w:val="28"/>
          <w:highlight w:val="none"/>
        </w:rPr>
        <w:t>2013</w:t>
      </w:r>
      <w:r>
        <w:rPr>
          <w:rFonts w:hint="default" w:ascii="Times New Roman" w:hAnsi="Times New Roman" w:eastAsia="SimSun" w:cs="Times New Roman"/>
          <w:b w:val="0"/>
          <w:bCs w:val="0"/>
          <w:i w:val="0"/>
          <w:iCs w:val="0"/>
          <w:color w:val="auto"/>
          <w:sz w:val="28"/>
          <w:szCs w:val="28"/>
          <w:highlight w:val="none"/>
        </w:rPr>
        <w:t xml:space="preserve">. – Vol. 48, № 6. – P. 449–461. – DOI: </w:t>
      </w:r>
      <w:r>
        <w:rPr>
          <w:rStyle w:val="19"/>
          <w:rFonts w:hint="default" w:ascii="Times New Roman" w:hAnsi="Times New Roman" w:eastAsia="SimSun" w:cs="Times New Roman"/>
          <w:b w:val="0"/>
          <w:bCs w:val="0"/>
          <w:i w:val="0"/>
          <w:iCs w:val="0"/>
          <w:color w:val="auto"/>
          <w:sz w:val="28"/>
          <w:szCs w:val="28"/>
          <w:highlight w:val="none"/>
        </w:rPr>
        <w:t>10.1080/03601234.2013.761863</w:t>
      </w:r>
      <w:r>
        <w:rPr>
          <w:rFonts w:hint="default" w:ascii="Times New Roman" w:hAnsi="Times New Roman" w:eastAsia="SimSun" w:cs="Times New Roman"/>
          <w:b w:val="0"/>
          <w:bCs w:val="0"/>
          <w:i w:val="0"/>
          <w:iCs w:val="0"/>
          <w:color w:val="auto"/>
          <w:sz w:val="28"/>
          <w:szCs w:val="28"/>
          <w:highlight w:val="none"/>
        </w:rPr>
        <w:t>.</w:t>
      </w:r>
    </w:p>
    <w:p w14:paraId="0DD539D4">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eastAsia="Consolas" w:cs="Times New Roman"/>
          <w:b w:val="0"/>
          <w:bCs w:val="0"/>
          <w:i w:val="0"/>
          <w:iCs w:val="0"/>
          <w:caps w:val="0"/>
          <w:color w:val="auto"/>
          <w:spacing w:val="0"/>
          <w:sz w:val="28"/>
          <w:szCs w:val="28"/>
          <w:highlight w:val="none"/>
        </w:rPr>
      </w:pPr>
      <w:r>
        <w:rPr>
          <w:rStyle w:val="19"/>
          <w:rFonts w:hint="default" w:ascii="Times New Roman" w:hAnsi="Times New Roman" w:eastAsia="SimSun" w:cs="Times New Roman"/>
          <w:b w:val="0"/>
          <w:bCs w:val="0"/>
          <w:i w:val="0"/>
          <w:iCs w:val="0"/>
          <w:color w:val="auto"/>
          <w:sz w:val="28"/>
          <w:szCs w:val="28"/>
          <w:highlight w:val="none"/>
        </w:rPr>
        <w:t>Sun W., Li Y., Liang C. et al.</w:t>
      </w:r>
      <w:r>
        <w:rPr>
          <w:rFonts w:hint="default" w:ascii="Times New Roman" w:hAnsi="Times New Roman" w:eastAsia="SimSun" w:cs="Times New Roman"/>
          <w:b w:val="0"/>
          <w:bCs w:val="0"/>
          <w:i w:val="0"/>
          <w:iCs w:val="0"/>
          <w:color w:val="auto"/>
          <w:sz w:val="28"/>
          <w:szCs w:val="28"/>
          <w:highlight w:val="none"/>
        </w:rPr>
        <w:t xml:space="preserve"> Bentonite addition enhances the biodegradation of petroleum pollutants and bacterial community succession during the aerobic co-composting of waste heavy oil with agricultural wastes // Journal of Hazardous Materials. – 2023. – Vol. 460. – Art. 132342. – DOI: </w:t>
      </w:r>
      <w:r>
        <w:rPr>
          <w:rStyle w:val="19"/>
          <w:rFonts w:hint="default" w:ascii="Times New Roman" w:hAnsi="Times New Roman" w:eastAsia="SimSun" w:cs="Times New Roman"/>
          <w:b w:val="0"/>
          <w:bCs w:val="0"/>
          <w:i w:val="0"/>
          <w:iCs w:val="0"/>
          <w:color w:val="auto"/>
          <w:sz w:val="28"/>
          <w:szCs w:val="28"/>
          <w:highlight w:val="none"/>
        </w:rPr>
        <w:t>10.1016/j.jhazmat.2023.132342</w:t>
      </w:r>
      <w:r>
        <w:rPr>
          <w:rFonts w:hint="default" w:ascii="Times New Roman" w:hAnsi="Times New Roman" w:eastAsia="SimSun" w:cs="Times New Roman"/>
          <w:b w:val="0"/>
          <w:bCs w:val="0"/>
          <w:i w:val="0"/>
          <w:iCs w:val="0"/>
          <w:color w:val="auto"/>
          <w:sz w:val="28"/>
          <w:szCs w:val="28"/>
          <w:highlight w:val="none"/>
        </w:rPr>
        <w:t>.</w:t>
      </w:r>
    </w:p>
    <w:p w14:paraId="2F4DB19F">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eastAsia="Consolas" w:cs="Times New Roman"/>
          <w:b w:val="0"/>
          <w:bCs w:val="0"/>
          <w:i w:val="0"/>
          <w:iCs w:val="0"/>
          <w:caps w:val="0"/>
          <w:color w:val="auto"/>
          <w:spacing w:val="0"/>
          <w:sz w:val="28"/>
          <w:szCs w:val="28"/>
          <w:highlight w:val="none"/>
        </w:rPr>
      </w:pPr>
      <w:r>
        <w:rPr>
          <w:rStyle w:val="19"/>
          <w:rFonts w:hint="default" w:ascii="Times New Roman" w:hAnsi="Times New Roman" w:eastAsia="SimSun" w:cs="Times New Roman"/>
          <w:b w:val="0"/>
          <w:bCs w:val="0"/>
          <w:i w:val="0"/>
          <w:iCs w:val="0"/>
          <w:color w:val="auto"/>
          <w:sz w:val="28"/>
          <w:szCs w:val="28"/>
          <w:highlight w:val="none"/>
        </w:rPr>
        <w:t>Soelistyowati R.D., Sabdono A., Purnomo P.W.</w:t>
      </w:r>
      <w:r>
        <w:rPr>
          <w:rFonts w:hint="default" w:ascii="Times New Roman" w:hAnsi="Times New Roman" w:eastAsia="SimSun" w:cs="Times New Roman"/>
          <w:b w:val="0"/>
          <w:bCs w:val="0"/>
          <w:i w:val="0"/>
          <w:iCs w:val="0"/>
          <w:color w:val="auto"/>
          <w:sz w:val="28"/>
          <w:szCs w:val="28"/>
          <w:highlight w:val="none"/>
        </w:rPr>
        <w:t xml:space="preserve"> Perlite-immobilized bacterial consortium enhanced biodegradation of crude oil // Journal of Sustainability Science and Management. – 2022. – Vol. 17, № 4. – P. 148–161. – DOI: </w:t>
      </w:r>
      <w:r>
        <w:rPr>
          <w:rStyle w:val="19"/>
          <w:rFonts w:hint="default" w:ascii="Times New Roman" w:hAnsi="Times New Roman" w:eastAsia="SimSun" w:cs="Times New Roman"/>
          <w:b w:val="0"/>
          <w:bCs w:val="0"/>
          <w:i w:val="0"/>
          <w:iCs w:val="0"/>
          <w:color w:val="auto"/>
          <w:sz w:val="28"/>
          <w:szCs w:val="28"/>
          <w:highlight w:val="none"/>
        </w:rPr>
        <w:t>10.46754/jssm.2022.04.013</w:t>
      </w:r>
      <w:r>
        <w:rPr>
          <w:rFonts w:hint="default" w:ascii="Times New Roman" w:hAnsi="Times New Roman" w:eastAsia="SimSun" w:cs="Times New Roman"/>
          <w:b w:val="0"/>
          <w:bCs w:val="0"/>
          <w:i w:val="0"/>
          <w:iCs w:val="0"/>
          <w:color w:val="auto"/>
          <w:sz w:val="28"/>
          <w:szCs w:val="28"/>
          <w:highlight w:val="none"/>
        </w:rPr>
        <w:t>.</w:t>
      </w:r>
    </w:p>
    <w:p w14:paraId="2257F835">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eastAsia="Consolas" w:cs="Times New Roman"/>
          <w:b w:val="0"/>
          <w:bCs w:val="0"/>
          <w:i w:val="0"/>
          <w:iCs w:val="0"/>
          <w:caps w:val="0"/>
          <w:color w:val="auto"/>
          <w:spacing w:val="0"/>
          <w:sz w:val="28"/>
          <w:szCs w:val="28"/>
          <w:highlight w:val="none"/>
        </w:rPr>
      </w:pPr>
      <w:r>
        <w:rPr>
          <w:rFonts w:hint="default" w:ascii="Times New Roman" w:hAnsi="Times New Roman" w:eastAsia="Consolas" w:cs="Times New Roman"/>
          <w:b w:val="0"/>
          <w:bCs w:val="0"/>
          <w:i w:val="0"/>
          <w:iCs w:val="0"/>
          <w:caps w:val="0"/>
          <w:color w:val="auto"/>
          <w:spacing w:val="0"/>
          <w:sz w:val="28"/>
          <w:szCs w:val="28"/>
          <w:highlight w:val="none"/>
        </w:rPr>
        <w:t xml:space="preserve"> </w:t>
      </w:r>
      <w:r>
        <w:rPr>
          <w:rStyle w:val="19"/>
          <w:rFonts w:hint="default" w:ascii="Times New Roman" w:hAnsi="Times New Roman" w:eastAsia="SimSun" w:cs="Times New Roman"/>
          <w:b w:val="0"/>
          <w:bCs w:val="0"/>
          <w:i w:val="0"/>
          <w:iCs w:val="0"/>
          <w:color w:val="auto"/>
          <w:sz w:val="28"/>
          <w:szCs w:val="28"/>
          <w:highlight w:val="none"/>
        </w:rPr>
        <w:t>Sarkar B., Megharaj M., Xi Y., Naidu R.</w:t>
      </w:r>
      <w:r>
        <w:rPr>
          <w:rFonts w:hint="default" w:ascii="Times New Roman" w:hAnsi="Times New Roman" w:eastAsia="SimSun" w:cs="Times New Roman"/>
          <w:b w:val="0"/>
          <w:bCs w:val="0"/>
          <w:i w:val="0"/>
          <w:iCs w:val="0"/>
          <w:color w:val="auto"/>
          <w:sz w:val="28"/>
          <w:szCs w:val="28"/>
          <w:highlight w:val="none"/>
        </w:rPr>
        <w:t xml:space="preserve"> Heavy metal-immobilizing organoclay facilitates polycyclic aromatic hydrocarbon biodegradation in mixed-contaminated soil // Journal of Hazardous Materials. – 2015. – Vol. 298. – P. 129–137. – DOI: </w:t>
      </w:r>
      <w:r>
        <w:rPr>
          <w:rStyle w:val="19"/>
          <w:rFonts w:hint="default" w:ascii="Times New Roman" w:hAnsi="Times New Roman" w:eastAsia="SimSun" w:cs="Times New Roman"/>
          <w:b w:val="0"/>
          <w:bCs w:val="0"/>
          <w:i w:val="0"/>
          <w:iCs w:val="0"/>
          <w:color w:val="auto"/>
          <w:sz w:val="28"/>
          <w:szCs w:val="28"/>
          <w:highlight w:val="none"/>
        </w:rPr>
        <w:t>10.1016/j.jhazmat.2015.05.009</w:t>
      </w:r>
      <w:r>
        <w:rPr>
          <w:rFonts w:hint="default" w:ascii="Times New Roman" w:hAnsi="Times New Roman" w:eastAsia="SimSun" w:cs="Times New Roman"/>
          <w:b w:val="0"/>
          <w:bCs w:val="0"/>
          <w:i w:val="0"/>
          <w:iCs w:val="0"/>
          <w:color w:val="auto"/>
          <w:sz w:val="28"/>
          <w:szCs w:val="28"/>
          <w:highlight w:val="none"/>
        </w:rPr>
        <w:t>.</w:t>
      </w:r>
    </w:p>
    <w:p w14:paraId="4810CC51">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eastAsia="Consolas" w:cs="Times New Roman"/>
          <w:b w:val="0"/>
          <w:bCs w:val="0"/>
          <w:i w:val="0"/>
          <w:iCs w:val="0"/>
          <w:caps w:val="0"/>
          <w:color w:val="auto"/>
          <w:spacing w:val="0"/>
          <w:sz w:val="28"/>
          <w:szCs w:val="28"/>
          <w:highlight w:val="none"/>
        </w:rPr>
      </w:pPr>
      <w:r>
        <w:rPr>
          <w:rFonts w:hint="default" w:ascii="Times New Roman" w:hAnsi="Times New Roman" w:eastAsia="Consolas" w:cs="Times New Roman"/>
          <w:b w:val="0"/>
          <w:bCs w:val="0"/>
          <w:i w:val="0"/>
          <w:iCs w:val="0"/>
          <w:caps w:val="0"/>
          <w:color w:val="auto"/>
          <w:spacing w:val="0"/>
          <w:sz w:val="28"/>
          <w:szCs w:val="28"/>
          <w:highlight w:val="none"/>
        </w:rPr>
        <w:t xml:space="preserve"> Chen X., Wang Y., Li M., Zhang K. Vermiculite as synergistic carrier for fungal-bacterial co-cultures: Enhanced PAHs degradation through microbial cooperation // Environmental Pollution. – 2023. – Vol. 316. – P. 120538. – DOI: 10.1016/j.envpol.2022.120538</w:t>
      </w:r>
    </w:p>
    <w:p w14:paraId="7E9A3D83">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eastAsia="Consolas" w:cs="Times New Roman"/>
          <w:b w:val="0"/>
          <w:bCs w:val="0"/>
          <w:i w:val="0"/>
          <w:iCs w:val="0"/>
          <w:caps w:val="0"/>
          <w:color w:val="auto"/>
          <w:spacing w:val="0"/>
          <w:sz w:val="28"/>
          <w:szCs w:val="28"/>
          <w:highlight w:val="none"/>
        </w:rPr>
      </w:pPr>
      <w:r>
        <w:rPr>
          <w:rStyle w:val="19"/>
          <w:rFonts w:hint="default" w:ascii="Times New Roman" w:hAnsi="Times New Roman" w:eastAsia="SimSun" w:cs="Times New Roman"/>
          <w:b w:val="0"/>
          <w:bCs w:val="0"/>
          <w:i w:val="0"/>
          <w:iCs w:val="0"/>
          <w:color w:val="auto"/>
          <w:sz w:val="28"/>
          <w:szCs w:val="28"/>
          <w:highlight w:val="none"/>
        </w:rPr>
        <w:t>Wang J.Y., Soens H., Verstraete W., De Belie N.</w:t>
      </w:r>
      <w:r>
        <w:rPr>
          <w:rFonts w:hint="default" w:ascii="Times New Roman" w:hAnsi="Times New Roman" w:eastAsia="SimSun" w:cs="Times New Roman"/>
          <w:b w:val="0"/>
          <w:bCs w:val="0"/>
          <w:i w:val="0"/>
          <w:iCs w:val="0"/>
          <w:color w:val="auto"/>
          <w:sz w:val="28"/>
          <w:szCs w:val="28"/>
          <w:highlight w:val="none"/>
        </w:rPr>
        <w:t xml:space="preserve"> Diatomaceous earth as a protective vehicle for bacteria applied for self-healing concrete // Journal of Industrial Microbiology and Biotechnology. – 2012. – Vol. 39, № 4. – P. 567–577. – DOI: </w:t>
      </w:r>
      <w:r>
        <w:rPr>
          <w:rStyle w:val="19"/>
          <w:rFonts w:hint="default" w:ascii="Times New Roman" w:hAnsi="Times New Roman" w:eastAsia="SimSun" w:cs="Times New Roman"/>
          <w:b w:val="0"/>
          <w:bCs w:val="0"/>
          <w:i w:val="0"/>
          <w:iCs w:val="0"/>
          <w:color w:val="auto"/>
          <w:sz w:val="28"/>
          <w:szCs w:val="28"/>
          <w:highlight w:val="none"/>
        </w:rPr>
        <w:t>10.1007/s10295-011-1037-1</w:t>
      </w:r>
      <w:r>
        <w:rPr>
          <w:rFonts w:hint="default" w:ascii="Times New Roman" w:hAnsi="Times New Roman" w:eastAsia="SimSun" w:cs="Times New Roman"/>
          <w:b w:val="0"/>
          <w:bCs w:val="0"/>
          <w:i w:val="0"/>
          <w:iCs w:val="0"/>
          <w:color w:val="auto"/>
          <w:sz w:val="28"/>
          <w:szCs w:val="28"/>
          <w:highlight w:val="none"/>
        </w:rPr>
        <w:t>.</w:t>
      </w:r>
    </w:p>
    <w:p w14:paraId="200A92C4">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eastAsia="Consolas" w:cs="Times New Roman"/>
          <w:b w:val="0"/>
          <w:bCs w:val="0"/>
          <w:i w:val="0"/>
          <w:iCs w:val="0"/>
          <w:caps w:val="0"/>
          <w:color w:val="auto"/>
          <w:spacing w:val="0"/>
          <w:sz w:val="28"/>
          <w:szCs w:val="28"/>
          <w:highlight w:val="none"/>
        </w:rPr>
      </w:pPr>
      <w:r>
        <w:rPr>
          <w:rStyle w:val="19"/>
          <w:rFonts w:hint="default" w:ascii="Times New Roman" w:hAnsi="Times New Roman" w:eastAsia="SimSun" w:cs="Times New Roman"/>
          <w:b w:val="0"/>
          <w:bCs w:val="0"/>
          <w:i w:val="0"/>
          <w:iCs w:val="0"/>
          <w:color w:val="auto"/>
          <w:sz w:val="28"/>
          <w:szCs w:val="28"/>
          <w:highlight w:val="none"/>
        </w:rPr>
        <w:t>Ugwu E.I., Agunwamba J.C.</w:t>
      </w:r>
      <w:r>
        <w:rPr>
          <w:rFonts w:hint="default" w:ascii="Times New Roman" w:hAnsi="Times New Roman" w:eastAsia="SimSun" w:cs="Times New Roman"/>
          <w:b w:val="0"/>
          <w:bCs w:val="0"/>
          <w:i w:val="0"/>
          <w:iCs w:val="0"/>
          <w:color w:val="auto"/>
          <w:sz w:val="28"/>
          <w:szCs w:val="28"/>
          <w:highlight w:val="none"/>
        </w:rPr>
        <w:t xml:space="preserve"> A review on the applicability of activated carbon derived from plant biomass in adsorption of chromium, copper, and zinc from industrial wastewater // Environmental Monitoring and Assessment. – 2020. – Vol. 192, № 4. – Art. 240. – DOI: </w:t>
      </w:r>
      <w:r>
        <w:rPr>
          <w:rStyle w:val="19"/>
          <w:rFonts w:hint="default" w:ascii="Times New Roman" w:hAnsi="Times New Roman" w:eastAsia="SimSun" w:cs="Times New Roman"/>
          <w:b w:val="0"/>
          <w:bCs w:val="0"/>
          <w:i w:val="0"/>
          <w:iCs w:val="0"/>
          <w:color w:val="auto"/>
          <w:sz w:val="28"/>
          <w:szCs w:val="28"/>
          <w:highlight w:val="none"/>
        </w:rPr>
        <w:t>10.1007/s10661-020-8162-0</w:t>
      </w:r>
      <w:r>
        <w:rPr>
          <w:rFonts w:hint="default" w:ascii="Times New Roman" w:hAnsi="Times New Roman" w:eastAsia="SimSun" w:cs="Times New Roman"/>
          <w:b w:val="0"/>
          <w:bCs w:val="0"/>
          <w:i w:val="0"/>
          <w:iCs w:val="0"/>
          <w:color w:val="auto"/>
          <w:sz w:val="28"/>
          <w:szCs w:val="28"/>
          <w:highlight w:val="none"/>
        </w:rPr>
        <w:t>.</w:t>
      </w:r>
    </w:p>
    <w:p w14:paraId="33E65655">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eastAsia="Consolas" w:cs="Times New Roman"/>
          <w:b w:val="0"/>
          <w:bCs w:val="0"/>
          <w:i w:val="0"/>
          <w:iCs w:val="0"/>
          <w:caps w:val="0"/>
          <w:color w:val="auto"/>
          <w:spacing w:val="0"/>
          <w:sz w:val="28"/>
          <w:szCs w:val="28"/>
          <w:highlight w:val="none"/>
        </w:rPr>
      </w:pPr>
      <w:r>
        <w:rPr>
          <w:rFonts w:hint="default" w:ascii="Times New Roman" w:hAnsi="Times New Roman" w:eastAsia="Consolas" w:cs="Times New Roman"/>
          <w:b w:val="0"/>
          <w:bCs w:val="0"/>
          <w:i w:val="0"/>
          <w:iCs w:val="0"/>
          <w:caps w:val="0"/>
          <w:color w:val="auto"/>
          <w:spacing w:val="0"/>
          <w:sz w:val="28"/>
          <w:szCs w:val="28"/>
          <w:highlight w:val="none"/>
        </w:rPr>
        <w:t xml:space="preserve"> Zhang L., Li M., Wang X., Chen Y. Bentonite clay as swelling carrier for microbial immobilization: Enhanced soil properties and hydrocarbon degradation // Chemical Engineering Journal. – 2023. – Vol. 451. – P. 138925. – DOI: 10.1016/j.cej.2022.138925</w:t>
      </w:r>
    </w:p>
    <w:p w14:paraId="1CF7A92B">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eastAsia="Consolas" w:cs="Times New Roman"/>
          <w:b w:val="0"/>
          <w:bCs w:val="0"/>
          <w:i w:val="0"/>
          <w:iCs w:val="0"/>
          <w:caps w:val="0"/>
          <w:color w:val="auto"/>
          <w:spacing w:val="0"/>
          <w:sz w:val="28"/>
          <w:szCs w:val="28"/>
          <w:highlight w:val="none"/>
        </w:rPr>
      </w:pPr>
      <w:r>
        <w:rPr>
          <w:rStyle w:val="19"/>
          <w:rFonts w:hint="default" w:ascii="Times New Roman" w:hAnsi="Times New Roman" w:eastAsia="SimSun" w:cs="Times New Roman"/>
          <w:b w:val="0"/>
          <w:bCs w:val="0"/>
          <w:i w:val="0"/>
          <w:iCs w:val="0"/>
          <w:color w:val="auto"/>
          <w:sz w:val="28"/>
          <w:szCs w:val="28"/>
          <w:highlight w:val="none"/>
        </w:rPr>
        <w:t>Zhang B., Zhang L., Zhang X.</w:t>
      </w:r>
      <w:r>
        <w:rPr>
          <w:rFonts w:hint="default" w:ascii="Times New Roman" w:hAnsi="Times New Roman" w:eastAsia="SimSun" w:cs="Times New Roman"/>
          <w:b w:val="0"/>
          <w:bCs w:val="0"/>
          <w:i w:val="0"/>
          <w:iCs w:val="0"/>
          <w:color w:val="auto"/>
          <w:sz w:val="28"/>
          <w:szCs w:val="28"/>
          <w:highlight w:val="none"/>
        </w:rPr>
        <w:t xml:space="preserve"> Bioremediation of petroleum hydrocarbon-contaminated soil by petroleum-degrading bacteria immobilized on biochar // RSC Advances. – 2019. – Vol. 9, № 60. – P. 35304–35311. – DOI: </w:t>
      </w:r>
      <w:r>
        <w:rPr>
          <w:rStyle w:val="19"/>
          <w:rFonts w:hint="default" w:ascii="Times New Roman" w:hAnsi="Times New Roman" w:eastAsia="SimSun" w:cs="Times New Roman"/>
          <w:b w:val="0"/>
          <w:bCs w:val="0"/>
          <w:i w:val="0"/>
          <w:iCs w:val="0"/>
          <w:color w:val="auto"/>
          <w:sz w:val="28"/>
          <w:szCs w:val="28"/>
          <w:highlight w:val="none"/>
        </w:rPr>
        <w:t>10.1039/C9RA06726A</w:t>
      </w:r>
      <w:r>
        <w:rPr>
          <w:rFonts w:hint="default" w:ascii="Times New Roman" w:hAnsi="Times New Roman" w:eastAsia="SimSun" w:cs="Times New Roman"/>
          <w:b w:val="0"/>
          <w:bCs w:val="0"/>
          <w:i w:val="0"/>
          <w:iCs w:val="0"/>
          <w:color w:val="auto"/>
          <w:sz w:val="28"/>
          <w:szCs w:val="28"/>
          <w:highlight w:val="none"/>
        </w:rPr>
        <w:t>.</w:t>
      </w:r>
    </w:p>
    <w:p w14:paraId="62870C11">
      <w:pPr>
        <w:keepNext w:val="0"/>
        <w:keepLines w:val="0"/>
        <w:pageBreakBefore w:val="0"/>
        <w:widowControl/>
        <w:numPr>
          <w:ilvl w:val="0"/>
          <w:numId w:val="14"/>
        </w:numPr>
        <w:shd w:val="clea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eastAsia="SimSun" w:cs="Times New Roman"/>
          <w:b w:val="0"/>
          <w:bCs w:val="0"/>
          <w:i w:val="0"/>
          <w:iCs w:val="0"/>
          <w:color w:val="auto"/>
          <w:sz w:val="28"/>
          <w:szCs w:val="28"/>
          <w:highlight w:val="none"/>
        </w:rPr>
      </w:pPr>
      <w:r>
        <w:rPr>
          <w:rStyle w:val="19"/>
          <w:rFonts w:hint="default" w:ascii="Times New Roman" w:hAnsi="Times New Roman" w:eastAsia="SimSun" w:cs="Times New Roman"/>
          <w:b w:val="0"/>
          <w:bCs w:val="0"/>
          <w:i w:val="0"/>
          <w:iCs w:val="0"/>
          <w:color w:val="auto"/>
          <w:sz w:val="28"/>
          <w:szCs w:val="28"/>
          <w:highlight w:val="none"/>
        </w:rPr>
        <w:t>Dzionek A., Wojcieszyńska D., Guzik U.</w:t>
      </w:r>
      <w:r>
        <w:rPr>
          <w:rFonts w:hint="default" w:ascii="Times New Roman" w:hAnsi="Times New Roman" w:eastAsia="SimSun" w:cs="Times New Roman"/>
          <w:b w:val="0"/>
          <w:bCs w:val="0"/>
          <w:i w:val="0"/>
          <w:iCs w:val="0"/>
          <w:color w:val="auto"/>
          <w:sz w:val="28"/>
          <w:szCs w:val="28"/>
          <w:highlight w:val="none"/>
        </w:rPr>
        <w:t xml:space="preserve"> Natural carriers in bioremediation: A review // Electronic Journal of Biotechnology. – 2016. – Vol. 23. – P. 28–36. – DOI: </w:t>
      </w:r>
      <w:r>
        <w:rPr>
          <w:rStyle w:val="19"/>
          <w:rFonts w:hint="default" w:ascii="Times New Roman" w:hAnsi="Times New Roman" w:eastAsia="SimSun" w:cs="Times New Roman"/>
          <w:b w:val="0"/>
          <w:bCs w:val="0"/>
          <w:i w:val="0"/>
          <w:iCs w:val="0"/>
          <w:color w:val="auto"/>
          <w:sz w:val="28"/>
          <w:szCs w:val="28"/>
          <w:highlight w:val="none"/>
        </w:rPr>
        <w:t>10.1016/j.ejbt.2016.07.003</w:t>
      </w:r>
      <w:r>
        <w:rPr>
          <w:rFonts w:hint="default" w:ascii="Times New Roman" w:hAnsi="Times New Roman" w:eastAsia="SimSun" w:cs="Times New Roman"/>
          <w:b w:val="0"/>
          <w:bCs w:val="0"/>
          <w:i w:val="0"/>
          <w:iCs w:val="0"/>
          <w:color w:val="auto"/>
          <w:sz w:val="28"/>
          <w:szCs w:val="28"/>
          <w:highlight w:val="none"/>
        </w:rPr>
        <w:t>.</w:t>
      </w:r>
    </w:p>
    <w:p w14:paraId="7AAB2F75">
      <w:pPr>
        <w:keepNext w:val="0"/>
        <w:keepLines w:val="0"/>
        <w:pageBreakBefore w:val="0"/>
        <w:widowControl/>
        <w:numPr>
          <w:ilvl w:val="0"/>
          <w:numId w:val="14"/>
        </w:numPr>
        <w:shd w:val="clea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eastAsia="SimSun" w:cs="Times New Roman"/>
          <w:b w:val="0"/>
          <w:bCs w:val="0"/>
          <w:i w:val="0"/>
          <w:iCs w:val="0"/>
          <w:color w:val="auto"/>
          <w:sz w:val="28"/>
          <w:szCs w:val="28"/>
          <w:highlight w:val="none"/>
        </w:rPr>
      </w:pPr>
      <w:r>
        <w:rPr>
          <w:rStyle w:val="19"/>
          <w:rFonts w:hint="default" w:ascii="Times New Roman" w:hAnsi="Times New Roman" w:eastAsia="SimSun" w:cs="Times New Roman"/>
          <w:b w:val="0"/>
          <w:bCs w:val="0"/>
          <w:i w:val="0"/>
          <w:iCs w:val="0"/>
          <w:color w:val="auto"/>
          <w:sz w:val="28"/>
          <w:szCs w:val="28"/>
          <w:highlight w:val="none"/>
        </w:rPr>
        <w:t>Liu J., Chen S., Ding J., Xiao Y., Han H., Zhong G.</w:t>
      </w:r>
      <w:r>
        <w:rPr>
          <w:rFonts w:hint="default" w:ascii="Times New Roman" w:hAnsi="Times New Roman" w:eastAsia="SimSun" w:cs="Times New Roman"/>
          <w:b w:val="0"/>
          <w:bCs w:val="0"/>
          <w:i w:val="0"/>
          <w:iCs w:val="0"/>
          <w:color w:val="auto"/>
          <w:sz w:val="28"/>
          <w:szCs w:val="28"/>
          <w:highlight w:val="none"/>
        </w:rPr>
        <w:t xml:space="preserve"> Sugarcane bagasse as support for immobilization of </w:t>
      </w:r>
      <w:r>
        <w:rPr>
          <w:rStyle w:val="16"/>
          <w:rFonts w:hint="default" w:ascii="Times New Roman" w:hAnsi="Times New Roman" w:eastAsia="SimSun" w:cs="Times New Roman"/>
          <w:b w:val="0"/>
          <w:bCs w:val="0"/>
          <w:i w:val="0"/>
          <w:iCs w:val="0"/>
          <w:color w:val="auto"/>
          <w:sz w:val="28"/>
          <w:szCs w:val="28"/>
          <w:highlight w:val="none"/>
        </w:rPr>
        <w:t>Bacillus pumilus</w:t>
      </w:r>
      <w:r>
        <w:rPr>
          <w:rFonts w:hint="default" w:ascii="Times New Roman" w:hAnsi="Times New Roman" w:eastAsia="SimSun" w:cs="Times New Roman"/>
          <w:b w:val="0"/>
          <w:bCs w:val="0"/>
          <w:i w:val="0"/>
          <w:iCs w:val="0"/>
          <w:color w:val="auto"/>
          <w:sz w:val="28"/>
          <w:szCs w:val="28"/>
          <w:highlight w:val="none"/>
        </w:rPr>
        <w:t xml:space="preserve"> HZ-2 and its use in bioremediation of mesotrione-contaminated soils // Applied Microbiology and Biotechnology. – 2015. – Vol. 99, № 24. – P. 10839–10851. – DOI: </w:t>
      </w:r>
      <w:r>
        <w:rPr>
          <w:rStyle w:val="19"/>
          <w:rFonts w:hint="default" w:ascii="Times New Roman" w:hAnsi="Times New Roman" w:eastAsia="SimSun" w:cs="Times New Roman"/>
          <w:b w:val="0"/>
          <w:bCs w:val="0"/>
          <w:i w:val="0"/>
          <w:iCs w:val="0"/>
          <w:color w:val="auto"/>
          <w:sz w:val="28"/>
          <w:szCs w:val="28"/>
          <w:highlight w:val="none"/>
        </w:rPr>
        <w:t>10.1007/s00253-015-6935-0</w:t>
      </w:r>
      <w:r>
        <w:rPr>
          <w:rFonts w:hint="default" w:ascii="Times New Roman" w:hAnsi="Times New Roman" w:eastAsia="SimSun" w:cs="Times New Roman"/>
          <w:b w:val="0"/>
          <w:bCs w:val="0"/>
          <w:i w:val="0"/>
          <w:iCs w:val="0"/>
          <w:color w:val="auto"/>
          <w:sz w:val="28"/>
          <w:szCs w:val="28"/>
          <w:highlight w:val="none"/>
        </w:rPr>
        <w:t>.</w:t>
      </w:r>
    </w:p>
    <w:p w14:paraId="619F66DB">
      <w:pPr>
        <w:keepNext w:val="0"/>
        <w:keepLines w:val="0"/>
        <w:pageBreakBefore w:val="0"/>
        <w:widowControl/>
        <w:numPr>
          <w:ilvl w:val="0"/>
          <w:numId w:val="14"/>
        </w:numPr>
        <w:shd w:val="clea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eastAsia="SimSun" w:cs="Times New Roman"/>
          <w:b w:val="0"/>
          <w:bCs w:val="0"/>
          <w:i w:val="0"/>
          <w:iCs w:val="0"/>
          <w:color w:val="auto"/>
          <w:sz w:val="28"/>
          <w:szCs w:val="28"/>
          <w:highlight w:val="none"/>
        </w:rPr>
      </w:pPr>
      <w:r>
        <w:rPr>
          <w:rFonts w:hint="default" w:ascii="Times New Roman" w:hAnsi="Times New Roman" w:eastAsia="SimSun" w:cs="Times New Roman"/>
          <w:b w:val="0"/>
          <w:bCs w:val="0"/>
          <w:i w:val="0"/>
          <w:iCs w:val="0"/>
          <w:color w:val="auto"/>
          <w:sz w:val="28"/>
          <w:szCs w:val="28"/>
          <w:highlight w:val="none"/>
        </w:rPr>
        <w:t xml:space="preserve">Bioremediation of heavily oil-polluted seawater by a bacterial consortium immobilized in cocopeat and rice hull powder // </w:t>
      </w:r>
      <w:r>
        <w:rPr>
          <w:rStyle w:val="19"/>
          <w:rFonts w:hint="default" w:ascii="Times New Roman" w:hAnsi="Times New Roman" w:eastAsia="SimSun" w:cs="Times New Roman"/>
          <w:b w:val="0"/>
          <w:bCs w:val="0"/>
          <w:i w:val="0"/>
          <w:iCs w:val="0"/>
          <w:color w:val="auto"/>
          <w:sz w:val="28"/>
          <w:szCs w:val="28"/>
          <w:highlight w:val="none"/>
        </w:rPr>
        <w:t>Biocontrol Science</w:t>
      </w:r>
      <w:r>
        <w:rPr>
          <w:rFonts w:hint="default" w:ascii="Times New Roman" w:hAnsi="Times New Roman" w:eastAsia="SimSun" w:cs="Times New Roman"/>
          <w:b w:val="0"/>
          <w:bCs w:val="0"/>
          <w:i w:val="0"/>
          <w:iCs w:val="0"/>
          <w:color w:val="auto"/>
          <w:sz w:val="28"/>
          <w:szCs w:val="28"/>
          <w:highlight w:val="none"/>
        </w:rPr>
        <w:t xml:space="preserve">. – </w:t>
      </w:r>
      <w:r>
        <w:rPr>
          <w:rStyle w:val="19"/>
          <w:rFonts w:hint="default" w:ascii="Times New Roman" w:hAnsi="Times New Roman" w:eastAsia="SimSun" w:cs="Times New Roman"/>
          <w:b w:val="0"/>
          <w:bCs w:val="0"/>
          <w:i w:val="0"/>
          <w:iCs w:val="0"/>
          <w:color w:val="auto"/>
          <w:sz w:val="28"/>
          <w:szCs w:val="28"/>
          <w:highlight w:val="none"/>
        </w:rPr>
        <w:t>2014</w:t>
      </w:r>
      <w:r>
        <w:rPr>
          <w:rFonts w:hint="default" w:ascii="Times New Roman" w:hAnsi="Times New Roman" w:eastAsia="SimSun" w:cs="Times New Roman"/>
          <w:b w:val="0"/>
          <w:bCs w:val="0"/>
          <w:i w:val="0"/>
          <w:iCs w:val="0"/>
          <w:color w:val="auto"/>
          <w:sz w:val="28"/>
          <w:szCs w:val="28"/>
          <w:highlight w:val="none"/>
        </w:rPr>
        <w:t xml:space="preserve">. – Vol. 19, № 1. – P. 11–22. – DOI: </w:t>
      </w:r>
      <w:r>
        <w:rPr>
          <w:rStyle w:val="19"/>
          <w:rFonts w:hint="default" w:ascii="Times New Roman" w:hAnsi="Times New Roman" w:eastAsia="SimSun" w:cs="Times New Roman"/>
          <w:b w:val="0"/>
          <w:bCs w:val="0"/>
          <w:i w:val="0"/>
          <w:iCs w:val="0"/>
          <w:color w:val="auto"/>
          <w:sz w:val="28"/>
          <w:szCs w:val="28"/>
          <w:highlight w:val="none"/>
        </w:rPr>
        <w:t>10.4265/bio.19.11</w:t>
      </w:r>
    </w:p>
    <w:p w14:paraId="5379D0C6">
      <w:pPr>
        <w:keepNext w:val="0"/>
        <w:keepLines w:val="0"/>
        <w:pageBreakBefore w:val="0"/>
        <w:widowControl/>
        <w:numPr>
          <w:ilvl w:val="0"/>
          <w:numId w:val="14"/>
        </w:numPr>
        <w:shd w:val="clea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eastAsia="SimSun" w:cs="Times New Roman"/>
          <w:b w:val="0"/>
          <w:bCs w:val="0"/>
          <w:i w:val="0"/>
          <w:iCs w:val="0"/>
          <w:color w:val="auto"/>
          <w:sz w:val="28"/>
          <w:szCs w:val="28"/>
          <w:highlight w:val="none"/>
        </w:rPr>
      </w:pPr>
      <w:r>
        <w:rPr>
          <w:rStyle w:val="19"/>
          <w:rFonts w:hint="default" w:ascii="Times New Roman" w:hAnsi="Times New Roman" w:eastAsia="SimSun" w:cs="Times New Roman"/>
          <w:b w:val="0"/>
          <w:bCs w:val="0"/>
          <w:i w:val="0"/>
          <w:iCs w:val="0"/>
          <w:color w:val="auto"/>
          <w:sz w:val="28"/>
          <w:szCs w:val="28"/>
          <w:highlight w:val="none"/>
        </w:rPr>
        <w:t>Gentili A.R., Cubitto M.A., Ferrero M., Rodriguéz M.S.</w:t>
      </w:r>
      <w:r>
        <w:rPr>
          <w:rFonts w:hint="default" w:ascii="Times New Roman" w:hAnsi="Times New Roman" w:eastAsia="SimSun" w:cs="Times New Roman"/>
          <w:b w:val="0"/>
          <w:bCs w:val="0"/>
          <w:i w:val="0"/>
          <w:iCs w:val="0"/>
          <w:color w:val="auto"/>
          <w:sz w:val="28"/>
          <w:szCs w:val="28"/>
          <w:highlight w:val="none"/>
        </w:rPr>
        <w:t xml:space="preserve"> Persistence and degrading activity of free and immobilised allochthonous bacteria during bioremediation of hydrocarbon-contaminated soils // International Biodeterioration &amp; Biodegradation. – 2012. – Vol. 71. – P. 1–7. – DOI: 10.1016/j.ibiod.2012.04.002.</w:t>
      </w:r>
    </w:p>
    <w:p w14:paraId="37399A51">
      <w:pPr>
        <w:keepNext w:val="0"/>
        <w:keepLines w:val="0"/>
        <w:pageBreakBefore w:val="0"/>
        <w:widowControl/>
        <w:numPr>
          <w:ilvl w:val="0"/>
          <w:numId w:val="14"/>
        </w:numPr>
        <w:shd w:val="clea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eastAsia="SimSun" w:cs="Times New Roman"/>
          <w:b w:val="0"/>
          <w:bCs w:val="0"/>
          <w:i w:val="0"/>
          <w:iCs w:val="0"/>
          <w:color w:val="auto"/>
          <w:sz w:val="28"/>
          <w:szCs w:val="28"/>
          <w:highlight w:val="none"/>
        </w:rPr>
      </w:pPr>
      <w:r>
        <w:rPr>
          <w:rStyle w:val="19"/>
          <w:rFonts w:hint="default" w:ascii="Times New Roman" w:hAnsi="Times New Roman" w:eastAsia="Segoe UI" w:cs="Times New Roman"/>
          <w:b w:val="0"/>
          <w:bCs w:val="0"/>
          <w:i w:val="0"/>
          <w:iCs w:val="0"/>
          <w:caps w:val="0"/>
          <w:color w:val="auto"/>
          <w:spacing w:val="0"/>
          <w:sz w:val="28"/>
          <w:szCs w:val="28"/>
          <w:highlight w:val="none"/>
          <w:shd w:val="clear" w:fill="FFFFFF"/>
        </w:rPr>
        <w:t>«Қаражанбасмұнай» АҚ-ның 2024 жылғы негізгі көрсеткіштері [Электрондық ресурс] // ҚазМұнайГаз. – 2025. – URL: </w:t>
      </w:r>
      <w:r>
        <w:rPr>
          <w:rStyle w:val="19"/>
          <w:rFonts w:hint="default" w:ascii="Times New Roman" w:hAnsi="Times New Roman" w:eastAsia="Segoe UI" w:cs="Times New Roman"/>
          <w:b w:val="0"/>
          <w:bCs w:val="0"/>
          <w:i w:val="0"/>
          <w:iCs w:val="0"/>
          <w:caps w:val="0"/>
          <w:color w:val="auto"/>
          <w:spacing w:val="0"/>
          <w:sz w:val="28"/>
          <w:szCs w:val="28"/>
          <w:highlight w:val="none"/>
          <w:u w:val="none"/>
          <w:bdr w:val="single" w:color="auto" w:sz="12" w:space="0"/>
          <w:shd w:val="clear" w:fill="FFFFFF"/>
        </w:rPr>
        <w:fldChar w:fldCharType="begin"/>
      </w:r>
      <w:r>
        <w:rPr>
          <w:rStyle w:val="19"/>
          <w:rFonts w:hint="default" w:ascii="Times New Roman" w:hAnsi="Times New Roman" w:eastAsia="Segoe UI" w:cs="Times New Roman"/>
          <w:b w:val="0"/>
          <w:bCs w:val="0"/>
          <w:i w:val="0"/>
          <w:iCs w:val="0"/>
          <w:caps w:val="0"/>
          <w:color w:val="auto"/>
          <w:spacing w:val="0"/>
          <w:sz w:val="28"/>
          <w:szCs w:val="28"/>
          <w:highlight w:val="none"/>
          <w:u w:val="none"/>
          <w:bdr w:val="single" w:color="auto" w:sz="12" w:space="0"/>
          <w:shd w:val="clear" w:fill="FFFFFF"/>
        </w:rPr>
        <w:instrText xml:space="preserve"> HYPERLINK "https://www.kmg.kz/ru/press-center/press-releases/kbm-itogi-2024/" \t "https://chat.deepseek.com/a/chat/s/_blank" </w:instrText>
      </w:r>
      <w:r>
        <w:rPr>
          <w:rStyle w:val="19"/>
          <w:rFonts w:hint="default" w:ascii="Times New Roman" w:hAnsi="Times New Roman" w:eastAsia="Segoe UI" w:cs="Times New Roman"/>
          <w:b w:val="0"/>
          <w:bCs w:val="0"/>
          <w:i w:val="0"/>
          <w:iCs w:val="0"/>
          <w:caps w:val="0"/>
          <w:color w:val="auto"/>
          <w:spacing w:val="0"/>
          <w:sz w:val="28"/>
          <w:szCs w:val="28"/>
          <w:highlight w:val="none"/>
          <w:u w:val="none"/>
          <w:bdr w:val="single" w:color="auto" w:sz="12" w:space="0"/>
          <w:shd w:val="clear" w:fill="FFFFFF"/>
        </w:rPr>
        <w:fldChar w:fldCharType="separate"/>
      </w:r>
      <w:r>
        <w:rPr>
          <w:rStyle w:val="17"/>
          <w:rFonts w:hint="default" w:ascii="Times New Roman" w:hAnsi="Times New Roman" w:eastAsia="Segoe UI" w:cs="Times New Roman"/>
          <w:b w:val="0"/>
          <w:bCs w:val="0"/>
          <w:i w:val="0"/>
          <w:iCs w:val="0"/>
          <w:caps w:val="0"/>
          <w:color w:val="auto"/>
          <w:spacing w:val="0"/>
          <w:sz w:val="28"/>
          <w:szCs w:val="28"/>
          <w:highlight w:val="none"/>
          <w:u w:val="none"/>
          <w:shd w:val="clear" w:fill="FFFFFF"/>
        </w:rPr>
        <w:t>https://www.kmg.kz/ru/press-center/press-releases/kbm-itogi-2024/</w:t>
      </w:r>
      <w:r>
        <w:rPr>
          <w:rStyle w:val="19"/>
          <w:rFonts w:hint="default" w:ascii="Times New Roman" w:hAnsi="Times New Roman" w:eastAsia="Segoe UI" w:cs="Times New Roman"/>
          <w:b w:val="0"/>
          <w:bCs w:val="0"/>
          <w:i w:val="0"/>
          <w:iCs w:val="0"/>
          <w:caps w:val="0"/>
          <w:color w:val="auto"/>
          <w:spacing w:val="0"/>
          <w:sz w:val="28"/>
          <w:szCs w:val="28"/>
          <w:highlight w:val="none"/>
          <w:u w:val="none"/>
          <w:bdr w:val="single" w:color="auto" w:sz="12" w:space="0"/>
          <w:shd w:val="clear" w:fill="FFFFFF"/>
        </w:rPr>
        <w:fldChar w:fldCharType="end"/>
      </w:r>
      <w:r>
        <w:rPr>
          <w:rStyle w:val="19"/>
          <w:rFonts w:hint="default" w:ascii="Times New Roman" w:hAnsi="Times New Roman" w:eastAsia="Segoe UI" w:cs="Times New Roman"/>
          <w:b w:val="0"/>
          <w:bCs w:val="0"/>
          <w:i w:val="0"/>
          <w:iCs w:val="0"/>
          <w:caps w:val="0"/>
          <w:color w:val="auto"/>
          <w:spacing w:val="0"/>
          <w:sz w:val="28"/>
          <w:szCs w:val="28"/>
          <w:highlight w:val="none"/>
          <w:shd w:val="clear" w:fill="FFFFFF"/>
        </w:rPr>
        <w:t> (қаралған күні: 18.02.2026).</w:t>
      </w:r>
    </w:p>
    <w:p w14:paraId="739D924D">
      <w:pPr>
        <w:keepNext w:val="0"/>
        <w:keepLines w:val="0"/>
        <w:pageBreakBefore w:val="0"/>
        <w:widowControl/>
        <w:numPr>
          <w:ilvl w:val="0"/>
          <w:numId w:val="14"/>
        </w:numPr>
        <w:shd w:val="clea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eastAsia="SimSun" w:cs="Times New Roman"/>
          <w:b w:val="0"/>
          <w:bCs w:val="0"/>
          <w:i w:val="0"/>
          <w:iCs w:val="0"/>
          <w:color w:val="auto"/>
          <w:sz w:val="28"/>
          <w:szCs w:val="28"/>
          <w:highlight w:val="none"/>
        </w:rPr>
      </w:pPr>
      <w:r>
        <w:rPr>
          <w:rFonts w:hint="default" w:ascii="Times New Roman" w:hAnsi="Times New Roman" w:eastAsia="SimSun" w:cs="Times New Roman"/>
          <w:b w:val="0"/>
          <w:bCs w:val="0"/>
          <w:i w:val="0"/>
          <w:iCs w:val="0"/>
          <w:color w:val="auto"/>
          <w:sz w:val="28"/>
          <w:szCs w:val="28"/>
          <w:highlight w:val="none"/>
        </w:rPr>
        <w:t xml:space="preserve">Use of bacteria-immobilized cotton fibers to absorb and degrade crude oil // </w:t>
      </w:r>
      <w:r>
        <w:rPr>
          <w:rStyle w:val="19"/>
          <w:rFonts w:hint="default" w:ascii="Times New Roman" w:hAnsi="Times New Roman" w:eastAsia="SimSun" w:cs="Times New Roman"/>
          <w:b w:val="0"/>
          <w:bCs w:val="0"/>
          <w:i w:val="0"/>
          <w:iCs w:val="0"/>
          <w:color w:val="auto"/>
          <w:sz w:val="28"/>
          <w:szCs w:val="28"/>
          <w:highlight w:val="none"/>
        </w:rPr>
        <w:t>International Biodeterioration &amp; Biodegradation</w:t>
      </w:r>
      <w:r>
        <w:rPr>
          <w:rFonts w:hint="default" w:ascii="Times New Roman" w:hAnsi="Times New Roman" w:eastAsia="SimSun" w:cs="Times New Roman"/>
          <w:b w:val="0"/>
          <w:bCs w:val="0"/>
          <w:i w:val="0"/>
          <w:iCs w:val="0"/>
          <w:color w:val="auto"/>
          <w:sz w:val="28"/>
          <w:szCs w:val="28"/>
          <w:highlight w:val="none"/>
        </w:rPr>
        <w:t xml:space="preserve">. – </w:t>
      </w:r>
      <w:r>
        <w:rPr>
          <w:rStyle w:val="19"/>
          <w:rFonts w:hint="default" w:ascii="Times New Roman" w:hAnsi="Times New Roman" w:eastAsia="SimSun" w:cs="Times New Roman"/>
          <w:b w:val="0"/>
          <w:bCs w:val="0"/>
          <w:i w:val="0"/>
          <w:iCs w:val="0"/>
          <w:color w:val="auto"/>
          <w:sz w:val="28"/>
          <w:szCs w:val="28"/>
          <w:highlight w:val="none"/>
        </w:rPr>
        <w:t>2014</w:t>
      </w:r>
      <w:r>
        <w:rPr>
          <w:rFonts w:hint="default" w:ascii="Times New Roman" w:hAnsi="Times New Roman" w:eastAsia="SimSun" w:cs="Times New Roman"/>
          <w:b w:val="0"/>
          <w:bCs w:val="0"/>
          <w:i w:val="0"/>
          <w:iCs w:val="0"/>
          <w:color w:val="auto"/>
          <w:sz w:val="28"/>
          <w:szCs w:val="28"/>
          <w:highlight w:val="none"/>
        </w:rPr>
        <w:t xml:space="preserve">. – Vol. 88. – P. 8–12. – DOI: </w:t>
      </w:r>
      <w:r>
        <w:rPr>
          <w:rStyle w:val="19"/>
          <w:rFonts w:hint="default" w:ascii="Times New Roman" w:hAnsi="Times New Roman" w:eastAsia="SimSun" w:cs="Times New Roman"/>
          <w:b w:val="0"/>
          <w:bCs w:val="0"/>
          <w:i w:val="0"/>
          <w:iCs w:val="0"/>
          <w:color w:val="auto"/>
          <w:sz w:val="28"/>
          <w:szCs w:val="28"/>
          <w:highlight w:val="none"/>
        </w:rPr>
        <w:t>10.1016/j.ibiod.2013.11.013</w:t>
      </w:r>
    </w:p>
    <w:p w14:paraId="6EFC883F">
      <w:pPr>
        <w:keepNext w:val="0"/>
        <w:keepLines w:val="0"/>
        <w:pageBreakBefore w:val="0"/>
        <w:widowControl/>
        <w:numPr>
          <w:ilvl w:val="0"/>
          <w:numId w:val="14"/>
        </w:numPr>
        <w:shd w:val="clea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eastAsia="SimSun" w:cs="Times New Roman"/>
          <w:b w:val="0"/>
          <w:bCs w:val="0"/>
          <w:i w:val="0"/>
          <w:iCs w:val="0"/>
          <w:color w:val="auto"/>
          <w:sz w:val="28"/>
          <w:szCs w:val="28"/>
          <w:highlight w:val="none"/>
        </w:rPr>
      </w:pPr>
      <w:r>
        <w:rPr>
          <w:rFonts w:hint="default" w:ascii="Times New Roman" w:hAnsi="Times New Roman" w:eastAsia="SimSun" w:cs="Times New Roman"/>
          <w:b w:val="0"/>
          <w:bCs w:val="0"/>
          <w:i w:val="0"/>
          <w:iCs w:val="0"/>
          <w:color w:val="auto"/>
          <w:sz w:val="28"/>
          <w:szCs w:val="28"/>
          <w:highlight w:val="none"/>
        </w:rPr>
        <w:t xml:space="preserve">Development of a cell immobilization technique with polyvinyl alcohol for diesel remediation in seawater // </w:t>
      </w:r>
      <w:r>
        <w:rPr>
          <w:rStyle w:val="19"/>
          <w:rFonts w:hint="default" w:ascii="Times New Roman" w:hAnsi="Times New Roman" w:eastAsia="SimSun" w:cs="Times New Roman"/>
          <w:b w:val="0"/>
          <w:bCs w:val="0"/>
          <w:i w:val="0"/>
          <w:iCs w:val="0"/>
          <w:color w:val="auto"/>
          <w:sz w:val="28"/>
          <w:szCs w:val="28"/>
          <w:highlight w:val="none"/>
        </w:rPr>
        <w:t>International Biodeterioration &amp; Biodegradation</w:t>
      </w:r>
      <w:r>
        <w:rPr>
          <w:rFonts w:hint="default" w:ascii="Times New Roman" w:hAnsi="Times New Roman" w:eastAsia="SimSun" w:cs="Times New Roman"/>
          <w:b w:val="0"/>
          <w:bCs w:val="0"/>
          <w:i w:val="0"/>
          <w:iCs w:val="0"/>
          <w:color w:val="auto"/>
          <w:sz w:val="28"/>
          <w:szCs w:val="28"/>
          <w:highlight w:val="none"/>
        </w:rPr>
        <w:t xml:space="preserve">. – </w:t>
      </w:r>
      <w:r>
        <w:rPr>
          <w:rStyle w:val="19"/>
          <w:rFonts w:hint="default" w:ascii="Times New Roman" w:hAnsi="Times New Roman" w:eastAsia="SimSun" w:cs="Times New Roman"/>
          <w:b w:val="0"/>
          <w:bCs w:val="0"/>
          <w:i w:val="0"/>
          <w:iCs w:val="0"/>
          <w:color w:val="auto"/>
          <w:sz w:val="28"/>
          <w:szCs w:val="28"/>
          <w:highlight w:val="none"/>
        </w:rPr>
        <w:t>2016</w:t>
      </w:r>
      <w:r>
        <w:rPr>
          <w:rFonts w:hint="default" w:ascii="Times New Roman" w:hAnsi="Times New Roman" w:eastAsia="SimSun" w:cs="Times New Roman"/>
          <w:b w:val="0"/>
          <w:bCs w:val="0"/>
          <w:i w:val="0"/>
          <w:iCs w:val="0"/>
          <w:color w:val="auto"/>
          <w:sz w:val="28"/>
          <w:szCs w:val="28"/>
          <w:highlight w:val="none"/>
        </w:rPr>
        <w:t xml:space="preserve">. – Vol. 115. – P. 251–257. – DOI: </w:t>
      </w:r>
      <w:r>
        <w:rPr>
          <w:rStyle w:val="19"/>
          <w:rFonts w:hint="default" w:ascii="Times New Roman" w:hAnsi="Times New Roman" w:eastAsia="SimSun" w:cs="Times New Roman"/>
          <w:b w:val="0"/>
          <w:bCs w:val="0"/>
          <w:i w:val="0"/>
          <w:iCs w:val="0"/>
          <w:color w:val="auto"/>
          <w:sz w:val="28"/>
          <w:szCs w:val="28"/>
          <w:highlight w:val="none"/>
        </w:rPr>
        <w:t>10.1016/j.ibiod.2016.09.005</w:t>
      </w:r>
    </w:p>
    <w:p w14:paraId="03F82984">
      <w:pPr>
        <w:keepNext w:val="0"/>
        <w:keepLines w:val="0"/>
        <w:pageBreakBefore w:val="0"/>
        <w:widowControl/>
        <w:numPr>
          <w:ilvl w:val="0"/>
          <w:numId w:val="14"/>
        </w:numPr>
        <w:shd w:val="clea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eastAsia="SimSun" w:cs="Times New Roman"/>
          <w:b w:val="0"/>
          <w:bCs w:val="0"/>
          <w:i w:val="0"/>
          <w:iCs w:val="0"/>
          <w:color w:val="auto"/>
          <w:sz w:val="28"/>
          <w:szCs w:val="28"/>
          <w:highlight w:val="none"/>
        </w:rPr>
      </w:pPr>
      <w:r>
        <w:rPr>
          <w:rStyle w:val="19"/>
          <w:rFonts w:hint="default" w:ascii="Times New Roman" w:hAnsi="Times New Roman" w:eastAsia="SimSun" w:cs="Times New Roman"/>
          <w:b w:val="0"/>
          <w:bCs w:val="0"/>
          <w:i w:val="0"/>
          <w:iCs w:val="0"/>
          <w:color w:val="auto"/>
          <w:sz w:val="28"/>
          <w:szCs w:val="28"/>
          <w:highlight w:val="none"/>
        </w:rPr>
        <w:t>Parameswarappa S., Karigar C., Nagenahalli M.</w:t>
      </w:r>
      <w:r>
        <w:rPr>
          <w:rFonts w:hint="default" w:ascii="Times New Roman" w:hAnsi="Times New Roman" w:eastAsia="SimSun" w:cs="Times New Roman"/>
          <w:b w:val="0"/>
          <w:bCs w:val="0"/>
          <w:i w:val="0"/>
          <w:iCs w:val="0"/>
          <w:color w:val="auto"/>
          <w:sz w:val="28"/>
          <w:szCs w:val="28"/>
          <w:highlight w:val="none"/>
        </w:rPr>
        <w:t xml:space="preserve"> Degradation of ethylbenzene by free and immobilized </w:t>
      </w:r>
      <w:r>
        <w:rPr>
          <w:rStyle w:val="16"/>
          <w:rFonts w:hint="default" w:ascii="Times New Roman" w:hAnsi="Times New Roman" w:eastAsia="SimSun" w:cs="Times New Roman"/>
          <w:b w:val="0"/>
          <w:bCs w:val="0"/>
          <w:i w:val="0"/>
          <w:iCs w:val="0"/>
          <w:color w:val="auto"/>
          <w:sz w:val="28"/>
          <w:szCs w:val="28"/>
          <w:highlight w:val="none"/>
        </w:rPr>
        <w:t>Pseudomonas fluorescens</w:t>
      </w:r>
      <w:r>
        <w:rPr>
          <w:rFonts w:hint="default" w:ascii="Times New Roman" w:hAnsi="Times New Roman" w:eastAsia="SimSun" w:cs="Times New Roman"/>
          <w:b w:val="0"/>
          <w:bCs w:val="0"/>
          <w:i w:val="0"/>
          <w:iCs w:val="0"/>
          <w:color w:val="auto"/>
          <w:sz w:val="28"/>
          <w:szCs w:val="28"/>
          <w:highlight w:val="none"/>
        </w:rPr>
        <w:t>-CS2 // Biodegradation. – 2008. – Vol. 19, № 1. – P. 137–144. – DOI: 10.1007/s10532-007-9121-y.</w:t>
      </w:r>
    </w:p>
    <w:p w14:paraId="60C3C9FA">
      <w:pPr>
        <w:keepNext w:val="0"/>
        <w:keepLines w:val="0"/>
        <w:pageBreakBefore w:val="0"/>
        <w:widowControl/>
        <w:numPr>
          <w:ilvl w:val="0"/>
          <w:numId w:val="14"/>
        </w:numPr>
        <w:shd w:val="clea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eastAsia="SimSun" w:cs="Times New Roman"/>
          <w:b w:val="0"/>
          <w:bCs w:val="0"/>
          <w:i w:val="0"/>
          <w:iCs w:val="0"/>
          <w:color w:val="auto"/>
          <w:sz w:val="28"/>
          <w:szCs w:val="28"/>
          <w:highlight w:val="none"/>
        </w:rPr>
      </w:pPr>
      <w:r>
        <w:rPr>
          <w:rStyle w:val="19"/>
          <w:rFonts w:hint="default" w:ascii="Times New Roman" w:hAnsi="Times New Roman" w:eastAsia="Segoe UI" w:cs="Times New Roman"/>
          <w:b w:val="0"/>
          <w:bCs w:val="0"/>
          <w:i w:val="0"/>
          <w:iCs w:val="0"/>
          <w:caps w:val="0"/>
          <w:color w:val="auto"/>
          <w:spacing w:val="0"/>
          <w:sz w:val="28"/>
          <w:szCs w:val="28"/>
          <w:highlight w:val="none"/>
          <w:shd w:val="clear" w:fill="FFFFFF"/>
        </w:rPr>
        <w:t>Tahmasbizadeh, M.</w:t>
      </w:r>
      <w:r>
        <w:rPr>
          <w:rFonts w:hint="default" w:ascii="Times New Roman" w:hAnsi="Times New Roman" w:eastAsia="Segoe UI" w:cs="Times New Roman"/>
          <w:b w:val="0"/>
          <w:bCs w:val="0"/>
          <w:i w:val="0"/>
          <w:iCs w:val="0"/>
          <w:caps w:val="0"/>
          <w:color w:val="auto"/>
          <w:spacing w:val="0"/>
          <w:sz w:val="28"/>
          <w:szCs w:val="28"/>
          <w:highlight w:val="none"/>
          <w:shd w:val="clear" w:fill="FFFFFF"/>
        </w:rPr>
        <w:t> Resuscitation-promoting factors: Novel strategies for the bioremediation of crude oil-contaminated soils / M. Tahmasbizadeh, M. Nikaeen, H. Movahedian Attar, H. Khanahmad, M. Khodadadi // Environmental Research. – 2025. – Vol. 271. – Art. 121085. – DOI: 10.1016/j.envres.2025.121085</w:t>
      </w:r>
    </w:p>
    <w:p w14:paraId="716CC7F8">
      <w:pPr>
        <w:keepNext w:val="0"/>
        <w:keepLines w:val="0"/>
        <w:pageBreakBefore w:val="0"/>
        <w:widowControl/>
        <w:numPr>
          <w:ilvl w:val="0"/>
          <w:numId w:val="14"/>
        </w:numPr>
        <w:shd w:val="clea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eastAsia="SimSun" w:cs="Times New Roman"/>
          <w:b w:val="0"/>
          <w:bCs w:val="0"/>
          <w:i w:val="0"/>
          <w:iCs w:val="0"/>
          <w:color w:val="auto"/>
          <w:sz w:val="28"/>
          <w:szCs w:val="28"/>
          <w:highlight w:val="none"/>
        </w:rPr>
      </w:pPr>
      <w:r>
        <w:rPr>
          <w:rStyle w:val="19"/>
          <w:rFonts w:hint="default" w:ascii="Times New Roman" w:hAnsi="Times New Roman" w:eastAsia="SimSun" w:cs="Times New Roman"/>
          <w:b w:val="0"/>
          <w:bCs w:val="0"/>
          <w:i w:val="0"/>
          <w:iCs w:val="0"/>
          <w:color w:val="auto"/>
          <w:sz w:val="28"/>
          <w:szCs w:val="28"/>
          <w:highlight w:val="none"/>
        </w:rPr>
        <w:t>Ogbeh G.O., Tsokar T.O., Salifu E.</w:t>
      </w:r>
      <w:r>
        <w:rPr>
          <w:rFonts w:hint="default" w:ascii="Times New Roman" w:hAnsi="Times New Roman" w:eastAsia="SimSun" w:cs="Times New Roman"/>
          <w:b w:val="0"/>
          <w:bCs w:val="0"/>
          <w:i w:val="0"/>
          <w:iCs w:val="0"/>
          <w:color w:val="auto"/>
          <w:sz w:val="28"/>
          <w:szCs w:val="28"/>
          <w:highlight w:val="none"/>
        </w:rPr>
        <w:t xml:space="preserve"> Bioaugmentation and vermicompost facilitated the hydrocarbon bioremediation: scaling up from lab to field for petroleum-contaminated soils // </w:t>
      </w:r>
      <w:r>
        <w:rPr>
          <w:rStyle w:val="19"/>
          <w:rFonts w:hint="default" w:ascii="Times New Roman" w:hAnsi="Times New Roman" w:eastAsia="SimSun" w:cs="Times New Roman"/>
          <w:b w:val="0"/>
          <w:bCs w:val="0"/>
          <w:i w:val="0"/>
          <w:iCs w:val="0"/>
          <w:color w:val="auto"/>
          <w:sz w:val="28"/>
          <w:szCs w:val="28"/>
          <w:highlight w:val="none"/>
        </w:rPr>
        <w:t>Environmental Science and Pollution Research</w:t>
      </w:r>
      <w:r>
        <w:rPr>
          <w:rFonts w:hint="default" w:ascii="Times New Roman" w:hAnsi="Times New Roman" w:eastAsia="SimSun" w:cs="Times New Roman"/>
          <w:b w:val="0"/>
          <w:bCs w:val="0"/>
          <w:i w:val="0"/>
          <w:iCs w:val="0"/>
          <w:color w:val="auto"/>
          <w:sz w:val="28"/>
          <w:szCs w:val="28"/>
          <w:highlight w:val="none"/>
        </w:rPr>
        <w:t xml:space="preserve">. – </w:t>
      </w:r>
      <w:r>
        <w:rPr>
          <w:rStyle w:val="19"/>
          <w:rFonts w:hint="default" w:ascii="Times New Roman" w:hAnsi="Times New Roman" w:eastAsia="SimSun" w:cs="Times New Roman"/>
          <w:b w:val="0"/>
          <w:bCs w:val="0"/>
          <w:i w:val="0"/>
          <w:iCs w:val="0"/>
          <w:color w:val="auto"/>
          <w:sz w:val="28"/>
          <w:szCs w:val="28"/>
          <w:highlight w:val="none"/>
        </w:rPr>
        <w:t>2024</w:t>
      </w:r>
      <w:r>
        <w:rPr>
          <w:rFonts w:hint="default" w:ascii="Times New Roman" w:hAnsi="Times New Roman" w:eastAsia="SimSun" w:cs="Times New Roman"/>
          <w:b w:val="0"/>
          <w:bCs w:val="0"/>
          <w:i w:val="0"/>
          <w:iCs w:val="0"/>
          <w:color w:val="auto"/>
          <w:sz w:val="28"/>
          <w:szCs w:val="28"/>
          <w:highlight w:val="none"/>
        </w:rPr>
        <w:t xml:space="preserve">. – Vol. 31, № 17. – P. 25634–25651. – DOI: </w:t>
      </w:r>
      <w:r>
        <w:rPr>
          <w:rStyle w:val="19"/>
          <w:rFonts w:hint="default" w:ascii="Times New Roman" w:hAnsi="Times New Roman" w:eastAsia="SimSun" w:cs="Times New Roman"/>
          <w:b w:val="0"/>
          <w:bCs w:val="0"/>
          <w:i w:val="0"/>
          <w:iCs w:val="0"/>
          <w:color w:val="auto"/>
          <w:sz w:val="28"/>
          <w:szCs w:val="28"/>
          <w:highlight w:val="none"/>
        </w:rPr>
        <w:t>10.1007/s11356-024-32916-8</w:t>
      </w:r>
    </w:p>
    <w:p w14:paraId="0696F27A">
      <w:pPr>
        <w:keepNext w:val="0"/>
        <w:keepLines w:val="0"/>
        <w:pageBreakBefore w:val="0"/>
        <w:widowControl/>
        <w:numPr>
          <w:ilvl w:val="0"/>
          <w:numId w:val="14"/>
        </w:numPr>
        <w:shd w:val="clea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eastAsia="SimSun" w:cs="Times New Roman"/>
          <w:b w:val="0"/>
          <w:bCs w:val="0"/>
          <w:i w:val="0"/>
          <w:iCs w:val="0"/>
          <w:color w:val="auto"/>
          <w:sz w:val="28"/>
          <w:szCs w:val="28"/>
          <w:highlight w:val="none"/>
        </w:rPr>
      </w:pPr>
      <w:r>
        <w:rPr>
          <w:rStyle w:val="19"/>
          <w:rFonts w:hint="default" w:ascii="Times New Roman" w:hAnsi="Times New Roman" w:eastAsia="Segoe UI" w:cs="Times New Roman"/>
          <w:b w:val="0"/>
          <w:bCs w:val="0"/>
          <w:i w:val="0"/>
          <w:iCs w:val="0"/>
          <w:caps w:val="0"/>
          <w:color w:val="auto"/>
          <w:spacing w:val="0"/>
          <w:sz w:val="28"/>
          <w:szCs w:val="28"/>
          <w:highlight w:val="none"/>
          <w:shd w:val="clear" w:fill="FFFFFF"/>
        </w:rPr>
        <w:t>Liu, P. W. G.</w:t>
      </w:r>
      <w:r>
        <w:rPr>
          <w:rFonts w:hint="default" w:ascii="Times New Roman" w:hAnsi="Times New Roman" w:eastAsia="Segoe UI" w:cs="Times New Roman"/>
          <w:b w:val="0"/>
          <w:bCs w:val="0"/>
          <w:i w:val="0"/>
          <w:iCs w:val="0"/>
          <w:caps w:val="0"/>
          <w:color w:val="auto"/>
          <w:spacing w:val="0"/>
          <w:sz w:val="28"/>
          <w:szCs w:val="28"/>
          <w:highlight w:val="none"/>
          <w:shd w:val="clear" w:fill="FFFFFF"/>
        </w:rPr>
        <w:t> Bioremediation of petroleum hydrocarbon contaminated soil: Effects of strategies and microbial community shift / P. W. G. Liu, T. C. Chang, C. H. Whang, C. H. Kao, Y. H. Pan, S. S. Cheng // International Biodeterioration &amp; Biodegradation. – 2011. – Vol. 65, No. 8. – P. 1119-1127. – DOI: 10.1016/j.ibiod.2011.09.002</w:t>
      </w:r>
    </w:p>
    <w:p w14:paraId="74E48154">
      <w:pPr>
        <w:keepNext w:val="0"/>
        <w:keepLines w:val="0"/>
        <w:pageBreakBefore w:val="0"/>
        <w:widowControl/>
        <w:numPr>
          <w:ilvl w:val="0"/>
          <w:numId w:val="14"/>
        </w:numPr>
        <w:shd w:val="clea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eastAsia="SimSun" w:cs="Times New Roman"/>
          <w:b w:val="0"/>
          <w:bCs w:val="0"/>
          <w:i w:val="0"/>
          <w:iCs w:val="0"/>
          <w:color w:val="auto"/>
          <w:sz w:val="28"/>
          <w:szCs w:val="28"/>
          <w:highlight w:val="none"/>
        </w:rPr>
      </w:pPr>
      <w:r>
        <w:rPr>
          <w:rStyle w:val="19"/>
          <w:rFonts w:hint="default" w:ascii="Times New Roman" w:hAnsi="Times New Roman" w:eastAsia="SimSun" w:cs="Times New Roman"/>
          <w:b w:val="0"/>
          <w:bCs w:val="0"/>
          <w:i w:val="0"/>
          <w:iCs w:val="0"/>
          <w:color w:val="auto"/>
          <w:sz w:val="28"/>
          <w:szCs w:val="28"/>
          <w:highlight w:val="none"/>
        </w:rPr>
        <w:t>Heitkamp M.A., Camel V., Reuter T.J., Adams W.J.</w:t>
      </w:r>
      <w:r>
        <w:rPr>
          <w:rFonts w:hint="default" w:ascii="Times New Roman" w:hAnsi="Times New Roman" w:eastAsia="SimSun" w:cs="Times New Roman"/>
          <w:b w:val="0"/>
          <w:bCs w:val="0"/>
          <w:i w:val="0"/>
          <w:iCs w:val="0"/>
          <w:color w:val="auto"/>
          <w:sz w:val="28"/>
          <w:szCs w:val="28"/>
          <w:highlight w:val="none"/>
        </w:rPr>
        <w:t xml:space="preserve"> Biodegradation of p-nitrophenol in an aqueous waste stream by immobilized bacteria // </w:t>
      </w:r>
      <w:r>
        <w:rPr>
          <w:rStyle w:val="19"/>
          <w:rFonts w:hint="default" w:ascii="Times New Roman" w:hAnsi="Times New Roman" w:eastAsia="SimSun" w:cs="Times New Roman"/>
          <w:b w:val="0"/>
          <w:bCs w:val="0"/>
          <w:i w:val="0"/>
          <w:iCs w:val="0"/>
          <w:color w:val="auto"/>
          <w:sz w:val="28"/>
          <w:szCs w:val="28"/>
          <w:highlight w:val="none"/>
        </w:rPr>
        <w:t>Applied and Environmental Microbiology</w:t>
      </w:r>
      <w:r>
        <w:rPr>
          <w:rFonts w:hint="default" w:ascii="Times New Roman" w:hAnsi="Times New Roman" w:eastAsia="SimSun" w:cs="Times New Roman"/>
          <w:b w:val="0"/>
          <w:bCs w:val="0"/>
          <w:i w:val="0"/>
          <w:iCs w:val="0"/>
          <w:color w:val="auto"/>
          <w:sz w:val="28"/>
          <w:szCs w:val="28"/>
          <w:highlight w:val="none"/>
        </w:rPr>
        <w:t xml:space="preserve">. – </w:t>
      </w:r>
      <w:r>
        <w:rPr>
          <w:rStyle w:val="19"/>
          <w:rFonts w:hint="default" w:ascii="Times New Roman" w:hAnsi="Times New Roman" w:eastAsia="SimSun" w:cs="Times New Roman"/>
          <w:b w:val="0"/>
          <w:bCs w:val="0"/>
          <w:i w:val="0"/>
          <w:iCs w:val="0"/>
          <w:color w:val="auto"/>
          <w:sz w:val="28"/>
          <w:szCs w:val="28"/>
          <w:highlight w:val="none"/>
        </w:rPr>
        <w:t>1990</w:t>
      </w:r>
      <w:r>
        <w:rPr>
          <w:rFonts w:hint="default" w:ascii="Times New Roman" w:hAnsi="Times New Roman" w:eastAsia="SimSun" w:cs="Times New Roman"/>
          <w:b w:val="0"/>
          <w:bCs w:val="0"/>
          <w:i w:val="0"/>
          <w:iCs w:val="0"/>
          <w:color w:val="auto"/>
          <w:sz w:val="28"/>
          <w:szCs w:val="28"/>
          <w:highlight w:val="none"/>
        </w:rPr>
        <w:t xml:space="preserve">. – Vol. 56, № 10. – P. 2967–2973. – DOI: </w:t>
      </w:r>
      <w:r>
        <w:rPr>
          <w:rStyle w:val="19"/>
          <w:rFonts w:hint="default" w:ascii="Times New Roman" w:hAnsi="Times New Roman" w:eastAsia="SimSun" w:cs="Times New Roman"/>
          <w:b w:val="0"/>
          <w:bCs w:val="0"/>
          <w:i w:val="0"/>
          <w:iCs w:val="0"/>
          <w:color w:val="auto"/>
          <w:sz w:val="28"/>
          <w:szCs w:val="28"/>
          <w:highlight w:val="none"/>
        </w:rPr>
        <w:t>10.1128/aem.56.10.2967-2973.1990</w:t>
      </w:r>
    </w:p>
    <w:p w14:paraId="30CAC028">
      <w:pPr>
        <w:keepNext w:val="0"/>
        <w:keepLines w:val="0"/>
        <w:pageBreakBefore w:val="0"/>
        <w:widowControl/>
        <w:numPr>
          <w:ilvl w:val="0"/>
          <w:numId w:val="14"/>
        </w:numPr>
        <w:shd w:val="clea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eastAsia="SimSun" w:cs="Times New Roman"/>
          <w:b w:val="0"/>
          <w:bCs w:val="0"/>
          <w:i w:val="0"/>
          <w:iCs w:val="0"/>
          <w:color w:val="auto"/>
          <w:sz w:val="28"/>
          <w:szCs w:val="28"/>
          <w:highlight w:val="none"/>
        </w:rPr>
      </w:pPr>
      <w:r>
        <w:rPr>
          <w:rFonts w:hint="default" w:ascii="Times New Roman" w:hAnsi="Times New Roman" w:eastAsia="SimSun" w:cs="Times New Roman"/>
          <w:b w:val="0"/>
          <w:bCs w:val="0"/>
          <w:i w:val="0"/>
          <w:iCs w:val="0"/>
          <w:color w:val="auto"/>
          <w:sz w:val="28"/>
          <w:szCs w:val="28"/>
          <w:highlight w:val="none"/>
        </w:rPr>
        <w:t xml:space="preserve">Li B., Liu J., Wang H., Chen Z. Biodegradation of n-hexadecane by bacterial strains B1 and B2 isolated from petroleum-contaminated soil // </w:t>
      </w:r>
      <w:r>
        <w:rPr>
          <w:rStyle w:val="19"/>
          <w:rFonts w:hint="default" w:ascii="Times New Roman" w:hAnsi="Times New Roman" w:eastAsia="SimSun" w:cs="Times New Roman"/>
          <w:b w:val="0"/>
          <w:bCs w:val="0"/>
          <w:i w:val="0"/>
          <w:iCs w:val="0"/>
          <w:color w:val="auto"/>
          <w:sz w:val="28"/>
          <w:szCs w:val="28"/>
          <w:highlight w:val="none"/>
        </w:rPr>
        <w:t>Science China Chemistry</w:t>
      </w:r>
      <w:r>
        <w:rPr>
          <w:rFonts w:hint="default" w:ascii="Times New Roman" w:hAnsi="Times New Roman" w:eastAsia="SimSun" w:cs="Times New Roman"/>
          <w:b w:val="0"/>
          <w:bCs w:val="0"/>
          <w:i w:val="0"/>
          <w:iCs w:val="0"/>
          <w:color w:val="auto"/>
          <w:sz w:val="28"/>
          <w:szCs w:val="28"/>
          <w:highlight w:val="none"/>
        </w:rPr>
        <w:t xml:space="preserve">. – </w:t>
      </w:r>
      <w:r>
        <w:rPr>
          <w:rStyle w:val="19"/>
          <w:rFonts w:hint="default" w:ascii="Times New Roman" w:hAnsi="Times New Roman" w:eastAsia="SimSun" w:cs="Times New Roman"/>
          <w:b w:val="0"/>
          <w:bCs w:val="0"/>
          <w:i w:val="0"/>
          <w:iCs w:val="0"/>
          <w:color w:val="auto"/>
          <w:sz w:val="28"/>
          <w:szCs w:val="28"/>
          <w:highlight w:val="none"/>
        </w:rPr>
        <w:t>2012</w:t>
      </w:r>
      <w:r>
        <w:rPr>
          <w:rFonts w:hint="default" w:ascii="Times New Roman" w:hAnsi="Times New Roman" w:eastAsia="SimSun" w:cs="Times New Roman"/>
          <w:b w:val="0"/>
          <w:bCs w:val="0"/>
          <w:i w:val="0"/>
          <w:iCs w:val="0"/>
          <w:color w:val="auto"/>
          <w:sz w:val="28"/>
          <w:szCs w:val="28"/>
          <w:highlight w:val="none"/>
        </w:rPr>
        <w:t xml:space="preserve">. – Vol. 55, № 10. – P. 2095–2102. – DOI: </w:t>
      </w:r>
      <w:r>
        <w:rPr>
          <w:rStyle w:val="19"/>
          <w:rFonts w:hint="default" w:ascii="Times New Roman" w:hAnsi="Times New Roman" w:eastAsia="SimSun" w:cs="Times New Roman"/>
          <w:b w:val="0"/>
          <w:bCs w:val="0"/>
          <w:i w:val="0"/>
          <w:iCs w:val="0"/>
          <w:color w:val="auto"/>
          <w:sz w:val="28"/>
          <w:szCs w:val="28"/>
          <w:highlight w:val="none"/>
        </w:rPr>
        <w:t>10.1007/s11426-012-4618-6</w:t>
      </w:r>
    </w:p>
    <w:p w14:paraId="26DF01EC">
      <w:pPr>
        <w:keepNext w:val="0"/>
        <w:keepLines w:val="0"/>
        <w:pageBreakBefore w:val="0"/>
        <w:widowControl/>
        <w:numPr>
          <w:ilvl w:val="0"/>
          <w:numId w:val="14"/>
        </w:numPr>
        <w:shd w:val="clea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eastAsia="SimSun" w:cs="Times New Roman"/>
          <w:b w:val="0"/>
          <w:bCs w:val="0"/>
          <w:i w:val="0"/>
          <w:iCs w:val="0"/>
          <w:color w:val="auto"/>
          <w:sz w:val="28"/>
          <w:szCs w:val="28"/>
          <w:highlight w:val="none"/>
        </w:rPr>
      </w:pPr>
      <w:r>
        <w:rPr>
          <w:rStyle w:val="19"/>
          <w:rFonts w:hint="default" w:ascii="Times New Roman" w:hAnsi="Times New Roman" w:eastAsia="SimSun" w:cs="Times New Roman"/>
          <w:b w:val="0"/>
          <w:bCs w:val="0"/>
          <w:i w:val="0"/>
          <w:iCs w:val="0"/>
          <w:color w:val="auto"/>
          <w:sz w:val="28"/>
          <w:szCs w:val="28"/>
          <w:highlight w:val="none"/>
        </w:rPr>
        <w:t>Nuñal S.N. et al.</w:t>
      </w:r>
      <w:r>
        <w:rPr>
          <w:rFonts w:hint="default" w:ascii="Times New Roman" w:hAnsi="Times New Roman" w:eastAsia="SimSun" w:cs="Times New Roman"/>
          <w:b w:val="0"/>
          <w:bCs w:val="0"/>
          <w:i w:val="0"/>
          <w:iCs w:val="0"/>
          <w:color w:val="auto"/>
          <w:sz w:val="28"/>
          <w:szCs w:val="28"/>
          <w:highlight w:val="none"/>
        </w:rPr>
        <w:t xml:space="preserve"> Bioremediation of heavily oil-polluted seawater by a bacterial consortium immobilized in cocopeat and rice hull powder // </w:t>
      </w:r>
      <w:r>
        <w:rPr>
          <w:rStyle w:val="19"/>
          <w:rFonts w:hint="default" w:ascii="Times New Roman" w:hAnsi="Times New Roman" w:eastAsia="SimSun" w:cs="Times New Roman"/>
          <w:b w:val="0"/>
          <w:bCs w:val="0"/>
          <w:i w:val="0"/>
          <w:iCs w:val="0"/>
          <w:color w:val="auto"/>
          <w:sz w:val="28"/>
          <w:szCs w:val="28"/>
          <w:highlight w:val="none"/>
        </w:rPr>
        <w:t>Biocontrol Science</w:t>
      </w:r>
      <w:r>
        <w:rPr>
          <w:rFonts w:hint="default" w:ascii="Times New Roman" w:hAnsi="Times New Roman" w:eastAsia="SimSun" w:cs="Times New Roman"/>
          <w:b w:val="0"/>
          <w:bCs w:val="0"/>
          <w:i w:val="0"/>
          <w:iCs w:val="0"/>
          <w:color w:val="auto"/>
          <w:sz w:val="28"/>
          <w:szCs w:val="28"/>
          <w:highlight w:val="none"/>
        </w:rPr>
        <w:t xml:space="preserve">. – </w:t>
      </w:r>
      <w:r>
        <w:rPr>
          <w:rStyle w:val="19"/>
          <w:rFonts w:hint="default" w:ascii="Times New Roman" w:hAnsi="Times New Roman" w:eastAsia="SimSun" w:cs="Times New Roman"/>
          <w:b w:val="0"/>
          <w:bCs w:val="0"/>
          <w:i w:val="0"/>
          <w:iCs w:val="0"/>
          <w:color w:val="auto"/>
          <w:sz w:val="28"/>
          <w:szCs w:val="28"/>
          <w:highlight w:val="none"/>
        </w:rPr>
        <w:t>2014</w:t>
      </w:r>
      <w:r>
        <w:rPr>
          <w:rFonts w:hint="default" w:ascii="Times New Roman" w:hAnsi="Times New Roman" w:eastAsia="SimSun" w:cs="Times New Roman"/>
          <w:b w:val="0"/>
          <w:bCs w:val="0"/>
          <w:i w:val="0"/>
          <w:iCs w:val="0"/>
          <w:color w:val="auto"/>
          <w:sz w:val="28"/>
          <w:szCs w:val="28"/>
          <w:highlight w:val="none"/>
        </w:rPr>
        <w:t xml:space="preserve">. – Vol. 19, № 1. – P. 11–22. – DOI: </w:t>
      </w:r>
      <w:r>
        <w:rPr>
          <w:rStyle w:val="19"/>
          <w:rFonts w:hint="default" w:ascii="Times New Roman" w:hAnsi="Times New Roman" w:eastAsia="SimSun" w:cs="Times New Roman"/>
          <w:b w:val="0"/>
          <w:bCs w:val="0"/>
          <w:i w:val="0"/>
          <w:iCs w:val="0"/>
          <w:color w:val="auto"/>
          <w:sz w:val="28"/>
          <w:szCs w:val="28"/>
          <w:highlight w:val="none"/>
        </w:rPr>
        <w:t>10.4265/bio.19.11</w:t>
      </w:r>
    </w:p>
    <w:p w14:paraId="03EF445D">
      <w:pPr>
        <w:keepNext w:val="0"/>
        <w:keepLines w:val="0"/>
        <w:pageBreakBefore w:val="0"/>
        <w:widowControl/>
        <w:numPr>
          <w:ilvl w:val="0"/>
          <w:numId w:val="14"/>
        </w:numPr>
        <w:shd w:val="clea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eastAsia="SimSun" w:cs="Times New Roman"/>
          <w:b w:val="0"/>
          <w:bCs w:val="0"/>
          <w:i w:val="0"/>
          <w:iCs w:val="0"/>
          <w:color w:val="auto"/>
          <w:sz w:val="28"/>
          <w:szCs w:val="28"/>
          <w:highlight w:val="none"/>
        </w:rPr>
      </w:pPr>
      <w:r>
        <w:rPr>
          <w:rStyle w:val="19"/>
          <w:rFonts w:hint="default" w:ascii="Times New Roman" w:hAnsi="Times New Roman" w:eastAsia="Segoe UI" w:cs="Times New Roman"/>
          <w:b w:val="0"/>
          <w:bCs w:val="0"/>
          <w:i w:val="0"/>
          <w:iCs w:val="0"/>
          <w:caps w:val="0"/>
          <w:color w:val="auto"/>
          <w:spacing w:val="0"/>
          <w:sz w:val="28"/>
          <w:szCs w:val="28"/>
          <w:highlight w:val="none"/>
          <w:shd w:val="clear" w:fill="FFFFFF"/>
        </w:rPr>
        <w:t>Gerhardt, K. E.</w:t>
      </w:r>
      <w:r>
        <w:rPr>
          <w:rFonts w:hint="default" w:ascii="Times New Roman" w:hAnsi="Times New Roman" w:eastAsia="Segoe UI" w:cs="Times New Roman"/>
          <w:b w:val="0"/>
          <w:bCs w:val="0"/>
          <w:i w:val="0"/>
          <w:iCs w:val="0"/>
          <w:caps w:val="0"/>
          <w:color w:val="auto"/>
          <w:spacing w:val="0"/>
          <w:sz w:val="28"/>
          <w:szCs w:val="28"/>
          <w:highlight w:val="none"/>
          <w:shd w:val="clear" w:fill="FFFFFF"/>
        </w:rPr>
        <w:t> Phytoremediation and rhizoremediation of organic soil contaminants: Potential and challenges / K. E. Gerhardt, X. D. Huang, B. R. Glick, B. M. Greenberg // Plant Science. – 2009. – Vol. 176, No. 1. – P. 20-30. – DOI: 10.1016/j.plantsci.2008.09.014. – Scopus.</w:t>
      </w:r>
    </w:p>
    <w:p w14:paraId="3A7B9DBE">
      <w:pPr>
        <w:keepNext w:val="0"/>
        <w:keepLines w:val="0"/>
        <w:pageBreakBefore w:val="0"/>
        <w:widowControl/>
        <w:numPr>
          <w:ilvl w:val="0"/>
          <w:numId w:val="14"/>
        </w:numPr>
        <w:shd w:val="clea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eastAsia="SimSun" w:cs="Times New Roman"/>
          <w:b w:val="0"/>
          <w:bCs w:val="0"/>
          <w:i w:val="0"/>
          <w:iCs w:val="0"/>
          <w:color w:val="auto"/>
          <w:sz w:val="28"/>
          <w:szCs w:val="28"/>
          <w:highlight w:val="none"/>
        </w:rPr>
      </w:pPr>
      <w:r>
        <w:rPr>
          <w:rStyle w:val="19"/>
          <w:rFonts w:hint="default" w:ascii="Times New Roman" w:hAnsi="Times New Roman" w:eastAsia="SimSun" w:cs="Times New Roman"/>
          <w:b w:val="0"/>
          <w:bCs w:val="0"/>
          <w:i w:val="0"/>
          <w:iCs w:val="0"/>
          <w:color w:val="auto"/>
          <w:sz w:val="28"/>
          <w:szCs w:val="28"/>
          <w:highlight w:val="none"/>
        </w:rPr>
        <w:t>Pinochet D. et al.</w:t>
      </w:r>
      <w:r>
        <w:rPr>
          <w:rFonts w:hint="default" w:ascii="Times New Roman" w:hAnsi="Times New Roman" w:eastAsia="SimSun" w:cs="Times New Roman"/>
          <w:b w:val="0"/>
          <w:bCs w:val="0"/>
          <w:i w:val="0"/>
          <w:iCs w:val="0"/>
          <w:color w:val="auto"/>
          <w:sz w:val="28"/>
          <w:szCs w:val="28"/>
          <w:highlight w:val="none"/>
        </w:rPr>
        <w:t xml:space="preserve"> Economic Evaluation of Bioremediation of Hydrocarbon-Contaminated Urban Soils in Chile // </w:t>
      </w:r>
      <w:r>
        <w:rPr>
          <w:rStyle w:val="19"/>
          <w:rFonts w:hint="default" w:ascii="Times New Roman" w:hAnsi="Times New Roman" w:eastAsia="SimSun" w:cs="Times New Roman"/>
          <w:b w:val="0"/>
          <w:bCs w:val="0"/>
          <w:i w:val="0"/>
          <w:iCs w:val="0"/>
          <w:color w:val="auto"/>
          <w:sz w:val="28"/>
          <w:szCs w:val="28"/>
          <w:highlight w:val="none"/>
        </w:rPr>
        <w:t>Sustainability</w:t>
      </w:r>
      <w:r>
        <w:rPr>
          <w:rFonts w:hint="default" w:ascii="Times New Roman" w:hAnsi="Times New Roman" w:eastAsia="SimSun" w:cs="Times New Roman"/>
          <w:b w:val="0"/>
          <w:bCs w:val="0"/>
          <w:i w:val="0"/>
          <w:iCs w:val="0"/>
          <w:color w:val="auto"/>
          <w:sz w:val="28"/>
          <w:szCs w:val="28"/>
          <w:highlight w:val="none"/>
        </w:rPr>
        <w:t xml:space="preserve">. – </w:t>
      </w:r>
      <w:r>
        <w:rPr>
          <w:rStyle w:val="19"/>
          <w:rFonts w:hint="default" w:ascii="Times New Roman" w:hAnsi="Times New Roman" w:eastAsia="SimSun" w:cs="Times New Roman"/>
          <w:b w:val="0"/>
          <w:bCs w:val="0"/>
          <w:i w:val="0"/>
          <w:iCs w:val="0"/>
          <w:color w:val="auto"/>
          <w:sz w:val="28"/>
          <w:szCs w:val="28"/>
          <w:highlight w:val="none"/>
        </w:rPr>
        <w:t>2022</w:t>
      </w:r>
      <w:r>
        <w:rPr>
          <w:rFonts w:hint="default" w:ascii="Times New Roman" w:hAnsi="Times New Roman" w:eastAsia="SimSun" w:cs="Times New Roman"/>
          <w:b w:val="0"/>
          <w:bCs w:val="0"/>
          <w:i w:val="0"/>
          <w:iCs w:val="0"/>
          <w:color w:val="auto"/>
          <w:sz w:val="28"/>
          <w:szCs w:val="28"/>
          <w:highlight w:val="none"/>
        </w:rPr>
        <w:t xml:space="preserve">. – Vol. 14, № 19. – Art. 11854. – DOI: </w:t>
      </w:r>
      <w:r>
        <w:rPr>
          <w:rStyle w:val="19"/>
          <w:rFonts w:hint="default" w:ascii="Times New Roman" w:hAnsi="Times New Roman" w:eastAsia="SimSun" w:cs="Times New Roman"/>
          <w:b w:val="0"/>
          <w:bCs w:val="0"/>
          <w:i w:val="0"/>
          <w:iCs w:val="0"/>
          <w:color w:val="auto"/>
          <w:sz w:val="28"/>
          <w:szCs w:val="28"/>
          <w:highlight w:val="none"/>
        </w:rPr>
        <w:t>10.3390/su141911854</w:t>
      </w:r>
    </w:p>
    <w:p w14:paraId="522963BC">
      <w:pPr>
        <w:keepNext w:val="0"/>
        <w:keepLines w:val="0"/>
        <w:pageBreakBefore w:val="0"/>
        <w:widowControl/>
        <w:numPr>
          <w:ilvl w:val="0"/>
          <w:numId w:val="14"/>
        </w:numPr>
        <w:shd w:val="clea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eastAsia="SimSun" w:cs="Times New Roman"/>
          <w:b w:val="0"/>
          <w:bCs w:val="0"/>
          <w:i w:val="0"/>
          <w:iCs w:val="0"/>
          <w:color w:val="auto"/>
          <w:sz w:val="28"/>
          <w:szCs w:val="28"/>
          <w:highlight w:val="none"/>
        </w:rPr>
      </w:pPr>
      <w:r>
        <w:rPr>
          <w:rStyle w:val="19"/>
          <w:rFonts w:hint="default" w:ascii="Times New Roman" w:hAnsi="Times New Roman" w:eastAsia="SimSun" w:cs="Times New Roman"/>
          <w:b w:val="0"/>
          <w:bCs w:val="0"/>
          <w:i w:val="0"/>
          <w:iCs w:val="0"/>
          <w:color w:val="auto"/>
          <w:sz w:val="28"/>
          <w:szCs w:val="28"/>
          <w:highlight w:val="none"/>
        </w:rPr>
        <w:t>Doszhanov Y. et al.</w:t>
      </w:r>
      <w:r>
        <w:rPr>
          <w:rFonts w:hint="default" w:ascii="Times New Roman" w:hAnsi="Times New Roman" w:eastAsia="SimSun" w:cs="Times New Roman"/>
          <w:b w:val="0"/>
          <w:bCs w:val="0"/>
          <w:i w:val="0"/>
          <w:iCs w:val="0"/>
          <w:color w:val="auto"/>
          <w:sz w:val="28"/>
          <w:szCs w:val="28"/>
          <w:highlight w:val="none"/>
        </w:rPr>
        <w:t xml:space="preserve"> Bioremediation of Oil‐Contaminated Soils of the Zhanazhol Deposit from West Kazakhstan by </w:t>
      </w:r>
      <w:r>
        <w:rPr>
          <w:rStyle w:val="16"/>
          <w:rFonts w:hint="default" w:ascii="Times New Roman" w:hAnsi="Times New Roman" w:eastAsia="SimSun" w:cs="Times New Roman"/>
          <w:b w:val="0"/>
          <w:bCs w:val="0"/>
          <w:i w:val="0"/>
          <w:iCs w:val="0"/>
          <w:color w:val="auto"/>
          <w:sz w:val="28"/>
          <w:szCs w:val="28"/>
          <w:highlight w:val="none"/>
        </w:rPr>
        <w:t>Pseudomonas mendocina</w:t>
      </w:r>
      <w:r>
        <w:rPr>
          <w:rFonts w:hint="default" w:ascii="Times New Roman" w:hAnsi="Times New Roman" w:eastAsia="SimSun" w:cs="Times New Roman"/>
          <w:b w:val="0"/>
          <w:bCs w:val="0"/>
          <w:i w:val="0"/>
          <w:iCs w:val="0"/>
          <w:color w:val="auto"/>
          <w:sz w:val="28"/>
          <w:szCs w:val="28"/>
          <w:highlight w:val="none"/>
        </w:rPr>
        <w:t xml:space="preserve"> H‐3 // </w:t>
      </w:r>
      <w:r>
        <w:rPr>
          <w:rStyle w:val="19"/>
          <w:rFonts w:hint="default" w:ascii="Times New Roman" w:hAnsi="Times New Roman" w:eastAsia="SimSun" w:cs="Times New Roman"/>
          <w:b w:val="0"/>
          <w:bCs w:val="0"/>
          <w:i w:val="0"/>
          <w:iCs w:val="0"/>
          <w:color w:val="auto"/>
          <w:sz w:val="28"/>
          <w:szCs w:val="28"/>
          <w:highlight w:val="none"/>
        </w:rPr>
        <w:t>Applied and Environmental Soil Science</w:t>
      </w:r>
      <w:r>
        <w:rPr>
          <w:rFonts w:hint="default" w:ascii="Times New Roman" w:hAnsi="Times New Roman" w:eastAsia="SimSun" w:cs="Times New Roman"/>
          <w:b w:val="0"/>
          <w:bCs w:val="0"/>
          <w:i w:val="0"/>
          <w:iCs w:val="0"/>
          <w:color w:val="auto"/>
          <w:sz w:val="28"/>
          <w:szCs w:val="28"/>
          <w:highlight w:val="none"/>
        </w:rPr>
        <w:t xml:space="preserve">. – </w:t>
      </w:r>
      <w:r>
        <w:rPr>
          <w:rStyle w:val="19"/>
          <w:rFonts w:hint="default" w:ascii="Times New Roman" w:hAnsi="Times New Roman" w:eastAsia="SimSun" w:cs="Times New Roman"/>
          <w:b w:val="0"/>
          <w:bCs w:val="0"/>
          <w:i w:val="0"/>
          <w:iCs w:val="0"/>
          <w:color w:val="auto"/>
          <w:sz w:val="28"/>
          <w:szCs w:val="28"/>
          <w:highlight w:val="none"/>
        </w:rPr>
        <w:t>2024</w:t>
      </w:r>
      <w:r>
        <w:rPr>
          <w:rFonts w:hint="default" w:ascii="Times New Roman" w:hAnsi="Times New Roman" w:eastAsia="SimSun" w:cs="Times New Roman"/>
          <w:b w:val="0"/>
          <w:bCs w:val="0"/>
          <w:i w:val="0"/>
          <w:iCs w:val="0"/>
          <w:color w:val="auto"/>
          <w:sz w:val="28"/>
          <w:szCs w:val="28"/>
          <w:highlight w:val="none"/>
        </w:rPr>
        <w:t xml:space="preserve">. – Vol. 2024. – Art. 8510911. – DOI: </w:t>
      </w:r>
      <w:r>
        <w:rPr>
          <w:rStyle w:val="19"/>
          <w:rFonts w:hint="default" w:ascii="Times New Roman" w:hAnsi="Times New Roman" w:eastAsia="SimSun" w:cs="Times New Roman"/>
          <w:b w:val="0"/>
          <w:bCs w:val="0"/>
          <w:i w:val="0"/>
          <w:iCs w:val="0"/>
          <w:color w:val="auto"/>
          <w:sz w:val="28"/>
          <w:szCs w:val="28"/>
          <w:highlight w:val="none"/>
        </w:rPr>
        <w:t>10.1155/2024/8510911</w:t>
      </w:r>
    </w:p>
    <w:p w14:paraId="253B6EBC">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en-US"/>
        </w:rPr>
      </w:pPr>
      <w:r>
        <w:rPr>
          <w:rStyle w:val="19"/>
          <w:rFonts w:hint="default" w:ascii="Times New Roman" w:hAnsi="Times New Roman" w:eastAsia="SimSun" w:cs="Times New Roman"/>
          <w:b w:val="0"/>
          <w:bCs w:val="0"/>
          <w:i w:val="0"/>
          <w:iCs w:val="0"/>
          <w:color w:val="auto"/>
          <w:sz w:val="28"/>
          <w:szCs w:val="28"/>
          <w:highlight w:val="none"/>
        </w:rPr>
        <w:t>Shigapov T.K. et al.</w:t>
      </w:r>
      <w:r>
        <w:rPr>
          <w:rFonts w:hint="default" w:ascii="Times New Roman" w:hAnsi="Times New Roman" w:eastAsia="SimSun" w:cs="Times New Roman"/>
          <w:b w:val="0"/>
          <w:bCs w:val="0"/>
          <w:i w:val="0"/>
          <w:iCs w:val="0"/>
          <w:color w:val="auto"/>
          <w:sz w:val="28"/>
          <w:szCs w:val="28"/>
          <w:highlight w:val="none"/>
        </w:rPr>
        <w:t xml:space="preserve"> (2023) Bioremediation of Oil-Contaminated Soil of the Republic of Kazakhstan Using a New Biopreparation // </w:t>
      </w:r>
      <w:r>
        <w:rPr>
          <w:rStyle w:val="19"/>
          <w:rFonts w:hint="default" w:ascii="Times New Roman" w:hAnsi="Times New Roman" w:eastAsia="SimSun" w:cs="Times New Roman"/>
          <w:b w:val="0"/>
          <w:bCs w:val="0"/>
          <w:i w:val="0"/>
          <w:iCs w:val="0"/>
          <w:color w:val="auto"/>
          <w:sz w:val="28"/>
          <w:szCs w:val="28"/>
          <w:highlight w:val="none"/>
        </w:rPr>
        <w:t>Microorganisms</w:t>
      </w:r>
      <w:r>
        <w:rPr>
          <w:rFonts w:hint="default" w:ascii="Times New Roman" w:hAnsi="Times New Roman" w:eastAsia="SimSun" w:cs="Times New Roman"/>
          <w:b w:val="0"/>
          <w:bCs w:val="0"/>
          <w:i w:val="0"/>
          <w:iCs w:val="0"/>
          <w:color w:val="auto"/>
          <w:sz w:val="28"/>
          <w:szCs w:val="28"/>
          <w:highlight w:val="none"/>
        </w:rPr>
        <w:t xml:space="preserve">. – </w:t>
      </w:r>
      <w:r>
        <w:rPr>
          <w:rStyle w:val="19"/>
          <w:rFonts w:hint="default" w:ascii="Times New Roman" w:hAnsi="Times New Roman" w:eastAsia="SimSun" w:cs="Times New Roman"/>
          <w:b w:val="0"/>
          <w:bCs w:val="0"/>
          <w:i w:val="0"/>
          <w:iCs w:val="0"/>
          <w:color w:val="auto"/>
          <w:sz w:val="28"/>
          <w:szCs w:val="28"/>
          <w:highlight w:val="none"/>
        </w:rPr>
        <w:t>2023</w:t>
      </w:r>
      <w:r>
        <w:rPr>
          <w:rFonts w:hint="default" w:ascii="Times New Roman" w:hAnsi="Times New Roman" w:eastAsia="SimSun" w:cs="Times New Roman"/>
          <w:b w:val="0"/>
          <w:bCs w:val="0"/>
          <w:i w:val="0"/>
          <w:iCs w:val="0"/>
          <w:color w:val="auto"/>
          <w:sz w:val="28"/>
          <w:szCs w:val="28"/>
          <w:highlight w:val="none"/>
        </w:rPr>
        <w:t xml:space="preserve">. – Vol. 11, № 2. – Art. 522. – DOI: </w:t>
      </w:r>
      <w:r>
        <w:rPr>
          <w:rStyle w:val="19"/>
          <w:rFonts w:hint="default" w:ascii="Times New Roman" w:hAnsi="Times New Roman" w:eastAsia="SimSun" w:cs="Times New Roman"/>
          <w:b w:val="0"/>
          <w:bCs w:val="0"/>
          <w:i w:val="0"/>
          <w:iCs w:val="0"/>
          <w:color w:val="auto"/>
          <w:sz w:val="28"/>
          <w:szCs w:val="28"/>
          <w:highlight w:val="none"/>
        </w:rPr>
        <w:t>10.3390/microorganisms11020522</w:t>
      </w:r>
    </w:p>
    <w:p w14:paraId="18A2FD86">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en-US"/>
        </w:rPr>
      </w:pPr>
      <w:r>
        <w:rPr>
          <w:rFonts w:hint="default" w:ascii="Times New Roman" w:hAnsi="Times New Roman" w:eastAsia="SimSun" w:cs="Times New Roman"/>
          <w:b w:val="0"/>
          <w:bCs w:val="0"/>
          <w:i w:val="0"/>
          <w:iCs w:val="0"/>
          <w:color w:val="auto"/>
          <w:sz w:val="28"/>
          <w:szCs w:val="28"/>
          <w:highlight w:val="none"/>
        </w:rPr>
        <w:t xml:space="preserve">Қазақстанның облыстар бойынша климаты [Электрондық ресурс] // «Қазгидромет» республикалық мемлекеттік кәсіпорны. – Қолжетімділік режимі: </w:t>
      </w:r>
      <w:r>
        <w:rPr>
          <w:rFonts w:hint="default" w:ascii="Times New Roman" w:hAnsi="Times New Roman" w:eastAsia="SimSun" w:cs="Times New Roman"/>
          <w:b w:val="0"/>
          <w:bCs w:val="0"/>
          <w:i w:val="0"/>
          <w:iCs w:val="0"/>
          <w:color w:val="auto"/>
          <w:sz w:val="28"/>
          <w:szCs w:val="28"/>
          <w:highlight w:val="none"/>
        </w:rPr>
        <w:fldChar w:fldCharType="begin"/>
      </w:r>
      <w:r>
        <w:rPr>
          <w:rFonts w:hint="default" w:ascii="Times New Roman" w:hAnsi="Times New Roman" w:eastAsia="SimSun" w:cs="Times New Roman"/>
          <w:b w:val="0"/>
          <w:bCs w:val="0"/>
          <w:i w:val="0"/>
          <w:iCs w:val="0"/>
          <w:color w:val="auto"/>
          <w:sz w:val="28"/>
          <w:szCs w:val="28"/>
          <w:highlight w:val="none"/>
        </w:rPr>
        <w:instrText xml:space="preserve"> HYPERLINK "https://www.kazhydromet.kz/klimat/klimat-kazahstana-po-oblastyam" </w:instrText>
      </w:r>
      <w:r>
        <w:rPr>
          <w:rFonts w:hint="default" w:ascii="Times New Roman" w:hAnsi="Times New Roman" w:eastAsia="SimSun" w:cs="Times New Roman"/>
          <w:b w:val="0"/>
          <w:bCs w:val="0"/>
          <w:i w:val="0"/>
          <w:iCs w:val="0"/>
          <w:color w:val="auto"/>
          <w:sz w:val="28"/>
          <w:szCs w:val="28"/>
          <w:highlight w:val="none"/>
        </w:rPr>
        <w:fldChar w:fldCharType="separate"/>
      </w:r>
      <w:r>
        <w:rPr>
          <w:rStyle w:val="17"/>
          <w:rFonts w:hint="default" w:ascii="Times New Roman" w:hAnsi="Times New Roman" w:eastAsia="SimSun" w:cs="Times New Roman"/>
          <w:b w:val="0"/>
          <w:bCs w:val="0"/>
          <w:i w:val="0"/>
          <w:iCs w:val="0"/>
          <w:color w:val="auto"/>
          <w:sz w:val="28"/>
          <w:szCs w:val="28"/>
          <w:highlight w:val="none"/>
        </w:rPr>
        <w:t>https://www.kazhydromet.kz/klimat/klimat-kazahstana-po-oblastyam</w:t>
      </w:r>
      <w:r>
        <w:rPr>
          <w:rFonts w:hint="default" w:ascii="Times New Roman" w:hAnsi="Times New Roman" w:eastAsia="SimSun" w:cs="Times New Roman"/>
          <w:b w:val="0"/>
          <w:bCs w:val="0"/>
          <w:i w:val="0"/>
          <w:iCs w:val="0"/>
          <w:color w:val="auto"/>
          <w:sz w:val="28"/>
          <w:szCs w:val="28"/>
          <w:highlight w:val="none"/>
        </w:rPr>
        <w:fldChar w:fldCharType="end"/>
      </w:r>
      <w:r>
        <w:rPr>
          <w:rFonts w:hint="default" w:ascii="Times New Roman" w:hAnsi="Times New Roman" w:eastAsia="SimSun" w:cs="Times New Roman"/>
          <w:b w:val="0"/>
          <w:bCs w:val="0"/>
          <w:i w:val="0"/>
          <w:iCs w:val="0"/>
          <w:color w:val="auto"/>
          <w:sz w:val="28"/>
          <w:szCs w:val="28"/>
          <w:highlight w:val="none"/>
        </w:rPr>
        <w:t xml:space="preserve"> (қаралған күні: 09.01.2025).</w:t>
      </w:r>
    </w:p>
    <w:p w14:paraId="6F47566D">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en-US"/>
        </w:rPr>
      </w:pPr>
      <w:r>
        <w:rPr>
          <w:rStyle w:val="19"/>
          <w:rFonts w:hint="default" w:ascii="Times New Roman" w:hAnsi="Times New Roman" w:eastAsia="SimSun" w:cs="Times New Roman"/>
          <w:b w:val="0"/>
          <w:bCs w:val="0"/>
          <w:i w:val="0"/>
          <w:iCs w:val="0"/>
          <w:color w:val="auto"/>
          <w:sz w:val="28"/>
          <w:szCs w:val="28"/>
          <w:highlight w:val="none"/>
        </w:rPr>
        <w:t>Liu J., Chen S., Ding J., Xiao Y., Han H., Zhong G.</w:t>
      </w:r>
      <w:r>
        <w:rPr>
          <w:rFonts w:hint="default" w:ascii="Times New Roman" w:hAnsi="Times New Roman" w:eastAsia="SimSun" w:cs="Times New Roman"/>
          <w:b w:val="0"/>
          <w:bCs w:val="0"/>
          <w:i w:val="0"/>
          <w:iCs w:val="0"/>
          <w:color w:val="auto"/>
          <w:sz w:val="28"/>
          <w:szCs w:val="28"/>
          <w:highlight w:val="none"/>
        </w:rPr>
        <w:t xml:space="preserve"> Sugarcane bagasse as support for immobilization of </w:t>
      </w:r>
      <w:r>
        <w:rPr>
          <w:rStyle w:val="16"/>
          <w:rFonts w:hint="default" w:ascii="Times New Roman" w:hAnsi="Times New Roman" w:eastAsia="SimSun" w:cs="Times New Roman"/>
          <w:b w:val="0"/>
          <w:bCs w:val="0"/>
          <w:i w:val="0"/>
          <w:iCs w:val="0"/>
          <w:color w:val="auto"/>
          <w:sz w:val="28"/>
          <w:szCs w:val="28"/>
          <w:highlight w:val="none"/>
        </w:rPr>
        <w:t>Bacillus pumilus</w:t>
      </w:r>
      <w:r>
        <w:rPr>
          <w:rFonts w:hint="default" w:ascii="Times New Roman" w:hAnsi="Times New Roman" w:eastAsia="SimSun" w:cs="Times New Roman"/>
          <w:b w:val="0"/>
          <w:bCs w:val="0"/>
          <w:i w:val="0"/>
          <w:iCs w:val="0"/>
          <w:color w:val="auto"/>
          <w:sz w:val="28"/>
          <w:szCs w:val="28"/>
          <w:highlight w:val="none"/>
        </w:rPr>
        <w:t xml:space="preserve"> HZ-2 and its use in bioremediation of mesotrione-contaminated soils // </w:t>
      </w:r>
      <w:r>
        <w:rPr>
          <w:rStyle w:val="19"/>
          <w:rFonts w:hint="default" w:ascii="Times New Roman" w:hAnsi="Times New Roman" w:eastAsia="SimSun" w:cs="Times New Roman"/>
          <w:b w:val="0"/>
          <w:bCs w:val="0"/>
          <w:i w:val="0"/>
          <w:iCs w:val="0"/>
          <w:color w:val="auto"/>
          <w:sz w:val="28"/>
          <w:szCs w:val="28"/>
          <w:highlight w:val="none"/>
        </w:rPr>
        <w:t>Applied Microbiology and Biotechnology</w:t>
      </w:r>
      <w:r>
        <w:rPr>
          <w:rFonts w:hint="default" w:ascii="Times New Roman" w:hAnsi="Times New Roman" w:eastAsia="SimSun" w:cs="Times New Roman"/>
          <w:b w:val="0"/>
          <w:bCs w:val="0"/>
          <w:i w:val="0"/>
          <w:iCs w:val="0"/>
          <w:color w:val="auto"/>
          <w:sz w:val="28"/>
          <w:szCs w:val="28"/>
          <w:highlight w:val="none"/>
        </w:rPr>
        <w:t xml:space="preserve">. – </w:t>
      </w:r>
      <w:r>
        <w:rPr>
          <w:rStyle w:val="19"/>
          <w:rFonts w:hint="default" w:ascii="Times New Roman" w:hAnsi="Times New Roman" w:eastAsia="SimSun" w:cs="Times New Roman"/>
          <w:b w:val="0"/>
          <w:bCs w:val="0"/>
          <w:i w:val="0"/>
          <w:iCs w:val="0"/>
          <w:color w:val="auto"/>
          <w:sz w:val="28"/>
          <w:szCs w:val="28"/>
          <w:highlight w:val="none"/>
        </w:rPr>
        <w:t>2015</w:t>
      </w:r>
      <w:r>
        <w:rPr>
          <w:rFonts w:hint="default" w:ascii="Times New Roman" w:hAnsi="Times New Roman" w:eastAsia="SimSun" w:cs="Times New Roman"/>
          <w:b w:val="0"/>
          <w:bCs w:val="0"/>
          <w:i w:val="0"/>
          <w:iCs w:val="0"/>
          <w:color w:val="auto"/>
          <w:sz w:val="28"/>
          <w:szCs w:val="28"/>
          <w:highlight w:val="none"/>
        </w:rPr>
        <w:t xml:space="preserve">. – Vol. 99, № 24. – P. 10839–10851. – DOI: </w:t>
      </w:r>
      <w:r>
        <w:rPr>
          <w:rStyle w:val="19"/>
          <w:rFonts w:hint="default" w:ascii="Times New Roman" w:hAnsi="Times New Roman" w:eastAsia="SimSun" w:cs="Times New Roman"/>
          <w:b w:val="0"/>
          <w:bCs w:val="0"/>
          <w:i w:val="0"/>
          <w:iCs w:val="0"/>
          <w:color w:val="auto"/>
          <w:sz w:val="28"/>
          <w:szCs w:val="28"/>
          <w:highlight w:val="none"/>
        </w:rPr>
        <w:t>10.1007/s00253-015-6935-0</w:t>
      </w:r>
    </w:p>
    <w:p w14:paraId="099FC9D9">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Style w:val="19"/>
          <w:rFonts w:hint="default" w:ascii="Times New Roman" w:hAnsi="Times New Roman" w:eastAsia="Segoe UI" w:cs="Times New Roman"/>
          <w:b w:val="0"/>
          <w:bCs w:val="0"/>
          <w:i w:val="0"/>
          <w:iCs w:val="0"/>
          <w:caps w:val="0"/>
          <w:color w:val="auto"/>
          <w:spacing w:val="0"/>
          <w:sz w:val="28"/>
          <w:szCs w:val="28"/>
          <w:highlight w:val="none"/>
          <w:shd w:val="clear" w:color="auto" w:fill="FFFFFF"/>
          <w:lang w:val="en-US"/>
        </w:rPr>
      </w:pPr>
      <w:r>
        <w:rPr>
          <w:rStyle w:val="19"/>
          <w:rFonts w:hint="default" w:ascii="Times New Roman" w:hAnsi="Times New Roman" w:eastAsia="Segoe UI" w:cs="Times New Roman"/>
          <w:b w:val="0"/>
          <w:bCs w:val="0"/>
          <w:i w:val="0"/>
          <w:iCs w:val="0"/>
          <w:caps w:val="0"/>
          <w:color w:val="auto"/>
          <w:spacing w:val="0"/>
          <w:sz w:val="28"/>
          <w:szCs w:val="28"/>
          <w:highlight w:val="none"/>
          <w:shd w:val="clear" w:color="auto" w:fill="FFFFFF"/>
        </w:rPr>
        <w:t>Azat S., Korobeinyk A.V., Moistakas K., Inglezakis V.J. Sustainable production of pure silica from rice husk waste in Kazakhstan // Journal of Cleaner Production. – 2019. – Vol. 217. – P. 352–359. DOI: 10.1016/j.jclepro.2019.01.142.</w:t>
      </w:r>
    </w:p>
    <w:p w14:paraId="5D078CAB">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rPr>
      </w:pPr>
      <w:r>
        <w:rPr>
          <w:rFonts w:hint="default" w:ascii="Times New Roman" w:hAnsi="Times New Roman" w:cs="Times New Roman"/>
          <w:b w:val="0"/>
          <w:bCs w:val="0"/>
          <w:i w:val="0"/>
          <w:iCs w:val="0"/>
          <w:color w:val="auto"/>
          <w:sz w:val="28"/>
          <w:szCs w:val="28"/>
          <w:highlight w:val="none"/>
          <w:lang w:val="kk-KZ"/>
        </w:rPr>
        <w:t xml:space="preserve">Ашық деректердегі мақала </w:t>
      </w:r>
      <w:r>
        <w:rPr>
          <w:rFonts w:hint="default" w:ascii="Times New Roman" w:hAnsi="Times New Roman" w:cs="Times New Roman"/>
          <w:b w:val="0"/>
          <w:bCs w:val="0"/>
          <w:i w:val="0"/>
          <w:iCs w:val="0"/>
          <w:color w:val="auto"/>
          <w:sz w:val="28"/>
          <w:szCs w:val="28"/>
          <w:highlight w:val="none"/>
          <w:lang w:val="ru-RU"/>
        </w:rPr>
        <w:t>«</w:t>
      </w:r>
      <w:r>
        <w:rPr>
          <w:rFonts w:hint="default" w:ascii="Times New Roman" w:hAnsi="Times New Roman" w:cs="Times New Roman"/>
          <w:b w:val="0"/>
          <w:bCs w:val="0"/>
          <w:i w:val="0"/>
          <w:iCs w:val="0"/>
          <w:color w:val="auto"/>
          <w:sz w:val="28"/>
          <w:szCs w:val="28"/>
          <w:highlight w:val="none"/>
        </w:rPr>
        <w:t>На месторождении Каражанбас завершены работы по рекультивации исторических нефтяных загрязнений</w:t>
      </w:r>
      <w:r>
        <w:rPr>
          <w:rFonts w:hint="default" w:ascii="Times New Roman" w:hAnsi="Times New Roman" w:cs="Times New Roman"/>
          <w:b w:val="0"/>
          <w:bCs w:val="0"/>
          <w:i w:val="0"/>
          <w:iCs w:val="0"/>
          <w:color w:val="auto"/>
          <w:sz w:val="28"/>
          <w:szCs w:val="28"/>
          <w:highlight w:val="none"/>
          <w:lang w:val="ru-RU"/>
        </w:rPr>
        <w:t>»</w:t>
      </w:r>
      <w:r>
        <w:rPr>
          <w:rFonts w:hint="default" w:ascii="Times New Roman" w:hAnsi="Times New Roman" w:cs="Times New Roman"/>
          <w:b w:val="0"/>
          <w:bCs w:val="0"/>
          <w:i w:val="0"/>
          <w:iCs w:val="0"/>
          <w:color w:val="auto"/>
          <w:sz w:val="28"/>
          <w:szCs w:val="28"/>
          <w:highlight w:val="none"/>
        </w:rPr>
        <w:t xml:space="preserve">: </w:t>
      </w:r>
      <w:r>
        <w:rPr>
          <w:rFonts w:hint="default" w:ascii="Times New Roman" w:hAnsi="Times New Roman" w:cs="Times New Roman"/>
          <w:b w:val="0"/>
          <w:bCs w:val="0"/>
          <w:i w:val="0"/>
          <w:iCs w:val="0"/>
          <w:color w:val="auto"/>
          <w:sz w:val="28"/>
          <w:szCs w:val="28"/>
          <w:highlight w:val="none"/>
        </w:rPr>
        <w:fldChar w:fldCharType="begin"/>
      </w:r>
      <w:r>
        <w:rPr>
          <w:rFonts w:hint="default" w:ascii="Times New Roman" w:hAnsi="Times New Roman" w:cs="Times New Roman"/>
          <w:b w:val="0"/>
          <w:bCs w:val="0"/>
          <w:i w:val="0"/>
          <w:iCs w:val="0"/>
          <w:color w:val="auto"/>
          <w:sz w:val="28"/>
          <w:szCs w:val="28"/>
          <w:highlight w:val="none"/>
        </w:rPr>
        <w:instrText xml:space="preserve"> HYPERLINK "https://www.kmg.kz/ru/press-center/press-releases/karazhanbas-z/" </w:instrText>
      </w:r>
      <w:r>
        <w:rPr>
          <w:rFonts w:hint="default" w:ascii="Times New Roman" w:hAnsi="Times New Roman" w:cs="Times New Roman"/>
          <w:b w:val="0"/>
          <w:bCs w:val="0"/>
          <w:i w:val="0"/>
          <w:iCs w:val="0"/>
          <w:color w:val="auto"/>
          <w:sz w:val="28"/>
          <w:szCs w:val="28"/>
          <w:highlight w:val="none"/>
        </w:rPr>
        <w:fldChar w:fldCharType="separate"/>
      </w:r>
      <w:r>
        <w:rPr>
          <w:rStyle w:val="17"/>
          <w:rFonts w:hint="default" w:ascii="Times New Roman" w:hAnsi="Times New Roman" w:cs="Times New Roman"/>
          <w:b w:val="0"/>
          <w:bCs w:val="0"/>
          <w:i w:val="0"/>
          <w:iCs w:val="0"/>
          <w:color w:val="auto"/>
          <w:sz w:val="28"/>
          <w:szCs w:val="28"/>
          <w:highlight w:val="none"/>
        </w:rPr>
        <w:t>https://www.kmg.kz/ru/press-center/press-releases/karazhanbas-z/</w:t>
      </w:r>
      <w:r>
        <w:rPr>
          <w:rFonts w:hint="default" w:ascii="Times New Roman" w:hAnsi="Times New Roman" w:cs="Times New Roman"/>
          <w:b w:val="0"/>
          <w:bCs w:val="0"/>
          <w:i w:val="0"/>
          <w:iCs w:val="0"/>
          <w:color w:val="auto"/>
          <w:sz w:val="28"/>
          <w:szCs w:val="28"/>
          <w:highlight w:val="none"/>
        </w:rPr>
        <w:fldChar w:fldCharType="end"/>
      </w:r>
    </w:p>
    <w:p w14:paraId="6797F5CE">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en-US"/>
        </w:rPr>
      </w:pPr>
      <w:r>
        <w:rPr>
          <w:rFonts w:hint="default" w:ascii="Times New Roman" w:hAnsi="Times New Roman" w:eastAsia="Segoe UI" w:cs="Times New Roman"/>
          <w:b w:val="0"/>
          <w:bCs w:val="0"/>
          <w:i w:val="0"/>
          <w:iCs w:val="0"/>
          <w:caps w:val="0"/>
          <w:color w:val="auto"/>
          <w:spacing w:val="0"/>
          <w:sz w:val="28"/>
          <w:szCs w:val="28"/>
          <w:highlight w:val="none"/>
          <w:shd w:val="clear" w:fill="FFFFFF"/>
        </w:rPr>
        <w:t>«Қаражанбас» кен орнында тарихи мұнай ластануларын рекультивациялау жұмыстары аяқталды [Электрондық ресурс] // ҚазМұнайГаз : ұлттық компаниясы : ресми сайт. – 2024. – 11 желтоқсан. – URL: </w:t>
      </w:r>
      <w:r>
        <w:rPr>
          <w:rFonts w:hint="default" w:ascii="Times New Roman" w:hAnsi="Times New Roman" w:eastAsia="Segoe UI" w:cs="Times New Roman"/>
          <w:b w:val="0"/>
          <w:bCs w:val="0"/>
          <w:i w:val="0"/>
          <w:iCs w:val="0"/>
          <w:caps w:val="0"/>
          <w:color w:val="auto"/>
          <w:spacing w:val="0"/>
          <w:sz w:val="28"/>
          <w:szCs w:val="28"/>
          <w:highlight w:val="none"/>
          <w:u w:val="none"/>
          <w:bdr w:val="single" w:color="auto" w:sz="12" w:space="0"/>
          <w:shd w:val="clear" w:fill="FFFFFF"/>
        </w:rPr>
        <w:fldChar w:fldCharType="begin"/>
      </w:r>
      <w:r>
        <w:rPr>
          <w:rFonts w:hint="default" w:ascii="Times New Roman" w:hAnsi="Times New Roman" w:eastAsia="Segoe UI" w:cs="Times New Roman"/>
          <w:b w:val="0"/>
          <w:bCs w:val="0"/>
          <w:i w:val="0"/>
          <w:iCs w:val="0"/>
          <w:caps w:val="0"/>
          <w:color w:val="auto"/>
          <w:spacing w:val="0"/>
          <w:sz w:val="28"/>
          <w:szCs w:val="28"/>
          <w:highlight w:val="none"/>
          <w:u w:val="none"/>
          <w:bdr w:val="single" w:color="auto" w:sz="12" w:space="0"/>
          <w:shd w:val="clear" w:fill="FFFFFF"/>
        </w:rPr>
        <w:instrText xml:space="preserve"> HYPERLINK "https://www.kmg.kz/ru/press-center/press-releases/karazhanbas-z/" \t "https://chat.deepseek.com/a/chat/s/_blank" </w:instrText>
      </w:r>
      <w:r>
        <w:rPr>
          <w:rFonts w:hint="default" w:ascii="Times New Roman" w:hAnsi="Times New Roman" w:eastAsia="Segoe UI" w:cs="Times New Roman"/>
          <w:b w:val="0"/>
          <w:bCs w:val="0"/>
          <w:i w:val="0"/>
          <w:iCs w:val="0"/>
          <w:caps w:val="0"/>
          <w:color w:val="auto"/>
          <w:spacing w:val="0"/>
          <w:sz w:val="28"/>
          <w:szCs w:val="28"/>
          <w:highlight w:val="none"/>
          <w:u w:val="none"/>
          <w:bdr w:val="single" w:color="auto" w:sz="12" w:space="0"/>
          <w:shd w:val="clear" w:fill="FFFFFF"/>
        </w:rPr>
        <w:fldChar w:fldCharType="separate"/>
      </w:r>
      <w:r>
        <w:rPr>
          <w:rStyle w:val="17"/>
          <w:rFonts w:hint="default" w:ascii="Times New Roman" w:hAnsi="Times New Roman" w:eastAsia="Segoe UI" w:cs="Times New Roman"/>
          <w:b w:val="0"/>
          <w:bCs w:val="0"/>
          <w:i w:val="0"/>
          <w:iCs w:val="0"/>
          <w:caps w:val="0"/>
          <w:color w:val="auto"/>
          <w:spacing w:val="0"/>
          <w:sz w:val="28"/>
          <w:szCs w:val="28"/>
          <w:highlight w:val="none"/>
          <w:u w:val="none"/>
          <w:shd w:val="clear" w:fill="FFFFFF"/>
        </w:rPr>
        <w:t>https://www.kmg.kz/ru/press-center/press-releases/karazhanbas-z/</w:t>
      </w:r>
      <w:r>
        <w:rPr>
          <w:rFonts w:hint="default" w:ascii="Times New Roman" w:hAnsi="Times New Roman" w:eastAsia="Segoe UI" w:cs="Times New Roman"/>
          <w:b w:val="0"/>
          <w:bCs w:val="0"/>
          <w:i w:val="0"/>
          <w:iCs w:val="0"/>
          <w:caps w:val="0"/>
          <w:color w:val="auto"/>
          <w:spacing w:val="0"/>
          <w:sz w:val="28"/>
          <w:szCs w:val="28"/>
          <w:highlight w:val="none"/>
          <w:u w:val="none"/>
          <w:bdr w:val="single" w:color="auto" w:sz="12" w:space="0"/>
          <w:shd w:val="clear" w:fill="FFFFFF"/>
        </w:rPr>
        <w:fldChar w:fldCharType="end"/>
      </w:r>
      <w:r>
        <w:rPr>
          <w:rFonts w:hint="default" w:ascii="Times New Roman" w:hAnsi="Times New Roman" w:eastAsia="Segoe UI" w:cs="Times New Roman"/>
          <w:b w:val="0"/>
          <w:bCs w:val="0"/>
          <w:i w:val="0"/>
          <w:iCs w:val="0"/>
          <w:caps w:val="0"/>
          <w:color w:val="auto"/>
          <w:spacing w:val="0"/>
          <w:sz w:val="28"/>
          <w:szCs w:val="28"/>
          <w:highlight w:val="none"/>
          <w:shd w:val="clear" w:fill="FFFFFF"/>
        </w:rPr>
        <w:t> (қаралған күні: 18.02.2026).</w:t>
      </w:r>
    </w:p>
    <w:p w14:paraId="2491708A">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en-US"/>
        </w:rPr>
      </w:pPr>
      <w:r>
        <w:rPr>
          <w:rFonts w:hint="default" w:ascii="Times New Roman" w:hAnsi="Times New Roman" w:eastAsia="SimSun" w:cs="Times New Roman"/>
          <w:b w:val="0"/>
          <w:bCs w:val="0"/>
          <w:i w:val="0"/>
          <w:iCs w:val="0"/>
          <w:color w:val="auto"/>
          <w:sz w:val="28"/>
          <w:szCs w:val="28"/>
          <w:highlight w:val="none"/>
        </w:rPr>
        <w:t>МЕМСТ 17.4.4.02-2017. Табиғатты қорғау. Топырақтар. Үлгілерді алу және химиялық, бактериологиялық, гельминтологиялық талдауға дайындау әдістері.</w:t>
      </w:r>
    </w:p>
    <w:p w14:paraId="609D026B">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en-US"/>
        </w:rPr>
      </w:pPr>
      <w:r>
        <w:rPr>
          <w:rFonts w:hint="default" w:ascii="Times New Roman" w:hAnsi="Times New Roman" w:eastAsia="Segoe UI" w:cs="Times New Roman"/>
          <w:b w:val="0"/>
          <w:bCs w:val="0"/>
          <w:i w:val="0"/>
          <w:iCs w:val="0"/>
          <w:caps w:val="0"/>
          <w:color w:val="auto"/>
          <w:spacing w:val="0"/>
          <w:sz w:val="28"/>
          <w:szCs w:val="28"/>
          <w:highlight w:val="none"/>
          <w:shd w:val="clear" w:fill="FFFFFF"/>
        </w:rPr>
        <w:t>«Қаражанбас» кен орнында мұнай қоры ұлғайтылды [Электрондық ресурс] // SK News : ақпараттық агенттігі. – 2021. – 6 сәуір. – URL: </w:t>
      </w:r>
      <w:r>
        <w:rPr>
          <w:rFonts w:hint="default" w:ascii="Times New Roman" w:hAnsi="Times New Roman" w:eastAsia="Segoe UI" w:cs="Times New Roman"/>
          <w:b w:val="0"/>
          <w:bCs w:val="0"/>
          <w:i w:val="0"/>
          <w:iCs w:val="0"/>
          <w:caps w:val="0"/>
          <w:color w:val="auto"/>
          <w:spacing w:val="0"/>
          <w:sz w:val="28"/>
          <w:szCs w:val="28"/>
          <w:highlight w:val="none"/>
          <w:u w:val="none"/>
          <w:bdr w:val="single" w:color="auto" w:sz="12" w:space="0"/>
          <w:shd w:val="clear" w:fill="FFFFFF"/>
        </w:rPr>
        <w:fldChar w:fldCharType="begin"/>
      </w:r>
      <w:r>
        <w:rPr>
          <w:rFonts w:hint="default" w:ascii="Times New Roman" w:hAnsi="Times New Roman" w:eastAsia="Segoe UI" w:cs="Times New Roman"/>
          <w:b w:val="0"/>
          <w:bCs w:val="0"/>
          <w:i w:val="0"/>
          <w:iCs w:val="0"/>
          <w:caps w:val="0"/>
          <w:color w:val="auto"/>
          <w:spacing w:val="0"/>
          <w:sz w:val="28"/>
          <w:szCs w:val="28"/>
          <w:highlight w:val="none"/>
          <w:u w:val="none"/>
          <w:bdr w:val="single" w:color="auto" w:sz="12" w:space="0"/>
          <w:shd w:val="clear" w:fill="FFFFFF"/>
        </w:rPr>
        <w:instrText xml:space="preserve"> HYPERLINK "https://sknews.kz/news/view/na-mestoroghdenii-karaghanbas-uvelicheny-zapasy-nefti" \t "https://chat.deepseek.com/a/chat/s/_blank" </w:instrText>
      </w:r>
      <w:r>
        <w:rPr>
          <w:rFonts w:hint="default" w:ascii="Times New Roman" w:hAnsi="Times New Roman" w:eastAsia="Segoe UI" w:cs="Times New Roman"/>
          <w:b w:val="0"/>
          <w:bCs w:val="0"/>
          <w:i w:val="0"/>
          <w:iCs w:val="0"/>
          <w:caps w:val="0"/>
          <w:color w:val="auto"/>
          <w:spacing w:val="0"/>
          <w:sz w:val="28"/>
          <w:szCs w:val="28"/>
          <w:highlight w:val="none"/>
          <w:u w:val="none"/>
          <w:bdr w:val="single" w:color="auto" w:sz="12" w:space="0"/>
          <w:shd w:val="clear" w:fill="FFFFFF"/>
        </w:rPr>
        <w:fldChar w:fldCharType="separate"/>
      </w:r>
      <w:r>
        <w:rPr>
          <w:rStyle w:val="17"/>
          <w:rFonts w:hint="default" w:ascii="Times New Roman" w:hAnsi="Times New Roman" w:eastAsia="Segoe UI" w:cs="Times New Roman"/>
          <w:b w:val="0"/>
          <w:bCs w:val="0"/>
          <w:i w:val="0"/>
          <w:iCs w:val="0"/>
          <w:caps w:val="0"/>
          <w:color w:val="auto"/>
          <w:spacing w:val="0"/>
          <w:sz w:val="28"/>
          <w:szCs w:val="28"/>
          <w:highlight w:val="none"/>
          <w:u w:val="none"/>
          <w:shd w:val="clear" w:fill="FFFFFF"/>
        </w:rPr>
        <w:t>https://sknews.kz/news/view/na-mestoroghdenii-karaghanbas-uvelicheny-zapasy-nefti</w:t>
      </w:r>
      <w:r>
        <w:rPr>
          <w:rFonts w:hint="default" w:ascii="Times New Roman" w:hAnsi="Times New Roman" w:eastAsia="Segoe UI" w:cs="Times New Roman"/>
          <w:b w:val="0"/>
          <w:bCs w:val="0"/>
          <w:i w:val="0"/>
          <w:iCs w:val="0"/>
          <w:caps w:val="0"/>
          <w:color w:val="auto"/>
          <w:spacing w:val="0"/>
          <w:sz w:val="28"/>
          <w:szCs w:val="28"/>
          <w:highlight w:val="none"/>
          <w:u w:val="none"/>
          <w:bdr w:val="single" w:color="auto" w:sz="12" w:space="0"/>
          <w:shd w:val="clear" w:fill="FFFFFF"/>
        </w:rPr>
        <w:fldChar w:fldCharType="end"/>
      </w:r>
      <w:r>
        <w:rPr>
          <w:rFonts w:hint="default" w:ascii="Times New Roman" w:hAnsi="Times New Roman" w:eastAsia="Segoe UI" w:cs="Times New Roman"/>
          <w:b w:val="0"/>
          <w:bCs w:val="0"/>
          <w:i w:val="0"/>
          <w:iCs w:val="0"/>
          <w:caps w:val="0"/>
          <w:color w:val="auto"/>
          <w:spacing w:val="0"/>
          <w:sz w:val="28"/>
          <w:szCs w:val="28"/>
          <w:highlight w:val="none"/>
          <w:shd w:val="clear" w:fill="FFFFFF"/>
        </w:rPr>
        <w:t> (қаралған күні: 18.02.2026).</w:t>
      </w:r>
    </w:p>
    <w:p w14:paraId="0E95F844">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en-US"/>
        </w:rPr>
      </w:pPr>
      <w:r>
        <w:rPr>
          <w:rStyle w:val="19"/>
          <w:rFonts w:hint="default" w:ascii="Times New Roman" w:hAnsi="Times New Roman" w:eastAsia="SimSun" w:cs="Times New Roman"/>
          <w:b w:val="0"/>
          <w:bCs w:val="0"/>
          <w:i w:val="0"/>
          <w:iCs w:val="0"/>
          <w:color w:val="auto"/>
          <w:sz w:val="28"/>
          <w:szCs w:val="28"/>
          <w:highlight w:val="none"/>
        </w:rPr>
        <w:t>МЕМСТ 26423-85.</w:t>
      </w:r>
      <w:r>
        <w:rPr>
          <w:rFonts w:hint="default" w:ascii="Times New Roman" w:hAnsi="Times New Roman" w:eastAsia="SimSun" w:cs="Times New Roman"/>
          <w:b w:val="0"/>
          <w:bCs w:val="0"/>
          <w:i w:val="0"/>
          <w:iCs w:val="0"/>
          <w:color w:val="auto"/>
          <w:sz w:val="28"/>
          <w:szCs w:val="28"/>
          <w:highlight w:val="none"/>
        </w:rPr>
        <w:t xml:space="preserve"> Топырақтар. Меншікті электр өткізгіштігін, pH және су сығындысының тығыз қалдығын анықтау әдістері. – М.: Стандартинформ, 2011. – 6 б.</w:t>
      </w:r>
    </w:p>
    <w:p w14:paraId="2C50C38F">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en-US"/>
        </w:rPr>
      </w:pPr>
      <w:r>
        <w:rPr>
          <w:rStyle w:val="19"/>
          <w:rFonts w:hint="default" w:ascii="Times New Roman" w:hAnsi="Times New Roman" w:eastAsia="SimSun" w:cs="Times New Roman"/>
          <w:b w:val="0"/>
          <w:bCs w:val="0"/>
          <w:i w:val="0"/>
          <w:iCs w:val="0"/>
          <w:color w:val="auto"/>
          <w:sz w:val="28"/>
          <w:szCs w:val="28"/>
          <w:highlight w:val="none"/>
        </w:rPr>
        <w:t>МЕМСТ 28268-89.</w:t>
      </w:r>
      <w:r>
        <w:rPr>
          <w:rFonts w:hint="default" w:ascii="Times New Roman" w:hAnsi="Times New Roman" w:eastAsia="SimSun" w:cs="Times New Roman"/>
          <w:b w:val="0"/>
          <w:bCs w:val="0"/>
          <w:i w:val="0"/>
          <w:iCs w:val="0"/>
          <w:color w:val="auto"/>
          <w:sz w:val="28"/>
          <w:szCs w:val="28"/>
          <w:highlight w:val="none"/>
        </w:rPr>
        <w:t xml:space="preserve"> Топырақтар. Ылғалдылықты, максималды гигроскопиялық ылғалдылықты және өсімдіктердің тұрақты солуы ылғалдылығын анықтау әдістері. – М.: Стандарттар баспасы, 1990. – 8 б.</w:t>
      </w:r>
    </w:p>
    <w:p w14:paraId="2A80FE27">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en-US"/>
        </w:rPr>
      </w:pPr>
      <w:r>
        <w:rPr>
          <w:rStyle w:val="19"/>
          <w:rFonts w:hint="default" w:ascii="Times New Roman" w:hAnsi="Times New Roman" w:eastAsia="SimSun" w:cs="Times New Roman"/>
          <w:b w:val="0"/>
          <w:bCs w:val="0"/>
          <w:i w:val="0"/>
          <w:iCs w:val="0"/>
          <w:color w:val="auto"/>
          <w:sz w:val="28"/>
          <w:szCs w:val="28"/>
          <w:highlight w:val="none"/>
        </w:rPr>
        <w:t>МЕМСТ 26213-2021.</w:t>
      </w:r>
      <w:r>
        <w:rPr>
          <w:rFonts w:hint="default" w:ascii="Times New Roman" w:hAnsi="Times New Roman" w:eastAsia="SimSun" w:cs="Times New Roman"/>
          <w:b w:val="0"/>
          <w:bCs w:val="0"/>
          <w:i w:val="0"/>
          <w:iCs w:val="0"/>
          <w:color w:val="auto"/>
          <w:sz w:val="28"/>
          <w:szCs w:val="28"/>
          <w:highlight w:val="none"/>
        </w:rPr>
        <w:t xml:space="preserve"> Топырақтар. Органикалық затты анықтау әдістері. – М.: Стандартинформ, 2021. – 12 б.</w:t>
      </w:r>
    </w:p>
    <w:p w14:paraId="293023BE">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en-US"/>
        </w:rPr>
      </w:pPr>
      <w:r>
        <w:rPr>
          <w:rStyle w:val="19"/>
          <w:rFonts w:hint="default" w:ascii="Times New Roman" w:hAnsi="Times New Roman" w:eastAsia="SimSun" w:cs="Times New Roman"/>
          <w:b w:val="0"/>
          <w:bCs w:val="0"/>
          <w:i w:val="0"/>
          <w:iCs w:val="0"/>
          <w:color w:val="auto"/>
          <w:sz w:val="28"/>
          <w:szCs w:val="28"/>
          <w:highlight w:val="none"/>
        </w:rPr>
        <w:t>ГОСТ 26424-85.</w:t>
      </w:r>
      <w:r>
        <w:rPr>
          <w:rFonts w:hint="default" w:ascii="Times New Roman" w:hAnsi="Times New Roman" w:eastAsia="SimSun" w:cs="Times New Roman"/>
          <w:b w:val="0"/>
          <w:bCs w:val="0"/>
          <w:i w:val="0"/>
          <w:iCs w:val="0"/>
          <w:color w:val="auto"/>
          <w:sz w:val="28"/>
          <w:szCs w:val="28"/>
          <w:highlight w:val="none"/>
        </w:rPr>
        <w:t xml:space="preserve"> Почвы. Метод определения ионов карбоната и бикарбоната в водной вытяжке. – М.: Издательство стандартов, 1985. – 4 с.</w:t>
      </w:r>
    </w:p>
    <w:p w14:paraId="78AC5C61">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en-US"/>
        </w:rPr>
      </w:pPr>
      <w:r>
        <w:rPr>
          <w:rStyle w:val="19"/>
          <w:rFonts w:hint="default" w:ascii="Times New Roman" w:hAnsi="Times New Roman" w:eastAsia="SimSun" w:cs="Times New Roman"/>
          <w:b w:val="0"/>
          <w:bCs w:val="0"/>
          <w:i w:val="0"/>
          <w:iCs w:val="0"/>
          <w:color w:val="auto"/>
          <w:sz w:val="28"/>
          <w:szCs w:val="28"/>
          <w:highlight w:val="none"/>
        </w:rPr>
        <w:t>МЕМСТ 12536-2014.</w:t>
      </w:r>
      <w:r>
        <w:rPr>
          <w:rFonts w:hint="default" w:ascii="Times New Roman" w:hAnsi="Times New Roman" w:eastAsia="SimSun" w:cs="Times New Roman"/>
          <w:b w:val="0"/>
          <w:bCs w:val="0"/>
          <w:i w:val="0"/>
          <w:iCs w:val="0"/>
          <w:color w:val="auto"/>
          <w:sz w:val="28"/>
          <w:szCs w:val="28"/>
          <w:highlight w:val="none"/>
        </w:rPr>
        <w:t xml:space="preserve"> Грунттар. Гранулометриялық (түйіршік) және микроагрегаттық құрамды зертханалық анықтау әдістері. – М.: Стандартинформ, 2015. – 19 б.</w:t>
      </w:r>
    </w:p>
    <w:p w14:paraId="26BEA585">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en-US"/>
        </w:rPr>
      </w:pPr>
      <w:r>
        <w:rPr>
          <w:rStyle w:val="19"/>
          <w:rFonts w:hint="default" w:ascii="Times New Roman" w:hAnsi="Times New Roman" w:eastAsia="SimSun" w:cs="Times New Roman"/>
          <w:b w:val="0"/>
          <w:bCs w:val="0"/>
          <w:i w:val="0"/>
          <w:iCs w:val="0"/>
          <w:color w:val="auto"/>
          <w:sz w:val="28"/>
          <w:szCs w:val="28"/>
          <w:highlight w:val="none"/>
        </w:rPr>
        <w:t>ПНД Ф 16.1:2.2.22-98.</w:t>
      </w:r>
      <w:r>
        <w:rPr>
          <w:rFonts w:hint="default" w:ascii="Times New Roman" w:hAnsi="Times New Roman" w:eastAsia="SimSun" w:cs="Times New Roman"/>
          <w:b w:val="0"/>
          <w:bCs w:val="0"/>
          <w:i w:val="0"/>
          <w:iCs w:val="0"/>
          <w:color w:val="auto"/>
          <w:sz w:val="28"/>
          <w:szCs w:val="28"/>
          <w:highlight w:val="none"/>
        </w:rPr>
        <w:t xml:space="preserve"> Количественный химический анализ почв. Методика выполнения измерений массовой доли нефтепродуктов в минеральных, органогенных, органоминеральных почвах и донных отложениях методом ИК-спектрометрии. – М.: Госкомэкология РФ, 1998. – 18 с.</w:t>
      </w:r>
    </w:p>
    <w:p w14:paraId="06F1AE43">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rPr>
      </w:pPr>
      <w:r>
        <w:rPr>
          <w:rFonts w:hint="default" w:ascii="Times New Roman" w:hAnsi="Times New Roman" w:eastAsia="Times-Roman" w:cs="Times New Roman"/>
          <w:b w:val="0"/>
          <w:bCs w:val="0"/>
          <w:i w:val="0"/>
          <w:iCs w:val="0"/>
          <w:color w:val="auto"/>
          <w:kern w:val="0"/>
          <w:sz w:val="28"/>
          <w:szCs w:val="28"/>
          <w:highlight w:val="none"/>
          <w:lang w:val="en-US" w:eastAsia="zh-CN" w:bidi="ar"/>
        </w:rPr>
        <w:t>Ongarbayev Y, Baigulbayeva M, Tileuberdi Y, Ualieva P, Abdieva G. J Ecol Eng. 2022;23:16-25. DOI: 10.12911/22998993/146245.</w:t>
      </w:r>
    </w:p>
    <w:p w14:paraId="799552E2">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eastAsia="Times-Roman" w:cs="Times New Roman"/>
          <w:b w:val="0"/>
          <w:bCs w:val="0"/>
          <w:i w:val="0"/>
          <w:iCs w:val="0"/>
          <w:color w:val="auto"/>
          <w:kern w:val="0"/>
          <w:sz w:val="28"/>
          <w:szCs w:val="28"/>
          <w:highlight w:val="none"/>
          <w:lang w:val="en-US" w:eastAsia="zh-CN" w:bidi="ar"/>
        </w:rPr>
      </w:pPr>
      <w:r>
        <w:rPr>
          <w:rFonts w:hint="default" w:ascii="Times New Roman" w:hAnsi="Times New Roman" w:eastAsia="Times-Roman" w:cs="Times New Roman"/>
          <w:b w:val="0"/>
          <w:bCs w:val="0"/>
          <w:i w:val="0"/>
          <w:iCs w:val="0"/>
          <w:color w:val="auto"/>
          <w:kern w:val="0"/>
          <w:sz w:val="28"/>
          <w:szCs w:val="28"/>
          <w:highlight w:val="none"/>
          <w:lang w:val="en-US" w:eastAsia="zh-CN" w:bidi="ar"/>
        </w:rPr>
        <w:t>Akhmetov L.I., Puntus I.F., Narmanova R.A., Appazov N.O., Funtikova T.V., Regepova A.A., Filonov A.E. Recent Advances in Creating Biopreparations to Fight Oil Spills in Soil Ecosystems in Sharply Continental Climate of Republic of Kazakhstan // Processes. – 2022. – Vol. 10, № 3. – Art. 549. – DOI: 10.3390/pr10030549.</w:t>
      </w:r>
    </w:p>
    <w:p w14:paraId="30B53660">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en-US"/>
        </w:rPr>
      </w:pPr>
      <w:r>
        <w:rPr>
          <w:rFonts w:hint="default" w:ascii="Times New Roman" w:hAnsi="Times New Roman" w:eastAsia="Segoe UI" w:cs="Times New Roman"/>
          <w:b w:val="0"/>
          <w:bCs w:val="0"/>
          <w:i w:val="0"/>
          <w:iCs w:val="0"/>
          <w:caps w:val="0"/>
          <w:color w:val="auto"/>
          <w:spacing w:val="0"/>
          <w:sz w:val="28"/>
          <w:szCs w:val="28"/>
          <w:highlight w:val="none"/>
          <w:shd w:val="clear" w:fill="FFFFFF"/>
        </w:rPr>
        <w:t>Пат. 2017/085.1 Қазақстан Республикасы, МПК C12N 1/20 (2006.01), A62D 3/00 (2006.01). Топырақты мұнай және мұнай өнімдерінен тазартуға арналған биологиялық препаратты алу әдісі / Молдағұлова Н.Б., Сарсенова А.С., Аюпова А.Ж., Өмірбекова А.Б., Есімов А.М.; өтініш иесі және патент иеленуші «Ұлттық биотехнология орталығы» РМК. – № 2017/085.1; өтініш берілген күні 20.02.2017; жарияланған күні 28.06.2018, Бюл. № 6. – 6 б.</w:t>
      </w:r>
    </w:p>
    <w:p w14:paraId="0F17679D">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en-US"/>
        </w:rPr>
      </w:pPr>
      <w:r>
        <w:rPr>
          <w:rStyle w:val="19"/>
          <w:rFonts w:hint="default" w:ascii="Times New Roman" w:hAnsi="Times New Roman" w:eastAsia="Segoe UI" w:cs="Times New Roman"/>
          <w:b w:val="0"/>
          <w:bCs w:val="0"/>
          <w:i w:val="0"/>
          <w:iCs w:val="0"/>
          <w:caps w:val="0"/>
          <w:color w:val="auto"/>
          <w:spacing w:val="0"/>
          <w:sz w:val="28"/>
          <w:szCs w:val="28"/>
          <w:highlight w:val="none"/>
          <w:shd w:val="clear" w:fill="FFFFFF"/>
        </w:rPr>
        <w:t>Khozhanepessova, F.</w:t>
      </w:r>
      <w:r>
        <w:rPr>
          <w:rFonts w:hint="default" w:ascii="Times New Roman" w:hAnsi="Times New Roman" w:eastAsia="Segoe UI" w:cs="Times New Roman"/>
          <w:b w:val="0"/>
          <w:bCs w:val="0"/>
          <w:i w:val="0"/>
          <w:iCs w:val="0"/>
          <w:caps w:val="0"/>
          <w:color w:val="auto"/>
          <w:spacing w:val="0"/>
          <w:sz w:val="28"/>
          <w:szCs w:val="28"/>
          <w:highlight w:val="none"/>
          <w:shd w:val="clear" w:fill="FFFFFF"/>
        </w:rPr>
        <w:t> Enhanced Oil Biodegradation Using Immobilised Rhodococcus-Dietzia Consortium on Agricultural Waste / F. Khozhanepessova, A. Serikbayeva, A. Dadrasnia, A. Myrzabekova // Ecological Chemistry and Engineering S. – 2025. – Vol. 32, No. 3. – P. 387-402. – DOI: 10.2478/eces-2025-0019</w:t>
      </w:r>
    </w:p>
    <w:p w14:paraId="600CAFBA">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rPr>
      </w:pPr>
      <w:r>
        <w:rPr>
          <w:rFonts w:hint="default" w:ascii="Times New Roman" w:hAnsi="Times New Roman" w:eastAsia="SimSun" w:cs="Times New Roman"/>
          <w:b w:val="0"/>
          <w:bCs w:val="0"/>
          <w:i w:val="0"/>
          <w:iCs w:val="0"/>
          <w:color w:val="auto"/>
          <w:sz w:val="28"/>
          <w:szCs w:val="28"/>
          <w:highlight w:val="none"/>
        </w:rPr>
        <w:t>Хожанепесова Ф., Серикбаева А., Dadrasnia A. Адсорбционная иммобилизация клеток микроорганизмов на минеральных носителях // Промышленность Казахстана. – 2019. – № 3 (111). – Б. 61-62.</w:t>
      </w:r>
    </w:p>
    <w:p w14:paraId="528F44A6">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en-US"/>
        </w:rPr>
      </w:pPr>
      <w:r>
        <w:rPr>
          <w:rFonts w:hint="default" w:ascii="Times New Roman" w:hAnsi="Times New Roman" w:eastAsia="SimSun" w:cs="Times New Roman"/>
          <w:b w:val="0"/>
          <w:bCs w:val="0"/>
          <w:i w:val="0"/>
          <w:iCs w:val="0"/>
          <w:caps w:val="0"/>
          <w:color w:val="auto"/>
          <w:spacing w:val="0"/>
          <w:sz w:val="28"/>
          <w:szCs w:val="28"/>
          <w:highlight w:val="none"/>
          <w:shd w:val="clear" w:fill="FFFFFF"/>
        </w:rPr>
        <w:t>ҚР СТ ИСО 712-2006. Астық және астық өнімдері. Ылғалдығын анықтау (жұмысшы бақылау әдісі). — Астана: Техникалық реттеу және метрология жөніндегі комитет, 2006. — 8 б.</w:t>
      </w:r>
    </w:p>
    <w:p w14:paraId="43D90257">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en-US"/>
        </w:rPr>
      </w:pPr>
      <w:r>
        <w:rPr>
          <w:rFonts w:hint="default" w:ascii="Times New Roman" w:hAnsi="Times New Roman" w:eastAsia="SimSun" w:cs="Times New Roman"/>
          <w:b w:val="0"/>
          <w:bCs w:val="0"/>
          <w:i w:val="0"/>
          <w:iCs w:val="0"/>
          <w:caps w:val="0"/>
          <w:color w:val="auto"/>
          <w:spacing w:val="0"/>
          <w:sz w:val="28"/>
          <w:szCs w:val="28"/>
          <w:highlight w:val="none"/>
          <w:shd w:val="clear" w:fill="FFFFFF"/>
        </w:rPr>
        <w:t>ГОСТ 10847-74. Астық. Күлділігін анықтау әдісі. — Москва: Стандарттар баспасы, 1974.</w:t>
      </w:r>
    </w:p>
    <w:p w14:paraId="54EE2280">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rPr>
      </w:pPr>
      <w:r>
        <w:rPr>
          <w:rFonts w:hint="default" w:ascii="Times New Roman" w:hAnsi="Times New Roman" w:cs="Times New Roman"/>
          <w:b w:val="0"/>
          <w:bCs w:val="0"/>
          <w:i w:val="0"/>
          <w:iCs w:val="0"/>
          <w:color w:val="auto"/>
          <w:sz w:val="28"/>
          <w:szCs w:val="28"/>
          <w:highlight w:val="none"/>
        </w:rPr>
        <w:t>Kjeldahl J. Органикалық денелердегі азотты анықтаудың жаңа әдісі // Аналитикалық химия журналы. – 1883. – Т. 22. – Б. 366-382. DOI: 10.1007/BF01338151.</w:t>
      </w:r>
    </w:p>
    <w:p w14:paraId="09F693A5">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rPr>
      </w:pPr>
      <w:r>
        <w:rPr>
          <w:rFonts w:hint="default" w:ascii="Times New Roman" w:hAnsi="Times New Roman" w:cs="Times New Roman"/>
          <w:b w:val="0"/>
          <w:bCs w:val="0"/>
          <w:i w:val="0"/>
          <w:iCs w:val="0"/>
          <w:color w:val="auto"/>
          <w:sz w:val="28"/>
          <w:szCs w:val="28"/>
          <w:highlight w:val="none"/>
        </w:rPr>
        <w:t>AOAC International. AOAC International ресми талдау әдістері. 20-шы басылым. – Роквилл: AOAC International, 2016.</w:t>
      </w:r>
    </w:p>
    <w:p w14:paraId="2A7E3AA7">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rPr>
      </w:pPr>
      <w:r>
        <w:rPr>
          <w:rFonts w:hint="default" w:ascii="Times New Roman" w:hAnsi="Times New Roman" w:cs="Times New Roman"/>
          <w:b w:val="0"/>
          <w:bCs w:val="0"/>
          <w:i w:val="0"/>
          <w:iCs w:val="0"/>
          <w:color w:val="auto"/>
          <w:sz w:val="28"/>
          <w:szCs w:val="28"/>
          <w:highlight w:val="none"/>
        </w:rPr>
        <w:t>АҚШ Қоршаған ортаны қорғау агенттігі. 3540C әдісі: Сокслет экстракциясы // Қатты қалдықтарды бағалаудың SW-846 сынақ әдістері, Физикалық/Химиялық әдістер. – Вашингтон: Америка Құрама Штаттарының Қоршаған ортаны қорғау агенттігі, 1996.</w:t>
      </w:r>
    </w:p>
    <w:p w14:paraId="672BA40E">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rPr>
      </w:pPr>
      <w:r>
        <w:rPr>
          <w:rFonts w:hint="default" w:ascii="Times New Roman" w:hAnsi="Times New Roman" w:cs="Times New Roman"/>
          <w:b w:val="0"/>
          <w:bCs w:val="0"/>
          <w:i w:val="0"/>
          <w:iCs w:val="0"/>
          <w:color w:val="auto"/>
          <w:sz w:val="28"/>
          <w:szCs w:val="28"/>
          <w:highlight w:val="none"/>
        </w:rPr>
        <w:t>Van Soest P.J., Robertson J.B., Lewis B.A. Жануарларды қоректендіруге қатысты диеталық талшық, бейтарап детергентті талшық және крахмалсыз полисахаридтерді анықтау әдістері // Сүт ғылымы журналы. – 1991. – Т. 74(10). – Б. 3583-3597. DOI: 10.3168/jds.S0022-0302(91)78551-2.</w:t>
      </w:r>
    </w:p>
    <w:p w14:paraId="219AE96E">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en-US"/>
        </w:rPr>
      </w:pPr>
      <w:r>
        <w:rPr>
          <w:rFonts w:hint="default" w:ascii="Times New Roman" w:hAnsi="Times New Roman" w:eastAsia="SimSun" w:cs="Times New Roman"/>
          <w:b w:val="0"/>
          <w:bCs w:val="0"/>
          <w:i w:val="0"/>
          <w:iCs w:val="0"/>
          <w:caps w:val="0"/>
          <w:color w:val="auto"/>
          <w:spacing w:val="0"/>
          <w:sz w:val="28"/>
          <w:szCs w:val="28"/>
          <w:highlight w:val="none"/>
          <w:shd w:val="clear" w:fill="FFFFFF"/>
        </w:rPr>
        <w:t>ГОСТ 10845-98. Астық және оның өңделген өнімдері. Крахмалды анықтау әдісі. — Минск: Мемлекетаралық стандарттау, метрология және сертификаттау кеңесі, 1998.</w:t>
      </w:r>
    </w:p>
    <w:p w14:paraId="33C97897">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rPr>
      </w:pPr>
      <w:r>
        <w:rPr>
          <w:rFonts w:hint="default" w:ascii="Times New Roman" w:hAnsi="Times New Roman" w:cs="Times New Roman"/>
          <w:b w:val="0"/>
          <w:bCs w:val="0"/>
          <w:i w:val="0"/>
          <w:iCs w:val="0"/>
          <w:color w:val="auto"/>
          <w:sz w:val="28"/>
          <w:szCs w:val="28"/>
          <w:highlight w:val="none"/>
        </w:rPr>
        <w:t>Ryynänen M., Lampi A.M., Salo-Väänänen P., Ollilainen V., Piironen V. Астықтағы токоферолдар мен токотриенолдарды анықтауға арналған ЖТСХ талдауымен ұсақ көлемді үлгі дайындау әдісі // Тағам құрамын талдау журналы. – 2004. – Т. 17(6). – Б. 749-765. DOI: 10.1016/j.jfca.2003.09.001.</w:t>
      </w:r>
    </w:p>
    <w:p w14:paraId="43E16104">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rPr>
      </w:pPr>
      <w:r>
        <w:rPr>
          <w:rFonts w:hint="default" w:ascii="Times New Roman" w:hAnsi="Times New Roman" w:cs="Times New Roman"/>
          <w:b w:val="0"/>
          <w:bCs w:val="0"/>
          <w:i w:val="0"/>
          <w:iCs w:val="0"/>
          <w:color w:val="auto"/>
          <w:sz w:val="28"/>
          <w:szCs w:val="28"/>
          <w:highlight w:val="none"/>
        </w:rPr>
        <w:t>Smith B.C. Фурье түрлендіру инфрақызыл спектроскопиясының негіздері. 2-ші басылым. – Бока Ратон: CRC Press, 2011. DOI: 10.1201/b10777.</w:t>
      </w:r>
    </w:p>
    <w:p w14:paraId="7997C7CF">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rPr>
      </w:pPr>
      <w:r>
        <w:rPr>
          <w:rFonts w:hint="default" w:ascii="Times New Roman" w:hAnsi="Times New Roman" w:eastAsia="SimSun" w:cs="Times New Roman"/>
          <w:b w:val="0"/>
          <w:bCs w:val="0"/>
          <w:i w:val="0"/>
          <w:iCs w:val="0"/>
          <w:color w:val="auto"/>
          <w:sz w:val="28"/>
          <w:szCs w:val="28"/>
          <w:highlight w:val="none"/>
        </w:rPr>
        <w:t>Khozhanepessova F., Serikbayeva A., Amankeshuly D., Koibakova S., Sagindykova E., Dadrasnia A., Myrzabekova A. Preliminary Laboratory Assessment of Agricultural Waste-Based Microbial Immobilization for Oil Degradation: A Screening Study // Ecologica Montenegrina. – 2025. – Vol. 85. – P. 141-149. DOI: 10.37828/em.2025.85.9</w:t>
      </w:r>
    </w:p>
    <w:p w14:paraId="5CA042CE">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en-US"/>
        </w:rPr>
      </w:pPr>
      <w:r>
        <w:rPr>
          <w:rStyle w:val="19"/>
          <w:rFonts w:hint="default" w:ascii="Times New Roman" w:hAnsi="Times New Roman" w:eastAsia="SimSun" w:cs="Times New Roman"/>
          <w:b w:val="0"/>
          <w:bCs w:val="0"/>
          <w:i w:val="0"/>
          <w:iCs w:val="0"/>
          <w:color w:val="auto"/>
          <w:sz w:val="28"/>
          <w:szCs w:val="28"/>
          <w:highlight w:val="none"/>
        </w:rPr>
        <w:t>МР ФЦ/4022-2004.</w:t>
      </w:r>
      <w:r>
        <w:rPr>
          <w:rFonts w:hint="default" w:ascii="Times New Roman" w:hAnsi="Times New Roman" w:eastAsia="SimSun" w:cs="Times New Roman"/>
          <w:b w:val="0"/>
          <w:bCs w:val="0"/>
          <w:i w:val="0"/>
          <w:iCs w:val="0"/>
          <w:color w:val="auto"/>
          <w:sz w:val="28"/>
          <w:szCs w:val="28"/>
          <w:highlight w:val="none"/>
        </w:rPr>
        <w:t xml:space="preserve"> Методы микробиологического контроля почвы: Методические рекомендации. – М.: Федеральный центр госсанэпиднадзора Минздрава России, 2004. – 27 с.</w:t>
      </w:r>
    </w:p>
    <w:p w14:paraId="4FABE993">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en-US"/>
        </w:rPr>
      </w:pPr>
      <w:r>
        <w:rPr>
          <w:rFonts w:hint="default" w:ascii="Times New Roman" w:hAnsi="Times New Roman" w:eastAsia="SimSun" w:cs="Times New Roman"/>
          <w:b w:val="0"/>
          <w:bCs w:val="0"/>
          <w:i w:val="0"/>
          <w:iCs w:val="0"/>
          <w:color w:val="auto"/>
          <w:sz w:val="28"/>
          <w:szCs w:val="28"/>
          <w:highlight w:val="none"/>
        </w:rPr>
        <w:t>Продукты пищевые. Методы определения количества мезофильных аэробных и факультативно-анаэробных микроорганизмов. – М.: Стандартинформ, 2010. – 5 с.</w:t>
      </w:r>
    </w:p>
    <w:p w14:paraId="6A5DF56F">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en-US"/>
        </w:rPr>
      </w:pPr>
      <w:r>
        <w:rPr>
          <w:rStyle w:val="19"/>
          <w:rFonts w:hint="default" w:ascii="Times New Roman" w:hAnsi="Times New Roman" w:eastAsia="SimSun" w:cs="Times New Roman"/>
          <w:b w:val="0"/>
          <w:bCs w:val="0"/>
          <w:i w:val="0"/>
          <w:iCs w:val="0"/>
          <w:color w:val="auto"/>
          <w:sz w:val="28"/>
          <w:szCs w:val="28"/>
          <w:highlight w:val="none"/>
        </w:rPr>
        <w:t>ГОСТ 17.4.4.02-2017.</w:t>
      </w:r>
      <w:r>
        <w:rPr>
          <w:rFonts w:hint="default" w:ascii="Times New Roman" w:hAnsi="Times New Roman" w:eastAsia="SimSun" w:cs="Times New Roman"/>
          <w:b w:val="0"/>
          <w:bCs w:val="0"/>
          <w:i w:val="0"/>
          <w:iCs w:val="0"/>
          <w:color w:val="auto"/>
          <w:sz w:val="28"/>
          <w:szCs w:val="28"/>
          <w:highlight w:val="none"/>
        </w:rPr>
        <w:t xml:space="preserve"> Охрана природы. Почвы. Методы отбора и подготовки проб для химического, бактериологического, гельминтологического анализа. – М.: Стандартинформ, 2018. – 8 с.</w:t>
      </w:r>
    </w:p>
    <w:p w14:paraId="3A0F05C3">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en-US"/>
        </w:rPr>
      </w:pPr>
      <w:r>
        <w:rPr>
          <w:rStyle w:val="19"/>
          <w:rFonts w:hint="default" w:ascii="Times New Roman" w:hAnsi="Times New Roman" w:eastAsia="SimSun" w:cs="Times New Roman"/>
          <w:b w:val="0"/>
          <w:bCs w:val="0"/>
          <w:i w:val="0"/>
          <w:iCs w:val="0"/>
          <w:color w:val="auto"/>
          <w:sz w:val="28"/>
          <w:szCs w:val="28"/>
          <w:highlight w:val="none"/>
        </w:rPr>
        <w:t>Ng W., Malone B.P., Minasny B.</w:t>
      </w:r>
      <w:r>
        <w:rPr>
          <w:rFonts w:hint="default" w:ascii="Times New Roman" w:hAnsi="Times New Roman" w:eastAsia="SimSun" w:cs="Times New Roman"/>
          <w:b w:val="0"/>
          <w:bCs w:val="0"/>
          <w:i w:val="0"/>
          <w:iCs w:val="0"/>
          <w:color w:val="auto"/>
          <w:sz w:val="28"/>
          <w:szCs w:val="28"/>
          <w:highlight w:val="none"/>
        </w:rPr>
        <w:t xml:space="preserve"> Rapid assessment of petroleum-contaminated soils with infrared spectroscopy // Geoderma. – 2017. – Vol. 289. – P. 150–160. – DOI: 10.1016/j.geoderma.2016.11.030.</w:t>
      </w:r>
    </w:p>
    <w:p w14:paraId="4669FBE0">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en-US"/>
        </w:rPr>
      </w:pPr>
      <w:r>
        <w:rPr>
          <w:rFonts w:hint="default" w:ascii="Times New Roman" w:hAnsi="Times New Roman" w:eastAsia="SimSun" w:cs="Times New Roman"/>
          <w:b w:val="0"/>
          <w:bCs w:val="0"/>
          <w:i w:val="0"/>
          <w:iCs w:val="0"/>
          <w:color w:val="auto"/>
          <w:sz w:val="28"/>
          <w:szCs w:val="28"/>
          <w:highlight w:val="none"/>
        </w:rPr>
        <w:t xml:space="preserve">Maletić S., Dalmacija B., Rončević S. Petroleum Hydrocarbon Biodegradability in Soil – Implications for Bioremediation // Hydrocarbon / ed. V. Kutcherov. – InTech, 2013. – P. 43–64. – URL: </w:t>
      </w:r>
      <w:r>
        <w:rPr>
          <w:rFonts w:hint="default" w:ascii="Times New Roman" w:hAnsi="Times New Roman" w:eastAsia="SimSun" w:cs="Times New Roman"/>
          <w:b w:val="0"/>
          <w:bCs w:val="0"/>
          <w:i w:val="0"/>
          <w:iCs w:val="0"/>
          <w:color w:val="auto"/>
          <w:sz w:val="28"/>
          <w:szCs w:val="28"/>
          <w:highlight w:val="none"/>
        </w:rPr>
        <w:fldChar w:fldCharType="begin"/>
      </w:r>
      <w:r>
        <w:rPr>
          <w:rFonts w:hint="default" w:ascii="Times New Roman" w:hAnsi="Times New Roman" w:eastAsia="SimSun" w:cs="Times New Roman"/>
          <w:b w:val="0"/>
          <w:bCs w:val="0"/>
          <w:i w:val="0"/>
          <w:iCs w:val="0"/>
          <w:color w:val="auto"/>
          <w:sz w:val="28"/>
          <w:szCs w:val="28"/>
          <w:highlight w:val="none"/>
        </w:rPr>
        <w:instrText xml:space="preserve"> HYPERLINK "https://www.intechopen.com/chapters/41886" </w:instrText>
      </w:r>
      <w:r>
        <w:rPr>
          <w:rFonts w:hint="default" w:ascii="Times New Roman" w:hAnsi="Times New Roman" w:eastAsia="SimSun" w:cs="Times New Roman"/>
          <w:b w:val="0"/>
          <w:bCs w:val="0"/>
          <w:i w:val="0"/>
          <w:iCs w:val="0"/>
          <w:color w:val="auto"/>
          <w:sz w:val="28"/>
          <w:szCs w:val="28"/>
          <w:highlight w:val="none"/>
        </w:rPr>
        <w:fldChar w:fldCharType="separate"/>
      </w:r>
      <w:r>
        <w:rPr>
          <w:rStyle w:val="17"/>
          <w:rFonts w:hint="default" w:ascii="Times New Roman" w:hAnsi="Times New Roman" w:eastAsia="SimSun" w:cs="Times New Roman"/>
          <w:b w:val="0"/>
          <w:bCs w:val="0"/>
          <w:i w:val="0"/>
          <w:iCs w:val="0"/>
          <w:color w:val="auto"/>
          <w:sz w:val="28"/>
          <w:szCs w:val="28"/>
          <w:highlight w:val="none"/>
        </w:rPr>
        <w:t>https://www.intechopen.com/chapters/41886</w:t>
      </w:r>
      <w:r>
        <w:rPr>
          <w:rFonts w:hint="default" w:ascii="Times New Roman" w:hAnsi="Times New Roman" w:eastAsia="SimSun" w:cs="Times New Roman"/>
          <w:b w:val="0"/>
          <w:bCs w:val="0"/>
          <w:i w:val="0"/>
          <w:iCs w:val="0"/>
          <w:color w:val="auto"/>
          <w:sz w:val="28"/>
          <w:szCs w:val="28"/>
          <w:highlight w:val="none"/>
        </w:rPr>
        <w:fldChar w:fldCharType="end"/>
      </w:r>
    </w:p>
    <w:p w14:paraId="6B5C7BFF">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en-US"/>
        </w:rPr>
      </w:pPr>
      <w:r>
        <w:rPr>
          <w:rStyle w:val="19"/>
          <w:rFonts w:hint="default" w:ascii="Times New Roman" w:hAnsi="Times New Roman" w:eastAsia="SimSun" w:cs="Times New Roman"/>
          <w:b w:val="0"/>
          <w:bCs w:val="0"/>
          <w:i w:val="0"/>
          <w:iCs w:val="0"/>
          <w:color w:val="auto"/>
          <w:sz w:val="28"/>
          <w:szCs w:val="28"/>
          <w:highlight w:val="none"/>
        </w:rPr>
        <w:t>Tukey J.W.</w:t>
      </w:r>
      <w:r>
        <w:rPr>
          <w:rFonts w:hint="default" w:ascii="Times New Roman" w:hAnsi="Times New Roman" w:eastAsia="SimSun" w:cs="Times New Roman"/>
          <w:b w:val="0"/>
          <w:bCs w:val="0"/>
          <w:i w:val="0"/>
          <w:iCs w:val="0"/>
          <w:color w:val="auto"/>
          <w:sz w:val="28"/>
          <w:szCs w:val="28"/>
          <w:highlight w:val="none"/>
        </w:rPr>
        <w:t xml:space="preserve"> Comparing individual means in the analysis of variance // Biometrics. – 1949. – Vol. 5, № 2. – P. 99–114. – DOI: 10.2307/3001913.</w:t>
      </w:r>
    </w:p>
    <w:p w14:paraId="269706DE">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en-US"/>
        </w:rPr>
      </w:pPr>
      <w:r>
        <w:rPr>
          <w:rStyle w:val="19"/>
          <w:rFonts w:hint="default" w:ascii="Times New Roman" w:hAnsi="Times New Roman" w:eastAsia="SimSun" w:cs="Times New Roman"/>
          <w:b w:val="0"/>
          <w:bCs w:val="0"/>
          <w:i w:val="0"/>
          <w:iCs w:val="0"/>
          <w:color w:val="auto"/>
          <w:sz w:val="28"/>
          <w:szCs w:val="28"/>
          <w:highlight w:val="none"/>
        </w:rPr>
        <w:t>Fisher R.A.</w:t>
      </w:r>
      <w:r>
        <w:rPr>
          <w:rFonts w:hint="default" w:ascii="Times New Roman" w:hAnsi="Times New Roman" w:eastAsia="SimSun" w:cs="Times New Roman"/>
          <w:b w:val="0"/>
          <w:bCs w:val="0"/>
          <w:i w:val="0"/>
          <w:iCs w:val="0"/>
          <w:color w:val="auto"/>
          <w:sz w:val="28"/>
          <w:szCs w:val="28"/>
          <w:highlight w:val="none"/>
        </w:rPr>
        <w:t xml:space="preserve"> Statistical Methods for Research Workers. – Edinburgh: Oliver and Boyd, 1925. – 239 p.</w:t>
      </w:r>
    </w:p>
    <w:p w14:paraId="5C0794C8">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rPr>
      </w:pPr>
      <w:r>
        <w:rPr>
          <w:rStyle w:val="19"/>
          <w:rFonts w:hint="default" w:ascii="Times New Roman" w:hAnsi="Times New Roman" w:eastAsia="SimSun" w:cs="Times New Roman"/>
          <w:b w:val="0"/>
          <w:bCs w:val="0"/>
          <w:i w:val="0"/>
          <w:iCs w:val="0"/>
          <w:color w:val="auto"/>
          <w:sz w:val="28"/>
          <w:szCs w:val="28"/>
          <w:highlight w:val="none"/>
        </w:rPr>
        <w:t>Madu J.O., Agboola B.O.</w:t>
      </w:r>
      <w:r>
        <w:rPr>
          <w:rFonts w:hint="default" w:ascii="Times New Roman" w:hAnsi="Times New Roman" w:eastAsia="SimSun" w:cs="Times New Roman"/>
          <w:b w:val="0"/>
          <w:bCs w:val="0"/>
          <w:i w:val="0"/>
          <w:iCs w:val="0"/>
          <w:color w:val="auto"/>
          <w:sz w:val="28"/>
          <w:szCs w:val="28"/>
          <w:highlight w:val="none"/>
        </w:rPr>
        <w:t xml:space="preserve"> Bioethanol production from rice husk using different pretreatments and fermentation conditions // 3 Biotech. – 2018. – Vol. 8, № 1. – Art. 15. – DOI: 10.1007/s13205-017-1033-x. – PMID: 29259890.</w:t>
      </w:r>
    </w:p>
    <w:p w14:paraId="7C79F49F">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rPr>
      </w:pPr>
      <w:r>
        <w:rPr>
          <w:rStyle w:val="19"/>
          <w:rFonts w:hint="default" w:ascii="Times New Roman" w:hAnsi="Times New Roman" w:eastAsia="SimSun" w:cs="Times New Roman"/>
          <w:b w:val="0"/>
          <w:bCs w:val="0"/>
          <w:i w:val="0"/>
          <w:iCs w:val="0"/>
          <w:color w:val="auto"/>
          <w:sz w:val="28"/>
          <w:szCs w:val="28"/>
          <w:highlight w:val="none"/>
        </w:rPr>
        <w:t>Zielińska D., Szawara-Nowak D., Zieliński H.</w:t>
      </w:r>
      <w:r>
        <w:rPr>
          <w:rFonts w:hint="default" w:ascii="Times New Roman" w:hAnsi="Times New Roman" w:eastAsia="SimSun" w:cs="Times New Roman"/>
          <w:b w:val="0"/>
          <w:bCs w:val="0"/>
          <w:i w:val="0"/>
          <w:iCs w:val="0"/>
          <w:color w:val="auto"/>
          <w:sz w:val="28"/>
          <w:szCs w:val="28"/>
          <w:highlight w:val="none"/>
        </w:rPr>
        <w:t xml:space="preserve"> Determination of the antioxidant activity of </w:t>
      </w:r>
      <w:r>
        <w:rPr>
          <w:rStyle w:val="19"/>
          <w:rFonts w:hint="default" w:ascii="Times New Roman" w:hAnsi="Times New Roman" w:eastAsia="SimSun" w:cs="Times New Roman"/>
          <w:b w:val="0"/>
          <w:bCs w:val="0"/>
          <w:i w:val="0"/>
          <w:iCs w:val="0"/>
          <w:color w:val="auto"/>
          <w:sz w:val="28"/>
          <w:szCs w:val="28"/>
          <w:highlight w:val="none"/>
        </w:rPr>
        <w:t>rutin</w:t>
      </w:r>
      <w:r>
        <w:rPr>
          <w:rFonts w:hint="default" w:ascii="Times New Roman" w:hAnsi="Times New Roman" w:eastAsia="SimSun" w:cs="Times New Roman"/>
          <w:b w:val="0"/>
          <w:bCs w:val="0"/>
          <w:i w:val="0"/>
          <w:iCs w:val="0"/>
          <w:color w:val="auto"/>
          <w:sz w:val="28"/>
          <w:szCs w:val="28"/>
          <w:highlight w:val="none"/>
        </w:rPr>
        <w:t xml:space="preserve"> and its contribution to the antioxidant capacity of diversified buckwheat origin material by updated analytical strategies // </w:t>
      </w:r>
      <w:r>
        <w:rPr>
          <w:rStyle w:val="19"/>
          <w:rFonts w:hint="default" w:ascii="Times New Roman" w:hAnsi="Times New Roman" w:eastAsia="SimSun" w:cs="Times New Roman"/>
          <w:b w:val="0"/>
          <w:bCs w:val="0"/>
          <w:i w:val="0"/>
          <w:iCs w:val="0"/>
          <w:color w:val="auto"/>
          <w:sz w:val="28"/>
          <w:szCs w:val="28"/>
          <w:highlight w:val="none"/>
        </w:rPr>
        <w:t>Polish Journal of Food and Nutrition Sciences</w:t>
      </w:r>
      <w:r>
        <w:rPr>
          <w:rFonts w:hint="default" w:ascii="Times New Roman" w:hAnsi="Times New Roman" w:eastAsia="SimSun" w:cs="Times New Roman"/>
          <w:b w:val="0"/>
          <w:bCs w:val="0"/>
          <w:i w:val="0"/>
          <w:iCs w:val="0"/>
          <w:color w:val="auto"/>
          <w:sz w:val="28"/>
          <w:szCs w:val="28"/>
          <w:highlight w:val="none"/>
        </w:rPr>
        <w:t xml:space="preserve">. – </w:t>
      </w:r>
      <w:r>
        <w:rPr>
          <w:rStyle w:val="19"/>
          <w:rFonts w:hint="default" w:ascii="Times New Roman" w:hAnsi="Times New Roman" w:eastAsia="SimSun" w:cs="Times New Roman"/>
          <w:b w:val="0"/>
          <w:bCs w:val="0"/>
          <w:i w:val="0"/>
          <w:iCs w:val="0"/>
          <w:color w:val="auto"/>
          <w:sz w:val="28"/>
          <w:szCs w:val="28"/>
          <w:highlight w:val="none"/>
        </w:rPr>
        <w:t>2010</w:t>
      </w:r>
      <w:r>
        <w:rPr>
          <w:rFonts w:hint="default" w:ascii="Times New Roman" w:hAnsi="Times New Roman" w:eastAsia="SimSun" w:cs="Times New Roman"/>
          <w:b w:val="0"/>
          <w:bCs w:val="0"/>
          <w:i w:val="0"/>
          <w:iCs w:val="0"/>
          <w:color w:val="auto"/>
          <w:sz w:val="28"/>
          <w:szCs w:val="28"/>
          <w:highlight w:val="none"/>
        </w:rPr>
        <w:t>. – Vol. 60, № 4. – P. 315–321.</w:t>
      </w:r>
    </w:p>
    <w:p w14:paraId="7CEE2264">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rPr>
      </w:pPr>
      <w:r>
        <w:rPr>
          <w:rFonts w:hint="default" w:ascii="Times New Roman" w:hAnsi="Times New Roman" w:cs="Times New Roman"/>
          <w:b w:val="0"/>
          <w:bCs w:val="0"/>
          <w:i w:val="0"/>
          <w:iCs w:val="0"/>
          <w:color w:val="auto"/>
          <w:sz w:val="28"/>
          <w:szCs w:val="28"/>
          <w:highlight w:val="none"/>
        </w:rPr>
        <w:t>Жанабаев, А.Б. Характеристика казахстанских цеолитов и их применение в биоремедиации / А.Б. Жанабаев, С.М. Исламов // Биотехнология. Теория и практика. – 2018. – № 3. – С. 45-52.</w:t>
      </w:r>
    </w:p>
    <w:p w14:paraId="0EF4A4A2">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lang w:val="ru-RU"/>
        </w:rPr>
      </w:pPr>
      <w:r>
        <w:rPr>
          <w:rFonts w:hint="default" w:ascii="Times New Roman" w:hAnsi="Times New Roman" w:eastAsia="Segoe UI" w:cs="Times New Roman"/>
          <w:b w:val="0"/>
          <w:bCs w:val="0"/>
          <w:i w:val="0"/>
          <w:iCs w:val="0"/>
          <w:caps w:val="0"/>
          <w:color w:val="auto"/>
          <w:spacing w:val="0"/>
          <w:sz w:val="28"/>
          <w:szCs w:val="28"/>
          <w:highlight w:val="none"/>
        </w:rPr>
        <w:t>Оразымбетова , А., Сакибаева, С., Сагитова, Г., &amp; Суйгенбаева , А. (2024). Ш</w:t>
      </w:r>
      <w:r>
        <w:rPr>
          <w:rFonts w:hint="default" w:ascii="Times New Roman" w:hAnsi="Times New Roman" w:eastAsia="Segoe UI" w:cs="Times New Roman"/>
          <w:b w:val="0"/>
          <w:bCs w:val="0"/>
          <w:i w:val="0"/>
          <w:iCs w:val="0"/>
          <w:color w:val="auto"/>
          <w:spacing w:val="0"/>
          <w:sz w:val="28"/>
          <w:szCs w:val="28"/>
          <w:highlight w:val="none"/>
        </w:rPr>
        <w:t>анқанай кен орнындағы цеолиттердің физика-химиялық қасиеттерін зерттеу</w:t>
      </w:r>
      <w:r>
        <w:rPr>
          <w:rFonts w:hint="default" w:ascii="Times New Roman" w:hAnsi="Times New Roman" w:eastAsia="Segoe UI" w:cs="Times New Roman"/>
          <w:b w:val="0"/>
          <w:bCs w:val="0"/>
          <w:i w:val="0"/>
          <w:iCs w:val="0"/>
          <w:caps w:val="0"/>
          <w:color w:val="auto"/>
          <w:spacing w:val="0"/>
          <w:sz w:val="28"/>
          <w:szCs w:val="28"/>
          <w:highlight w:val="none"/>
        </w:rPr>
        <w:t>. Academic Scientific Journal of Chemistry, (2), 138–150. https://doi.org/10.32014/2024.2518-1491.228</w:t>
      </w:r>
    </w:p>
    <w:p w14:paraId="458E2A8E">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rPr>
      </w:pPr>
      <w:r>
        <w:rPr>
          <w:rStyle w:val="19"/>
          <w:rFonts w:hint="default" w:ascii="Times New Roman" w:hAnsi="Times New Roman" w:eastAsia="SimSun" w:cs="Times New Roman"/>
          <w:b w:val="0"/>
          <w:bCs w:val="0"/>
          <w:i w:val="0"/>
          <w:iCs w:val="0"/>
          <w:color w:val="auto"/>
          <w:sz w:val="28"/>
          <w:szCs w:val="28"/>
          <w:highlight w:val="none"/>
        </w:rPr>
        <w:t>Montalvo S., Huiliñir C., Borja R., Sánchez E., Herrmann C.</w:t>
      </w:r>
      <w:r>
        <w:rPr>
          <w:rFonts w:hint="default" w:ascii="Times New Roman" w:hAnsi="Times New Roman" w:eastAsia="SimSun" w:cs="Times New Roman"/>
          <w:b w:val="0"/>
          <w:bCs w:val="0"/>
          <w:i w:val="0"/>
          <w:iCs w:val="0"/>
          <w:color w:val="auto"/>
          <w:sz w:val="28"/>
          <w:szCs w:val="28"/>
          <w:highlight w:val="none"/>
        </w:rPr>
        <w:t xml:space="preserve"> Application of zeolites for biological treatment processes of solid wastes and wastewaters – A review // </w:t>
      </w:r>
      <w:r>
        <w:rPr>
          <w:rStyle w:val="19"/>
          <w:rFonts w:hint="default" w:ascii="Times New Roman" w:hAnsi="Times New Roman" w:eastAsia="SimSun" w:cs="Times New Roman"/>
          <w:b w:val="0"/>
          <w:bCs w:val="0"/>
          <w:i w:val="0"/>
          <w:iCs w:val="0"/>
          <w:color w:val="auto"/>
          <w:sz w:val="28"/>
          <w:szCs w:val="28"/>
          <w:highlight w:val="none"/>
        </w:rPr>
        <w:t>Bioresource Technology</w:t>
      </w:r>
      <w:r>
        <w:rPr>
          <w:rFonts w:hint="default" w:ascii="Times New Roman" w:hAnsi="Times New Roman" w:eastAsia="SimSun" w:cs="Times New Roman"/>
          <w:b w:val="0"/>
          <w:bCs w:val="0"/>
          <w:i w:val="0"/>
          <w:iCs w:val="0"/>
          <w:color w:val="auto"/>
          <w:sz w:val="28"/>
          <w:szCs w:val="28"/>
          <w:highlight w:val="none"/>
        </w:rPr>
        <w:t>. – 2020. – Vol. 301. – Art. 122808. – DOI: 10.1016/j.biortech.2020.122808.</w:t>
      </w:r>
    </w:p>
    <w:p w14:paraId="4435F418">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i w:val="0"/>
          <w:iCs w:val="0"/>
          <w:color w:val="auto"/>
          <w:sz w:val="28"/>
          <w:szCs w:val="28"/>
          <w:highlight w:val="none"/>
        </w:rPr>
      </w:pPr>
      <w:r>
        <w:rPr>
          <w:rStyle w:val="19"/>
          <w:rFonts w:hint="default" w:ascii="Times New Roman" w:hAnsi="Times New Roman" w:eastAsia="SimSun" w:cs="Times New Roman"/>
          <w:b w:val="0"/>
          <w:bCs w:val="0"/>
          <w:i w:val="0"/>
          <w:iCs w:val="0"/>
          <w:color w:val="auto"/>
          <w:sz w:val="28"/>
          <w:szCs w:val="28"/>
          <w:highlight w:val="none"/>
        </w:rPr>
        <w:t>Mlih R., Bydalek F., Klask E.-M., Grígyelová K., Zielińska M., Prigent S.</w:t>
      </w:r>
      <w:r>
        <w:rPr>
          <w:rFonts w:hint="default" w:ascii="Times New Roman" w:hAnsi="Times New Roman" w:eastAsia="SimSun" w:cs="Times New Roman"/>
          <w:b w:val="0"/>
          <w:bCs w:val="0"/>
          <w:i w:val="0"/>
          <w:iCs w:val="0"/>
          <w:color w:val="auto"/>
          <w:sz w:val="28"/>
          <w:szCs w:val="28"/>
          <w:highlight w:val="none"/>
        </w:rPr>
        <w:t xml:space="preserve"> Light-expanded clay aggregate (LECA) as a substrate in constructed wetlands – A review // </w:t>
      </w:r>
      <w:r>
        <w:rPr>
          <w:rStyle w:val="19"/>
          <w:rFonts w:hint="default" w:ascii="Times New Roman" w:hAnsi="Times New Roman" w:eastAsia="SimSun" w:cs="Times New Roman"/>
          <w:b w:val="0"/>
          <w:bCs w:val="0"/>
          <w:i w:val="0"/>
          <w:iCs w:val="0"/>
          <w:color w:val="auto"/>
          <w:sz w:val="28"/>
          <w:szCs w:val="28"/>
          <w:highlight w:val="none"/>
        </w:rPr>
        <w:t>Ecological Engineering</w:t>
      </w:r>
      <w:r>
        <w:rPr>
          <w:rFonts w:hint="default" w:ascii="Times New Roman" w:hAnsi="Times New Roman" w:eastAsia="SimSun" w:cs="Times New Roman"/>
          <w:b w:val="0"/>
          <w:bCs w:val="0"/>
          <w:i w:val="0"/>
          <w:iCs w:val="0"/>
          <w:color w:val="auto"/>
          <w:sz w:val="28"/>
          <w:szCs w:val="28"/>
          <w:highlight w:val="none"/>
        </w:rPr>
        <w:t>. – 2020. – Vol. 148. – Art. 105783. – DOI: 10.1016/j.ecoleng.2020.105783.</w:t>
      </w:r>
    </w:p>
    <w:p w14:paraId="3D34967A">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Style w:val="19"/>
          <w:rFonts w:hint="default" w:ascii="Times New Roman" w:hAnsi="Times New Roman" w:eastAsia="Segoe UI" w:cs="Times New Roman"/>
          <w:b w:val="0"/>
          <w:bCs w:val="0"/>
          <w:i w:val="0"/>
          <w:iCs w:val="0"/>
          <w:caps w:val="0"/>
          <w:color w:val="auto"/>
          <w:spacing w:val="0"/>
          <w:sz w:val="28"/>
          <w:szCs w:val="28"/>
          <w:highlight w:val="none"/>
          <w:shd w:val="clear" w:color="auto" w:fill="FFFFFF"/>
          <w:lang w:val="en-US"/>
        </w:rPr>
      </w:pPr>
      <w:r>
        <w:rPr>
          <w:rStyle w:val="19"/>
          <w:rFonts w:hint="default" w:ascii="Times New Roman" w:hAnsi="Times New Roman" w:eastAsia="Segoe UI" w:cs="Times New Roman"/>
          <w:b w:val="0"/>
          <w:bCs w:val="0"/>
          <w:i w:val="0"/>
          <w:iCs w:val="0"/>
          <w:caps w:val="0"/>
          <w:color w:val="auto"/>
          <w:spacing w:val="0"/>
          <w:sz w:val="28"/>
          <w:szCs w:val="28"/>
          <w:highlight w:val="none"/>
          <w:shd w:val="clear" w:color="auto" w:fill="FFFFFF"/>
          <w:lang w:val="en-US"/>
        </w:rPr>
        <w:t xml:space="preserve">Khozhanepessova F., </w:t>
      </w:r>
      <w:r>
        <w:rPr>
          <w:rStyle w:val="19"/>
          <w:rFonts w:hint="default" w:ascii="Times New Roman" w:hAnsi="Times New Roman" w:eastAsia="Segoe UI" w:cs="Times New Roman"/>
          <w:b w:val="0"/>
          <w:bCs w:val="0"/>
          <w:i w:val="0"/>
          <w:iCs w:val="0"/>
          <w:caps w:val="0"/>
          <w:color w:val="auto"/>
          <w:spacing w:val="0"/>
          <w:sz w:val="28"/>
          <w:szCs w:val="28"/>
          <w:highlight w:val="none"/>
          <w:shd w:val="clear" w:color="auto" w:fill="FFFFFF"/>
        </w:rPr>
        <w:t>Serikbayeva A. Comparative field experiment of cleaning oil polluted soil using immobilized microorganisms on mineral carriers // Қазіргі заманғы ғылым: жаңа тәсілдер мен өзекті зерттеулер = Modern science: New approaches and actual studies : халықаралық ғылыми-практикалық конференция материалдары, 21 сәуір 2020 ж. – Прага, Чехия, 2020. – С.</w:t>
      </w:r>
    </w:p>
    <w:p w14:paraId="7801323E">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eastAsia="Arial" w:cs="Times New Roman"/>
          <w:b w:val="0"/>
          <w:bCs w:val="0"/>
          <w:i w:val="0"/>
          <w:iCs w:val="0"/>
          <w:color w:val="auto"/>
          <w:sz w:val="28"/>
          <w:szCs w:val="28"/>
          <w:highlight w:val="none"/>
          <w:lang w:val="en-US"/>
        </w:rPr>
      </w:pPr>
      <w:r>
        <w:rPr>
          <w:rFonts w:hint="default" w:ascii="Times New Roman" w:hAnsi="Times New Roman" w:eastAsia="SimSun" w:cs="Times New Roman"/>
          <w:b w:val="0"/>
          <w:bCs w:val="0"/>
          <w:i w:val="0"/>
          <w:iCs w:val="0"/>
          <w:color w:val="auto"/>
          <w:sz w:val="28"/>
          <w:szCs w:val="28"/>
          <w:highlight w:val="none"/>
        </w:rPr>
        <w:t>Хожанепесова Ф., Серикбаева А. Тасымалдағыштарға иммобилизацияланған деструктивті-микроағзалардың мұнайды тотықтырғыш белсенділігін зерттеу // ҚазҰТЗУ хабаршысы. Экологиялық сериясы. – 2020. – № 5. – Б. 478-481.</w:t>
      </w:r>
    </w:p>
    <w:p w14:paraId="6F05B90C">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color w:val="auto"/>
          <w:sz w:val="28"/>
          <w:szCs w:val="28"/>
        </w:rPr>
      </w:pPr>
      <w:r>
        <w:rPr>
          <w:rStyle w:val="19"/>
          <w:rFonts w:hint="default" w:ascii="Times New Roman" w:hAnsi="Times New Roman" w:eastAsia="Segoe UI" w:cs="Times New Roman"/>
          <w:b w:val="0"/>
          <w:bCs w:val="0"/>
          <w:i w:val="0"/>
          <w:iCs w:val="0"/>
          <w:caps w:val="0"/>
          <w:color w:val="auto"/>
          <w:spacing w:val="0"/>
          <w:sz w:val="28"/>
          <w:szCs w:val="28"/>
          <w:shd w:val="clear" w:fill="FFFFFF"/>
        </w:rPr>
        <w:t>Covizzi, L. G.</w:t>
      </w:r>
      <w:r>
        <w:rPr>
          <w:rFonts w:hint="default" w:ascii="Times New Roman" w:hAnsi="Times New Roman" w:eastAsia="Segoe UI" w:cs="Times New Roman"/>
          <w:b w:val="0"/>
          <w:bCs w:val="0"/>
          <w:i w:val="0"/>
          <w:iCs w:val="0"/>
          <w:caps w:val="0"/>
          <w:color w:val="auto"/>
          <w:spacing w:val="0"/>
          <w:sz w:val="28"/>
          <w:szCs w:val="28"/>
          <w:shd w:val="clear" w:fill="FFFFFF"/>
        </w:rPr>
        <w:t xml:space="preserve"> Immobilization of microbial cells and their biotechnological applications / L. G. Covizzi, E. C. Giese, E. Gomes, R. F. H. Dekker, R. da Silva // Semina: Ciências Exatas e Tecnológicas. – 2007. – Vol. 28, No. 2. – P. 143-160. – DOI: 10.5433/1679-0375.2007v28n2p143. – </w:t>
      </w:r>
    </w:p>
    <w:p w14:paraId="64A08D39">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color w:val="auto"/>
          <w:sz w:val="28"/>
          <w:szCs w:val="28"/>
        </w:rPr>
      </w:pPr>
      <w:r>
        <w:rPr>
          <w:rStyle w:val="19"/>
          <w:rFonts w:hint="default" w:ascii="Times New Roman" w:hAnsi="Times New Roman" w:eastAsia="Segoe UI" w:cs="Times New Roman"/>
          <w:b w:val="0"/>
          <w:bCs w:val="0"/>
          <w:i w:val="0"/>
          <w:iCs w:val="0"/>
          <w:caps w:val="0"/>
          <w:color w:val="auto"/>
          <w:spacing w:val="0"/>
          <w:sz w:val="28"/>
          <w:szCs w:val="28"/>
          <w:shd w:val="clear" w:fill="FFFFFF"/>
        </w:rPr>
        <w:t> Hesnawi, R. M.</w:t>
      </w:r>
      <w:r>
        <w:rPr>
          <w:rFonts w:hint="default" w:ascii="Times New Roman" w:hAnsi="Times New Roman" w:eastAsia="Segoe UI" w:cs="Times New Roman"/>
          <w:b w:val="0"/>
          <w:bCs w:val="0"/>
          <w:i w:val="0"/>
          <w:iCs w:val="0"/>
          <w:caps w:val="0"/>
          <w:color w:val="auto"/>
          <w:spacing w:val="0"/>
          <w:sz w:val="28"/>
          <w:szCs w:val="28"/>
          <w:shd w:val="clear" w:fill="FFFFFF"/>
        </w:rPr>
        <w:t> Effect of nutrient source on indigenous biodegradation of diesel fuel contaminated soil / R. M. Hesnawi, M. M. Adbeib // APCBEE Procedia. – 2013. – Vol. 5. – P. 557-561. – DOI: 10.1016/j.apcbee.2013.05.093</w:t>
      </w:r>
    </w:p>
    <w:p w14:paraId="60EE3E81">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color w:val="auto"/>
          <w:sz w:val="28"/>
          <w:szCs w:val="28"/>
        </w:rPr>
      </w:pPr>
      <w:r>
        <w:rPr>
          <w:rStyle w:val="19"/>
          <w:rFonts w:hint="default" w:ascii="Times New Roman" w:hAnsi="Times New Roman" w:eastAsia="Segoe UI" w:cs="Times New Roman"/>
          <w:b w:val="0"/>
          <w:bCs w:val="0"/>
          <w:i w:val="0"/>
          <w:iCs w:val="0"/>
          <w:caps w:val="0"/>
          <w:color w:val="auto"/>
          <w:spacing w:val="0"/>
          <w:sz w:val="28"/>
          <w:szCs w:val="28"/>
          <w:shd w:val="clear" w:fill="FFFFFF"/>
        </w:rPr>
        <w:t>Zielińska, D.</w:t>
      </w:r>
      <w:r>
        <w:rPr>
          <w:rFonts w:hint="default" w:ascii="Times New Roman" w:hAnsi="Times New Roman" w:eastAsia="Segoe UI" w:cs="Times New Roman"/>
          <w:b w:val="0"/>
          <w:bCs w:val="0"/>
          <w:i w:val="0"/>
          <w:iCs w:val="0"/>
          <w:caps w:val="0"/>
          <w:color w:val="auto"/>
          <w:spacing w:val="0"/>
          <w:sz w:val="28"/>
          <w:szCs w:val="28"/>
          <w:shd w:val="clear" w:fill="FFFFFF"/>
        </w:rPr>
        <w:t> Antioxidant activity of flavone C-glucosides determined by updated analytical strategies / D. Zielińska, D. Szawara-Nowak, H. Zieliński // Polish Journal of Food and Nutrition Sciences. – 2010. – Vol. 60, No. 4. – P. 315-321. – DOI: 10.2478/v10222-011-0015-2</w:t>
      </w:r>
    </w:p>
    <w:p w14:paraId="71070951">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color w:val="auto"/>
          <w:sz w:val="28"/>
          <w:szCs w:val="28"/>
        </w:rPr>
      </w:pPr>
      <w:r>
        <w:rPr>
          <w:rStyle w:val="19"/>
          <w:rFonts w:hint="default" w:ascii="Times New Roman" w:hAnsi="Times New Roman" w:eastAsia="Segoe UI" w:cs="Times New Roman"/>
          <w:b w:val="0"/>
          <w:bCs w:val="0"/>
          <w:i w:val="0"/>
          <w:iCs w:val="0"/>
          <w:caps w:val="0"/>
          <w:color w:val="auto"/>
          <w:spacing w:val="0"/>
          <w:sz w:val="28"/>
          <w:szCs w:val="28"/>
          <w:shd w:val="clear" w:fill="FFFFFF"/>
        </w:rPr>
        <w:t> Strizhenok, A. V.</w:t>
      </w:r>
      <w:r>
        <w:rPr>
          <w:rFonts w:hint="default" w:ascii="Times New Roman" w:hAnsi="Times New Roman" w:eastAsia="Segoe UI" w:cs="Times New Roman"/>
          <w:b w:val="0"/>
          <w:bCs w:val="0"/>
          <w:i w:val="0"/>
          <w:iCs w:val="0"/>
          <w:caps w:val="0"/>
          <w:color w:val="auto"/>
          <w:spacing w:val="0"/>
          <w:sz w:val="28"/>
          <w:szCs w:val="28"/>
          <w:shd w:val="clear" w:fill="FFFFFF"/>
        </w:rPr>
        <w:t> Assessment of the Efficiency of Using Organic Waste from the Brewing Industry for Bioremediation of Oil-Contaminated Soils / A. V. Strizhenok, D. S. Korelskiy, Y. Choi // Journal of Ecological Engineering. – 2021. – Vol. 22, No. 4. – P. 66-77. – DOI: 10.12911/22998993/133966</w:t>
      </w:r>
    </w:p>
    <w:p w14:paraId="540DFF53">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color w:val="auto"/>
          <w:sz w:val="28"/>
          <w:szCs w:val="28"/>
        </w:rPr>
      </w:pPr>
      <w:r>
        <w:rPr>
          <w:rStyle w:val="19"/>
          <w:rFonts w:hint="default" w:ascii="Times New Roman" w:hAnsi="Times New Roman" w:eastAsia="Segoe UI" w:cs="Times New Roman"/>
          <w:b w:val="0"/>
          <w:bCs w:val="0"/>
          <w:i w:val="0"/>
          <w:iCs w:val="0"/>
          <w:caps w:val="0"/>
          <w:color w:val="auto"/>
          <w:spacing w:val="0"/>
          <w:sz w:val="28"/>
          <w:szCs w:val="28"/>
          <w:shd w:val="clear" w:fill="FFFFFF"/>
        </w:rPr>
        <w:t>Azubuike, C. C.</w:t>
      </w:r>
      <w:r>
        <w:rPr>
          <w:rFonts w:hint="default" w:ascii="Times New Roman" w:hAnsi="Times New Roman" w:eastAsia="Segoe UI" w:cs="Times New Roman"/>
          <w:b w:val="0"/>
          <w:bCs w:val="0"/>
          <w:i w:val="0"/>
          <w:iCs w:val="0"/>
          <w:caps w:val="0"/>
          <w:color w:val="auto"/>
          <w:spacing w:val="0"/>
          <w:sz w:val="28"/>
          <w:szCs w:val="28"/>
          <w:shd w:val="clear" w:fill="FFFFFF"/>
        </w:rPr>
        <w:t> Bioremediation techniques–classification based on site of application: principles, advantages, limitations and prospects / C. C. Azubuike, C. B. Chikere, G. C. Okpokwasili // World Journal of Microbiology and Biotechnology. – 2016. – Vol. 32, № 11. – P. 180. – DOI: 10.1007/s11274-016-2137-x.</w:t>
      </w:r>
    </w:p>
    <w:p w14:paraId="4C564DD5">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color w:val="auto"/>
          <w:sz w:val="28"/>
          <w:szCs w:val="28"/>
        </w:rPr>
      </w:pPr>
      <w:r>
        <w:rPr>
          <w:rStyle w:val="19"/>
          <w:rFonts w:hint="default" w:ascii="Times New Roman" w:hAnsi="Times New Roman" w:eastAsia="Segoe UI" w:cs="Times New Roman"/>
          <w:b w:val="0"/>
          <w:bCs w:val="0"/>
          <w:i w:val="0"/>
          <w:iCs w:val="0"/>
          <w:caps w:val="0"/>
          <w:color w:val="auto"/>
          <w:spacing w:val="0"/>
          <w:sz w:val="28"/>
          <w:szCs w:val="28"/>
          <w:shd w:val="clear" w:fill="FFFFFF"/>
        </w:rPr>
        <w:t>Saha, S.</w:t>
      </w:r>
      <w:r>
        <w:rPr>
          <w:rFonts w:hint="default" w:ascii="Times New Roman" w:hAnsi="Times New Roman" w:eastAsia="Segoe UI" w:cs="Times New Roman"/>
          <w:b w:val="0"/>
          <w:bCs w:val="0"/>
          <w:i w:val="0"/>
          <w:iCs w:val="0"/>
          <w:caps w:val="0"/>
          <w:color w:val="auto"/>
          <w:spacing w:val="0"/>
          <w:sz w:val="28"/>
          <w:szCs w:val="28"/>
          <w:shd w:val="clear" w:fill="FFFFFF"/>
        </w:rPr>
        <w:t> Bioethanol production from rice husk using different pretreatment and fermentation conditions / S. Saha, A. Sharma, S. Purkayastha, K. Pandey, S. Dutta // Bioresources and Bioprocessing. – 2016. – Vol. 3. – P. 25. – DOI: 10.1186/s40643-016-0103-8</w:t>
      </w:r>
    </w:p>
    <w:p w14:paraId="78C024B3">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color w:val="auto"/>
          <w:sz w:val="28"/>
          <w:szCs w:val="28"/>
        </w:rPr>
      </w:pPr>
      <w:r>
        <w:rPr>
          <w:rStyle w:val="19"/>
          <w:rFonts w:hint="default" w:ascii="Times New Roman" w:hAnsi="Times New Roman" w:eastAsia="Segoe UI" w:cs="Times New Roman"/>
          <w:b w:val="0"/>
          <w:bCs w:val="0"/>
          <w:i w:val="0"/>
          <w:iCs w:val="0"/>
          <w:caps w:val="0"/>
          <w:color w:val="auto"/>
          <w:spacing w:val="0"/>
          <w:sz w:val="28"/>
          <w:szCs w:val="28"/>
          <w:shd w:val="clear" w:fill="FFFFFF"/>
        </w:rPr>
        <w:t>Ikeura, H.</w:t>
      </w:r>
      <w:r>
        <w:rPr>
          <w:rFonts w:hint="default" w:ascii="Times New Roman" w:hAnsi="Times New Roman" w:eastAsia="Segoe UI" w:cs="Times New Roman"/>
          <w:b w:val="0"/>
          <w:bCs w:val="0"/>
          <w:i w:val="0"/>
          <w:iCs w:val="0"/>
          <w:caps w:val="0"/>
          <w:color w:val="auto"/>
          <w:spacing w:val="0"/>
          <w:sz w:val="28"/>
          <w:szCs w:val="28"/>
          <w:shd w:val="clear" w:fill="FFFFFF"/>
        </w:rPr>
        <w:t> Screening of plants for phytoremediation of oil-contaminated soil / H. Ikeura, Y. Kawasaki, E. Kaimi, J. Nishiwaki, K. Noborio, M. Tamaki // International Journal of Phytoremediation. – 2016. – Vol. 18, Iss. 5. – P. 460-466. – DOI: 10.1080/15226514.2015.1115957.</w:t>
      </w:r>
    </w:p>
    <w:p w14:paraId="49193898">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color w:val="auto"/>
          <w:sz w:val="28"/>
          <w:szCs w:val="28"/>
        </w:rPr>
      </w:pPr>
      <w:r>
        <w:rPr>
          <w:rStyle w:val="19"/>
          <w:rFonts w:hint="default" w:ascii="Times New Roman" w:hAnsi="Times New Roman" w:eastAsia="SimSun" w:cs="Times New Roman"/>
          <w:b w:val="0"/>
          <w:bCs w:val="0"/>
          <w:color w:val="auto"/>
          <w:sz w:val="28"/>
          <w:szCs w:val="28"/>
        </w:rPr>
        <w:t>Bekins B.A., Warren E., Godsy E.M.</w:t>
      </w:r>
      <w:r>
        <w:rPr>
          <w:rFonts w:hint="default" w:ascii="Times New Roman" w:hAnsi="Times New Roman" w:eastAsia="SimSun" w:cs="Times New Roman"/>
          <w:b w:val="0"/>
          <w:bCs w:val="0"/>
          <w:color w:val="auto"/>
          <w:sz w:val="28"/>
          <w:szCs w:val="28"/>
        </w:rPr>
        <w:t xml:space="preserve"> A comparison of zero-order, first-order, and Monod biotransformation models // Ground Water. – 1998. – Vol. 36, № 2. – P. 261–268. – DOI: 10.1111/j.1745-6584.1998.tb01091.x.</w:t>
      </w:r>
    </w:p>
    <w:p w14:paraId="4927FC1D">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eastAsia="Arial" w:cs="Times New Roman"/>
          <w:b w:val="0"/>
          <w:bCs w:val="0"/>
          <w:color w:val="auto"/>
          <w:sz w:val="28"/>
          <w:szCs w:val="28"/>
          <w:lang w:val="en-US"/>
        </w:rPr>
      </w:pPr>
      <w:r>
        <w:rPr>
          <w:rFonts w:hint="default" w:ascii="Times New Roman" w:hAnsi="Times New Roman" w:eastAsia="SimSun" w:cs="Times New Roman"/>
          <w:b w:val="0"/>
          <w:bCs w:val="0"/>
          <w:color w:val="auto"/>
          <w:sz w:val="28"/>
          <w:szCs w:val="28"/>
        </w:rPr>
        <w:t>Хожанепесова Ф., Серикбаева А. Тасымалдағыштарға иммобилизацияланған деструктивті-микроағзалардың мұнайды тотықтырғыш белсенділігін зерттеу // ҚазҰТЗУ хабаршысы. Экологиялық сериясы. – 2020. – № 5. – Б. 478-481.</w:t>
      </w:r>
    </w:p>
    <w:p w14:paraId="227BCFC9">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eastAsia="Times-Roman" w:cs="Times New Roman"/>
          <w:b w:val="0"/>
          <w:bCs w:val="0"/>
          <w:color w:val="auto"/>
          <w:kern w:val="0"/>
          <w:sz w:val="28"/>
          <w:szCs w:val="28"/>
          <w:lang w:val="en-US" w:eastAsia="zh-CN" w:bidi="ar"/>
        </w:rPr>
      </w:pPr>
      <w:r>
        <w:rPr>
          <w:rFonts w:hint="default" w:ascii="Times New Roman" w:hAnsi="Times New Roman" w:eastAsia="Times-Roman" w:cs="Times New Roman"/>
          <w:b w:val="0"/>
          <w:bCs w:val="0"/>
          <w:color w:val="auto"/>
          <w:kern w:val="0"/>
          <w:sz w:val="28"/>
          <w:szCs w:val="28"/>
          <w:lang w:val="en-US" w:eastAsia="zh-CN" w:bidi="ar"/>
        </w:rPr>
        <w:t>Akhmetov L.I., Puntus I.F., Narmanova R.A., Appazov N.O., Funtikova T.V., Regepova A.A., Filonov A.E. Recent Advances in Creating Biopreparations to Fight Oil Spills in Soil Ecosystems in Sharply Continental Climate of Republic of Kazakhstan // Processes. – 2022. – Vol. 10, № 3. – Art. 549. – DOI: 10.3390/pr10030549.</w:t>
      </w:r>
    </w:p>
    <w:p w14:paraId="175B9B00">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cs="Times New Roman"/>
          <w:b w:val="0"/>
          <w:bCs w:val="0"/>
          <w:color w:val="auto"/>
          <w:sz w:val="28"/>
          <w:szCs w:val="28"/>
        </w:rPr>
      </w:pPr>
      <w:r>
        <w:rPr>
          <w:rFonts w:hint="default" w:ascii="Times New Roman" w:hAnsi="Times New Roman" w:eastAsia="SimSun" w:cs="Times New Roman"/>
          <w:b w:val="0"/>
          <w:bCs w:val="0"/>
          <w:color w:val="auto"/>
          <w:sz w:val="28"/>
          <w:szCs w:val="28"/>
        </w:rPr>
        <w:t>Хожанепесова Ф., Серикбаева А., Dadrasnia A., Абдибаттаева М., Мырзабекова А. Оценка влияния температуры окружающей среды и солености почвы на степень деструкции нефти свободными и иммобилизованными микроорганизмами // Вестник КазНУ. Серия экологическая. – 2022. – № 3 (72). – Б. 50-58.</w:t>
      </w:r>
    </w:p>
    <w:p w14:paraId="2252C52F">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eastAsia="Consolas" w:cs="Times New Roman"/>
          <w:b w:val="0"/>
          <w:bCs w:val="0"/>
          <w:caps w:val="0"/>
          <w:color w:val="auto"/>
          <w:spacing w:val="0"/>
          <w:sz w:val="28"/>
          <w:szCs w:val="28"/>
        </w:rPr>
      </w:pPr>
      <w:r>
        <w:rPr>
          <w:rFonts w:hint="default" w:ascii="Times New Roman" w:hAnsi="Times New Roman" w:eastAsia="Consolas" w:cs="Times New Roman"/>
          <w:b w:val="0"/>
          <w:bCs w:val="0"/>
          <w:i/>
          <w:iCs/>
          <w:caps w:val="0"/>
          <w:color w:val="auto"/>
          <w:spacing w:val="0"/>
          <w:sz w:val="28"/>
          <w:szCs w:val="28"/>
        </w:rPr>
        <w:t>Sarin Ch.</w:t>
      </w:r>
      <w:r>
        <w:rPr>
          <w:rFonts w:hint="default" w:ascii="Times New Roman" w:hAnsi="Times New Roman" w:eastAsia="Consolas" w:cs="Times New Roman"/>
          <w:b w:val="0"/>
          <w:bCs w:val="0"/>
          <w:caps w:val="0"/>
          <w:color w:val="auto"/>
          <w:spacing w:val="0"/>
          <w:sz w:val="28"/>
          <w:szCs w:val="28"/>
        </w:rPr>
        <w:t xml:space="preserve"> Removal of Cadmium and Zinc from Soil using immobilized cell of biosurfactant producing bacteria / Ch. Sarin, S. Sarin // Environmentasia. – 2010. – Vol. 3, № 2. – P. 49-53. – URL: </w:t>
      </w:r>
      <w:r>
        <w:rPr>
          <w:rFonts w:hint="default" w:ascii="Times New Roman" w:hAnsi="Times New Roman" w:eastAsia="Consolas" w:cs="Times New Roman"/>
          <w:b w:val="0"/>
          <w:bCs w:val="0"/>
          <w:caps w:val="0"/>
          <w:color w:val="auto"/>
          <w:spacing w:val="0"/>
          <w:sz w:val="28"/>
          <w:szCs w:val="28"/>
        </w:rPr>
        <w:fldChar w:fldCharType="begin"/>
      </w:r>
      <w:r>
        <w:rPr>
          <w:rFonts w:hint="default" w:ascii="Times New Roman" w:hAnsi="Times New Roman" w:eastAsia="Consolas" w:cs="Times New Roman"/>
          <w:b w:val="0"/>
          <w:bCs w:val="0"/>
          <w:caps w:val="0"/>
          <w:color w:val="auto"/>
          <w:spacing w:val="0"/>
          <w:sz w:val="28"/>
          <w:szCs w:val="28"/>
        </w:rPr>
        <w:instrText xml:space="preserve"> HYPERLINK "https://www.thaiscience.info/journals/Article/ENV/10967964.pdf" </w:instrText>
      </w:r>
      <w:r>
        <w:rPr>
          <w:rFonts w:hint="default" w:ascii="Times New Roman" w:hAnsi="Times New Roman" w:eastAsia="Consolas" w:cs="Times New Roman"/>
          <w:b w:val="0"/>
          <w:bCs w:val="0"/>
          <w:caps w:val="0"/>
          <w:color w:val="auto"/>
          <w:spacing w:val="0"/>
          <w:sz w:val="28"/>
          <w:szCs w:val="28"/>
        </w:rPr>
        <w:fldChar w:fldCharType="separate"/>
      </w:r>
      <w:r>
        <w:rPr>
          <w:rStyle w:val="17"/>
          <w:rFonts w:hint="default" w:ascii="Times New Roman" w:hAnsi="Times New Roman" w:eastAsia="Consolas" w:cs="Times New Roman"/>
          <w:b w:val="0"/>
          <w:bCs w:val="0"/>
          <w:caps w:val="0"/>
          <w:color w:val="auto"/>
          <w:spacing w:val="0"/>
          <w:sz w:val="28"/>
          <w:szCs w:val="28"/>
        </w:rPr>
        <w:t>https://www.thaiscience.info/journals/Article/ENV/10967964.pdf</w:t>
      </w:r>
      <w:r>
        <w:rPr>
          <w:rFonts w:hint="default" w:ascii="Times New Roman" w:hAnsi="Times New Roman" w:eastAsia="Consolas" w:cs="Times New Roman"/>
          <w:b w:val="0"/>
          <w:bCs w:val="0"/>
          <w:caps w:val="0"/>
          <w:color w:val="auto"/>
          <w:spacing w:val="0"/>
          <w:sz w:val="28"/>
          <w:szCs w:val="28"/>
        </w:rPr>
        <w:fldChar w:fldCharType="end"/>
      </w:r>
    </w:p>
    <w:p w14:paraId="7685271A">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eastAsia="Segoe UI" w:cs="Times New Roman"/>
          <w:b w:val="0"/>
          <w:bCs w:val="0"/>
          <w:i w:val="0"/>
          <w:iCs w:val="0"/>
          <w:caps w:val="0"/>
          <w:color w:val="auto"/>
          <w:spacing w:val="0"/>
          <w:sz w:val="28"/>
          <w:szCs w:val="28"/>
          <w:shd w:val="clear" w:color="auto" w:fill="FFFFFF"/>
          <w:lang w:val="en-US"/>
        </w:rPr>
      </w:pPr>
      <w:r>
        <w:rPr>
          <w:rStyle w:val="19"/>
          <w:rFonts w:hint="default" w:ascii="Times New Roman" w:hAnsi="Times New Roman" w:eastAsia="Segoe UI" w:cs="Times New Roman"/>
          <w:b w:val="0"/>
          <w:bCs w:val="0"/>
          <w:i w:val="0"/>
          <w:iCs w:val="0"/>
          <w:caps w:val="0"/>
          <w:color w:val="auto"/>
          <w:spacing w:val="0"/>
          <w:sz w:val="28"/>
          <w:szCs w:val="28"/>
          <w:shd w:val="clear" w:color="auto" w:fill="FFFFFF"/>
        </w:rPr>
        <w:t>Wei Y., Shen D., Ramzan M. N., Emmanuel A., Zhu J., Yang W., Wang Y., Zheng Z.</w:t>
      </w:r>
      <w:r>
        <w:rPr>
          <w:rFonts w:hint="default" w:ascii="Times New Roman" w:hAnsi="Times New Roman" w:eastAsia="Segoe UI" w:cs="Times New Roman"/>
          <w:b w:val="0"/>
          <w:bCs w:val="0"/>
          <w:i w:val="0"/>
          <w:iCs w:val="0"/>
          <w:caps w:val="0"/>
          <w:color w:val="auto"/>
          <w:spacing w:val="0"/>
          <w:sz w:val="28"/>
          <w:szCs w:val="28"/>
          <w:shd w:val="clear" w:color="auto" w:fill="FFFFFF"/>
        </w:rPr>
        <w:t> Treatment efficiency and microbial community analysis in the integrated bioremediation system of aquaculture wastewater with the ceramsite and compound bacteria // International Biodeterioration &amp; Biodegradation. – 2024. – Vol. 191. – Art. 105792. – DOI: </w:t>
      </w:r>
      <w:r>
        <w:rPr>
          <w:rFonts w:hint="default" w:ascii="Times New Roman" w:hAnsi="Times New Roman" w:eastAsia="Segoe UI" w:cs="Times New Roman"/>
          <w:b w:val="0"/>
          <w:bCs w:val="0"/>
          <w:i w:val="0"/>
          <w:iCs w:val="0"/>
          <w:caps w:val="0"/>
          <w:color w:val="auto"/>
          <w:spacing w:val="0"/>
          <w:sz w:val="28"/>
          <w:szCs w:val="28"/>
          <w:u w:val="none"/>
          <w:bdr w:val="single" w:color="auto" w:sz="12" w:space="0"/>
          <w:shd w:val="clear" w:color="auto" w:fill="FFFFFF"/>
        </w:rPr>
        <w:fldChar w:fldCharType="begin"/>
      </w:r>
      <w:r>
        <w:rPr>
          <w:rFonts w:hint="default" w:ascii="Times New Roman" w:hAnsi="Times New Roman" w:eastAsia="Segoe UI" w:cs="Times New Roman"/>
          <w:b w:val="0"/>
          <w:bCs w:val="0"/>
          <w:i w:val="0"/>
          <w:iCs w:val="0"/>
          <w:caps w:val="0"/>
          <w:color w:val="auto"/>
          <w:spacing w:val="0"/>
          <w:sz w:val="28"/>
          <w:szCs w:val="28"/>
          <w:u w:val="none"/>
          <w:bdr w:val="single" w:color="auto" w:sz="12" w:space="0"/>
          <w:shd w:val="clear" w:color="auto" w:fill="FFFFFF"/>
        </w:rPr>
        <w:instrText xml:space="preserve"> HYPERLINK "https://doi.org/10.1016/j.ibiod.2024.105792" \t "https://chat.deepseek.com/a/chat/s/_blank" </w:instrText>
      </w:r>
      <w:r>
        <w:rPr>
          <w:rFonts w:hint="default" w:ascii="Times New Roman" w:hAnsi="Times New Roman" w:eastAsia="Segoe UI" w:cs="Times New Roman"/>
          <w:b w:val="0"/>
          <w:bCs w:val="0"/>
          <w:i w:val="0"/>
          <w:iCs w:val="0"/>
          <w:caps w:val="0"/>
          <w:color w:val="auto"/>
          <w:spacing w:val="0"/>
          <w:sz w:val="28"/>
          <w:szCs w:val="28"/>
          <w:u w:val="none"/>
          <w:bdr w:val="single" w:color="auto" w:sz="12" w:space="0"/>
          <w:shd w:val="clear" w:color="auto" w:fill="FFFFFF"/>
        </w:rPr>
        <w:fldChar w:fldCharType="separate"/>
      </w:r>
      <w:r>
        <w:rPr>
          <w:rStyle w:val="17"/>
          <w:rFonts w:hint="default" w:ascii="Times New Roman" w:hAnsi="Times New Roman" w:eastAsia="Segoe UI" w:cs="Times New Roman"/>
          <w:b w:val="0"/>
          <w:bCs w:val="0"/>
          <w:i w:val="0"/>
          <w:iCs w:val="0"/>
          <w:caps w:val="0"/>
          <w:color w:val="auto"/>
          <w:spacing w:val="0"/>
          <w:sz w:val="28"/>
          <w:szCs w:val="28"/>
          <w:u w:val="none"/>
          <w:shd w:val="clear" w:color="auto" w:fill="FFFFFF"/>
        </w:rPr>
        <w:t>https://doi.org/10.1016/j.ibiod.2024.105792</w:t>
      </w:r>
      <w:r>
        <w:rPr>
          <w:rFonts w:hint="default" w:ascii="Times New Roman" w:hAnsi="Times New Roman" w:eastAsia="Segoe UI" w:cs="Times New Roman"/>
          <w:b w:val="0"/>
          <w:bCs w:val="0"/>
          <w:i w:val="0"/>
          <w:iCs w:val="0"/>
          <w:caps w:val="0"/>
          <w:color w:val="auto"/>
          <w:spacing w:val="0"/>
          <w:sz w:val="28"/>
          <w:szCs w:val="28"/>
          <w:u w:val="none"/>
          <w:bdr w:val="single" w:color="auto" w:sz="12" w:space="0"/>
          <w:shd w:val="clear" w:color="auto" w:fill="FFFFFF"/>
        </w:rPr>
        <w:fldChar w:fldCharType="end"/>
      </w:r>
      <w:r>
        <w:rPr>
          <w:rFonts w:hint="default" w:ascii="Times New Roman" w:hAnsi="Times New Roman" w:eastAsia="Segoe UI" w:cs="Times New Roman"/>
          <w:b w:val="0"/>
          <w:bCs w:val="0"/>
          <w:i w:val="0"/>
          <w:iCs w:val="0"/>
          <w:caps w:val="0"/>
          <w:color w:val="auto"/>
          <w:spacing w:val="0"/>
          <w:sz w:val="28"/>
          <w:szCs w:val="28"/>
          <w:shd w:val="clear" w:color="auto" w:fill="FFFFFF"/>
        </w:rPr>
        <w:t>.</w:t>
      </w:r>
    </w:p>
    <w:p w14:paraId="50F4B8E0">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Fonts w:hint="default" w:ascii="Times New Roman" w:hAnsi="Times New Roman" w:eastAsia="Segoe UI" w:cs="Times New Roman"/>
          <w:b w:val="0"/>
          <w:bCs w:val="0"/>
          <w:i w:val="0"/>
          <w:iCs w:val="0"/>
          <w:caps w:val="0"/>
          <w:color w:val="auto"/>
          <w:spacing w:val="0"/>
          <w:sz w:val="28"/>
          <w:szCs w:val="28"/>
          <w:shd w:val="clear" w:color="auto" w:fill="FFFFFF"/>
          <w:lang w:val="en-US"/>
        </w:rPr>
      </w:pPr>
      <w:r>
        <w:rPr>
          <w:rStyle w:val="19"/>
          <w:rFonts w:hint="default" w:ascii="Times New Roman" w:hAnsi="Times New Roman" w:eastAsia="Segoe UI" w:cs="Times New Roman"/>
          <w:b w:val="0"/>
          <w:bCs w:val="0"/>
          <w:i w:val="0"/>
          <w:iCs w:val="0"/>
          <w:caps w:val="0"/>
          <w:color w:val="auto"/>
          <w:spacing w:val="0"/>
          <w:sz w:val="28"/>
          <w:szCs w:val="28"/>
          <w:shd w:val="clear" w:color="auto" w:fill="FFFFFF"/>
        </w:rPr>
        <w:t>Shchemelinina T. N., Gömze L. A., Kotova O. B., Ibrahim J. E. F. M., Shushkov D. A., Harja M., Ignatiev G. V., Anchugova E. M.</w:t>
      </w:r>
      <w:r>
        <w:rPr>
          <w:rFonts w:hint="default" w:ascii="Times New Roman" w:hAnsi="Times New Roman" w:eastAsia="Segoe UI" w:cs="Times New Roman"/>
          <w:b w:val="0"/>
          <w:bCs w:val="0"/>
          <w:i w:val="0"/>
          <w:iCs w:val="0"/>
          <w:caps w:val="0"/>
          <w:color w:val="auto"/>
          <w:spacing w:val="0"/>
          <w:sz w:val="28"/>
          <w:szCs w:val="28"/>
          <w:shd w:val="clear" w:color="auto" w:fill="FFFFFF"/>
        </w:rPr>
        <w:t> Clay- and zeolite-based biogeosorbents: modelling and properties // Építőanyag – Journal of Silicate Based and Composite Materials. – 2019. – Vol. 71, No. 4. – P. 136–140. – DOI:</w:t>
      </w:r>
      <w:r>
        <w:rPr>
          <w:rFonts w:hint="default" w:ascii="Times New Roman" w:hAnsi="Times New Roman" w:eastAsia="Segoe UI" w:cs="Times New Roman"/>
          <w:b w:val="0"/>
          <w:bCs w:val="0"/>
          <w:i w:val="0"/>
          <w:iCs w:val="0"/>
          <w:caps w:val="0"/>
          <w:color w:val="auto"/>
          <w:spacing w:val="0"/>
          <w:sz w:val="28"/>
          <w:szCs w:val="28"/>
          <w:shd w:val="clear" w:color="auto" w:fill="FFFFFF"/>
          <w:lang w:val="kk-KZ"/>
        </w:rPr>
        <w:t xml:space="preserve"> </w:t>
      </w:r>
      <w:r>
        <w:rPr>
          <w:rFonts w:hint="default" w:ascii="Times New Roman" w:hAnsi="Times New Roman" w:eastAsia="Segoe UI" w:cs="Times New Roman"/>
          <w:b w:val="0"/>
          <w:bCs w:val="0"/>
          <w:i w:val="0"/>
          <w:iCs w:val="0"/>
          <w:caps w:val="0"/>
          <w:color w:val="auto"/>
          <w:spacing w:val="0"/>
          <w:sz w:val="28"/>
          <w:szCs w:val="28"/>
          <w:u w:val="none"/>
          <w:bdr w:val="single" w:color="auto" w:sz="12" w:space="0"/>
          <w:shd w:val="clear" w:color="auto" w:fill="FFFFFF"/>
        </w:rPr>
        <w:fldChar w:fldCharType="begin"/>
      </w:r>
      <w:r>
        <w:rPr>
          <w:rFonts w:hint="default" w:ascii="Times New Roman" w:hAnsi="Times New Roman" w:eastAsia="Segoe UI" w:cs="Times New Roman"/>
          <w:b w:val="0"/>
          <w:bCs w:val="0"/>
          <w:i w:val="0"/>
          <w:iCs w:val="0"/>
          <w:caps w:val="0"/>
          <w:color w:val="auto"/>
          <w:spacing w:val="0"/>
          <w:sz w:val="28"/>
          <w:szCs w:val="28"/>
          <w:u w:val="none"/>
          <w:bdr w:val="single" w:color="auto" w:sz="12" w:space="0"/>
          <w:shd w:val="clear" w:color="auto" w:fill="FFFFFF"/>
        </w:rPr>
        <w:instrText xml:space="preserve"> HYPERLINK "https://doi.org/10.14382/epitoanyag-jsbcm.2019.23" \t "https://chat.deepseek.com/a/chat/s/_blank" </w:instrText>
      </w:r>
      <w:r>
        <w:rPr>
          <w:rFonts w:hint="default" w:ascii="Times New Roman" w:hAnsi="Times New Roman" w:eastAsia="Segoe UI" w:cs="Times New Roman"/>
          <w:b w:val="0"/>
          <w:bCs w:val="0"/>
          <w:i w:val="0"/>
          <w:iCs w:val="0"/>
          <w:caps w:val="0"/>
          <w:color w:val="auto"/>
          <w:spacing w:val="0"/>
          <w:sz w:val="28"/>
          <w:szCs w:val="28"/>
          <w:u w:val="none"/>
          <w:bdr w:val="single" w:color="auto" w:sz="12" w:space="0"/>
          <w:shd w:val="clear" w:color="auto" w:fill="FFFFFF"/>
        </w:rPr>
        <w:fldChar w:fldCharType="separate"/>
      </w:r>
      <w:r>
        <w:rPr>
          <w:rStyle w:val="17"/>
          <w:rFonts w:hint="default" w:ascii="Times New Roman" w:hAnsi="Times New Roman" w:eastAsia="Segoe UI" w:cs="Times New Roman"/>
          <w:b w:val="0"/>
          <w:bCs w:val="0"/>
          <w:i w:val="0"/>
          <w:iCs w:val="0"/>
          <w:caps w:val="0"/>
          <w:color w:val="auto"/>
          <w:spacing w:val="0"/>
          <w:sz w:val="28"/>
          <w:szCs w:val="28"/>
          <w:u w:val="none"/>
          <w:shd w:val="clear" w:color="auto" w:fill="FFFFFF"/>
        </w:rPr>
        <w:t>https://doi.org/10.14382/epitoanyag-jsbcm.2019.23</w:t>
      </w:r>
      <w:r>
        <w:rPr>
          <w:rFonts w:hint="default" w:ascii="Times New Roman" w:hAnsi="Times New Roman" w:eastAsia="Segoe UI" w:cs="Times New Roman"/>
          <w:b w:val="0"/>
          <w:bCs w:val="0"/>
          <w:i w:val="0"/>
          <w:iCs w:val="0"/>
          <w:caps w:val="0"/>
          <w:color w:val="auto"/>
          <w:spacing w:val="0"/>
          <w:sz w:val="28"/>
          <w:szCs w:val="28"/>
          <w:u w:val="none"/>
          <w:bdr w:val="single" w:color="auto" w:sz="12" w:space="0"/>
          <w:shd w:val="clear" w:color="auto" w:fill="FFFFFF"/>
        </w:rPr>
        <w:fldChar w:fldCharType="end"/>
      </w:r>
      <w:r>
        <w:rPr>
          <w:rFonts w:hint="default" w:ascii="Times New Roman" w:hAnsi="Times New Roman" w:eastAsia="Segoe UI" w:cs="Times New Roman"/>
          <w:b w:val="0"/>
          <w:bCs w:val="0"/>
          <w:i w:val="0"/>
          <w:iCs w:val="0"/>
          <w:caps w:val="0"/>
          <w:color w:val="auto"/>
          <w:spacing w:val="0"/>
          <w:sz w:val="28"/>
          <w:szCs w:val="28"/>
          <w:shd w:val="clear" w:color="auto" w:fill="FFFFFF"/>
        </w:rPr>
        <w:t>.</w:t>
      </w:r>
    </w:p>
    <w:p w14:paraId="1E5EB263">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Style w:val="19"/>
          <w:rFonts w:hint="default" w:ascii="Times New Roman" w:hAnsi="Times New Roman" w:eastAsia="Segoe UI" w:cs="Times New Roman"/>
          <w:b w:val="0"/>
          <w:bCs w:val="0"/>
          <w:i w:val="0"/>
          <w:iCs w:val="0"/>
          <w:caps w:val="0"/>
          <w:color w:val="auto"/>
          <w:spacing w:val="0"/>
          <w:sz w:val="28"/>
          <w:szCs w:val="28"/>
          <w:shd w:val="clear" w:color="auto" w:fill="FFFFFF"/>
          <w:lang w:val="en-US"/>
        </w:rPr>
      </w:pPr>
      <w:r>
        <w:rPr>
          <w:rStyle w:val="19"/>
          <w:rFonts w:hint="default" w:ascii="Times New Roman" w:hAnsi="Times New Roman" w:eastAsia="Segoe UI" w:cs="Times New Roman"/>
          <w:b w:val="0"/>
          <w:bCs w:val="0"/>
          <w:i w:val="0"/>
          <w:iCs w:val="0"/>
          <w:caps w:val="0"/>
          <w:color w:val="auto"/>
          <w:spacing w:val="0"/>
          <w:sz w:val="28"/>
          <w:szCs w:val="28"/>
          <w:shd w:val="clear" w:color="auto" w:fill="FFFFFF"/>
        </w:rPr>
        <w:t>Han T., Zhao Z., Bartlam M., Wang Y. Combination of biochar amendment and phytoremediation for hydrocarbon removal in petroleum-contaminated soil // Environmental Science and Pollution Research. – 2016. – Vol. 23, № 21. – P. 21219–21228. DOI: 10.1007/s11356-016-7236-6.</w:t>
      </w:r>
    </w:p>
    <w:p w14:paraId="71E1A817">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Style w:val="19"/>
          <w:rFonts w:hint="default" w:ascii="Times New Roman" w:hAnsi="Times New Roman" w:eastAsia="Segoe UI" w:cs="Times New Roman"/>
          <w:b w:val="0"/>
          <w:bCs w:val="0"/>
          <w:i w:val="0"/>
          <w:iCs w:val="0"/>
          <w:caps w:val="0"/>
          <w:color w:val="auto"/>
          <w:spacing w:val="0"/>
          <w:sz w:val="28"/>
          <w:szCs w:val="28"/>
          <w:shd w:val="clear" w:color="auto" w:fill="FFFFFF"/>
          <w:lang w:val="en-US"/>
        </w:rPr>
      </w:pPr>
      <w:r>
        <w:rPr>
          <w:rStyle w:val="19"/>
          <w:rFonts w:hint="default" w:ascii="Times New Roman" w:hAnsi="Times New Roman" w:eastAsia="Segoe UI" w:cs="Times New Roman"/>
          <w:b w:val="0"/>
          <w:bCs w:val="0"/>
          <w:i w:val="0"/>
          <w:iCs w:val="0"/>
          <w:caps w:val="0"/>
          <w:color w:val="auto"/>
          <w:spacing w:val="0"/>
          <w:sz w:val="28"/>
          <w:szCs w:val="28"/>
          <w:shd w:val="clear" w:color="auto" w:fill="FFFFFF"/>
        </w:rPr>
        <w:t>Тоғанбай А.Н., Сарсенбаев С.О., Мусина У.Ш., Джамалова Г.А. Обзор способов биоремедиации нефтезагрязненных почв // Научное обозрение. Реферативный журнал. – 2016. – № 3. – С. 1–23.</w:t>
      </w:r>
    </w:p>
    <w:p w14:paraId="2A20FBE8">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Style w:val="19"/>
          <w:rFonts w:hint="default" w:ascii="Times New Roman" w:hAnsi="Times New Roman" w:eastAsia="Segoe UI" w:cs="Times New Roman"/>
          <w:b w:val="0"/>
          <w:bCs w:val="0"/>
          <w:i w:val="0"/>
          <w:iCs w:val="0"/>
          <w:caps w:val="0"/>
          <w:color w:val="auto"/>
          <w:spacing w:val="0"/>
          <w:sz w:val="28"/>
          <w:szCs w:val="28"/>
          <w:shd w:val="clear" w:color="auto" w:fill="FFFFFF"/>
          <w:lang w:val="en-US"/>
        </w:rPr>
      </w:pPr>
      <w:r>
        <w:rPr>
          <w:rStyle w:val="19"/>
          <w:rFonts w:hint="default" w:ascii="Times New Roman" w:hAnsi="Times New Roman" w:eastAsia="Segoe UI" w:cs="Times New Roman"/>
          <w:b w:val="0"/>
          <w:bCs w:val="0"/>
          <w:i w:val="0"/>
          <w:iCs w:val="0"/>
          <w:caps w:val="0"/>
          <w:color w:val="auto"/>
          <w:spacing w:val="0"/>
          <w:sz w:val="28"/>
          <w:szCs w:val="28"/>
          <w:shd w:val="clear" w:color="auto" w:fill="FFFFFF"/>
        </w:rPr>
        <w:t>Diplock E.E., Mardlin D.P., Killham K.S., Paton G.I. Predicting bioremediation of hydrocarbons: laboratory to field scale // Environmental Pollution. – 2009. – Vol. 157, № 6. – P. 1831–1840. DOI: 10.1016/j.envpol.2009.01.022</w:t>
      </w:r>
    </w:p>
    <w:p w14:paraId="2D7A64AD">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Style w:val="19"/>
          <w:rFonts w:hint="default" w:ascii="Times New Roman" w:hAnsi="Times New Roman" w:eastAsia="Segoe UI" w:cs="Times New Roman"/>
          <w:b w:val="0"/>
          <w:bCs w:val="0"/>
          <w:i w:val="0"/>
          <w:iCs w:val="0"/>
          <w:caps w:val="0"/>
          <w:color w:val="auto"/>
          <w:spacing w:val="0"/>
          <w:sz w:val="28"/>
          <w:szCs w:val="28"/>
          <w:shd w:val="clear" w:color="auto" w:fill="FFFFFF"/>
          <w:lang w:val="en-US"/>
        </w:rPr>
      </w:pPr>
      <w:r>
        <w:rPr>
          <w:rStyle w:val="19"/>
          <w:rFonts w:hint="default" w:ascii="Times New Roman" w:hAnsi="Times New Roman" w:eastAsia="Segoe UI" w:cs="Times New Roman"/>
          <w:b w:val="0"/>
          <w:bCs w:val="0"/>
          <w:i w:val="0"/>
          <w:iCs w:val="0"/>
          <w:caps w:val="0"/>
          <w:color w:val="auto"/>
          <w:spacing w:val="0"/>
          <w:sz w:val="28"/>
          <w:szCs w:val="28"/>
          <w:shd w:val="clear" w:color="auto" w:fill="FFFFFF"/>
        </w:rPr>
        <w:t>Gómez Brandón M., Riding M.J., Sherwood-Johnson K. et al. Bioaugmentation and vermicompost facilitated the hydrocarbon bioremediation: scaling up from lab to field for petroleum-contaminated soils // Environmental Science and Pollution Research. – 2024. – Vol. 31. – P. 32916. DOI: 10.1007/s11356-024-32916-8.</w:t>
      </w:r>
    </w:p>
    <w:p w14:paraId="6A3DA20A">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Style w:val="19"/>
          <w:rFonts w:hint="default" w:ascii="Times New Roman" w:hAnsi="Times New Roman" w:eastAsia="Segoe UI" w:cs="Times New Roman"/>
          <w:b w:val="0"/>
          <w:bCs w:val="0"/>
          <w:i w:val="0"/>
          <w:iCs w:val="0"/>
          <w:caps w:val="0"/>
          <w:color w:val="auto"/>
          <w:spacing w:val="0"/>
          <w:sz w:val="28"/>
          <w:szCs w:val="28"/>
          <w:shd w:val="clear" w:color="auto" w:fill="FFFFFF"/>
          <w:lang w:val="en-US"/>
        </w:rPr>
      </w:pPr>
      <w:r>
        <w:rPr>
          <w:rStyle w:val="19"/>
          <w:rFonts w:hint="default" w:ascii="Times New Roman" w:hAnsi="Times New Roman" w:eastAsia="Segoe UI" w:cs="Times New Roman"/>
          <w:b w:val="0"/>
          <w:bCs w:val="0"/>
          <w:i w:val="0"/>
          <w:iCs w:val="0"/>
          <w:caps w:val="0"/>
          <w:color w:val="auto"/>
          <w:spacing w:val="0"/>
          <w:sz w:val="28"/>
          <w:szCs w:val="28"/>
          <w:shd w:val="clear" w:color="auto" w:fill="FFFFFF"/>
        </w:rPr>
        <w:t>Янкевич М.И., Хадеева В.В., Муратова А.Ю. Биоремедиация почв: вчера, сегодня, завтра // Биосфера. – 2015. – Т. 7, № 2. – С. 199–208.</w:t>
      </w:r>
    </w:p>
    <w:p w14:paraId="4790A023">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Style w:val="19"/>
          <w:rFonts w:hint="default" w:ascii="Times New Roman" w:hAnsi="Times New Roman" w:eastAsia="Segoe UI" w:cs="Times New Roman"/>
          <w:b w:val="0"/>
          <w:bCs w:val="0"/>
          <w:i w:val="0"/>
          <w:iCs w:val="0"/>
          <w:caps w:val="0"/>
          <w:color w:val="auto"/>
          <w:spacing w:val="0"/>
          <w:sz w:val="28"/>
          <w:szCs w:val="28"/>
          <w:shd w:val="clear" w:color="auto" w:fill="FFFFFF"/>
          <w:lang w:val="en-US"/>
        </w:rPr>
      </w:pPr>
      <w:r>
        <w:rPr>
          <w:rStyle w:val="19"/>
          <w:rFonts w:hint="default" w:ascii="Times New Roman" w:hAnsi="Times New Roman" w:eastAsia="Segoe UI" w:cs="Times New Roman"/>
          <w:b w:val="0"/>
          <w:bCs w:val="0"/>
          <w:i w:val="0"/>
          <w:iCs w:val="0"/>
          <w:caps w:val="0"/>
          <w:color w:val="auto"/>
          <w:spacing w:val="0"/>
          <w:sz w:val="28"/>
          <w:szCs w:val="28"/>
          <w:shd w:val="clear" w:color="auto" w:fill="FFFFFF"/>
        </w:rPr>
        <w:t>Guarino C., Spada V., Sciarrillo R. Assessment of three approaches of bioremediation (Natural Attenuation, Landfarming and Bioaugmentation-Assisted Landfarming) for a petroleum hydrocarbons contaminated soil // Chemosphere. – 2017. – Vol. 170. – P. 10–16. DOI: 10.1016/j.chemosphere.2016.11.165.</w:t>
      </w:r>
    </w:p>
    <w:p w14:paraId="1E6C56E2">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Style w:val="19"/>
          <w:rFonts w:hint="default" w:ascii="Times New Roman" w:hAnsi="Times New Roman" w:eastAsia="Segoe UI" w:cs="Times New Roman"/>
          <w:b w:val="0"/>
          <w:bCs w:val="0"/>
          <w:i w:val="0"/>
          <w:iCs w:val="0"/>
          <w:caps w:val="0"/>
          <w:color w:val="auto"/>
          <w:spacing w:val="0"/>
          <w:sz w:val="28"/>
          <w:szCs w:val="28"/>
          <w:shd w:val="clear" w:color="auto" w:fill="FFFFFF"/>
          <w:lang w:val="en-US"/>
        </w:rPr>
      </w:pPr>
      <w:r>
        <w:rPr>
          <w:rStyle w:val="19"/>
          <w:rFonts w:hint="default" w:ascii="Times New Roman" w:hAnsi="Times New Roman" w:eastAsia="Segoe UI" w:cs="Times New Roman"/>
          <w:b w:val="0"/>
          <w:bCs w:val="0"/>
          <w:i w:val="0"/>
          <w:iCs w:val="0"/>
          <w:caps w:val="0"/>
          <w:color w:val="auto"/>
          <w:spacing w:val="0"/>
          <w:sz w:val="28"/>
          <w:szCs w:val="28"/>
          <w:shd w:val="clear" w:color="auto" w:fill="FFFFFF"/>
        </w:rPr>
        <w:t>Huang X.D., El-Alawi Y., Gurska J., Glick B.R., Greenberg B.M. A multi-process phytoremediation system for decontamination of persistent total petroleum hydrocarbons (TPHs) from soils // Microchemical Journal. – 2005. – Vol. 81, № 1. – P. 139–147. DOI: 10.1016/j.microc.2005.01.009.</w:t>
      </w:r>
    </w:p>
    <w:p w14:paraId="4C7BE00E">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Style w:val="19"/>
          <w:rFonts w:hint="default" w:ascii="Times New Roman" w:hAnsi="Times New Roman" w:eastAsia="Segoe UI" w:cs="Times New Roman"/>
          <w:b w:val="0"/>
          <w:bCs w:val="0"/>
          <w:i w:val="0"/>
          <w:iCs w:val="0"/>
          <w:caps w:val="0"/>
          <w:color w:val="auto"/>
          <w:spacing w:val="0"/>
          <w:sz w:val="28"/>
          <w:szCs w:val="28"/>
          <w:shd w:val="clear" w:color="auto" w:fill="FFFFFF"/>
          <w:lang w:val="en-US"/>
        </w:rPr>
      </w:pPr>
      <w:r>
        <w:rPr>
          <w:rStyle w:val="19"/>
          <w:rFonts w:hint="default" w:ascii="Times New Roman" w:hAnsi="Times New Roman" w:eastAsia="Segoe UI" w:cs="Times New Roman"/>
          <w:b w:val="0"/>
          <w:bCs w:val="0"/>
          <w:i w:val="0"/>
          <w:iCs w:val="0"/>
          <w:caps w:val="0"/>
          <w:color w:val="auto"/>
          <w:spacing w:val="0"/>
          <w:sz w:val="28"/>
          <w:szCs w:val="28"/>
          <w:shd w:val="clear" w:color="auto" w:fill="FFFFFF"/>
        </w:rPr>
        <w:t>Azat S., Korobeinyk A.V., Moistakas K., Inglezakis V.J. Sustainable production of pure silica from rice husk waste in Kazakhstan // Journal of Cleaner Production. – 2019. – Vol. 217. – P. 352–359. DOI: 10.1016/j.jclepro.2019.01.142.</w:t>
      </w:r>
    </w:p>
    <w:p w14:paraId="3E1DA904">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Style w:val="19"/>
          <w:rFonts w:hint="default" w:ascii="Times New Roman" w:hAnsi="Times New Roman" w:eastAsia="Segoe UI" w:cs="Times New Roman"/>
          <w:b w:val="0"/>
          <w:bCs w:val="0"/>
          <w:i w:val="0"/>
          <w:iCs w:val="0"/>
          <w:caps w:val="0"/>
          <w:color w:val="auto"/>
          <w:spacing w:val="0"/>
          <w:sz w:val="28"/>
          <w:szCs w:val="28"/>
          <w:shd w:val="clear" w:color="auto" w:fill="FFFFFF"/>
          <w:lang w:val="en-US"/>
        </w:rPr>
      </w:pPr>
      <w:r>
        <w:rPr>
          <w:rStyle w:val="19"/>
          <w:rFonts w:hint="default" w:ascii="Times New Roman" w:hAnsi="Times New Roman" w:eastAsia="Segoe UI" w:cs="Times New Roman"/>
          <w:b w:val="0"/>
          <w:bCs w:val="0"/>
          <w:i w:val="0"/>
          <w:iCs w:val="0"/>
          <w:caps w:val="0"/>
          <w:color w:val="auto"/>
          <w:spacing w:val="0"/>
          <w:sz w:val="28"/>
          <w:szCs w:val="28"/>
          <w:shd w:val="clear" w:color="auto" w:fill="FFFFFF"/>
        </w:rPr>
        <w:t>Ikhena G.G., Azat S., Aimbetova I., Soltabayev B., Telkov S. et al. Rice Husk Research: From Environmental Pollutant to a Promising Source of Organo-Mineral Raw Materials // Molecules. – 2021. – Vol. 26, № 6. – P. 1770. DOI: 10.3390/molecules26061770</w:t>
      </w:r>
    </w:p>
    <w:p w14:paraId="434C44D9">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Style w:val="19"/>
          <w:rFonts w:hint="default" w:ascii="Times New Roman" w:hAnsi="Times New Roman" w:eastAsia="Segoe UI" w:cs="Times New Roman"/>
          <w:b w:val="0"/>
          <w:bCs w:val="0"/>
          <w:i w:val="0"/>
          <w:iCs w:val="0"/>
          <w:caps w:val="0"/>
          <w:color w:val="auto"/>
          <w:spacing w:val="0"/>
          <w:sz w:val="28"/>
          <w:szCs w:val="28"/>
          <w:shd w:val="clear" w:color="auto" w:fill="FFFFFF"/>
          <w:lang w:val="en-US"/>
        </w:rPr>
      </w:pPr>
      <w:r>
        <w:rPr>
          <w:rStyle w:val="19"/>
          <w:rFonts w:hint="default" w:ascii="Times New Roman" w:hAnsi="Times New Roman" w:eastAsia="Segoe UI" w:cs="Times New Roman"/>
          <w:b w:val="0"/>
          <w:bCs w:val="0"/>
          <w:i w:val="0"/>
          <w:iCs w:val="0"/>
          <w:caps w:val="0"/>
          <w:color w:val="auto"/>
          <w:spacing w:val="0"/>
          <w:sz w:val="28"/>
          <w:szCs w:val="28"/>
          <w:shd w:val="clear" w:color="auto" w:fill="FFFFFF"/>
        </w:rPr>
        <w:t>Kuppusamy S., Maddela N.R., Megharaj M., Venkateswarlu K. Total Petroleum Hydrocarbons: Environmental Fate, Toxicity, and Remediation. – Cham: Springer, 2020. – 227 p. DOI: 10.1007/978-3-030-24035-6.</w:t>
      </w:r>
    </w:p>
    <w:p w14:paraId="1AE5EC37">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Style w:val="19"/>
          <w:rFonts w:hint="default" w:ascii="Times New Roman" w:hAnsi="Times New Roman" w:eastAsia="Segoe UI" w:cs="Times New Roman"/>
          <w:b w:val="0"/>
          <w:bCs w:val="0"/>
          <w:i w:val="0"/>
          <w:iCs w:val="0"/>
          <w:caps w:val="0"/>
          <w:color w:val="auto"/>
          <w:spacing w:val="0"/>
          <w:sz w:val="28"/>
          <w:szCs w:val="28"/>
          <w:shd w:val="clear" w:color="auto" w:fill="FFFFFF"/>
          <w:lang w:val="en-US"/>
        </w:rPr>
      </w:pPr>
      <w:r>
        <w:rPr>
          <w:rStyle w:val="19"/>
          <w:rFonts w:hint="default" w:ascii="Times New Roman" w:hAnsi="Times New Roman" w:eastAsia="Segoe UI" w:cs="Times New Roman"/>
          <w:b w:val="0"/>
          <w:bCs w:val="0"/>
          <w:i w:val="0"/>
          <w:iCs w:val="0"/>
          <w:caps w:val="0"/>
          <w:color w:val="auto"/>
          <w:spacing w:val="0"/>
          <w:sz w:val="28"/>
          <w:szCs w:val="28"/>
          <w:shd w:val="clear" w:color="auto" w:fill="FFFFFF"/>
        </w:rPr>
        <w:t>Bajagain R., Gautam P., Jeong S.W. Biodegradation and post-oxidation of fuel-weathered field soil // Science of the Total Environment. – 2020. – Vol. 734. – P. 139452. DOI: 10.1016/j.scitotenv.2020.139452.</w:t>
      </w:r>
    </w:p>
    <w:p w14:paraId="24F11FE3">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Style w:val="19"/>
          <w:rFonts w:hint="default" w:ascii="Times New Roman" w:hAnsi="Times New Roman" w:eastAsia="Segoe UI" w:cs="Times New Roman"/>
          <w:b w:val="0"/>
          <w:bCs w:val="0"/>
          <w:i w:val="0"/>
          <w:iCs w:val="0"/>
          <w:caps w:val="0"/>
          <w:color w:val="auto"/>
          <w:spacing w:val="0"/>
          <w:sz w:val="28"/>
          <w:szCs w:val="28"/>
          <w:shd w:val="clear" w:color="auto" w:fill="FFFFFF"/>
          <w:lang w:val="kk-KZ"/>
        </w:rPr>
      </w:pPr>
      <w:r>
        <w:rPr>
          <w:rStyle w:val="19"/>
          <w:rFonts w:hint="default" w:ascii="Times New Roman" w:hAnsi="Times New Roman" w:eastAsia="Segoe UI" w:cs="Times New Roman"/>
          <w:b w:val="0"/>
          <w:bCs w:val="0"/>
          <w:i w:val="0"/>
          <w:iCs w:val="0"/>
          <w:caps w:val="0"/>
          <w:color w:val="auto"/>
          <w:spacing w:val="0"/>
          <w:sz w:val="28"/>
          <w:szCs w:val="28"/>
          <w:shd w:val="clear" w:color="auto" w:fill="FFFFFF"/>
        </w:rPr>
        <w:t>Li J., Ma N., Hao B., Qin F., Zhang X. Coupling biostimulation and phytoremediation for the restoration of petroleum hydrocarbon-contaminated soil // International Journal of Phytoremediation. – 2023. – Vol. 25, № 6. – P. 706–716. DOI: 10.1080/15226514.2022.2103511.</w:t>
      </w:r>
    </w:p>
    <w:p w14:paraId="58B40093">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Style w:val="19"/>
          <w:rFonts w:hint="default" w:ascii="Times New Roman" w:hAnsi="Times New Roman" w:eastAsia="Segoe UI" w:cs="Times New Roman"/>
          <w:b w:val="0"/>
          <w:bCs w:val="0"/>
          <w:i w:val="0"/>
          <w:iCs w:val="0"/>
          <w:caps w:val="0"/>
          <w:color w:val="auto"/>
          <w:spacing w:val="0"/>
          <w:sz w:val="28"/>
          <w:szCs w:val="28"/>
          <w:shd w:val="clear" w:color="auto" w:fill="FFFFFF"/>
          <w:lang w:val="kk-KZ"/>
        </w:rPr>
      </w:pPr>
      <w:r>
        <w:rPr>
          <w:rStyle w:val="19"/>
          <w:rFonts w:hint="default" w:ascii="Times New Roman" w:hAnsi="Times New Roman" w:eastAsia="Segoe UI" w:cs="Times New Roman"/>
          <w:b w:val="0"/>
          <w:bCs w:val="0"/>
          <w:i w:val="0"/>
          <w:iCs w:val="0"/>
          <w:caps w:val="0"/>
          <w:color w:val="auto"/>
          <w:spacing w:val="0"/>
          <w:sz w:val="28"/>
          <w:szCs w:val="28"/>
          <w:shd w:val="clear" w:color="auto" w:fill="FFFFFF"/>
        </w:rPr>
        <w:t>Gómez Brandón M., Riding M.J., Sherwood-Johnson K. et al. Hydrocarbon bioremediation in a pilot-scale: A combination of bioaugmentation, phytoremediation, and vermiremediation // Environmental Technology &amp; Innovation. – 2023. – Vol. 31. – P. 103207. DOI: 10.1016/j.eti.2023.103207.</w:t>
      </w:r>
    </w:p>
    <w:p w14:paraId="215604A1">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Style w:val="19"/>
          <w:rFonts w:hint="default" w:ascii="Times New Roman" w:hAnsi="Times New Roman" w:eastAsia="Segoe UI" w:cs="Times New Roman"/>
          <w:b w:val="0"/>
          <w:bCs w:val="0"/>
          <w:i w:val="0"/>
          <w:iCs w:val="0"/>
          <w:caps w:val="0"/>
          <w:color w:val="auto"/>
          <w:spacing w:val="0"/>
          <w:sz w:val="28"/>
          <w:szCs w:val="28"/>
          <w:shd w:val="clear" w:color="auto" w:fill="FFFFFF"/>
          <w:lang w:val="kk-KZ"/>
        </w:rPr>
      </w:pPr>
      <w:r>
        <w:rPr>
          <w:rStyle w:val="19"/>
          <w:rFonts w:hint="default" w:ascii="Times New Roman" w:hAnsi="Times New Roman" w:eastAsia="Segoe UI" w:cs="Times New Roman"/>
          <w:b w:val="0"/>
          <w:bCs w:val="0"/>
          <w:i w:val="0"/>
          <w:iCs w:val="0"/>
          <w:caps w:val="0"/>
          <w:color w:val="auto"/>
          <w:spacing w:val="0"/>
          <w:sz w:val="28"/>
          <w:szCs w:val="28"/>
          <w:shd w:val="clear" w:color="auto" w:fill="FFFFFF"/>
        </w:rPr>
        <w:t>Wang Y., Liu X., Zhang L. et al. Investigation into the Enhancement Effects of Combined Bioremediation of Petroleum-Contaminated Soil Utilizing Immobilized Microbial Consortium and Sudan Grass</w:t>
      </w:r>
    </w:p>
    <w:p w14:paraId="5220C28E">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color w:val="auto"/>
        </w:rPr>
      </w:pPr>
      <w:r>
        <w:rPr>
          <w:rStyle w:val="19"/>
          <w:rFonts w:hint="default" w:ascii="Times New Roman" w:hAnsi="Times New Roman" w:eastAsia="Segoe UI" w:cs="Times New Roman"/>
          <w:b w:val="0"/>
          <w:bCs w:val="0"/>
          <w:i w:val="0"/>
          <w:iCs w:val="0"/>
          <w:caps w:val="0"/>
          <w:color w:val="auto"/>
          <w:spacing w:val="0"/>
          <w:sz w:val="28"/>
          <w:szCs w:val="28"/>
          <w:shd w:val="clear" w:color="auto" w:fill="FFFFFF"/>
        </w:rPr>
        <w:t>Guarino C., Spada V., Sciarrillo R. Assessment of three approaches of bioremediation (Natural Attenuation, Landfarming and Bioaugmentation-Assisted Landfarming) for a petroleum hydrocarbons contaminated soil // Chemosphere. – 2017. – Vol. 170. – P. 10–16. DOI: 10.1016/j.chemosphere.2016.11.165.</w:t>
      </w:r>
    </w:p>
    <w:p w14:paraId="27154A4A">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Style w:val="19"/>
          <w:rFonts w:hint="default" w:ascii="Times New Roman" w:hAnsi="Times New Roman" w:eastAsia="Segoe UI" w:cs="Times New Roman"/>
          <w:b w:val="0"/>
          <w:bCs w:val="0"/>
          <w:i w:val="0"/>
          <w:iCs w:val="0"/>
          <w:caps w:val="0"/>
          <w:color w:val="auto"/>
          <w:spacing w:val="0"/>
          <w:sz w:val="28"/>
          <w:szCs w:val="28"/>
          <w:shd w:val="clear" w:color="auto" w:fill="FFFFFF"/>
        </w:rPr>
      </w:pPr>
      <w:r>
        <w:rPr>
          <w:rStyle w:val="19"/>
          <w:rFonts w:hint="default" w:ascii="Times New Roman" w:hAnsi="Times New Roman" w:eastAsia="Segoe UI" w:cs="Times New Roman"/>
          <w:b w:val="0"/>
          <w:bCs w:val="0"/>
          <w:i w:val="0"/>
          <w:iCs w:val="0"/>
          <w:caps w:val="0"/>
          <w:color w:val="auto"/>
          <w:spacing w:val="0"/>
          <w:sz w:val="28"/>
          <w:szCs w:val="28"/>
          <w:shd w:val="clear" w:color="auto" w:fill="FFFFFF"/>
        </w:rPr>
        <w:t>Evaluating contaminated soil removal costs and considerations [Электрондық ресурс] // Fehr Graham Engineering &amp; Environmental. — 2025. — URL: https://www.fehrgraham.com (қаралған күні: 15.02.2026).</w:t>
      </w:r>
    </w:p>
    <w:p w14:paraId="554BFB4F">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Style w:val="19"/>
          <w:rFonts w:hint="default" w:ascii="Times New Roman" w:hAnsi="Times New Roman" w:eastAsia="Segoe UI" w:cs="Times New Roman"/>
          <w:b w:val="0"/>
          <w:bCs w:val="0"/>
          <w:i w:val="0"/>
          <w:iCs w:val="0"/>
          <w:caps w:val="0"/>
          <w:color w:val="auto"/>
          <w:spacing w:val="0"/>
          <w:sz w:val="28"/>
          <w:szCs w:val="28"/>
          <w:shd w:val="clear" w:color="auto" w:fill="FFFFFF"/>
        </w:rPr>
      </w:pPr>
      <w:r>
        <w:rPr>
          <w:rStyle w:val="19"/>
          <w:rFonts w:hint="default" w:ascii="Times New Roman" w:hAnsi="Times New Roman" w:eastAsia="Segoe UI" w:cs="Times New Roman"/>
          <w:b w:val="0"/>
          <w:bCs w:val="0"/>
          <w:i w:val="0"/>
          <w:iCs w:val="0"/>
          <w:caps w:val="0"/>
          <w:color w:val="auto"/>
          <w:spacing w:val="0"/>
          <w:sz w:val="28"/>
          <w:szCs w:val="28"/>
          <w:shd w:val="clear" w:color="auto" w:fill="FFFFFF"/>
        </w:rPr>
        <w:t>Meuser, H. Soil Remediation and Rehabilitation: Treatment of Contaminated and Disturbed Land / H. Meuser. — Dordrecht : Springer, 2013. — 406 p. — (Environmental Pollution ; vol. 23). — ISBN 978-94-007-5750-9.</w:t>
      </w:r>
    </w:p>
    <w:p w14:paraId="4FCECA96">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Style w:val="19"/>
          <w:rFonts w:hint="default" w:ascii="Times New Roman" w:hAnsi="Times New Roman" w:eastAsia="Segoe UI" w:cs="Times New Roman"/>
          <w:b w:val="0"/>
          <w:bCs w:val="0"/>
          <w:i w:val="0"/>
          <w:iCs w:val="0"/>
          <w:caps w:val="0"/>
          <w:color w:val="auto"/>
          <w:spacing w:val="0"/>
          <w:sz w:val="28"/>
          <w:szCs w:val="28"/>
          <w:shd w:val="clear" w:color="auto" w:fill="FFFFFF"/>
        </w:rPr>
      </w:pPr>
      <w:r>
        <w:rPr>
          <w:rStyle w:val="19"/>
          <w:rFonts w:hint="default" w:ascii="Times New Roman" w:hAnsi="Times New Roman" w:eastAsia="Segoe UI" w:cs="Times New Roman"/>
          <w:b w:val="0"/>
          <w:bCs w:val="0"/>
          <w:i w:val="0"/>
          <w:iCs w:val="0"/>
          <w:caps w:val="0"/>
          <w:color w:val="auto"/>
          <w:spacing w:val="0"/>
          <w:sz w:val="28"/>
          <w:szCs w:val="28"/>
          <w:shd w:val="clear" w:color="auto" w:fill="FFFFFF"/>
        </w:rPr>
        <w:t>Olawoyin, R. Cost reduction strategies in the remediation of petroleum hydrocarbon contaminated soil / R. Olawoyin, R.L. Heidrich, K. Oyewole, R.T. Ogundipe // Environmental Science and Pollution Research. — 2022. — Vol. 30. — P. 8455-8470. — DOI: 10.1007/s11356-022-24198-5.</w:t>
      </w:r>
    </w:p>
    <w:p w14:paraId="722433E4">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Style w:val="19"/>
          <w:rFonts w:hint="default" w:ascii="Times New Roman" w:hAnsi="Times New Roman" w:eastAsia="Segoe UI" w:cs="Times New Roman"/>
          <w:b w:val="0"/>
          <w:bCs w:val="0"/>
          <w:i w:val="0"/>
          <w:iCs w:val="0"/>
          <w:caps w:val="0"/>
          <w:color w:val="auto"/>
          <w:spacing w:val="0"/>
          <w:sz w:val="28"/>
          <w:szCs w:val="28"/>
          <w:shd w:val="clear" w:color="auto" w:fill="FFFFFF"/>
          <w:lang w:val="kk-KZ"/>
        </w:rPr>
      </w:pPr>
      <w:r>
        <w:rPr>
          <w:rStyle w:val="19"/>
          <w:rFonts w:hint="default" w:ascii="Times New Roman" w:hAnsi="Times New Roman" w:eastAsia="Segoe UI" w:cs="Times New Roman"/>
          <w:b w:val="0"/>
          <w:bCs w:val="0"/>
          <w:i w:val="0"/>
          <w:iCs w:val="0"/>
          <w:caps w:val="0"/>
          <w:color w:val="auto"/>
          <w:spacing w:val="0"/>
          <w:sz w:val="28"/>
          <w:szCs w:val="28"/>
          <w:shd w:val="clear" w:color="auto" w:fill="FFFFFF"/>
        </w:rPr>
        <w:t>Ахметзянова Л. Г., Курицын И. Н., Селивановская С. Ю. Comparative analysis of the effectiveness of oil-contaminated soil remediation by microbial isolates of Pseudomonas aeruginosa and commercial preparation "Devoroil" // Advances in Environmental Biology. – 2014. – Vol. 8, No. 13. – P. 117-121</w:t>
      </w:r>
    </w:p>
    <w:p w14:paraId="7A9DECEE">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Style w:val="19"/>
          <w:rFonts w:hint="default" w:ascii="Times New Roman" w:hAnsi="Times New Roman" w:eastAsia="Segoe UI" w:cs="Times New Roman"/>
          <w:b w:val="0"/>
          <w:bCs w:val="0"/>
          <w:i w:val="0"/>
          <w:iCs w:val="0"/>
          <w:caps w:val="0"/>
          <w:color w:val="auto"/>
          <w:spacing w:val="0"/>
          <w:sz w:val="28"/>
          <w:szCs w:val="28"/>
          <w:shd w:val="clear" w:color="auto" w:fill="FFFFFF"/>
          <w:lang w:val="kk-KZ"/>
        </w:rPr>
      </w:pPr>
      <w:r>
        <w:rPr>
          <w:rStyle w:val="19"/>
          <w:rFonts w:hint="default" w:ascii="Times New Roman" w:hAnsi="Times New Roman" w:eastAsia="Segoe UI" w:cs="Times New Roman"/>
          <w:b w:val="0"/>
          <w:bCs w:val="0"/>
          <w:i w:val="0"/>
          <w:iCs w:val="0"/>
          <w:caps w:val="0"/>
          <w:color w:val="auto"/>
          <w:spacing w:val="0"/>
          <w:sz w:val="28"/>
          <w:szCs w:val="28"/>
          <w:shd w:val="clear" w:color="auto" w:fill="FFFFFF"/>
        </w:rPr>
        <w:t>Hassan N.S., Alqudsi A.M., Alhani M.F., Mohammad M.F. Remediation of Contaminated Soil With Oil Sludge Through Activated Biological Treatment and Conversion Into Environmentally Safe Soil // Remediation Journal. – 2025. – Vol. 35, No. 1. – Article e70036. – DOI: 10.1002/rem.70036</w:t>
      </w:r>
    </w:p>
    <w:p w14:paraId="2FD5AE46">
      <w:pPr>
        <w:keepNext w:val="0"/>
        <w:keepLines w:val="0"/>
        <w:pageBreakBefore w:val="0"/>
        <w:widowControl/>
        <w:numPr>
          <w:ilvl w:val="0"/>
          <w:numId w:val="14"/>
        </w:numPr>
        <w:tabs>
          <w:tab w:val="clear" w:pos="425"/>
        </w:tabs>
        <w:kinsoku/>
        <w:wordWrap/>
        <w:overflowPunct/>
        <w:topLinePunct w:val="0"/>
        <w:autoSpaceDE/>
        <w:autoSpaceDN/>
        <w:bidi w:val="0"/>
        <w:adjustRightInd/>
        <w:snapToGrid/>
        <w:spacing w:after="0" w:line="240" w:lineRule="auto"/>
        <w:ind w:left="-280" w:leftChars="-100" w:firstLine="350" w:firstLineChars="125"/>
        <w:jc w:val="both"/>
        <w:textAlignment w:val="auto"/>
        <w:rPr>
          <w:rStyle w:val="19"/>
          <w:rFonts w:hint="default" w:ascii="Times New Roman" w:hAnsi="Times New Roman" w:eastAsia="Segoe UI" w:cs="Times New Roman"/>
          <w:b w:val="0"/>
          <w:bCs w:val="0"/>
          <w:i w:val="0"/>
          <w:iCs w:val="0"/>
          <w:caps w:val="0"/>
          <w:color w:val="auto"/>
          <w:spacing w:val="0"/>
          <w:sz w:val="28"/>
          <w:szCs w:val="28"/>
          <w:shd w:val="clear" w:color="auto" w:fill="FFFFFF"/>
          <w:lang w:val="kk-KZ"/>
        </w:rPr>
      </w:pPr>
      <w:r>
        <w:rPr>
          <w:rStyle w:val="19"/>
          <w:rFonts w:hint="default" w:ascii="Times New Roman" w:hAnsi="Times New Roman" w:eastAsia="Segoe UI" w:cs="Times New Roman"/>
          <w:b w:val="0"/>
          <w:bCs w:val="0"/>
          <w:i w:val="0"/>
          <w:iCs w:val="0"/>
          <w:caps w:val="0"/>
          <w:color w:val="auto"/>
          <w:spacing w:val="0"/>
          <w:sz w:val="28"/>
          <w:szCs w:val="28"/>
          <w:shd w:val="clear" w:color="auto" w:fill="FFFFFF"/>
        </w:rPr>
        <w:t>Faqin D., Ying H., Zhenzhen L., Jin L., Wei Z., Lei Z., Kudakwashe O.Z., et al. Bioaugmentation-assisted phytoremediation of petroleum hydrocarbon-contaminated soils // Journal of Environmental Chemical Engineering. – 2025. – Vol. 13, No. 2. – Article 115632. – DOI: 10.1016/j.jece.2025.115632</w:t>
      </w:r>
      <w:r>
        <w:rPr>
          <w:rStyle w:val="19"/>
          <w:rFonts w:hint="default" w:ascii="Times New Roman" w:hAnsi="Times New Roman" w:eastAsia="Segoe UI" w:cs="Times New Roman"/>
          <w:b w:val="0"/>
          <w:bCs w:val="0"/>
          <w:i w:val="0"/>
          <w:iCs w:val="0"/>
          <w:caps w:val="0"/>
          <w:color w:val="auto"/>
          <w:spacing w:val="0"/>
          <w:sz w:val="28"/>
          <w:szCs w:val="28"/>
          <w:shd w:val="clear" w:color="auto" w:fill="FFFFFF"/>
          <w:lang w:val="en-US"/>
        </w:rPr>
        <w:t>.</w:t>
      </w:r>
    </w:p>
    <w:p w14:paraId="5BC097FA">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280" w:leftChars="0"/>
        <w:jc w:val="both"/>
        <w:textAlignment w:val="auto"/>
        <w:rPr>
          <w:rFonts w:hint="default" w:ascii="Times New Roman" w:hAnsi="Times New Roman" w:cs="Times New Roman"/>
          <w:b w:val="0"/>
          <w:bCs w:val="0"/>
          <w:color w:val="auto"/>
          <w:sz w:val="28"/>
          <w:szCs w:val="28"/>
        </w:rPr>
      </w:pPr>
    </w:p>
    <w:p w14:paraId="055D6830">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280" w:leftChars="0"/>
        <w:jc w:val="both"/>
        <w:textAlignment w:val="auto"/>
        <w:rPr>
          <w:rFonts w:hint="default" w:ascii="Times New Roman" w:hAnsi="Times New Roman" w:cs="Times New Roman"/>
          <w:b w:val="0"/>
          <w:bCs w:val="0"/>
          <w:color w:val="auto"/>
          <w:sz w:val="28"/>
          <w:szCs w:val="28"/>
        </w:rPr>
      </w:pPr>
    </w:p>
    <w:p w14:paraId="555A0534">
      <w:pPr>
        <w:keepNext w:val="0"/>
        <w:keepLines w:val="0"/>
        <w:pageBreakBefore w:val="0"/>
        <w:widowControl/>
        <w:kinsoku/>
        <w:wordWrap/>
        <w:overflowPunct/>
        <w:topLinePunct w:val="0"/>
        <w:autoSpaceDE/>
        <w:autoSpaceDN/>
        <w:bidi w:val="0"/>
        <w:adjustRightInd/>
        <w:snapToGrid/>
        <w:spacing w:after="0"/>
        <w:jc w:val="center"/>
        <w:textAlignment w:val="auto"/>
        <w:rPr>
          <w:rFonts w:hint="default"/>
          <w:b/>
          <w:bCs/>
          <w:color w:val="auto"/>
          <w:lang w:val="kk-KZ"/>
        </w:rPr>
      </w:pPr>
      <w:r>
        <w:rPr>
          <w:b/>
          <w:bCs/>
          <w:color w:val="auto"/>
        </w:rPr>
        <w:t>ҚОСЫМША</w:t>
      </w:r>
      <w:r>
        <w:rPr>
          <w:rFonts w:hint="default"/>
          <w:b/>
          <w:bCs/>
          <w:color w:val="auto"/>
          <w:lang w:val="kk-KZ"/>
        </w:rPr>
        <w:t xml:space="preserve"> А</w:t>
      </w:r>
    </w:p>
    <w:p w14:paraId="13568C92">
      <w:pPr>
        <w:keepNext w:val="0"/>
        <w:keepLines w:val="0"/>
        <w:pageBreakBefore w:val="0"/>
        <w:widowControl/>
        <w:kinsoku/>
        <w:wordWrap/>
        <w:overflowPunct/>
        <w:topLinePunct w:val="0"/>
        <w:autoSpaceDE/>
        <w:autoSpaceDN/>
        <w:bidi w:val="0"/>
        <w:adjustRightInd/>
        <w:snapToGrid/>
        <w:spacing w:after="0"/>
        <w:jc w:val="center"/>
        <w:textAlignment w:val="auto"/>
        <w:rPr>
          <w:rFonts w:hint="default"/>
          <w:b w:val="0"/>
          <w:bCs w:val="0"/>
          <w:color w:val="auto"/>
          <w:lang w:val="kk-KZ"/>
        </w:rPr>
      </w:pPr>
      <w:r>
        <w:rPr>
          <w:rFonts w:hint="default"/>
          <w:b w:val="0"/>
          <w:bCs w:val="0"/>
          <w:color w:val="auto"/>
          <w:lang w:val="kk-KZ"/>
        </w:rPr>
        <w:t>Пайдалы модельге патент өтінімі</w:t>
      </w:r>
    </w:p>
    <w:p w14:paraId="0813B608">
      <w:pPr>
        <w:keepNext w:val="0"/>
        <w:keepLines w:val="0"/>
        <w:pageBreakBefore w:val="0"/>
        <w:widowControl/>
        <w:kinsoku/>
        <w:wordWrap/>
        <w:overflowPunct/>
        <w:topLinePunct w:val="0"/>
        <w:autoSpaceDE/>
        <w:autoSpaceDN/>
        <w:bidi w:val="0"/>
        <w:adjustRightInd/>
        <w:snapToGrid/>
        <w:spacing w:after="0"/>
        <w:jc w:val="center"/>
        <w:textAlignment w:val="auto"/>
        <w:rPr>
          <w:rFonts w:hint="default"/>
          <w:b w:val="0"/>
          <w:bCs w:val="0"/>
          <w:color w:val="auto"/>
          <w:lang w:val="kk-KZ"/>
        </w:rPr>
      </w:pPr>
    </w:p>
    <w:p w14:paraId="466C0219">
      <w:pPr>
        <w:keepNext w:val="0"/>
        <w:keepLines w:val="0"/>
        <w:pageBreakBefore w:val="0"/>
        <w:widowControl/>
        <w:kinsoku/>
        <w:wordWrap/>
        <w:overflowPunct/>
        <w:topLinePunct w:val="0"/>
        <w:autoSpaceDE/>
        <w:autoSpaceDN/>
        <w:bidi w:val="0"/>
        <w:adjustRightInd/>
        <w:snapToGrid/>
        <w:spacing w:after="0"/>
        <w:jc w:val="center"/>
        <w:textAlignment w:val="auto"/>
        <w:rPr>
          <w:rFonts w:hint="default"/>
          <w:b/>
          <w:bCs/>
          <w:color w:val="auto"/>
          <w:lang w:val="kk-KZ"/>
        </w:rPr>
      </w:pPr>
      <w:r>
        <w:rPr>
          <w:color w:val="auto"/>
        </w:rPr>
        <w:drawing>
          <wp:inline distT="0" distB="0" distL="114300" distR="114300">
            <wp:extent cx="6250940" cy="7434580"/>
            <wp:effectExtent l="0" t="0" r="12700" b="2540"/>
            <wp:docPr id="78"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Изображение 1"/>
                    <pic:cNvPicPr>
                      <a:picLocks noChangeAspect="1"/>
                    </pic:cNvPicPr>
                  </pic:nvPicPr>
                  <pic:blipFill>
                    <a:blip r:embed="rId34"/>
                    <a:stretch>
                      <a:fillRect/>
                    </a:stretch>
                  </pic:blipFill>
                  <pic:spPr>
                    <a:xfrm>
                      <a:off x="0" y="0"/>
                      <a:ext cx="6250940" cy="7434580"/>
                    </a:xfrm>
                    <a:prstGeom prst="rect">
                      <a:avLst/>
                    </a:prstGeom>
                    <a:noFill/>
                    <a:ln>
                      <a:noFill/>
                    </a:ln>
                  </pic:spPr>
                </pic:pic>
              </a:graphicData>
            </a:graphic>
          </wp:inline>
        </w:drawing>
      </w:r>
    </w:p>
    <w:p w14:paraId="7A40C02B">
      <w:pPr>
        <w:keepNext w:val="0"/>
        <w:keepLines w:val="0"/>
        <w:pageBreakBefore w:val="0"/>
        <w:widowControl/>
        <w:kinsoku/>
        <w:wordWrap/>
        <w:overflowPunct/>
        <w:topLinePunct w:val="0"/>
        <w:autoSpaceDE/>
        <w:autoSpaceDN/>
        <w:bidi w:val="0"/>
        <w:adjustRightInd/>
        <w:snapToGrid/>
        <w:spacing w:after="0"/>
        <w:jc w:val="center"/>
        <w:textAlignment w:val="auto"/>
        <w:rPr>
          <w:rFonts w:hint="default"/>
          <w:b/>
          <w:bCs/>
          <w:color w:val="auto"/>
          <w:lang w:val="kk-KZ"/>
        </w:rPr>
      </w:pPr>
    </w:p>
    <w:p w14:paraId="7C7FFC69">
      <w:pPr>
        <w:keepNext w:val="0"/>
        <w:keepLines w:val="0"/>
        <w:pageBreakBefore w:val="0"/>
        <w:widowControl/>
        <w:kinsoku/>
        <w:wordWrap/>
        <w:overflowPunct/>
        <w:topLinePunct w:val="0"/>
        <w:autoSpaceDE/>
        <w:autoSpaceDN/>
        <w:bidi w:val="0"/>
        <w:adjustRightInd/>
        <w:snapToGrid/>
        <w:spacing w:after="0"/>
        <w:jc w:val="center"/>
        <w:textAlignment w:val="auto"/>
        <w:rPr>
          <w:rFonts w:hint="default"/>
          <w:b/>
          <w:bCs/>
          <w:color w:val="auto"/>
          <w:lang w:val="kk-KZ"/>
        </w:rPr>
      </w:pPr>
    </w:p>
    <w:p w14:paraId="676394F6">
      <w:pPr>
        <w:keepNext w:val="0"/>
        <w:keepLines w:val="0"/>
        <w:pageBreakBefore w:val="0"/>
        <w:widowControl/>
        <w:kinsoku/>
        <w:wordWrap/>
        <w:overflowPunct/>
        <w:topLinePunct w:val="0"/>
        <w:autoSpaceDE/>
        <w:autoSpaceDN/>
        <w:bidi w:val="0"/>
        <w:adjustRightInd/>
        <w:snapToGrid/>
        <w:spacing w:after="0"/>
        <w:jc w:val="center"/>
        <w:textAlignment w:val="auto"/>
        <w:rPr>
          <w:rFonts w:hint="default"/>
          <w:b/>
          <w:bCs/>
          <w:color w:val="auto"/>
          <w:lang w:val="kk-KZ"/>
        </w:rPr>
      </w:pPr>
    </w:p>
    <w:p w14:paraId="7E0E89AE">
      <w:pPr>
        <w:keepNext w:val="0"/>
        <w:keepLines w:val="0"/>
        <w:pageBreakBefore w:val="0"/>
        <w:widowControl/>
        <w:kinsoku/>
        <w:wordWrap/>
        <w:overflowPunct/>
        <w:topLinePunct w:val="0"/>
        <w:autoSpaceDE/>
        <w:autoSpaceDN/>
        <w:bidi w:val="0"/>
        <w:adjustRightInd/>
        <w:snapToGrid/>
        <w:spacing w:after="0"/>
        <w:jc w:val="center"/>
        <w:textAlignment w:val="auto"/>
        <w:rPr>
          <w:rFonts w:hint="default"/>
          <w:b/>
          <w:bCs/>
          <w:color w:val="auto"/>
          <w:lang w:val="kk-KZ"/>
        </w:rPr>
      </w:pPr>
    </w:p>
    <w:p w14:paraId="653C017E">
      <w:pPr>
        <w:rPr>
          <w:rFonts w:hint="default"/>
          <w:b/>
          <w:bCs/>
          <w:color w:val="auto"/>
          <w:lang w:val="kk-KZ"/>
        </w:rPr>
      </w:pPr>
      <w:r>
        <w:rPr>
          <w:rFonts w:hint="default"/>
          <w:b/>
          <w:bCs/>
          <w:color w:val="auto"/>
          <w:lang w:val="kk-KZ"/>
        </w:rPr>
        <w:br w:type="page"/>
      </w:r>
    </w:p>
    <w:p w14:paraId="719D7EE5">
      <w:pPr>
        <w:keepNext w:val="0"/>
        <w:keepLines w:val="0"/>
        <w:pageBreakBefore w:val="0"/>
        <w:widowControl/>
        <w:kinsoku/>
        <w:wordWrap/>
        <w:overflowPunct/>
        <w:topLinePunct w:val="0"/>
        <w:autoSpaceDE/>
        <w:autoSpaceDN/>
        <w:bidi w:val="0"/>
        <w:adjustRightInd/>
        <w:snapToGrid/>
        <w:spacing w:after="0"/>
        <w:jc w:val="center"/>
        <w:textAlignment w:val="auto"/>
        <w:rPr>
          <w:rFonts w:hint="default"/>
          <w:b/>
          <w:bCs/>
          <w:color w:val="auto"/>
          <w:lang w:val="kk-KZ"/>
        </w:rPr>
      </w:pPr>
    </w:p>
    <w:p w14:paraId="2E92FAA3">
      <w:pPr>
        <w:keepNext w:val="0"/>
        <w:keepLines w:val="0"/>
        <w:pageBreakBefore w:val="0"/>
        <w:widowControl/>
        <w:kinsoku/>
        <w:wordWrap/>
        <w:overflowPunct/>
        <w:topLinePunct w:val="0"/>
        <w:autoSpaceDE/>
        <w:autoSpaceDN/>
        <w:bidi w:val="0"/>
        <w:adjustRightInd/>
        <w:snapToGrid/>
        <w:spacing w:after="0"/>
        <w:jc w:val="center"/>
        <w:textAlignment w:val="auto"/>
        <w:rPr>
          <w:rFonts w:hint="default"/>
          <w:b/>
          <w:bCs/>
          <w:color w:val="auto"/>
          <w:lang w:val="kk-KZ"/>
        </w:rPr>
      </w:pPr>
      <w:r>
        <w:rPr>
          <w:color w:val="auto"/>
        </w:rPr>
        <w:drawing>
          <wp:inline distT="0" distB="0" distL="114300" distR="114300">
            <wp:extent cx="5923915" cy="6875145"/>
            <wp:effectExtent l="0" t="0" r="4445" b="13335"/>
            <wp:docPr id="79" name="Изобра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Изображение 2"/>
                    <pic:cNvPicPr>
                      <a:picLocks noChangeAspect="1"/>
                    </pic:cNvPicPr>
                  </pic:nvPicPr>
                  <pic:blipFill>
                    <a:blip r:embed="rId35"/>
                    <a:stretch>
                      <a:fillRect/>
                    </a:stretch>
                  </pic:blipFill>
                  <pic:spPr>
                    <a:xfrm>
                      <a:off x="0" y="0"/>
                      <a:ext cx="5923915" cy="6875145"/>
                    </a:xfrm>
                    <a:prstGeom prst="rect">
                      <a:avLst/>
                    </a:prstGeom>
                    <a:noFill/>
                    <a:ln>
                      <a:noFill/>
                    </a:ln>
                  </pic:spPr>
                </pic:pic>
              </a:graphicData>
            </a:graphic>
          </wp:inline>
        </w:drawing>
      </w:r>
    </w:p>
    <w:p w14:paraId="17B8708F">
      <w:pPr>
        <w:keepNext w:val="0"/>
        <w:keepLines w:val="0"/>
        <w:pageBreakBefore w:val="0"/>
        <w:widowControl/>
        <w:kinsoku/>
        <w:wordWrap/>
        <w:overflowPunct/>
        <w:topLinePunct w:val="0"/>
        <w:autoSpaceDE/>
        <w:autoSpaceDN/>
        <w:bidi w:val="0"/>
        <w:adjustRightInd/>
        <w:snapToGrid/>
        <w:spacing w:after="0"/>
        <w:jc w:val="center"/>
        <w:textAlignment w:val="auto"/>
        <w:rPr>
          <w:rFonts w:hint="default"/>
          <w:b/>
          <w:bCs/>
          <w:color w:val="auto"/>
          <w:lang w:val="kk-KZ"/>
        </w:rPr>
      </w:pPr>
    </w:p>
    <w:p w14:paraId="555651F9">
      <w:pPr>
        <w:keepNext w:val="0"/>
        <w:keepLines w:val="0"/>
        <w:pageBreakBefore w:val="0"/>
        <w:widowControl/>
        <w:kinsoku/>
        <w:wordWrap/>
        <w:overflowPunct/>
        <w:topLinePunct w:val="0"/>
        <w:autoSpaceDE/>
        <w:autoSpaceDN/>
        <w:bidi w:val="0"/>
        <w:adjustRightInd/>
        <w:snapToGrid/>
        <w:spacing w:after="0"/>
        <w:jc w:val="center"/>
        <w:textAlignment w:val="auto"/>
        <w:rPr>
          <w:rFonts w:hint="default"/>
          <w:b/>
          <w:bCs/>
          <w:color w:val="auto"/>
          <w:lang w:val="kk-KZ"/>
        </w:rPr>
      </w:pPr>
    </w:p>
    <w:p w14:paraId="2975D046">
      <w:pPr>
        <w:keepNext w:val="0"/>
        <w:keepLines w:val="0"/>
        <w:pageBreakBefore w:val="0"/>
        <w:widowControl/>
        <w:kinsoku/>
        <w:wordWrap/>
        <w:overflowPunct/>
        <w:topLinePunct w:val="0"/>
        <w:autoSpaceDE/>
        <w:autoSpaceDN/>
        <w:bidi w:val="0"/>
        <w:adjustRightInd/>
        <w:snapToGrid/>
        <w:spacing w:after="0"/>
        <w:jc w:val="center"/>
        <w:textAlignment w:val="auto"/>
        <w:rPr>
          <w:rFonts w:hint="default"/>
          <w:b/>
          <w:bCs/>
          <w:color w:val="auto"/>
          <w:lang w:val="kk-KZ"/>
        </w:rPr>
      </w:pPr>
    </w:p>
    <w:p w14:paraId="0F74121E">
      <w:pPr>
        <w:keepNext w:val="0"/>
        <w:keepLines w:val="0"/>
        <w:pageBreakBefore w:val="0"/>
        <w:widowControl/>
        <w:kinsoku/>
        <w:wordWrap/>
        <w:overflowPunct/>
        <w:topLinePunct w:val="0"/>
        <w:autoSpaceDE/>
        <w:autoSpaceDN/>
        <w:bidi w:val="0"/>
        <w:adjustRightInd/>
        <w:snapToGrid/>
        <w:spacing w:after="0"/>
        <w:jc w:val="center"/>
        <w:textAlignment w:val="auto"/>
        <w:rPr>
          <w:rFonts w:hint="default"/>
          <w:b/>
          <w:bCs/>
          <w:color w:val="auto"/>
          <w:lang w:val="kk-KZ"/>
        </w:rPr>
      </w:pPr>
    </w:p>
    <w:p w14:paraId="20BAF910">
      <w:pPr>
        <w:keepNext w:val="0"/>
        <w:keepLines w:val="0"/>
        <w:pageBreakBefore w:val="0"/>
        <w:widowControl/>
        <w:kinsoku/>
        <w:wordWrap/>
        <w:overflowPunct/>
        <w:topLinePunct w:val="0"/>
        <w:autoSpaceDE/>
        <w:autoSpaceDN/>
        <w:bidi w:val="0"/>
        <w:adjustRightInd/>
        <w:snapToGrid/>
        <w:spacing w:after="0"/>
        <w:jc w:val="center"/>
        <w:textAlignment w:val="auto"/>
        <w:rPr>
          <w:rFonts w:hint="default"/>
          <w:b/>
          <w:bCs/>
          <w:color w:val="auto"/>
          <w:lang w:val="kk-KZ"/>
        </w:rPr>
      </w:pPr>
    </w:p>
    <w:p w14:paraId="2B87C1FA">
      <w:pPr>
        <w:keepNext w:val="0"/>
        <w:keepLines w:val="0"/>
        <w:pageBreakBefore w:val="0"/>
        <w:widowControl/>
        <w:kinsoku/>
        <w:wordWrap/>
        <w:overflowPunct/>
        <w:topLinePunct w:val="0"/>
        <w:autoSpaceDE/>
        <w:autoSpaceDN/>
        <w:bidi w:val="0"/>
        <w:adjustRightInd/>
        <w:snapToGrid/>
        <w:spacing w:after="0"/>
        <w:jc w:val="center"/>
        <w:textAlignment w:val="auto"/>
        <w:rPr>
          <w:rFonts w:hint="default"/>
          <w:b/>
          <w:bCs/>
          <w:color w:val="auto"/>
          <w:lang w:val="kk-KZ"/>
        </w:rPr>
      </w:pPr>
    </w:p>
    <w:p w14:paraId="0C4A7190">
      <w:pPr>
        <w:keepNext w:val="0"/>
        <w:keepLines w:val="0"/>
        <w:pageBreakBefore w:val="0"/>
        <w:widowControl/>
        <w:kinsoku/>
        <w:wordWrap/>
        <w:overflowPunct/>
        <w:topLinePunct w:val="0"/>
        <w:autoSpaceDE/>
        <w:autoSpaceDN/>
        <w:bidi w:val="0"/>
        <w:adjustRightInd/>
        <w:snapToGrid/>
        <w:spacing w:after="0"/>
        <w:jc w:val="center"/>
        <w:textAlignment w:val="auto"/>
        <w:rPr>
          <w:rFonts w:hint="default"/>
          <w:b/>
          <w:bCs/>
          <w:color w:val="auto"/>
          <w:lang w:val="kk-KZ"/>
        </w:rPr>
      </w:pPr>
    </w:p>
    <w:p w14:paraId="45E80DD6">
      <w:pPr>
        <w:keepNext w:val="0"/>
        <w:keepLines w:val="0"/>
        <w:pageBreakBefore w:val="0"/>
        <w:widowControl/>
        <w:kinsoku/>
        <w:wordWrap/>
        <w:overflowPunct/>
        <w:topLinePunct w:val="0"/>
        <w:autoSpaceDE/>
        <w:autoSpaceDN/>
        <w:bidi w:val="0"/>
        <w:adjustRightInd/>
        <w:snapToGrid/>
        <w:spacing w:after="0"/>
        <w:jc w:val="center"/>
        <w:textAlignment w:val="auto"/>
        <w:rPr>
          <w:rFonts w:hint="default"/>
          <w:b/>
          <w:bCs/>
          <w:color w:val="auto"/>
          <w:lang w:val="kk-KZ"/>
        </w:rPr>
      </w:pPr>
    </w:p>
    <w:p w14:paraId="5C1A2BE5">
      <w:pPr>
        <w:keepNext w:val="0"/>
        <w:keepLines w:val="0"/>
        <w:pageBreakBefore w:val="0"/>
        <w:widowControl/>
        <w:kinsoku/>
        <w:wordWrap/>
        <w:overflowPunct/>
        <w:topLinePunct w:val="0"/>
        <w:autoSpaceDE/>
        <w:autoSpaceDN/>
        <w:bidi w:val="0"/>
        <w:adjustRightInd/>
        <w:snapToGrid/>
        <w:spacing w:after="0"/>
        <w:jc w:val="center"/>
        <w:textAlignment w:val="auto"/>
        <w:rPr>
          <w:rFonts w:hint="default"/>
          <w:b/>
          <w:bCs/>
          <w:color w:val="auto"/>
          <w:lang w:val="kk-KZ"/>
        </w:rPr>
      </w:pPr>
    </w:p>
    <w:p w14:paraId="3C834E75">
      <w:pPr>
        <w:rPr>
          <w:rFonts w:hint="default"/>
          <w:b/>
          <w:bCs/>
          <w:color w:val="auto"/>
          <w:lang w:val="kk-KZ"/>
        </w:rPr>
      </w:pPr>
      <w:r>
        <w:rPr>
          <w:rFonts w:hint="default"/>
          <w:b/>
          <w:bCs/>
          <w:color w:val="auto"/>
          <w:lang w:val="kk-KZ"/>
        </w:rPr>
        <w:br w:type="page"/>
      </w:r>
    </w:p>
    <w:p w14:paraId="703869AC">
      <w:pPr>
        <w:keepNext w:val="0"/>
        <w:keepLines w:val="0"/>
        <w:pageBreakBefore w:val="0"/>
        <w:widowControl/>
        <w:kinsoku/>
        <w:wordWrap/>
        <w:overflowPunct/>
        <w:topLinePunct w:val="0"/>
        <w:autoSpaceDE/>
        <w:autoSpaceDN/>
        <w:bidi w:val="0"/>
        <w:adjustRightInd/>
        <w:snapToGrid/>
        <w:spacing w:after="0"/>
        <w:jc w:val="center"/>
        <w:textAlignment w:val="auto"/>
        <w:rPr>
          <w:rFonts w:hint="default"/>
          <w:b/>
          <w:bCs/>
          <w:color w:val="auto"/>
          <w:lang w:val="kk-KZ"/>
        </w:rPr>
      </w:pPr>
      <w:r>
        <w:rPr>
          <w:b/>
          <w:bCs/>
          <w:color w:val="auto"/>
        </w:rPr>
        <w:t>ҚОСЫМША</w:t>
      </w:r>
      <w:r>
        <w:rPr>
          <w:rFonts w:hint="default"/>
          <w:b/>
          <w:bCs/>
          <w:color w:val="auto"/>
          <w:lang w:val="kk-KZ"/>
        </w:rPr>
        <w:t xml:space="preserve"> Ә</w:t>
      </w:r>
    </w:p>
    <w:p w14:paraId="055FAD6C">
      <w:pPr>
        <w:keepNext w:val="0"/>
        <w:keepLines w:val="0"/>
        <w:pageBreakBefore w:val="0"/>
        <w:widowControl/>
        <w:kinsoku/>
        <w:wordWrap/>
        <w:overflowPunct/>
        <w:topLinePunct w:val="0"/>
        <w:autoSpaceDE/>
        <w:autoSpaceDN/>
        <w:bidi w:val="0"/>
        <w:adjustRightInd/>
        <w:snapToGrid/>
        <w:spacing w:after="0"/>
        <w:jc w:val="center"/>
        <w:textAlignment w:val="auto"/>
        <w:rPr>
          <w:rFonts w:hint="default"/>
          <w:b w:val="0"/>
          <w:bCs w:val="0"/>
          <w:color w:val="auto"/>
          <w:lang w:val="kk-KZ"/>
        </w:rPr>
      </w:pPr>
      <w:r>
        <w:rPr>
          <w:rFonts w:hint="default"/>
          <w:b w:val="0"/>
          <w:bCs w:val="0"/>
          <w:color w:val="auto"/>
          <w:lang w:val="kk-KZ"/>
        </w:rPr>
        <w:t>Топырақтың сынақ хаттамалары</w:t>
      </w:r>
    </w:p>
    <w:p w14:paraId="4FF0C6B1">
      <w:pPr>
        <w:keepNext w:val="0"/>
        <w:keepLines w:val="0"/>
        <w:pageBreakBefore w:val="0"/>
        <w:widowControl/>
        <w:kinsoku/>
        <w:wordWrap/>
        <w:overflowPunct/>
        <w:topLinePunct w:val="0"/>
        <w:autoSpaceDE/>
        <w:autoSpaceDN/>
        <w:bidi w:val="0"/>
        <w:adjustRightInd/>
        <w:snapToGrid/>
        <w:spacing w:after="0"/>
        <w:jc w:val="center"/>
        <w:textAlignment w:val="auto"/>
        <w:rPr>
          <w:rFonts w:hint="default"/>
          <w:b w:val="0"/>
          <w:bCs w:val="0"/>
          <w:color w:val="auto"/>
          <w:lang w:val="kk-KZ"/>
        </w:rPr>
      </w:pPr>
      <w:r>
        <w:rPr>
          <w:rFonts w:hint="default"/>
          <w:b w:val="0"/>
          <w:bCs w:val="0"/>
          <w:color w:val="auto"/>
          <w:lang w:val="kk-KZ"/>
        </w:rPr>
        <w:t>Экспериментке дейінгі ЖМӨ көлемі</w:t>
      </w:r>
    </w:p>
    <w:p w14:paraId="6E441BF7">
      <w:pPr>
        <w:pStyle w:val="35"/>
        <w:keepNext w:val="0"/>
        <w:keepLines w:val="0"/>
        <w:widowControl/>
        <w:suppressLineNumbers w:val="0"/>
        <w:rPr>
          <w:color w:val="auto"/>
        </w:rPr>
      </w:pPr>
      <w:r>
        <w:rPr>
          <w:color w:val="auto"/>
        </w:rPr>
        <w:drawing>
          <wp:inline distT="0" distB="0" distL="114300" distR="114300">
            <wp:extent cx="5473700" cy="7743190"/>
            <wp:effectExtent l="0" t="0" r="12700" b="13970"/>
            <wp:docPr id="84" name="Изображение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Изображение 5" descr="IMG_256"/>
                    <pic:cNvPicPr>
                      <a:picLocks noChangeAspect="1"/>
                    </pic:cNvPicPr>
                  </pic:nvPicPr>
                  <pic:blipFill>
                    <a:blip r:embed="rId36"/>
                    <a:stretch>
                      <a:fillRect/>
                    </a:stretch>
                  </pic:blipFill>
                  <pic:spPr>
                    <a:xfrm>
                      <a:off x="0" y="0"/>
                      <a:ext cx="5473700" cy="7743190"/>
                    </a:xfrm>
                    <a:prstGeom prst="rect">
                      <a:avLst/>
                    </a:prstGeom>
                    <a:noFill/>
                    <a:ln w="9525">
                      <a:noFill/>
                    </a:ln>
                  </pic:spPr>
                </pic:pic>
              </a:graphicData>
            </a:graphic>
          </wp:inline>
        </w:drawing>
      </w:r>
    </w:p>
    <w:p w14:paraId="2ED036F7">
      <w:pPr>
        <w:rPr>
          <w:rFonts w:hint="default"/>
          <w:b/>
          <w:bCs/>
          <w:color w:val="auto"/>
          <w:lang w:val="kk-KZ"/>
        </w:rPr>
      </w:pPr>
      <w:r>
        <w:rPr>
          <w:rFonts w:hint="default"/>
          <w:b/>
          <w:bCs/>
          <w:color w:val="auto"/>
          <w:lang w:val="kk-KZ"/>
        </w:rPr>
        <w:br w:type="page"/>
      </w:r>
    </w:p>
    <w:p w14:paraId="7BA52B3D">
      <w:pPr>
        <w:keepNext w:val="0"/>
        <w:keepLines w:val="0"/>
        <w:pageBreakBefore w:val="0"/>
        <w:widowControl/>
        <w:kinsoku/>
        <w:wordWrap/>
        <w:overflowPunct/>
        <w:topLinePunct w:val="0"/>
        <w:autoSpaceDE/>
        <w:autoSpaceDN/>
        <w:bidi w:val="0"/>
        <w:adjustRightInd/>
        <w:snapToGrid/>
        <w:spacing w:after="0"/>
        <w:jc w:val="center"/>
        <w:textAlignment w:val="auto"/>
        <w:rPr>
          <w:rFonts w:hint="default"/>
          <w:b/>
          <w:bCs/>
          <w:color w:val="auto"/>
          <w:lang w:val="kk-KZ"/>
        </w:rPr>
      </w:pPr>
      <w:r>
        <w:rPr>
          <w:rFonts w:hint="default"/>
          <w:b/>
          <w:bCs/>
          <w:color w:val="auto"/>
          <w:lang w:val="kk-KZ"/>
        </w:rPr>
        <w:drawing>
          <wp:inline distT="0" distB="0" distL="114300" distR="114300">
            <wp:extent cx="5934075" cy="8392160"/>
            <wp:effectExtent l="0" t="0" r="9525" b="5080"/>
            <wp:docPr id="85" name="Изображение 85" descr="IMG_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Изображение 85" descr="IMG_0004"/>
                    <pic:cNvPicPr>
                      <a:picLocks noChangeAspect="1"/>
                    </pic:cNvPicPr>
                  </pic:nvPicPr>
                  <pic:blipFill>
                    <a:blip r:embed="rId37"/>
                    <a:stretch>
                      <a:fillRect/>
                    </a:stretch>
                  </pic:blipFill>
                  <pic:spPr>
                    <a:xfrm>
                      <a:off x="0" y="0"/>
                      <a:ext cx="5934075" cy="8392160"/>
                    </a:xfrm>
                    <a:prstGeom prst="rect">
                      <a:avLst/>
                    </a:prstGeom>
                  </pic:spPr>
                </pic:pic>
              </a:graphicData>
            </a:graphic>
          </wp:inline>
        </w:drawing>
      </w:r>
    </w:p>
    <w:p w14:paraId="37024211">
      <w:pPr>
        <w:pStyle w:val="35"/>
        <w:keepNext w:val="0"/>
        <w:keepLines w:val="0"/>
        <w:widowControl/>
        <w:suppressLineNumbers w:val="0"/>
        <w:rPr>
          <w:color w:val="auto"/>
        </w:rPr>
      </w:pPr>
    </w:p>
    <w:p w14:paraId="1EACBE9A">
      <w:pPr>
        <w:rPr>
          <w:color w:val="auto"/>
        </w:rPr>
      </w:pPr>
      <w:r>
        <w:rPr>
          <w:color w:val="auto"/>
        </w:rPr>
        <w:br w:type="page"/>
      </w:r>
    </w:p>
    <w:p w14:paraId="654163AB">
      <w:pPr>
        <w:pStyle w:val="35"/>
        <w:keepNext w:val="0"/>
        <w:keepLines w:val="0"/>
        <w:widowControl/>
        <w:suppressLineNumbers w:val="0"/>
        <w:jc w:val="center"/>
        <w:rPr>
          <w:rFonts w:hint="default"/>
          <w:color w:val="auto"/>
          <w:sz w:val="28"/>
          <w:szCs w:val="28"/>
          <w:lang w:val="kk-KZ"/>
        </w:rPr>
      </w:pPr>
      <w:r>
        <w:rPr>
          <w:color w:val="auto"/>
          <w:sz w:val="28"/>
          <w:szCs w:val="28"/>
          <w:lang w:val="kk-KZ"/>
        </w:rPr>
        <w:t>Биодеструкция</w:t>
      </w:r>
      <w:r>
        <w:rPr>
          <w:rFonts w:hint="default"/>
          <w:color w:val="auto"/>
          <w:sz w:val="28"/>
          <w:szCs w:val="28"/>
          <w:lang w:val="kk-KZ"/>
        </w:rPr>
        <w:t xml:space="preserve"> өткізілгеннен кейінгі эксперимент нәтижелері</w:t>
      </w:r>
    </w:p>
    <w:p w14:paraId="041E1069">
      <w:pPr>
        <w:pStyle w:val="35"/>
        <w:keepNext w:val="0"/>
        <w:keepLines w:val="0"/>
        <w:widowControl/>
        <w:suppressLineNumbers w:val="0"/>
        <w:rPr>
          <w:color w:val="auto"/>
        </w:rPr>
      </w:pPr>
      <w:r>
        <w:rPr>
          <w:color w:val="auto"/>
        </w:rPr>
        <w:drawing>
          <wp:inline distT="0" distB="0" distL="114300" distR="114300">
            <wp:extent cx="5640705" cy="7492365"/>
            <wp:effectExtent l="0" t="0" r="13335" b="5715"/>
            <wp:docPr id="80" name="Изображение 3" descr="IMG_256"/>
            <wp:cNvGraphicFramePr/>
            <a:graphic xmlns:a="http://schemas.openxmlformats.org/drawingml/2006/main">
              <a:graphicData uri="http://schemas.openxmlformats.org/drawingml/2006/picture">
                <pic:pic xmlns:pic="http://schemas.openxmlformats.org/drawingml/2006/picture">
                  <pic:nvPicPr>
                    <pic:cNvPr id="80" name="Изображение 3" descr="IMG_256"/>
                    <pic:cNvPicPr/>
                  </pic:nvPicPr>
                  <pic:blipFill>
                    <a:blip r:embed="rId38"/>
                    <a:stretch>
                      <a:fillRect/>
                    </a:stretch>
                  </pic:blipFill>
                  <pic:spPr>
                    <a:xfrm>
                      <a:off x="0" y="0"/>
                      <a:ext cx="5640705" cy="7492365"/>
                    </a:xfrm>
                    <a:prstGeom prst="rect">
                      <a:avLst/>
                    </a:prstGeom>
                    <a:noFill/>
                    <a:ln w="9525">
                      <a:noFill/>
                    </a:ln>
                  </pic:spPr>
                </pic:pic>
              </a:graphicData>
            </a:graphic>
          </wp:inline>
        </w:drawing>
      </w:r>
    </w:p>
    <w:p w14:paraId="1E677314">
      <w:pPr>
        <w:pStyle w:val="35"/>
        <w:keepNext w:val="0"/>
        <w:keepLines w:val="0"/>
        <w:widowControl/>
        <w:suppressLineNumbers w:val="0"/>
        <w:rPr>
          <w:color w:val="auto"/>
        </w:rPr>
      </w:pPr>
    </w:p>
    <w:p w14:paraId="1C483B25">
      <w:pPr>
        <w:pStyle w:val="35"/>
        <w:keepNext w:val="0"/>
        <w:keepLines w:val="0"/>
        <w:widowControl/>
        <w:suppressLineNumbers w:val="0"/>
        <w:rPr>
          <w:color w:val="auto"/>
        </w:rPr>
      </w:pPr>
    </w:p>
    <w:p w14:paraId="6F4B69A4">
      <w:pPr>
        <w:rPr>
          <w:color w:val="auto"/>
        </w:rPr>
      </w:pPr>
      <w:r>
        <w:rPr>
          <w:color w:val="auto"/>
        </w:rPr>
        <w:br w:type="page"/>
      </w:r>
    </w:p>
    <w:p w14:paraId="51EACADC">
      <w:pPr>
        <w:pStyle w:val="35"/>
        <w:keepNext w:val="0"/>
        <w:keepLines w:val="0"/>
        <w:widowControl/>
        <w:suppressLineNumbers w:val="0"/>
        <w:jc w:val="center"/>
        <w:rPr>
          <w:color w:val="auto"/>
        </w:rPr>
      </w:pPr>
    </w:p>
    <w:p w14:paraId="20625952">
      <w:pPr>
        <w:pStyle w:val="35"/>
        <w:keepNext w:val="0"/>
        <w:keepLines w:val="0"/>
        <w:widowControl/>
        <w:suppressLineNumbers w:val="0"/>
        <w:rPr>
          <w:color w:val="auto"/>
        </w:rPr>
      </w:pPr>
      <w:r>
        <w:rPr>
          <w:color w:val="auto"/>
        </w:rPr>
        <w:drawing>
          <wp:inline distT="0" distB="0" distL="114300" distR="114300">
            <wp:extent cx="5580380" cy="8376920"/>
            <wp:effectExtent l="0" t="0" r="12700" b="5080"/>
            <wp:docPr id="81" name="Изображение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Изображение 4" descr="IMG_256"/>
                    <pic:cNvPicPr>
                      <a:picLocks noChangeAspect="1"/>
                    </pic:cNvPicPr>
                  </pic:nvPicPr>
                  <pic:blipFill>
                    <a:blip r:embed="rId39"/>
                    <a:stretch>
                      <a:fillRect/>
                    </a:stretch>
                  </pic:blipFill>
                  <pic:spPr>
                    <a:xfrm>
                      <a:off x="0" y="0"/>
                      <a:ext cx="5580380" cy="8376920"/>
                    </a:xfrm>
                    <a:prstGeom prst="rect">
                      <a:avLst/>
                    </a:prstGeom>
                    <a:noFill/>
                    <a:ln w="9525">
                      <a:noFill/>
                    </a:ln>
                  </pic:spPr>
                </pic:pic>
              </a:graphicData>
            </a:graphic>
          </wp:inline>
        </w:drawing>
      </w:r>
    </w:p>
    <w:p w14:paraId="523A8DD0">
      <w:pPr>
        <w:rPr>
          <w:color w:val="auto"/>
        </w:rPr>
      </w:pPr>
      <w:r>
        <w:rPr>
          <w:color w:val="auto"/>
        </w:rPr>
        <w:br w:type="page"/>
      </w:r>
    </w:p>
    <w:p w14:paraId="7F36054B">
      <w:pPr>
        <w:pStyle w:val="35"/>
        <w:keepNext w:val="0"/>
        <w:keepLines w:val="0"/>
        <w:widowControl/>
        <w:suppressLineNumbers w:val="0"/>
        <w:rPr>
          <w:color w:val="auto"/>
        </w:rPr>
      </w:pPr>
    </w:p>
    <w:p w14:paraId="07625B8C">
      <w:pPr>
        <w:keepNext w:val="0"/>
        <w:keepLines w:val="0"/>
        <w:pageBreakBefore w:val="0"/>
        <w:widowControl/>
        <w:kinsoku/>
        <w:wordWrap/>
        <w:overflowPunct/>
        <w:topLinePunct w:val="0"/>
        <w:autoSpaceDE/>
        <w:autoSpaceDN/>
        <w:bidi w:val="0"/>
        <w:adjustRightInd/>
        <w:snapToGrid/>
        <w:spacing w:after="0"/>
        <w:jc w:val="center"/>
        <w:textAlignment w:val="auto"/>
        <w:rPr>
          <w:rFonts w:hint="default"/>
          <w:b w:val="0"/>
          <w:bCs w:val="0"/>
          <w:color w:val="auto"/>
          <w:lang w:val="kk-KZ"/>
        </w:rPr>
      </w:pPr>
      <w:r>
        <w:rPr>
          <w:rFonts w:hint="default"/>
          <w:b w:val="0"/>
          <w:bCs w:val="0"/>
          <w:color w:val="auto"/>
          <w:lang w:val="kk-KZ"/>
        </w:rPr>
        <w:t>Далалық эксперимент нәтижесінің сынақ протоколы</w:t>
      </w:r>
    </w:p>
    <w:p w14:paraId="48386A5C">
      <w:pPr>
        <w:pStyle w:val="35"/>
        <w:keepNext w:val="0"/>
        <w:keepLines w:val="0"/>
        <w:widowControl/>
        <w:suppressLineNumbers w:val="0"/>
        <w:rPr>
          <w:color w:val="auto"/>
        </w:rPr>
      </w:pPr>
      <w:r>
        <w:rPr>
          <w:color w:val="auto"/>
        </w:rPr>
        <w:drawing>
          <wp:inline distT="0" distB="0" distL="114300" distR="114300">
            <wp:extent cx="5475605" cy="7738110"/>
            <wp:effectExtent l="0" t="0" r="10795" b="3810"/>
            <wp:docPr id="96" name="Изображение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Изображение 3" descr="IMG_256"/>
                    <pic:cNvPicPr>
                      <a:picLocks noChangeAspect="1"/>
                    </pic:cNvPicPr>
                  </pic:nvPicPr>
                  <pic:blipFill>
                    <a:blip r:embed="rId40"/>
                    <a:stretch>
                      <a:fillRect/>
                    </a:stretch>
                  </pic:blipFill>
                  <pic:spPr>
                    <a:xfrm>
                      <a:off x="0" y="0"/>
                      <a:ext cx="5475605" cy="7738110"/>
                    </a:xfrm>
                    <a:prstGeom prst="rect">
                      <a:avLst/>
                    </a:prstGeom>
                    <a:noFill/>
                    <a:ln w="9525">
                      <a:noFill/>
                    </a:ln>
                  </pic:spPr>
                </pic:pic>
              </a:graphicData>
            </a:graphic>
          </wp:inline>
        </w:drawing>
      </w:r>
    </w:p>
    <w:p w14:paraId="675C9C94">
      <w:pPr>
        <w:keepNext w:val="0"/>
        <w:keepLines w:val="0"/>
        <w:pageBreakBefore w:val="0"/>
        <w:widowControl/>
        <w:kinsoku/>
        <w:wordWrap/>
        <w:overflowPunct/>
        <w:topLinePunct w:val="0"/>
        <w:autoSpaceDE/>
        <w:autoSpaceDN/>
        <w:bidi w:val="0"/>
        <w:adjustRightInd/>
        <w:snapToGrid/>
        <w:spacing w:after="0"/>
        <w:jc w:val="center"/>
        <w:textAlignment w:val="auto"/>
        <w:rPr>
          <w:rFonts w:hint="default"/>
          <w:b/>
          <w:bCs/>
          <w:color w:val="auto"/>
          <w:lang w:val="kk-KZ"/>
        </w:rPr>
      </w:pPr>
    </w:p>
    <w:p w14:paraId="3D123923">
      <w:pPr>
        <w:rPr>
          <w:b/>
          <w:bCs/>
          <w:color w:val="auto"/>
        </w:rPr>
      </w:pPr>
      <w:r>
        <w:rPr>
          <w:rFonts w:hint="default"/>
          <w:b/>
          <w:bCs/>
          <w:color w:val="auto"/>
          <w:lang w:val="kk-KZ"/>
        </w:rPr>
        <w:br w:type="page"/>
      </w:r>
    </w:p>
    <w:p w14:paraId="0FC429C4">
      <w:pPr>
        <w:keepNext w:val="0"/>
        <w:keepLines w:val="0"/>
        <w:pageBreakBefore w:val="0"/>
        <w:widowControl/>
        <w:kinsoku/>
        <w:wordWrap/>
        <w:overflowPunct/>
        <w:topLinePunct w:val="0"/>
        <w:autoSpaceDE/>
        <w:autoSpaceDN/>
        <w:bidi w:val="0"/>
        <w:adjustRightInd/>
        <w:snapToGrid/>
        <w:spacing w:after="0"/>
        <w:jc w:val="center"/>
        <w:textAlignment w:val="auto"/>
        <w:rPr>
          <w:rFonts w:hint="default"/>
          <w:b/>
          <w:bCs/>
          <w:color w:val="auto"/>
          <w:lang w:val="kk-KZ"/>
        </w:rPr>
      </w:pPr>
      <w:r>
        <w:rPr>
          <w:b/>
          <w:bCs/>
          <w:color w:val="auto"/>
        </w:rPr>
        <w:t>ҚОСЫМША</w:t>
      </w:r>
      <w:r>
        <w:rPr>
          <w:rFonts w:hint="default"/>
          <w:b/>
          <w:bCs/>
          <w:color w:val="auto"/>
          <w:lang w:val="kk-KZ"/>
        </w:rPr>
        <w:t xml:space="preserve"> Б</w:t>
      </w:r>
    </w:p>
    <w:p w14:paraId="1E46CF90">
      <w:pPr>
        <w:keepNext w:val="0"/>
        <w:keepLines w:val="0"/>
        <w:pageBreakBefore w:val="0"/>
        <w:widowControl/>
        <w:kinsoku/>
        <w:wordWrap/>
        <w:overflowPunct/>
        <w:topLinePunct w:val="0"/>
        <w:autoSpaceDE/>
        <w:autoSpaceDN/>
        <w:bidi w:val="0"/>
        <w:adjustRightInd/>
        <w:snapToGrid/>
        <w:spacing w:after="0"/>
        <w:jc w:val="center"/>
        <w:textAlignment w:val="auto"/>
        <w:rPr>
          <w:b/>
          <w:bCs/>
          <w:color w:val="auto"/>
        </w:rPr>
      </w:pPr>
    </w:p>
    <w:p w14:paraId="168082E1">
      <w:pPr>
        <w:pStyle w:val="35"/>
        <w:keepNext w:val="0"/>
        <w:keepLines w:val="0"/>
        <w:widowControl/>
        <w:suppressLineNumbers w:val="0"/>
        <w:rPr>
          <w:color w:val="auto"/>
        </w:rPr>
      </w:pPr>
      <w:r>
        <w:rPr>
          <w:color w:val="auto"/>
        </w:rPr>
        <w:drawing>
          <wp:inline distT="0" distB="0" distL="114300" distR="114300">
            <wp:extent cx="5330190" cy="7540625"/>
            <wp:effectExtent l="0" t="0" r="3810" b="3175"/>
            <wp:docPr id="98" name="Изображение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Изображение 2" descr="IMG_256"/>
                    <pic:cNvPicPr>
                      <a:picLocks noChangeAspect="1"/>
                    </pic:cNvPicPr>
                  </pic:nvPicPr>
                  <pic:blipFill>
                    <a:blip r:embed="rId41"/>
                    <a:stretch>
                      <a:fillRect/>
                    </a:stretch>
                  </pic:blipFill>
                  <pic:spPr>
                    <a:xfrm>
                      <a:off x="0" y="0"/>
                      <a:ext cx="5330190" cy="7540625"/>
                    </a:xfrm>
                    <a:prstGeom prst="rect">
                      <a:avLst/>
                    </a:prstGeom>
                    <a:noFill/>
                    <a:ln w="9525">
                      <a:noFill/>
                    </a:ln>
                  </pic:spPr>
                </pic:pic>
              </a:graphicData>
            </a:graphic>
          </wp:inline>
        </w:drawing>
      </w:r>
    </w:p>
    <w:p w14:paraId="68F47B83">
      <w:pPr>
        <w:pStyle w:val="35"/>
        <w:keepNext w:val="0"/>
        <w:keepLines w:val="0"/>
        <w:widowControl/>
        <w:suppressLineNumbers w:val="0"/>
        <w:rPr>
          <w:color w:val="auto"/>
        </w:rPr>
      </w:pPr>
    </w:p>
    <w:p w14:paraId="1ACDE20F">
      <w:pPr>
        <w:rPr>
          <w:color w:val="auto"/>
        </w:rPr>
      </w:pPr>
      <w:r>
        <w:rPr>
          <w:color w:val="auto"/>
        </w:rPr>
        <w:br w:type="page"/>
      </w:r>
    </w:p>
    <w:p w14:paraId="67A7EF2F">
      <w:pPr>
        <w:pStyle w:val="35"/>
        <w:keepNext w:val="0"/>
        <w:keepLines w:val="0"/>
        <w:widowControl/>
        <w:suppressLineNumbers w:val="0"/>
        <w:rPr>
          <w:color w:val="auto"/>
        </w:rPr>
      </w:pPr>
    </w:p>
    <w:p w14:paraId="4FF92F4D">
      <w:pPr>
        <w:pStyle w:val="35"/>
        <w:keepNext w:val="0"/>
        <w:keepLines w:val="0"/>
        <w:widowControl/>
        <w:suppressLineNumbers w:val="0"/>
        <w:rPr>
          <w:color w:val="auto"/>
        </w:rPr>
      </w:pPr>
      <w:r>
        <w:rPr>
          <w:color w:val="auto"/>
        </w:rPr>
        <w:drawing>
          <wp:inline distT="0" distB="0" distL="114300" distR="114300">
            <wp:extent cx="5542915" cy="7841615"/>
            <wp:effectExtent l="0" t="0" r="4445" b="6985"/>
            <wp:docPr id="99" name="Изображение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Изображение 1" descr="IMG_256"/>
                    <pic:cNvPicPr>
                      <a:picLocks noChangeAspect="1"/>
                    </pic:cNvPicPr>
                  </pic:nvPicPr>
                  <pic:blipFill>
                    <a:blip r:embed="rId42"/>
                    <a:stretch>
                      <a:fillRect/>
                    </a:stretch>
                  </pic:blipFill>
                  <pic:spPr>
                    <a:xfrm>
                      <a:off x="0" y="0"/>
                      <a:ext cx="5542915" cy="7841615"/>
                    </a:xfrm>
                    <a:prstGeom prst="rect">
                      <a:avLst/>
                    </a:prstGeom>
                    <a:noFill/>
                    <a:ln w="9525">
                      <a:noFill/>
                    </a:ln>
                  </pic:spPr>
                </pic:pic>
              </a:graphicData>
            </a:graphic>
          </wp:inline>
        </w:drawing>
      </w:r>
    </w:p>
    <w:p w14:paraId="357A6105">
      <w:pPr>
        <w:pStyle w:val="35"/>
        <w:keepNext w:val="0"/>
        <w:keepLines w:val="0"/>
        <w:widowControl/>
        <w:suppressLineNumbers w:val="0"/>
        <w:rPr>
          <w:b/>
          <w:bCs/>
          <w:color w:val="auto"/>
        </w:rPr>
      </w:pPr>
    </w:p>
    <w:p w14:paraId="427C2B19">
      <w:pPr>
        <w:keepNext w:val="0"/>
        <w:keepLines w:val="0"/>
        <w:pageBreakBefore w:val="0"/>
        <w:widowControl/>
        <w:kinsoku/>
        <w:wordWrap/>
        <w:overflowPunct/>
        <w:topLinePunct w:val="0"/>
        <w:autoSpaceDE/>
        <w:autoSpaceDN/>
        <w:bidi w:val="0"/>
        <w:adjustRightInd/>
        <w:snapToGrid/>
        <w:spacing w:after="0"/>
        <w:jc w:val="both"/>
        <w:textAlignment w:val="auto"/>
        <w:rPr>
          <w:b/>
          <w:bCs/>
          <w:color w:val="auto"/>
        </w:rPr>
      </w:pPr>
    </w:p>
    <w:p w14:paraId="79475EDF">
      <w:pPr>
        <w:rPr>
          <w:b/>
          <w:bCs/>
          <w:color w:val="auto"/>
        </w:rPr>
      </w:pPr>
      <w:r>
        <w:rPr>
          <w:b/>
          <w:bCs/>
          <w:color w:val="auto"/>
        </w:rPr>
        <w:br w:type="page"/>
      </w:r>
    </w:p>
    <w:p w14:paraId="753B52A8">
      <w:pPr>
        <w:keepNext w:val="0"/>
        <w:keepLines w:val="0"/>
        <w:pageBreakBefore w:val="0"/>
        <w:widowControl/>
        <w:kinsoku/>
        <w:wordWrap/>
        <w:overflowPunct/>
        <w:topLinePunct w:val="0"/>
        <w:autoSpaceDE/>
        <w:autoSpaceDN/>
        <w:bidi w:val="0"/>
        <w:adjustRightInd/>
        <w:snapToGrid/>
        <w:spacing w:after="0"/>
        <w:jc w:val="both"/>
        <w:textAlignment w:val="auto"/>
        <w:rPr>
          <w:b/>
          <w:bCs/>
          <w:color w:val="auto"/>
        </w:rPr>
      </w:pPr>
    </w:p>
    <w:p w14:paraId="6CC79375">
      <w:pPr>
        <w:keepNext w:val="0"/>
        <w:keepLines w:val="0"/>
        <w:pageBreakBefore w:val="0"/>
        <w:widowControl/>
        <w:kinsoku/>
        <w:wordWrap/>
        <w:overflowPunct/>
        <w:topLinePunct w:val="0"/>
        <w:autoSpaceDE/>
        <w:autoSpaceDN/>
        <w:bidi w:val="0"/>
        <w:adjustRightInd/>
        <w:snapToGrid/>
        <w:spacing w:after="0"/>
        <w:jc w:val="center"/>
        <w:textAlignment w:val="auto"/>
        <w:rPr>
          <w:rFonts w:hint="default"/>
          <w:b/>
          <w:bCs/>
          <w:color w:val="auto"/>
          <w:lang w:val="kk-KZ"/>
        </w:rPr>
      </w:pPr>
      <w:r>
        <w:rPr>
          <w:b/>
          <w:bCs/>
          <w:color w:val="auto"/>
        </w:rPr>
        <w:t>ҚОСЫМША</w:t>
      </w:r>
      <w:r>
        <w:rPr>
          <w:rFonts w:hint="default"/>
          <w:b/>
          <w:bCs/>
          <w:color w:val="auto"/>
          <w:lang w:val="kk-KZ"/>
        </w:rPr>
        <w:t xml:space="preserve"> В</w:t>
      </w:r>
    </w:p>
    <w:p w14:paraId="3BECF2F3">
      <w:pPr>
        <w:pStyle w:val="35"/>
        <w:shd w:val="clear"/>
        <w:spacing w:beforeAutospacing="0" w:afterAutospacing="0"/>
        <w:ind w:left="0" w:leftChars="0" w:firstLine="560" w:firstLineChars="200"/>
        <w:jc w:val="center"/>
        <w:rPr>
          <w:rFonts w:hint="default"/>
          <w:b w:val="0"/>
          <w:bCs w:val="0"/>
          <w:color w:val="auto"/>
          <w:sz w:val="28"/>
          <w:szCs w:val="28"/>
          <w:lang w:val="kk-KZ"/>
        </w:rPr>
      </w:pPr>
      <w:r>
        <w:rPr>
          <w:rFonts w:hint="default"/>
          <w:b w:val="0"/>
          <w:bCs w:val="0"/>
          <w:color w:val="auto"/>
          <w:sz w:val="28"/>
          <w:szCs w:val="28"/>
          <w:lang w:val="kk-KZ"/>
        </w:rPr>
        <w:t>Оқыту үрдісіне енгізу актісі</w:t>
      </w:r>
    </w:p>
    <w:p w14:paraId="4D0D3DDE">
      <w:pPr>
        <w:pStyle w:val="35"/>
        <w:shd w:val="clear"/>
        <w:spacing w:beforeAutospacing="0" w:afterAutospacing="0"/>
        <w:ind w:left="0" w:leftChars="0" w:firstLine="560" w:firstLineChars="200"/>
        <w:jc w:val="center"/>
        <w:rPr>
          <w:rFonts w:hint="default"/>
          <w:b w:val="0"/>
          <w:bCs w:val="0"/>
          <w:color w:val="auto"/>
          <w:sz w:val="28"/>
          <w:szCs w:val="28"/>
          <w:lang w:val="kk-KZ"/>
        </w:rPr>
      </w:pPr>
    </w:p>
    <w:p w14:paraId="13DADDE1">
      <w:pPr>
        <w:pStyle w:val="35"/>
        <w:keepNext w:val="0"/>
        <w:keepLines w:val="0"/>
        <w:widowControl/>
        <w:suppressLineNumbers w:val="0"/>
        <w:rPr>
          <w:color w:val="auto"/>
        </w:rPr>
      </w:pPr>
      <w:r>
        <w:rPr>
          <w:color w:val="auto"/>
        </w:rPr>
        <w:drawing>
          <wp:inline distT="0" distB="0" distL="114300" distR="114300">
            <wp:extent cx="5179695" cy="7327265"/>
            <wp:effectExtent l="0" t="0" r="1905" b="3175"/>
            <wp:docPr id="97" name="Изображение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Изображение 1" descr="IMG_256"/>
                    <pic:cNvPicPr>
                      <a:picLocks noChangeAspect="1"/>
                    </pic:cNvPicPr>
                  </pic:nvPicPr>
                  <pic:blipFill>
                    <a:blip r:embed="rId43"/>
                    <a:stretch>
                      <a:fillRect/>
                    </a:stretch>
                  </pic:blipFill>
                  <pic:spPr>
                    <a:xfrm>
                      <a:off x="0" y="0"/>
                      <a:ext cx="5179695" cy="7327265"/>
                    </a:xfrm>
                    <a:prstGeom prst="rect">
                      <a:avLst/>
                    </a:prstGeom>
                    <a:noFill/>
                    <a:ln w="9525">
                      <a:noFill/>
                    </a:ln>
                  </pic:spPr>
                </pic:pic>
              </a:graphicData>
            </a:graphic>
          </wp:inline>
        </w:drawing>
      </w:r>
    </w:p>
    <w:p w14:paraId="3852B4AB">
      <w:pPr>
        <w:pStyle w:val="35"/>
        <w:keepNext w:val="0"/>
        <w:keepLines w:val="0"/>
        <w:widowControl/>
        <w:suppressLineNumbers w:val="0"/>
        <w:rPr>
          <w:color w:val="auto"/>
        </w:rPr>
      </w:pPr>
    </w:p>
    <w:p w14:paraId="2FB88192">
      <w:pPr>
        <w:rPr>
          <w:rFonts w:hint="default"/>
          <w:b/>
          <w:bCs/>
          <w:color w:val="auto"/>
          <w:sz w:val="28"/>
          <w:szCs w:val="28"/>
          <w:lang w:val="en-US"/>
        </w:rPr>
      </w:pPr>
      <w:r>
        <w:rPr>
          <w:rFonts w:hint="default"/>
          <w:b/>
          <w:bCs/>
          <w:color w:val="auto"/>
          <w:sz w:val="28"/>
          <w:szCs w:val="28"/>
          <w:lang w:val="en-US"/>
        </w:rPr>
        <w:br w:type="page"/>
      </w:r>
    </w:p>
    <w:p w14:paraId="771DEBB1">
      <w:pPr>
        <w:pStyle w:val="35"/>
        <w:shd w:val="clear"/>
        <w:spacing w:beforeAutospacing="0" w:afterAutospacing="0"/>
        <w:ind w:left="0" w:leftChars="0" w:firstLine="562" w:firstLineChars="200"/>
        <w:jc w:val="center"/>
        <w:rPr>
          <w:rFonts w:hint="default"/>
          <w:b/>
          <w:bCs/>
          <w:color w:val="auto"/>
          <w:sz w:val="28"/>
          <w:szCs w:val="28"/>
          <w:lang w:val="en-US"/>
        </w:rPr>
      </w:pPr>
    </w:p>
    <w:p w14:paraId="54F30433">
      <w:pPr>
        <w:pStyle w:val="35"/>
        <w:shd w:val="clear"/>
        <w:spacing w:beforeAutospacing="0" w:afterAutospacing="0"/>
        <w:jc w:val="both"/>
        <w:rPr>
          <w:rFonts w:hint="default"/>
          <w:b/>
          <w:bCs/>
          <w:color w:val="auto"/>
          <w:sz w:val="28"/>
          <w:szCs w:val="28"/>
          <w:lang w:val="kk-KZ"/>
        </w:rPr>
      </w:pPr>
    </w:p>
    <w:p w14:paraId="2AE2FA4F">
      <w:pPr>
        <w:keepNext w:val="0"/>
        <w:keepLines w:val="0"/>
        <w:pageBreakBefore w:val="0"/>
        <w:widowControl/>
        <w:kinsoku/>
        <w:wordWrap/>
        <w:overflowPunct/>
        <w:topLinePunct w:val="0"/>
        <w:autoSpaceDE/>
        <w:autoSpaceDN/>
        <w:bidi w:val="0"/>
        <w:adjustRightInd/>
        <w:snapToGrid/>
        <w:spacing w:after="0"/>
        <w:jc w:val="center"/>
        <w:textAlignment w:val="auto"/>
        <w:rPr>
          <w:rFonts w:hint="default"/>
          <w:b/>
          <w:bCs/>
          <w:color w:val="auto"/>
          <w:lang w:val="kk-KZ"/>
        </w:rPr>
      </w:pPr>
      <w:r>
        <w:rPr>
          <w:b/>
          <w:bCs/>
          <w:color w:val="auto"/>
        </w:rPr>
        <w:t>ҚОСЫМША</w:t>
      </w:r>
      <w:r>
        <w:rPr>
          <w:rFonts w:hint="default"/>
          <w:b/>
          <w:bCs/>
          <w:color w:val="auto"/>
          <w:lang w:val="kk-KZ"/>
        </w:rPr>
        <w:t xml:space="preserve"> Г</w:t>
      </w:r>
    </w:p>
    <w:p w14:paraId="52D56480">
      <w:pPr>
        <w:pStyle w:val="35"/>
        <w:shd w:val="clear"/>
        <w:spacing w:beforeAutospacing="0" w:afterAutospacing="0"/>
        <w:jc w:val="center"/>
        <w:rPr>
          <w:rFonts w:hint="default"/>
          <w:b w:val="0"/>
          <w:bCs w:val="0"/>
          <w:color w:val="auto"/>
          <w:sz w:val="28"/>
          <w:szCs w:val="28"/>
          <w:lang w:val="kk-KZ"/>
        </w:rPr>
      </w:pPr>
      <w:r>
        <w:rPr>
          <w:rFonts w:hint="default"/>
          <w:b w:val="0"/>
          <w:bCs w:val="0"/>
          <w:color w:val="auto"/>
          <w:sz w:val="28"/>
          <w:szCs w:val="28"/>
          <w:lang w:val="kk-KZ"/>
        </w:rPr>
        <w:t>Шетелдік тағылымдама</w:t>
      </w:r>
    </w:p>
    <w:p w14:paraId="202B63BD">
      <w:pPr>
        <w:keepNext w:val="0"/>
        <w:keepLines w:val="0"/>
        <w:pageBreakBefore w:val="0"/>
        <w:widowControl/>
        <w:kinsoku/>
        <w:wordWrap/>
        <w:overflowPunct/>
        <w:topLinePunct w:val="0"/>
        <w:autoSpaceDE/>
        <w:autoSpaceDN/>
        <w:bidi w:val="0"/>
        <w:adjustRightInd/>
        <w:snapToGrid/>
        <w:spacing w:after="0"/>
        <w:jc w:val="both"/>
        <w:textAlignment w:val="auto"/>
        <w:rPr>
          <w:b w:val="0"/>
          <w:bCs w:val="0"/>
          <w:color w:val="auto"/>
          <w:szCs w:val="28"/>
          <w:shd w:val="clear" w:fill="FF0000"/>
        </w:rPr>
      </w:pPr>
    </w:p>
    <w:p w14:paraId="0BEC3AFE">
      <w:pPr>
        <w:rPr>
          <w:color w:val="auto"/>
          <w:lang w:val="en-US"/>
        </w:rPr>
      </w:pPr>
      <w:r>
        <w:rPr>
          <w:color w:val="auto"/>
        </w:rPr>
        <w:drawing>
          <wp:inline distT="0" distB="0" distL="114300" distR="114300">
            <wp:extent cx="5705475" cy="6772275"/>
            <wp:effectExtent l="0" t="0" r="9525" b="9525"/>
            <wp:docPr id="86" name="Изображение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Изображение 6"/>
                    <pic:cNvPicPr>
                      <a:picLocks noChangeAspect="1"/>
                    </pic:cNvPicPr>
                  </pic:nvPicPr>
                  <pic:blipFill>
                    <a:blip r:embed="rId44"/>
                    <a:stretch>
                      <a:fillRect/>
                    </a:stretch>
                  </pic:blipFill>
                  <pic:spPr>
                    <a:xfrm>
                      <a:off x="0" y="0"/>
                      <a:ext cx="5705475" cy="6772275"/>
                    </a:xfrm>
                    <a:prstGeom prst="rect">
                      <a:avLst/>
                    </a:prstGeom>
                    <a:noFill/>
                    <a:ln>
                      <a:noFill/>
                    </a:ln>
                  </pic:spPr>
                </pic:pic>
              </a:graphicData>
            </a:graphic>
          </wp:inline>
        </w:drawing>
      </w:r>
    </w:p>
    <w:p w14:paraId="31BB0F72">
      <w:pPr>
        <w:pStyle w:val="35"/>
        <w:spacing w:beforeAutospacing="0" w:afterAutospacing="0"/>
        <w:jc w:val="both"/>
        <w:rPr>
          <w:rFonts w:hint="default"/>
          <w:color w:val="auto"/>
          <w:sz w:val="28"/>
          <w:szCs w:val="28"/>
          <w:lang w:val="ru-RU"/>
        </w:rPr>
      </w:pPr>
    </w:p>
    <w:p w14:paraId="0629AAC6">
      <w:pPr>
        <w:pStyle w:val="35"/>
        <w:spacing w:beforeAutospacing="0" w:afterAutospacing="0"/>
        <w:jc w:val="both"/>
        <w:rPr>
          <w:rFonts w:hint="default"/>
          <w:color w:val="auto"/>
          <w:sz w:val="28"/>
          <w:szCs w:val="28"/>
          <w:lang w:val="ru-RU"/>
        </w:rPr>
      </w:pPr>
    </w:p>
    <w:p w14:paraId="592433F0">
      <w:pPr>
        <w:pStyle w:val="35"/>
        <w:spacing w:beforeAutospacing="0" w:afterAutospacing="0"/>
        <w:jc w:val="both"/>
        <w:rPr>
          <w:rFonts w:hint="default"/>
          <w:color w:val="auto"/>
          <w:sz w:val="28"/>
          <w:szCs w:val="28"/>
          <w:lang w:val="ru-RU"/>
        </w:rPr>
      </w:pPr>
    </w:p>
    <w:p w14:paraId="3B9FB31D">
      <w:pPr>
        <w:pStyle w:val="35"/>
        <w:spacing w:beforeAutospacing="0" w:afterAutospacing="0"/>
        <w:jc w:val="both"/>
        <w:rPr>
          <w:rFonts w:hint="default"/>
          <w:color w:val="auto"/>
          <w:sz w:val="28"/>
          <w:szCs w:val="28"/>
          <w:lang w:val="ru-RU"/>
        </w:rPr>
      </w:pPr>
    </w:p>
    <w:p w14:paraId="6F86E381">
      <w:pPr>
        <w:pStyle w:val="35"/>
        <w:spacing w:beforeAutospacing="0" w:afterAutospacing="0"/>
        <w:jc w:val="both"/>
        <w:rPr>
          <w:rFonts w:hint="default"/>
          <w:color w:val="auto"/>
          <w:sz w:val="28"/>
          <w:szCs w:val="28"/>
          <w:lang w:val="ru-RU"/>
        </w:rPr>
      </w:pPr>
    </w:p>
    <w:p w14:paraId="276FEB92">
      <w:pPr>
        <w:rPr>
          <w:rFonts w:hint="default"/>
          <w:color w:val="auto"/>
          <w:sz w:val="28"/>
          <w:szCs w:val="28"/>
          <w:lang w:val="ru-RU"/>
        </w:rPr>
      </w:pPr>
      <w:r>
        <w:rPr>
          <w:rFonts w:hint="default"/>
          <w:color w:val="auto"/>
          <w:sz w:val="28"/>
          <w:szCs w:val="28"/>
          <w:lang w:val="ru-RU"/>
        </w:rPr>
        <w:br w:type="page"/>
      </w:r>
    </w:p>
    <w:p w14:paraId="18532C28">
      <w:pPr>
        <w:pStyle w:val="35"/>
        <w:spacing w:beforeAutospacing="0" w:afterAutospacing="0"/>
        <w:jc w:val="both"/>
        <w:rPr>
          <w:rFonts w:hint="default"/>
          <w:color w:val="auto"/>
          <w:sz w:val="28"/>
          <w:szCs w:val="28"/>
          <w:lang w:val="ru-RU"/>
        </w:rPr>
      </w:pPr>
    </w:p>
    <w:p w14:paraId="19E12DE0">
      <w:pPr>
        <w:pStyle w:val="35"/>
        <w:spacing w:beforeAutospacing="0" w:afterAutospacing="0"/>
        <w:jc w:val="both"/>
        <w:rPr>
          <w:rFonts w:hint="default"/>
          <w:color w:val="auto"/>
          <w:sz w:val="28"/>
          <w:szCs w:val="28"/>
          <w:lang w:val="ru-RU"/>
        </w:rPr>
      </w:pPr>
    </w:p>
    <w:p w14:paraId="166757B7">
      <w:pPr>
        <w:pStyle w:val="35"/>
        <w:spacing w:beforeAutospacing="0" w:afterAutospacing="0"/>
        <w:jc w:val="center"/>
        <w:rPr>
          <w:rFonts w:hint="default"/>
          <w:color w:val="auto"/>
          <w:sz w:val="28"/>
          <w:szCs w:val="28"/>
          <w:lang w:val="kk-KZ"/>
        </w:rPr>
      </w:pPr>
      <w:r>
        <w:rPr>
          <w:rFonts w:hint="default"/>
          <w:color w:val="auto"/>
          <w:sz w:val="28"/>
          <w:szCs w:val="28"/>
          <w:lang w:val="ru-RU"/>
        </w:rPr>
        <w:t>«</w:t>
      </w:r>
      <w:r>
        <w:rPr>
          <w:rFonts w:hint="default"/>
          <w:color w:val="auto"/>
          <w:sz w:val="28"/>
          <w:szCs w:val="28"/>
          <w:lang w:val="en-GB"/>
        </w:rPr>
        <w:t>Biotechnological approaches to the research and immobilisation of petro-destructive microorganisms</w:t>
      </w:r>
      <w:r>
        <w:rPr>
          <w:rFonts w:hint="default"/>
          <w:color w:val="auto"/>
          <w:sz w:val="28"/>
          <w:szCs w:val="28"/>
          <w:lang w:val="ru-RU"/>
        </w:rPr>
        <w:t>»</w:t>
      </w:r>
      <w:r>
        <w:rPr>
          <w:rFonts w:hint="default"/>
          <w:color w:val="auto"/>
          <w:sz w:val="28"/>
          <w:szCs w:val="28"/>
          <w:lang w:val="en-GB"/>
        </w:rPr>
        <w:t xml:space="preserve"> </w:t>
      </w:r>
      <w:r>
        <w:rPr>
          <w:rFonts w:hint="default"/>
          <w:color w:val="auto"/>
          <w:sz w:val="28"/>
          <w:szCs w:val="28"/>
          <w:lang w:val="kk-KZ"/>
        </w:rPr>
        <w:t xml:space="preserve"> курсын сәтті аяқтағандығы туралы сертификат</w:t>
      </w:r>
    </w:p>
    <w:p w14:paraId="2DA56A07">
      <w:pPr>
        <w:pStyle w:val="35"/>
        <w:spacing w:beforeAutospacing="0" w:afterAutospacing="0"/>
        <w:jc w:val="center"/>
        <w:rPr>
          <w:rFonts w:hint="default"/>
          <w:color w:val="auto"/>
          <w:sz w:val="28"/>
          <w:szCs w:val="28"/>
          <w:lang w:val="kk-KZ"/>
        </w:rPr>
      </w:pPr>
    </w:p>
    <w:p w14:paraId="35C383C6">
      <w:pPr>
        <w:pStyle w:val="35"/>
        <w:spacing w:beforeAutospacing="0" w:afterAutospacing="0"/>
        <w:jc w:val="center"/>
        <w:rPr>
          <w:rFonts w:hint="default"/>
          <w:color w:val="auto"/>
          <w:sz w:val="28"/>
          <w:szCs w:val="28"/>
          <w:lang w:val="kk-KZ"/>
        </w:rPr>
      </w:pPr>
    </w:p>
    <w:p w14:paraId="1C66FEDB">
      <w:pPr>
        <w:pStyle w:val="35"/>
        <w:keepNext w:val="0"/>
        <w:keepLines w:val="0"/>
        <w:widowControl/>
        <w:suppressLineNumbers w:val="0"/>
        <w:rPr>
          <w:color w:val="auto"/>
        </w:rPr>
      </w:pPr>
      <w:r>
        <w:rPr>
          <w:color w:val="auto"/>
        </w:rPr>
        <w:drawing>
          <wp:inline distT="0" distB="0" distL="114300" distR="114300">
            <wp:extent cx="5271135" cy="4079240"/>
            <wp:effectExtent l="0" t="0" r="1905" b="5080"/>
            <wp:docPr id="75" name="Изображение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Изображение 2" descr="IMG_256"/>
                    <pic:cNvPicPr>
                      <a:picLocks noChangeAspect="1"/>
                    </pic:cNvPicPr>
                  </pic:nvPicPr>
                  <pic:blipFill>
                    <a:blip r:embed="rId45"/>
                    <a:stretch>
                      <a:fillRect/>
                    </a:stretch>
                  </pic:blipFill>
                  <pic:spPr>
                    <a:xfrm>
                      <a:off x="0" y="0"/>
                      <a:ext cx="5271135" cy="4079240"/>
                    </a:xfrm>
                    <a:prstGeom prst="rect">
                      <a:avLst/>
                    </a:prstGeom>
                    <a:noFill/>
                    <a:ln w="9525">
                      <a:noFill/>
                    </a:ln>
                  </pic:spPr>
                </pic:pic>
              </a:graphicData>
            </a:graphic>
          </wp:inline>
        </w:drawing>
      </w:r>
    </w:p>
    <w:p w14:paraId="39979D94">
      <w:pPr>
        <w:pStyle w:val="35"/>
        <w:spacing w:beforeAutospacing="0" w:afterAutospacing="0"/>
        <w:jc w:val="both"/>
        <w:rPr>
          <w:rFonts w:hint="default"/>
          <w:color w:val="auto"/>
          <w:sz w:val="28"/>
          <w:szCs w:val="28"/>
          <w:lang w:val="ru-RU"/>
        </w:rPr>
      </w:pPr>
    </w:p>
    <w:sectPr>
      <w:pgSz w:w="11906" w:h="16838"/>
      <w:pgMar w:top="1134" w:right="850" w:bottom="1134" w:left="1701" w:header="0" w:footer="709" w:gutter="0"/>
      <w:pgBorders>
        <w:top w:val="none" w:sz="0" w:space="0"/>
        <w:left w:val="none" w:sz="0" w:space="0"/>
        <w:bottom w:val="none" w:sz="0" w:space="0"/>
        <w:right w:val="none" w:sz="0" w:space="0"/>
      </w:pgBorders>
      <w:cols w:space="0" w:num="1"/>
      <w:formProt w:val="0"/>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CC"/>
    <w:family w:val="swiss"/>
    <w:pitch w:val="default"/>
    <w:sig w:usb0="E4002EFF" w:usb1="C200247B" w:usb2="00000009" w:usb3="00000000" w:csb0="200001FF" w:csb1="00000000"/>
  </w:font>
  <w:font w:name="FreeSans">
    <w:altName w:val="Segoe Print"/>
    <w:panose1 w:val="00000000000000000000"/>
    <w:charset w:val="00"/>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Tahoma">
    <w:panose1 w:val="020B0604030504040204"/>
    <w:charset w:val="CC"/>
    <w:family w:val="swiss"/>
    <w:pitch w:val="default"/>
    <w:sig w:usb0="E1002EFF" w:usb1="C000605B" w:usb2="00000029" w:usb3="00000000" w:csb0="200101FF" w:csb1="20280000"/>
  </w:font>
  <w:font w:name="Consolas">
    <w:panose1 w:val="020B0609020204030204"/>
    <w:charset w:val="CC"/>
    <w:family w:val="modern"/>
    <w:pitch w:val="default"/>
    <w:sig w:usb0="E00006FF" w:usb1="0000FCFF" w:usb2="00000001" w:usb3="00000000" w:csb0="6000019F" w:csb1="DFD70000"/>
  </w:font>
  <w:font w:name="Verdana">
    <w:panose1 w:val="020B0604030504040204"/>
    <w:charset w:val="CC"/>
    <w:family w:val="swiss"/>
    <w:pitch w:val="default"/>
    <w:sig w:usb0="A00006FF" w:usb1="4000205B" w:usb2="00000010" w:usb3="00000000" w:csb0="2000019F" w:csb1="00000000"/>
  </w:font>
  <w:font w:name="inherit;Times New Roman">
    <w:altName w:val="Segoe Print"/>
    <w:panose1 w:val="00000000000000000000"/>
    <w:charset w:val="00"/>
    <w:family w:val="auto"/>
    <w:pitch w:val="default"/>
    <w:sig w:usb0="00000000" w:usb1="00000000" w:usb2="00000000" w:usb3="00000000" w:csb0="00000000" w:csb1="00000000"/>
  </w:font>
  <w:font w:name="Cambria">
    <w:panose1 w:val="02040503050406030204"/>
    <w:charset w:val="CC"/>
    <w:family w:val="roman"/>
    <w:pitch w:val="default"/>
    <w:sig w:usb0="E00006FF" w:usb1="420024FF" w:usb2="02000000" w:usb3="00000000" w:csb0="2000019F" w:csb1="00000000"/>
  </w:font>
  <w:font w:name="Kz Arial;Arial">
    <w:altName w:val="Segoe Print"/>
    <w:panose1 w:val="00000000000000000000"/>
    <w:charset w:val="00"/>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40001" w:csb1="00000000"/>
  </w:font>
  <w:font w:name="Segoe UI">
    <w:panose1 w:val="020B0502040204020203"/>
    <w:charset w:val="CC"/>
    <w:family w:val="swiss"/>
    <w:pitch w:val="default"/>
    <w:sig w:usb0="E4002EFF" w:usb1="C000E47F" w:usb2="00000009" w:usb3="00000000" w:csb0="200001FF" w:csb1="00000000"/>
  </w:font>
  <w:font w:name="Cambria Math">
    <w:panose1 w:val="02040503050406030204"/>
    <w:charset w:val="CC"/>
    <w:family w:val="roman"/>
    <w:pitch w:val="default"/>
    <w:sig w:usb0="E00006FF" w:usb1="420024FF" w:usb2="02000000" w:usb3="00000000" w:csb0="2000019F" w:csb1="00000000"/>
  </w:font>
  <w:font w:name="Times-Roman">
    <w:altName w:val="Times New Roman"/>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A79C6">
    <w:pPr>
      <w:pStyle w:val="32"/>
      <w:rPr>
        <w:szCs w:val="28"/>
      </w:rPr>
    </w:pPr>
    <w:r>
      <w:rPr>
        <w:lang w:eastAsia="ru-RU"/>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2" name="Текстовое поле 8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03968D">
                          <w:pPr>
                            <w:pStyle w:val="32"/>
                          </w:pPr>
                          <w:r>
                            <w:fldChar w:fldCharType="begin"/>
                          </w:r>
                          <w:r>
                            <w:instrText xml:space="preserve"> PAGE  \* MERGEFORMAT </w:instrText>
                          </w:r>
                          <w:r>
                            <w:fldChar w:fldCharType="separate"/>
                          </w:r>
                          <w:r>
                            <w:t>84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LNJWO7QAAAABQEAAA8AAAAAAAAAAQAgAAAAIgAAAGRycy9kb3ducmV2&#10;LnhtbFBLAQIUABQAAAAIAIdO4kDhO1dcPQIAAGkEAAAOAAAAAAAAAAEAIAAAAB8BAABkcnMvZTJv&#10;RG9jLnhtbFBLBQYAAAAABgAGAFkBAADOBQAAAAA=&#10;">
              <v:fill on="f" focussize="0,0"/>
              <v:stroke on="f" weight="0.5pt"/>
              <v:imagedata o:title=""/>
              <o:lock v:ext="edit" aspectratio="f"/>
              <v:textbox inset="0mm,0mm,0mm,0mm" style="mso-fit-shape-to-text:t;">
                <w:txbxContent>
                  <w:p w14:paraId="6C03968D">
                    <w:pPr>
                      <w:pStyle w:val="32"/>
                    </w:pPr>
                    <w:r>
                      <w:fldChar w:fldCharType="begin"/>
                    </w:r>
                    <w:r>
                      <w:instrText xml:space="preserve"> PAGE  \* MERGEFORMAT </w:instrText>
                    </w:r>
                    <w:r>
                      <w:fldChar w:fldCharType="separate"/>
                    </w:r>
                    <w:r>
                      <w:t>84</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BF17BE">
    <w:pPr>
      <w:pStyle w:val="32"/>
    </w:pPr>
    <w:r>
      <w:rPr>
        <w:lang w:eastAsia="ru-RU"/>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3" name="Текстовое поле 8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FC17CD">
                          <w:pPr>
                            <w:pStyle w:val="32"/>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LNJWO7QAAAABQEAAA8AAAAAAAAAAQAgAAAAIgAAAGRycy9kb3ducmV2&#10;LnhtbFBLAQIUABQAAAAIAIdO4kDb9ZuBPQIAAGkEAAAOAAAAAAAAAAEAIAAAAB8BAABkcnMvZTJv&#10;RG9jLnhtbFBLBQYAAAAABgAGAFkBAADOBQAAAAA=&#10;">
              <v:fill on="f" focussize="0,0"/>
              <v:stroke on="f" weight="0.5pt"/>
              <v:imagedata o:title=""/>
              <o:lock v:ext="edit" aspectratio="f"/>
              <v:textbox inset="0mm,0mm,0mm,0mm" style="mso-fit-shape-to-text:t;">
                <w:txbxContent>
                  <w:p w14:paraId="31FC17CD">
                    <w:pPr>
                      <w:pStyle w:val="32"/>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E4A02B">
    <w:pPr>
      <w:pStyle w:val="2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77304F"/>
    <w:multiLevelType w:val="singleLevel"/>
    <w:tmpl w:val="8377304F"/>
    <w:lvl w:ilvl="0" w:tentative="0">
      <w:start w:val="1"/>
      <w:numFmt w:val="decimal"/>
      <w:suff w:val="space"/>
      <w:lvlText w:val="%1."/>
      <w:lvlJc w:val="left"/>
      <w:pPr>
        <w:ind w:left="709" w:firstLine="0"/>
      </w:pPr>
    </w:lvl>
  </w:abstractNum>
  <w:abstractNum w:abstractNumId="1">
    <w:nsid w:val="86D5BB76"/>
    <w:multiLevelType w:val="singleLevel"/>
    <w:tmpl w:val="86D5BB76"/>
    <w:lvl w:ilvl="0" w:tentative="0">
      <w:start w:val="1"/>
      <w:numFmt w:val="decimal"/>
      <w:suff w:val="space"/>
      <w:lvlText w:val="%1."/>
      <w:lvlJc w:val="left"/>
    </w:lvl>
  </w:abstractNum>
  <w:abstractNum w:abstractNumId="2">
    <w:nsid w:val="A281498F"/>
    <w:multiLevelType w:val="singleLevel"/>
    <w:tmpl w:val="A281498F"/>
    <w:lvl w:ilvl="0" w:tentative="0">
      <w:start w:val="1"/>
      <w:numFmt w:val="decimal"/>
      <w:suff w:val="space"/>
      <w:lvlText w:val="%1."/>
      <w:lvlJc w:val="left"/>
      <w:rPr>
        <w:rFonts w:hint="default"/>
        <w:highlight w:val="none"/>
      </w:rPr>
    </w:lvl>
  </w:abstractNum>
  <w:abstractNum w:abstractNumId="3">
    <w:nsid w:val="B06C64C0"/>
    <w:multiLevelType w:val="singleLevel"/>
    <w:tmpl w:val="B06C64C0"/>
    <w:lvl w:ilvl="0" w:tentative="0">
      <w:start w:val="1"/>
      <w:numFmt w:val="decimal"/>
      <w:suff w:val="nothing"/>
      <w:lvlText w:val="%1-"/>
      <w:lvlJc w:val="left"/>
    </w:lvl>
  </w:abstractNum>
  <w:abstractNum w:abstractNumId="4">
    <w:nsid w:val="CC1A578C"/>
    <w:multiLevelType w:val="singleLevel"/>
    <w:tmpl w:val="CC1A578C"/>
    <w:lvl w:ilvl="0" w:tentative="0">
      <w:start w:val="1"/>
      <w:numFmt w:val="decimal"/>
      <w:pStyle w:val="33"/>
      <w:lvlText w:val="%1."/>
      <w:lvlJc w:val="left"/>
      <w:pPr>
        <w:tabs>
          <w:tab w:val="left" w:pos="360"/>
        </w:tabs>
        <w:ind w:left="360" w:hanging="360"/>
      </w:pPr>
    </w:lvl>
  </w:abstractNum>
  <w:abstractNum w:abstractNumId="5">
    <w:nsid w:val="FD74D82E"/>
    <w:multiLevelType w:val="singleLevel"/>
    <w:tmpl w:val="FD74D82E"/>
    <w:lvl w:ilvl="0" w:tentative="0">
      <w:start w:val="18"/>
      <w:numFmt w:val="upperLetter"/>
      <w:suff w:val="space"/>
      <w:lvlText w:val="%1."/>
      <w:lvlJc w:val="left"/>
    </w:lvl>
  </w:abstractNum>
  <w:abstractNum w:abstractNumId="6">
    <w:nsid w:val="10DCB40C"/>
    <w:multiLevelType w:val="multilevel"/>
    <w:tmpl w:val="10DCB40C"/>
    <w:lvl w:ilvl="0" w:tentative="0">
      <w:start w:val="1"/>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7">
    <w:nsid w:val="1815705A"/>
    <w:multiLevelType w:val="singleLevel"/>
    <w:tmpl w:val="1815705A"/>
    <w:lvl w:ilvl="0" w:tentative="0">
      <w:start w:val="1"/>
      <w:numFmt w:val="decimal"/>
      <w:suff w:val="space"/>
      <w:lvlText w:val="%1."/>
      <w:lvlJc w:val="left"/>
    </w:lvl>
  </w:abstractNum>
  <w:abstractNum w:abstractNumId="8">
    <w:nsid w:val="3EDB6F9A"/>
    <w:multiLevelType w:val="singleLevel"/>
    <w:tmpl w:val="3EDB6F9A"/>
    <w:lvl w:ilvl="0" w:tentative="0">
      <w:start w:val="1"/>
      <w:numFmt w:val="decimal"/>
      <w:lvlText w:val="%1."/>
      <w:lvlJc w:val="left"/>
      <w:pPr>
        <w:tabs>
          <w:tab w:val="left" w:pos="425"/>
        </w:tabs>
        <w:ind w:left="147" w:hanging="425"/>
      </w:pPr>
      <w:rPr>
        <w:rFonts w:hint="default" w:ascii="Times New Roman" w:hAnsi="Times New Roman" w:cs="Times New Roman"/>
        <w:sz w:val="28"/>
        <w:szCs w:val="28"/>
      </w:rPr>
    </w:lvl>
  </w:abstractNum>
  <w:abstractNum w:abstractNumId="9">
    <w:nsid w:val="52625318"/>
    <w:multiLevelType w:val="multilevel"/>
    <w:tmpl w:val="52625318"/>
    <w:lvl w:ilvl="0" w:tentative="0">
      <w:start w:val="0"/>
      <w:numFmt w:val="bullet"/>
      <w:lvlText w:val="-"/>
      <w:lvlJc w:val="left"/>
      <w:pPr>
        <w:ind w:left="1069" w:hanging="360"/>
      </w:pPr>
      <w:rPr>
        <w:rFonts w:hint="default" w:ascii="Times New Roman" w:hAnsi="Times New Roman" w:eastAsia="SimSun" w:cs="Times New Roman"/>
      </w:rPr>
    </w:lvl>
    <w:lvl w:ilvl="1" w:tentative="0">
      <w:start w:val="1"/>
      <w:numFmt w:val="bullet"/>
      <w:lvlText w:val="o"/>
      <w:lvlJc w:val="left"/>
      <w:pPr>
        <w:ind w:left="1789" w:hanging="360"/>
      </w:pPr>
      <w:rPr>
        <w:rFonts w:hint="default" w:ascii="Courier New" w:hAnsi="Courier New" w:cs="Courier New"/>
      </w:rPr>
    </w:lvl>
    <w:lvl w:ilvl="2" w:tentative="0">
      <w:start w:val="1"/>
      <w:numFmt w:val="bullet"/>
      <w:lvlText w:val=""/>
      <w:lvlJc w:val="left"/>
      <w:pPr>
        <w:ind w:left="2509" w:hanging="360"/>
      </w:pPr>
      <w:rPr>
        <w:rFonts w:hint="default" w:ascii="Wingdings" w:hAnsi="Wingdings"/>
      </w:rPr>
    </w:lvl>
    <w:lvl w:ilvl="3" w:tentative="0">
      <w:start w:val="1"/>
      <w:numFmt w:val="bullet"/>
      <w:lvlText w:val=""/>
      <w:lvlJc w:val="left"/>
      <w:pPr>
        <w:ind w:left="3229" w:hanging="360"/>
      </w:pPr>
      <w:rPr>
        <w:rFonts w:hint="default" w:ascii="Symbol" w:hAnsi="Symbol"/>
      </w:rPr>
    </w:lvl>
    <w:lvl w:ilvl="4" w:tentative="0">
      <w:start w:val="1"/>
      <w:numFmt w:val="bullet"/>
      <w:lvlText w:val="o"/>
      <w:lvlJc w:val="left"/>
      <w:pPr>
        <w:ind w:left="3949" w:hanging="360"/>
      </w:pPr>
      <w:rPr>
        <w:rFonts w:hint="default" w:ascii="Courier New" w:hAnsi="Courier New" w:cs="Courier New"/>
      </w:rPr>
    </w:lvl>
    <w:lvl w:ilvl="5" w:tentative="0">
      <w:start w:val="1"/>
      <w:numFmt w:val="bullet"/>
      <w:lvlText w:val=""/>
      <w:lvlJc w:val="left"/>
      <w:pPr>
        <w:ind w:left="4669" w:hanging="360"/>
      </w:pPr>
      <w:rPr>
        <w:rFonts w:hint="default" w:ascii="Wingdings" w:hAnsi="Wingdings"/>
      </w:rPr>
    </w:lvl>
    <w:lvl w:ilvl="6" w:tentative="0">
      <w:start w:val="1"/>
      <w:numFmt w:val="bullet"/>
      <w:lvlText w:val=""/>
      <w:lvlJc w:val="left"/>
      <w:pPr>
        <w:ind w:left="5389" w:hanging="360"/>
      </w:pPr>
      <w:rPr>
        <w:rFonts w:hint="default" w:ascii="Symbol" w:hAnsi="Symbol"/>
      </w:rPr>
    </w:lvl>
    <w:lvl w:ilvl="7" w:tentative="0">
      <w:start w:val="1"/>
      <w:numFmt w:val="bullet"/>
      <w:lvlText w:val="o"/>
      <w:lvlJc w:val="left"/>
      <w:pPr>
        <w:ind w:left="6109" w:hanging="360"/>
      </w:pPr>
      <w:rPr>
        <w:rFonts w:hint="default" w:ascii="Courier New" w:hAnsi="Courier New" w:cs="Courier New"/>
      </w:rPr>
    </w:lvl>
    <w:lvl w:ilvl="8" w:tentative="0">
      <w:start w:val="1"/>
      <w:numFmt w:val="bullet"/>
      <w:lvlText w:val=""/>
      <w:lvlJc w:val="left"/>
      <w:pPr>
        <w:ind w:left="6829" w:hanging="360"/>
      </w:pPr>
      <w:rPr>
        <w:rFonts w:hint="default" w:ascii="Wingdings" w:hAnsi="Wingdings"/>
      </w:rPr>
    </w:lvl>
  </w:abstractNum>
  <w:abstractNum w:abstractNumId="10">
    <w:nsid w:val="557B91B8"/>
    <w:multiLevelType w:val="singleLevel"/>
    <w:tmpl w:val="557B91B8"/>
    <w:lvl w:ilvl="0" w:tentative="0">
      <w:start w:val="1"/>
      <w:numFmt w:val="decimal"/>
      <w:suff w:val="space"/>
      <w:lvlText w:val="%1."/>
      <w:lvlJc w:val="left"/>
    </w:lvl>
  </w:abstractNum>
  <w:abstractNum w:abstractNumId="11">
    <w:nsid w:val="55E225BC"/>
    <w:multiLevelType w:val="multilevel"/>
    <w:tmpl w:val="55E225BC"/>
    <w:lvl w:ilvl="0" w:tentative="0">
      <w:start w:val="1"/>
      <w:numFmt w:val="none"/>
      <w:pStyle w:val="2"/>
      <w:suff w:val="nothing"/>
      <w:lvlText w:val=""/>
      <w:lvlJc w:val="left"/>
      <w:pPr>
        <w:tabs>
          <w:tab w:val="left" w:pos="0"/>
        </w:tabs>
        <w:ind w:left="0" w:firstLine="0"/>
      </w:pPr>
    </w:lvl>
    <w:lvl w:ilvl="1" w:tentative="0">
      <w:start w:val="1"/>
      <w:numFmt w:val="none"/>
      <w:pStyle w:val="3"/>
      <w:suff w:val="nothing"/>
      <w:lvlText w:val=""/>
      <w:lvlJc w:val="left"/>
      <w:pPr>
        <w:tabs>
          <w:tab w:val="left" w:pos="0"/>
        </w:tabs>
        <w:ind w:left="0" w:firstLine="0"/>
      </w:pPr>
    </w:lvl>
    <w:lvl w:ilvl="2" w:tentative="0">
      <w:start w:val="1"/>
      <w:numFmt w:val="none"/>
      <w:pStyle w:val="4"/>
      <w:suff w:val="nothing"/>
      <w:lvlText w:val=""/>
      <w:lvlJc w:val="left"/>
      <w:pPr>
        <w:tabs>
          <w:tab w:val="left" w:pos="0"/>
        </w:tabs>
        <w:ind w:left="0" w:firstLine="0"/>
      </w:pPr>
    </w:lvl>
    <w:lvl w:ilvl="3" w:tentative="0">
      <w:start w:val="1"/>
      <w:numFmt w:val="none"/>
      <w:pStyle w:val="5"/>
      <w:suff w:val="nothing"/>
      <w:lvlText w:val=""/>
      <w:lvlJc w:val="left"/>
      <w:pPr>
        <w:tabs>
          <w:tab w:val="left" w:pos="0"/>
        </w:tabs>
        <w:ind w:left="0" w:firstLine="0"/>
      </w:pPr>
    </w:lvl>
    <w:lvl w:ilvl="4" w:tentative="0">
      <w:start w:val="1"/>
      <w:numFmt w:val="none"/>
      <w:pStyle w:val="6"/>
      <w:suff w:val="nothing"/>
      <w:lvlText w:val=""/>
      <w:lvlJc w:val="left"/>
      <w:pPr>
        <w:tabs>
          <w:tab w:val="left" w:pos="0"/>
        </w:tabs>
        <w:ind w:left="0" w:firstLine="0"/>
      </w:pPr>
    </w:lvl>
    <w:lvl w:ilvl="5" w:tentative="0">
      <w:start w:val="1"/>
      <w:numFmt w:val="none"/>
      <w:pStyle w:val="7"/>
      <w:suff w:val="nothing"/>
      <w:lvlText w:val=""/>
      <w:lvlJc w:val="left"/>
      <w:pPr>
        <w:tabs>
          <w:tab w:val="left" w:pos="0"/>
        </w:tabs>
        <w:ind w:left="0" w:firstLine="0"/>
      </w:pPr>
    </w:lvl>
    <w:lvl w:ilvl="6" w:tentative="0">
      <w:start w:val="1"/>
      <w:numFmt w:val="none"/>
      <w:pStyle w:val="8"/>
      <w:suff w:val="nothing"/>
      <w:lvlText w:val=""/>
      <w:lvlJc w:val="left"/>
      <w:pPr>
        <w:tabs>
          <w:tab w:val="left" w:pos="0"/>
        </w:tabs>
        <w:ind w:left="0" w:firstLine="0"/>
      </w:pPr>
    </w:lvl>
    <w:lvl w:ilvl="7" w:tentative="0">
      <w:start w:val="1"/>
      <w:numFmt w:val="none"/>
      <w:pStyle w:val="9"/>
      <w:suff w:val="nothing"/>
      <w:lvlText w:val=""/>
      <w:lvlJc w:val="left"/>
      <w:pPr>
        <w:tabs>
          <w:tab w:val="left" w:pos="0"/>
        </w:tabs>
        <w:ind w:left="0" w:firstLine="0"/>
      </w:pPr>
    </w:lvl>
    <w:lvl w:ilvl="8" w:tentative="0">
      <w:start w:val="1"/>
      <w:numFmt w:val="none"/>
      <w:pStyle w:val="10"/>
      <w:suff w:val="nothing"/>
      <w:lvlText w:val=""/>
      <w:lvlJc w:val="left"/>
      <w:pPr>
        <w:tabs>
          <w:tab w:val="left" w:pos="0"/>
        </w:tabs>
        <w:ind w:left="0" w:firstLine="0"/>
      </w:pPr>
    </w:lvl>
  </w:abstractNum>
  <w:abstractNum w:abstractNumId="12">
    <w:nsid w:val="5AA61833"/>
    <w:multiLevelType w:val="singleLevel"/>
    <w:tmpl w:val="5AA61833"/>
    <w:lvl w:ilvl="0" w:tentative="0">
      <w:start w:val="1"/>
      <w:numFmt w:val="decimal"/>
      <w:suff w:val="space"/>
      <w:lvlText w:val="%1."/>
      <w:lvlJc w:val="left"/>
    </w:lvl>
  </w:abstractNum>
  <w:abstractNum w:abstractNumId="13">
    <w:nsid w:val="7CB19B1B"/>
    <w:multiLevelType w:val="singleLevel"/>
    <w:tmpl w:val="7CB19B1B"/>
    <w:lvl w:ilvl="0" w:tentative="0">
      <w:start w:val="1"/>
      <w:numFmt w:val="bullet"/>
      <w:pStyle w:val="31"/>
      <w:lvlText w:val=""/>
      <w:lvlJc w:val="left"/>
      <w:pPr>
        <w:tabs>
          <w:tab w:val="left" w:pos="360"/>
        </w:tabs>
        <w:ind w:left="360" w:hanging="360"/>
      </w:pPr>
      <w:rPr>
        <w:rFonts w:hint="default" w:ascii="Wingdings" w:hAnsi="Wingdings"/>
        <w:sz w:val="18"/>
        <w:szCs w:val="18"/>
      </w:rPr>
    </w:lvl>
  </w:abstractNum>
  <w:num w:numId="1">
    <w:abstractNumId w:val="11"/>
  </w:num>
  <w:num w:numId="2">
    <w:abstractNumId w:val="13"/>
  </w:num>
  <w:num w:numId="3">
    <w:abstractNumId w:val="4"/>
  </w:num>
  <w:num w:numId="4">
    <w:abstractNumId w:val="1"/>
  </w:num>
  <w:num w:numId="5">
    <w:abstractNumId w:val="3"/>
  </w:num>
  <w:num w:numId="6">
    <w:abstractNumId w:val="0"/>
  </w:num>
  <w:num w:numId="7">
    <w:abstractNumId w:val="9"/>
  </w:num>
  <w:num w:numId="8">
    <w:abstractNumId w:val="5"/>
  </w:num>
  <w:num w:numId="9">
    <w:abstractNumId w:val="12"/>
  </w:num>
  <w:num w:numId="10">
    <w:abstractNumId w:val="6"/>
  </w:num>
  <w:num w:numId="11">
    <w:abstractNumId w:val="7"/>
  </w:num>
  <w:num w:numId="12">
    <w:abstractNumId w:val="2"/>
  </w:num>
  <w:num w:numId="13">
    <w:abstractNumId w:val="10"/>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documentProtection w:enforcement="0"/>
  <w:defaultTabStop w:val="709"/>
  <w:autoHyphenation/>
  <w:displayHorizontalDrawingGridEvery w:val="1"/>
  <w:displayVerticalDrawingGridEvery w:val="1"/>
  <w:noPunctuationKerning w:val="1"/>
  <w:characterSpacingControl w:val="doNotCompress"/>
  <w:footnotePr>
    <w:footnote w:id="0"/>
    <w:footnote w:id="1"/>
  </w:foot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A1D"/>
    <w:rsid w:val="00003889"/>
    <w:rsid w:val="00051FE8"/>
    <w:rsid w:val="0007111D"/>
    <w:rsid w:val="001423CA"/>
    <w:rsid w:val="001675FD"/>
    <w:rsid w:val="002B6A2D"/>
    <w:rsid w:val="002F6CAE"/>
    <w:rsid w:val="00312818"/>
    <w:rsid w:val="00337643"/>
    <w:rsid w:val="00440E60"/>
    <w:rsid w:val="004B187B"/>
    <w:rsid w:val="0054016C"/>
    <w:rsid w:val="00574E05"/>
    <w:rsid w:val="006221CB"/>
    <w:rsid w:val="0065731E"/>
    <w:rsid w:val="00675763"/>
    <w:rsid w:val="007235C1"/>
    <w:rsid w:val="007C3E3C"/>
    <w:rsid w:val="007D564D"/>
    <w:rsid w:val="00807520"/>
    <w:rsid w:val="008260E4"/>
    <w:rsid w:val="008531D8"/>
    <w:rsid w:val="009204B2"/>
    <w:rsid w:val="009A5A19"/>
    <w:rsid w:val="00A25269"/>
    <w:rsid w:val="00A73E3F"/>
    <w:rsid w:val="00A915D7"/>
    <w:rsid w:val="00AC4B9F"/>
    <w:rsid w:val="00AD1FA9"/>
    <w:rsid w:val="00BA6745"/>
    <w:rsid w:val="00BB20EA"/>
    <w:rsid w:val="00BB7AB3"/>
    <w:rsid w:val="00BC5772"/>
    <w:rsid w:val="00CB4A9D"/>
    <w:rsid w:val="00D644B5"/>
    <w:rsid w:val="00DA2E7C"/>
    <w:rsid w:val="00DC16BF"/>
    <w:rsid w:val="00E91A1D"/>
    <w:rsid w:val="00EF20D7"/>
    <w:rsid w:val="00F66E5E"/>
    <w:rsid w:val="00FE66F9"/>
    <w:rsid w:val="01254135"/>
    <w:rsid w:val="01A746B1"/>
    <w:rsid w:val="03020A00"/>
    <w:rsid w:val="0356770C"/>
    <w:rsid w:val="03594579"/>
    <w:rsid w:val="03801940"/>
    <w:rsid w:val="054B5ED7"/>
    <w:rsid w:val="06075114"/>
    <w:rsid w:val="062D3638"/>
    <w:rsid w:val="066623A9"/>
    <w:rsid w:val="06B17F15"/>
    <w:rsid w:val="06E219BE"/>
    <w:rsid w:val="07862915"/>
    <w:rsid w:val="08103C58"/>
    <w:rsid w:val="08B17D4B"/>
    <w:rsid w:val="08DC62DA"/>
    <w:rsid w:val="094B42CC"/>
    <w:rsid w:val="09937F44"/>
    <w:rsid w:val="09F359DF"/>
    <w:rsid w:val="0AEB5308"/>
    <w:rsid w:val="0B132BA2"/>
    <w:rsid w:val="0B447CED"/>
    <w:rsid w:val="0B8C17D6"/>
    <w:rsid w:val="0B9327D6"/>
    <w:rsid w:val="0BB77C49"/>
    <w:rsid w:val="0BE33755"/>
    <w:rsid w:val="0C1F08F2"/>
    <w:rsid w:val="0C257948"/>
    <w:rsid w:val="0C497D90"/>
    <w:rsid w:val="0CD31875"/>
    <w:rsid w:val="0E367C5D"/>
    <w:rsid w:val="0F195CD1"/>
    <w:rsid w:val="0F251AE4"/>
    <w:rsid w:val="0FC11F15"/>
    <w:rsid w:val="0FC62690"/>
    <w:rsid w:val="0FFE1111"/>
    <w:rsid w:val="100A4CE8"/>
    <w:rsid w:val="10E60EAF"/>
    <w:rsid w:val="11F12EFC"/>
    <w:rsid w:val="129E211B"/>
    <w:rsid w:val="14196941"/>
    <w:rsid w:val="14951286"/>
    <w:rsid w:val="14E37272"/>
    <w:rsid w:val="15386B45"/>
    <w:rsid w:val="15701BB9"/>
    <w:rsid w:val="157570DA"/>
    <w:rsid w:val="16635CC9"/>
    <w:rsid w:val="16AB2516"/>
    <w:rsid w:val="16B569CD"/>
    <w:rsid w:val="16D5510D"/>
    <w:rsid w:val="176415AA"/>
    <w:rsid w:val="17D53464"/>
    <w:rsid w:val="182B07A4"/>
    <w:rsid w:val="183F41F6"/>
    <w:rsid w:val="18404695"/>
    <w:rsid w:val="18DB2A16"/>
    <w:rsid w:val="19364927"/>
    <w:rsid w:val="194A6BD8"/>
    <w:rsid w:val="19D64F1C"/>
    <w:rsid w:val="1AC75E8C"/>
    <w:rsid w:val="1B1C70A9"/>
    <w:rsid w:val="1B7A652B"/>
    <w:rsid w:val="1B9128B9"/>
    <w:rsid w:val="1C2E56FB"/>
    <w:rsid w:val="1C6D2458"/>
    <w:rsid w:val="1D446291"/>
    <w:rsid w:val="1DB84052"/>
    <w:rsid w:val="1DCA0B41"/>
    <w:rsid w:val="1E1C14A0"/>
    <w:rsid w:val="1F1A5ACA"/>
    <w:rsid w:val="1F46442B"/>
    <w:rsid w:val="1F7E0414"/>
    <w:rsid w:val="205C582F"/>
    <w:rsid w:val="21024A33"/>
    <w:rsid w:val="21226329"/>
    <w:rsid w:val="216D3725"/>
    <w:rsid w:val="217F61AC"/>
    <w:rsid w:val="21901BFE"/>
    <w:rsid w:val="21F51E2B"/>
    <w:rsid w:val="22AF2C04"/>
    <w:rsid w:val="22B21008"/>
    <w:rsid w:val="22EA0839"/>
    <w:rsid w:val="23773842"/>
    <w:rsid w:val="23C072C2"/>
    <w:rsid w:val="24084D2B"/>
    <w:rsid w:val="240950B7"/>
    <w:rsid w:val="2498024C"/>
    <w:rsid w:val="25543955"/>
    <w:rsid w:val="256604EB"/>
    <w:rsid w:val="267970AE"/>
    <w:rsid w:val="26DC5592"/>
    <w:rsid w:val="27D36066"/>
    <w:rsid w:val="27EC3444"/>
    <w:rsid w:val="28524315"/>
    <w:rsid w:val="28FA1945"/>
    <w:rsid w:val="29C26962"/>
    <w:rsid w:val="2A035490"/>
    <w:rsid w:val="2AF427D7"/>
    <w:rsid w:val="2B054C24"/>
    <w:rsid w:val="2BEB1B38"/>
    <w:rsid w:val="2C1721D4"/>
    <w:rsid w:val="2CE1542E"/>
    <w:rsid w:val="2D3E57C8"/>
    <w:rsid w:val="2DF329F3"/>
    <w:rsid w:val="2E5D36E1"/>
    <w:rsid w:val="2EB148B9"/>
    <w:rsid w:val="2F5B45C2"/>
    <w:rsid w:val="2F5E2196"/>
    <w:rsid w:val="2F7957D6"/>
    <w:rsid w:val="2FC2412C"/>
    <w:rsid w:val="2FEF2C47"/>
    <w:rsid w:val="30342771"/>
    <w:rsid w:val="304B3755"/>
    <w:rsid w:val="31193A4B"/>
    <w:rsid w:val="314F3940"/>
    <w:rsid w:val="31995A02"/>
    <w:rsid w:val="31C655A3"/>
    <w:rsid w:val="31D074DE"/>
    <w:rsid w:val="33743627"/>
    <w:rsid w:val="343F0120"/>
    <w:rsid w:val="343F2A63"/>
    <w:rsid w:val="34D52373"/>
    <w:rsid w:val="35085D0E"/>
    <w:rsid w:val="365328C2"/>
    <w:rsid w:val="36587FEE"/>
    <w:rsid w:val="384765B2"/>
    <w:rsid w:val="38993C36"/>
    <w:rsid w:val="38DF6A74"/>
    <w:rsid w:val="392D074D"/>
    <w:rsid w:val="39B37E38"/>
    <w:rsid w:val="3A2305D0"/>
    <w:rsid w:val="3C252CF5"/>
    <w:rsid w:val="3C613FC4"/>
    <w:rsid w:val="3D4D5039"/>
    <w:rsid w:val="3D707F82"/>
    <w:rsid w:val="3D96093D"/>
    <w:rsid w:val="3E546C94"/>
    <w:rsid w:val="3F0542A5"/>
    <w:rsid w:val="3F235948"/>
    <w:rsid w:val="3F267698"/>
    <w:rsid w:val="3FB91AEB"/>
    <w:rsid w:val="3FED49B2"/>
    <w:rsid w:val="408E50B7"/>
    <w:rsid w:val="40CC776F"/>
    <w:rsid w:val="41283F8E"/>
    <w:rsid w:val="415512BB"/>
    <w:rsid w:val="417F7A78"/>
    <w:rsid w:val="42F308B1"/>
    <w:rsid w:val="439A1857"/>
    <w:rsid w:val="43AD4144"/>
    <w:rsid w:val="43B079CC"/>
    <w:rsid w:val="447D2DED"/>
    <w:rsid w:val="44C061B0"/>
    <w:rsid w:val="44CC6491"/>
    <w:rsid w:val="45232819"/>
    <w:rsid w:val="45A525A7"/>
    <w:rsid w:val="471C788D"/>
    <w:rsid w:val="47706D0E"/>
    <w:rsid w:val="47903E4C"/>
    <w:rsid w:val="48AD604A"/>
    <w:rsid w:val="48DB59CD"/>
    <w:rsid w:val="49AB5C39"/>
    <w:rsid w:val="49BA04EB"/>
    <w:rsid w:val="4A6E5638"/>
    <w:rsid w:val="4B1E6730"/>
    <w:rsid w:val="4C665EE4"/>
    <w:rsid w:val="4CC71D49"/>
    <w:rsid w:val="4D0231DE"/>
    <w:rsid w:val="4D293850"/>
    <w:rsid w:val="4D2A1366"/>
    <w:rsid w:val="4E1E499E"/>
    <w:rsid w:val="4E257A14"/>
    <w:rsid w:val="4ECB34D1"/>
    <w:rsid w:val="4EFA63D4"/>
    <w:rsid w:val="4FF75447"/>
    <w:rsid w:val="5057605B"/>
    <w:rsid w:val="50787602"/>
    <w:rsid w:val="509D092A"/>
    <w:rsid w:val="50A50C6B"/>
    <w:rsid w:val="523F6CC2"/>
    <w:rsid w:val="52A3791A"/>
    <w:rsid w:val="52A92459"/>
    <w:rsid w:val="52AE4870"/>
    <w:rsid w:val="532C0691"/>
    <w:rsid w:val="532C5010"/>
    <w:rsid w:val="533F1322"/>
    <w:rsid w:val="53936270"/>
    <w:rsid w:val="53F50E04"/>
    <w:rsid w:val="54687C0C"/>
    <w:rsid w:val="548A2370"/>
    <w:rsid w:val="5538635B"/>
    <w:rsid w:val="55F10A99"/>
    <w:rsid w:val="55F1630D"/>
    <w:rsid w:val="5615410D"/>
    <w:rsid w:val="568176BE"/>
    <w:rsid w:val="569A3030"/>
    <w:rsid w:val="56ED3452"/>
    <w:rsid w:val="57276899"/>
    <w:rsid w:val="574032AA"/>
    <w:rsid w:val="579B400C"/>
    <w:rsid w:val="583F0075"/>
    <w:rsid w:val="58A677AE"/>
    <w:rsid w:val="5ADF2F0B"/>
    <w:rsid w:val="5B0F6B23"/>
    <w:rsid w:val="5B190759"/>
    <w:rsid w:val="5B637530"/>
    <w:rsid w:val="5B8C403F"/>
    <w:rsid w:val="5BA95B6E"/>
    <w:rsid w:val="5C2E4FD3"/>
    <w:rsid w:val="5C516663"/>
    <w:rsid w:val="5C561B3C"/>
    <w:rsid w:val="5C743C34"/>
    <w:rsid w:val="5C950521"/>
    <w:rsid w:val="5CE75E25"/>
    <w:rsid w:val="5DF57731"/>
    <w:rsid w:val="5DFD2B3F"/>
    <w:rsid w:val="5E904EA8"/>
    <w:rsid w:val="5EC5232B"/>
    <w:rsid w:val="5EDF1FD7"/>
    <w:rsid w:val="5F24767A"/>
    <w:rsid w:val="5F8529C6"/>
    <w:rsid w:val="5FF060CE"/>
    <w:rsid w:val="60236E11"/>
    <w:rsid w:val="617321F4"/>
    <w:rsid w:val="61A5464C"/>
    <w:rsid w:val="61D95B81"/>
    <w:rsid w:val="63252D66"/>
    <w:rsid w:val="640A36E4"/>
    <w:rsid w:val="65A503C5"/>
    <w:rsid w:val="661C500A"/>
    <w:rsid w:val="672970EC"/>
    <w:rsid w:val="6737115D"/>
    <w:rsid w:val="67C70AFB"/>
    <w:rsid w:val="680F5080"/>
    <w:rsid w:val="68815074"/>
    <w:rsid w:val="69943146"/>
    <w:rsid w:val="6A441C65"/>
    <w:rsid w:val="6B015E0F"/>
    <w:rsid w:val="6B9519A8"/>
    <w:rsid w:val="6BAC4000"/>
    <w:rsid w:val="6BED3430"/>
    <w:rsid w:val="6C3D1A05"/>
    <w:rsid w:val="6D1836C5"/>
    <w:rsid w:val="6F0A15F4"/>
    <w:rsid w:val="6F2A116E"/>
    <w:rsid w:val="6F863FBD"/>
    <w:rsid w:val="6F9661D6"/>
    <w:rsid w:val="70502339"/>
    <w:rsid w:val="70523F27"/>
    <w:rsid w:val="70E2269B"/>
    <w:rsid w:val="70FB2EBA"/>
    <w:rsid w:val="712429C9"/>
    <w:rsid w:val="71C834A3"/>
    <w:rsid w:val="7320374B"/>
    <w:rsid w:val="734F3E3C"/>
    <w:rsid w:val="736175D9"/>
    <w:rsid w:val="73B2207A"/>
    <w:rsid w:val="74061CAD"/>
    <w:rsid w:val="746F056E"/>
    <w:rsid w:val="74E630B0"/>
    <w:rsid w:val="75520716"/>
    <w:rsid w:val="75B26E71"/>
    <w:rsid w:val="780B3985"/>
    <w:rsid w:val="78E037DD"/>
    <w:rsid w:val="79FF2FB9"/>
    <w:rsid w:val="7A53081A"/>
    <w:rsid w:val="7A551298"/>
    <w:rsid w:val="7ADA4A0B"/>
    <w:rsid w:val="7ADF1A00"/>
    <w:rsid w:val="7B450E0A"/>
    <w:rsid w:val="7BB1043B"/>
    <w:rsid w:val="7BDB7CC3"/>
    <w:rsid w:val="7BE00CAB"/>
    <w:rsid w:val="7C3A1D36"/>
    <w:rsid w:val="7C3C4647"/>
    <w:rsid w:val="7CC83DD9"/>
    <w:rsid w:val="7CCB1905"/>
    <w:rsid w:val="7D306F70"/>
    <w:rsid w:val="7D5B7B5C"/>
    <w:rsid w:val="7E1C22A0"/>
    <w:rsid w:val="7E27478B"/>
    <w:rsid w:val="7E9D08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qFormat="1" w:unhideWhenUsed="0" w:uiPriority="0" w:semiHidden="0" w:name="Placeholder Text"/>
    <w:lsdException w:qFormat="1" w:unhideWhenUsed="0" w:uiPriority="0" w:semiHidden="0" w:name="No Spacing"/>
    <w:lsdException w:qFormat="1" w:unhideWhenUsed="0" w:uiPriority="62" w:semiHidden="0" w:name="Light Grid Accent 1"/>
    <w:lsdException w:qFormat="1" w:unhideWhenUsed="0" w:uiPriority="0" w:semiHidden="0" w:name="List Paragraph"/>
    <w:lsdException w:qFormat="1" w:unhideWhenUsed="0" w:uiPriority="0" w:semiHidden="0" w:name="Quote"/>
    <w:lsdException w:qFormat="1" w:unhideWhenUsed="0" w:uiPriority="0" w:semiHidden="0" w:name="Intense Quote"/>
  </w:latentStyles>
  <w:style w:type="paragraph" w:default="1" w:styleId="1">
    <w:name w:val="Normal"/>
    <w:qFormat/>
    <w:uiPriority w:val="0"/>
    <w:pPr>
      <w:suppressAutoHyphens/>
      <w:spacing w:after="200"/>
      <w:jc w:val="both"/>
    </w:pPr>
    <w:rPr>
      <w:rFonts w:ascii="Times New Roman" w:hAnsi="Times New Roman" w:eastAsia="SimSun" w:cs="Times New Roman"/>
      <w:sz w:val="28"/>
      <w:szCs w:val="22"/>
      <w:lang w:val="ru-RU" w:eastAsia="ru-RU" w:bidi="ar-SA"/>
    </w:rPr>
  </w:style>
  <w:style w:type="paragraph" w:styleId="2">
    <w:name w:val="heading 1"/>
    <w:basedOn w:val="1"/>
    <w:next w:val="1"/>
    <w:qFormat/>
    <w:uiPriority w:val="0"/>
    <w:pPr>
      <w:keepNext/>
      <w:keepLines/>
      <w:numPr>
        <w:ilvl w:val="0"/>
        <w:numId w:val="1"/>
      </w:numPr>
      <w:spacing w:before="240" w:after="0"/>
      <w:outlineLvl w:val="0"/>
    </w:pPr>
    <w:rPr>
      <w:rFonts w:ascii="Calibri Light" w:hAnsi="Calibri Light"/>
      <w:color w:val="2E75B5"/>
      <w:sz w:val="32"/>
      <w:szCs w:val="32"/>
    </w:rPr>
  </w:style>
  <w:style w:type="paragraph" w:styleId="3">
    <w:name w:val="heading 2"/>
    <w:basedOn w:val="1"/>
    <w:next w:val="1"/>
    <w:qFormat/>
    <w:uiPriority w:val="0"/>
    <w:pPr>
      <w:keepNext/>
      <w:keepLines/>
      <w:numPr>
        <w:ilvl w:val="1"/>
        <w:numId w:val="1"/>
      </w:numPr>
      <w:spacing w:before="40" w:after="0"/>
      <w:outlineLvl w:val="1"/>
    </w:pPr>
    <w:rPr>
      <w:rFonts w:ascii="Calibri Light" w:hAnsi="Calibri Light"/>
      <w:color w:val="2E75B5"/>
      <w:sz w:val="26"/>
      <w:szCs w:val="26"/>
    </w:rPr>
  </w:style>
  <w:style w:type="paragraph" w:styleId="4">
    <w:name w:val="heading 3"/>
    <w:basedOn w:val="1"/>
    <w:next w:val="1"/>
    <w:qFormat/>
    <w:uiPriority w:val="0"/>
    <w:pPr>
      <w:keepNext/>
      <w:keepLines/>
      <w:numPr>
        <w:ilvl w:val="2"/>
        <w:numId w:val="1"/>
      </w:numPr>
      <w:spacing w:before="40" w:after="0"/>
      <w:outlineLvl w:val="2"/>
    </w:pPr>
    <w:rPr>
      <w:rFonts w:ascii="Calibri Light" w:hAnsi="Calibri Light"/>
      <w:color w:val="1E4D78"/>
      <w:sz w:val="24"/>
      <w:szCs w:val="24"/>
    </w:rPr>
  </w:style>
  <w:style w:type="paragraph" w:styleId="5">
    <w:name w:val="heading 4"/>
    <w:basedOn w:val="1"/>
    <w:next w:val="1"/>
    <w:qFormat/>
    <w:uiPriority w:val="0"/>
    <w:pPr>
      <w:keepNext/>
      <w:keepLines/>
      <w:numPr>
        <w:ilvl w:val="3"/>
        <w:numId w:val="1"/>
      </w:numPr>
      <w:spacing w:before="40" w:after="0"/>
      <w:outlineLvl w:val="3"/>
    </w:pPr>
    <w:rPr>
      <w:rFonts w:ascii="Calibri Light" w:hAnsi="Calibri Light"/>
      <w:i/>
      <w:iCs/>
      <w:color w:val="2E75B5"/>
    </w:rPr>
  </w:style>
  <w:style w:type="paragraph" w:styleId="6">
    <w:name w:val="heading 5"/>
    <w:basedOn w:val="1"/>
    <w:next w:val="1"/>
    <w:qFormat/>
    <w:uiPriority w:val="0"/>
    <w:pPr>
      <w:keepNext/>
      <w:keepLines/>
      <w:numPr>
        <w:ilvl w:val="4"/>
        <w:numId w:val="1"/>
      </w:numPr>
      <w:spacing w:before="40" w:after="0"/>
      <w:outlineLvl w:val="4"/>
    </w:pPr>
    <w:rPr>
      <w:rFonts w:ascii="Calibri Light" w:hAnsi="Calibri Light"/>
      <w:color w:val="2E75B5"/>
    </w:rPr>
  </w:style>
  <w:style w:type="paragraph" w:styleId="7">
    <w:name w:val="heading 6"/>
    <w:basedOn w:val="1"/>
    <w:next w:val="1"/>
    <w:qFormat/>
    <w:uiPriority w:val="0"/>
    <w:pPr>
      <w:numPr>
        <w:ilvl w:val="5"/>
        <w:numId w:val="1"/>
      </w:numPr>
      <w:spacing w:before="280" w:after="100" w:line="256" w:lineRule="auto"/>
      <w:outlineLvl w:val="5"/>
    </w:pPr>
    <w:rPr>
      <w:rFonts w:ascii="Calibri Light" w:hAnsi="Calibri Light"/>
      <w:i/>
      <w:iCs/>
      <w:color w:val="5B9BD5"/>
      <w:lang w:eastAsia="en-US"/>
    </w:rPr>
  </w:style>
  <w:style w:type="paragraph" w:styleId="8">
    <w:name w:val="heading 7"/>
    <w:basedOn w:val="1"/>
    <w:next w:val="1"/>
    <w:qFormat/>
    <w:uiPriority w:val="0"/>
    <w:pPr>
      <w:numPr>
        <w:ilvl w:val="6"/>
        <w:numId w:val="1"/>
      </w:numPr>
      <w:spacing w:before="320" w:after="100" w:line="256" w:lineRule="auto"/>
      <w:outlineLvl w:val="6"/>
    </w:pPr>
    <w:rPr>
      <w:rFonts w:ascii="Calibri Light" w:hAnsi="Calibri Light"/>
      <w:b/>
      <w:bCs/>
      <w:color w:val="A5A5A5"/>
      <w:sz w:val="20"/>
      <w:szCs w:val="20"/>
      <w:lang w:eastAsia="en-US"/>
    </w:rPr>
  </w:style>
  <w:style w:type="paragraph" w:styleId="9">
    <w:name w:val="heading 8"/>
    <w:basedOn w:val="1"/>
    <w:next w:val="1"/>
    <w:qFormat/>
    <w:uiPriority w:val="0"/>
    <w:pPr>
      <w:numPr>
        <w:ilvl w:val="7"/>
        <w:numId w:val="1"/>
      </w:numPr>
      <w:spacing w:before="320" w:after="100" w:line="256" w:lineRule="auto"/>
      <w:outlineLvl w:val="7"/>
    </w:pPr>
    <w:rPr>
      <w:rFonts w:ascii="Calibri Light" w:hAnsi="Calibri Light"/>
      <w:b/>
      <w:bCs/>
      <w:i/>
      <w:iCs/>
      <w:color w:val="A5A5A5"/>
      <w:sz w:val="20"/>
      <w:szCs w:val="20"/>
      <w:lang w:eastAsia="en-US"/>
    </w:rPr>
  </w:style>
  <w:style w:type="paragraph" w:styleId="10">
    <w:name w:val="heading 9"/>
    <w:basedOn w:val="1"/>
    <w:next w:val="1"/>
    <w:qFormat/>
    <w:uiPriority w:val="0"/>
    <w:pPr>
      <w:numPr>
        <w:ilvl w:val="8"/>
        <w:numId w:val="1"/>
      </w:numPr>
      <w:spacing w:before="320" w:after="100" w:line="256" w:lineRule="auto"/>
      <w:outlineLvl w:val="8"/>
    </w:pPr>
    <w:rPr>
      <w:rFonts w:ascii="Calibri Light" w:hAnsi="Calibri Light"/>
      <w:i/>
      <w:iCs/>
      <w:color w:val="A5A5A5"/>
      <w:sz w:val="20"/>
      <w:szCs w:val="20"/>
      <w:lang w:eastAsia="en-US"/>
    </w:rPr>
  </w:style>
  <w:style w:type="character" w:default="1" w:styleId="11">
    <w:name w:val="Default Paragraph Font"/>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FollowedHyperlink"/>
    <w:basedOn w:val="14"/>
    <w:qFormat/>
    <w:uiPriority w:val="0"/>
    <w:rPr>
      <w:color w:val="954F72"/>
      <w:u w:val="single"/>
    </w:rPr>
  </w:style>
  <w:style w:type="character" w:customStyle="1" w:styleId="14">
    <w:name w:val="Основной шрифт абзаца11"/>
    <w:qFormat/>
    <w:uiPriority w:val="0"/>
  </w:style>
  <w:style w:type="character" w:styleId="15">
    <w:name w:val="annotation reference"/>
    <w:basedOn w:val="11"/>
    <w:qFormat/>
    <w:uiPriority w:val="0"/>
    <w:rPr>
      <w:sz w:val="16"/>
      <w:szCs w:val="16"/>
    </w:rPr>
  </w:style>
  <w:style w:type="character" w:styleId="16">
    <w:name w:val="Emphasis"/>
    <w:basedOn w:val="14"/>
    <w:qFormat/>
    <w:uiPriority w:val="0"/>
    <w:rPr>
      <w:i/>
      <w:iCs/>
    </w:rPr>
  </w:style>
  <w:style w:type="character" w:styleId="17">
    <w:name w:val="Hyperlink"/>
    <w:basedOn w:val="14"/>
    <w:qFormat/>
    <w:uiPriority w:val="0"/>
    <w:rPr>
      <w:color w:val="0563C1"/>
      <w:u w:val="single"/>
    </w:rPr>
  </w:style>
  <w:style w:type="character" w:styleId="18">
    <w:name w:val="page number"/>
    <w:basedOn w:val="14"/>
    <w:qFormat/>
    <w:uiPriority w:val="0"/>
    <w:rPr>
      <w:rFonts w:cs="Times New Roman"/>
    </w:rPr>
  </w:style>
  <w:style w:type="character" w:styleId="19">
    <w:name w:val="Strong"/>
    <w:basedOn w:val="11"/>
    <w:qFormat/>
    <w:uiPriority w:val="0"/>
    <w:rPr>
      <w:b/>
      <w:bCs/>
    </w:rPr>
  </w:style>
  <w:style w:type="paragraph" w:styleId="20">
    <w:name w:val="Plain Text"/>
    <w:basedOn w:val="1"/>
    <w:qFormat/>
    <w:uiPriority w:val="0"/>
    <w:rPr>
      <w:rFonts w:ascii="Courier New" w:hAnsi="Courier New" w:cs="Courier New"/>
      <w:sz w:val="20"/>
    </w:rPr>
  </w:style>
  <w:style w:type="paragraph" w:styleId="21">
    <w:name w:val="endnote text"/>
    <w:basedOn w:val="1"/>
    <w:link w:val="365"/>
    <w:qFormat/>
    <w:uiPriority w:val="0"/>
    <w:pPr>
      <w:spacing w:after="0"/>
      <w:ind w:firstLine="567"/>
    </w:pPr>
    <w:rPr>
      <w:rFonts w:eastAsia="Calibri"/>
      <w:sz w:val="20"/>
      <w:szCs w:val="20"/>
      <w:lang w:eastAsia="en-US"/>
    </w:rPr>
  </w:style>
  <w:style w:type="paragraph" w:styleId="22">
    <w:name w:val="caption"/>
    <w:basedOn w:val="1"/>
    <w:next w:val="1"/>
    <w:qFormat/>
    <w:uiPriority w:val="0"/>
    <w:pPr>
      <w:suppressLineNumbers/>
      <w:spacing w:before="120" w:after="120"/>
    </w:pPr>
    <w:rPr>
      <w:rFonts w:cs="FreeSans"/>
      <w:i/>
      <w:iCs/>
      <w:sz w:val="24"/>
      <w:szCs w:val="24"/>
    </w:rPr>
  </w:style>
  <w:style w:type="paragraph" w:styleId="23">
    <w:name w:val="annotation text"/>
    <w:basedOn w:val="1"/>
    <w:qFormat/>
    <w:uiPriority w:val="0"/>
    <w:pPr>
      <w:jc w:val="left"/>
    </w:pPr>
  </w:style>
  <w:style w:type="paragraph" w:styleId="24">
    <w:name w:val="footnote text"/>
    <w:basedOn w:val="1"/>
    <w:qFormat/>
    <w:uiPriority w:val="0"/>
    <w:pPr>
      <w:spacing w:after="0"/>
    </w:pPr>
    <w:rPr>
      <w:rFonts w:eastAsia="Calibri"/>
      <w:sz w:val="20"/>
      <w:szCs w:val="20"/>
      <w:lang w:eastAsia="en-US"/>
    </w:rPr>
  </w:style>
  <w:style w:type="paragraph" w:styleId="25">
    <w:name w:val="header"/>
    <w:basedOn w:val="1"/>
    <w:qFormat/>
    <w:uiPriority w:val="0"/>
    <w:pPr>
      <w:tabs>
        <w:tab w:val="center" w:pos="4677"/>
        <w:tab w:val="right" w:pos="9355"/>
      </w:tabs>
      <w:spacing w:after="0"/>
    </w:pPr>
    <w:rPr>
      <w:rFonts w:eastAsia="Calibri"/>
      <w:sz w:val="24"/>
      <w:lang w:eastAsia="en-US"/>
    </w:rPr>
  </w:style>
  <w:style w:type="paragraph" w:styleId="26">
    <w:name w:val="Body Text"/>
    <w:basedOn w:val="1"/>
    <w:qFormat/>
    <w:uiPriority w:val="0"/>
    <w:pPr>
      <w:spacing w:after="120"/>
      <w:ind w:firstLine="567"/>
    </w:pPr>
    <w:rPr>
      <w:rFonts w:ascii="Calibri" w:hAnsi="Calibri" w:eastAsia="Times New Roman"/>
      <w:szCs w:val="28"/>
      <w:lang w:eastAsia="en-US"/>
    </w:rPr>
  </w:style>
  <w:style w:type="paragraph" w:styleId="27">
    <w:name w:val="toc 1"/>
    <w:basedOn w:val="1"/>
    <w:next w:val="1"/>
    <w:qFormat/>
    <w:uiPriority w:val="0"/>
    <w:pPr>
      <w:tabs>
        <w:tab w:val="right" w:leader="dot" w:pos="9515"/>
      </w:tabs>
      <w:spacing w:after="0"/>
    </w:pPr>
    <w:rPr>
      <w:rFonts w:ascii="Calibri" w:hAnsi="Calibri" w:eastAsia="Times New Roman"/>
      <w:szCs w:val="28"/>
    </w:rPr>
  </w:style>
  <w:style w:type="paragraph" w:styleId="28">
    <w:name w:val="toc 3"/>
    <w:basedOn w:val="1"/>
    <w:next w:val="1"/>
    <w:qFormat/>
    <w:uiPriority w:val="0"/>
    <w:pPr>
      <w:spacing w:after="100"/>
      <w:ind w:left="560" w:firstLine="567"/>
    </w:pPr>
    <w:rPr>
      <w:szCs w:val="28"/>
    </w:rPr>
  </w:style>
  <w:style w:type="paragraph" w:styleId="29">
    <w:name w:val="toc 2"/>
    <w:basedOn w:val="1"/>
    <w:next w:val="1"/>
    <w:qFormat/>
    <w:uiPriority w:val="0"/>
    <w:pPr>
      <w:tabs>
        <w:tab w:val="left" w:pos="8505"/>
        <w:tab w:val="right" w:leader="dot" w:pos="9345"/>
      </w:tabs>
      <w:spacing w:after="0"/>
      <w:ind w:firstLine="567"/>
    </w:pPr>
    <w:rPr>
      <w:rFonts w:eastAsia="Times New Roman"/>
      <w:b/>
      <w:szCs w:val="28"/>
    </w:rPr>
  </w:style>
  <w:style w:type="paragraph" w:styleId="30">
    <w:name w:val="Body Text Indent"/>
    <w:basedOn w:val="1"/>
    <w:qFormat/>
    <w:uiPriority w:val="0"/>
    <w:pPr>
      <w:spacing w:after="120"/>
      <w:ind w:left="283" w:firstLine="567"/>
    </w:pPr>
    <w:rPr>
      <w:rFonts w:ascii="Calibri" w:hAnsi="Calibri" w:eastAsia="Times New Roman"/>
      <w:szCs w:val="28"/>
    </w:rPr>
  </w:style>
  <w:style w:type="paragraph" w:styleId="31">
    <w:name w:val="List Bullet"/>
    <w:basedOn w:val="1"/>
    <w:qFormat/>
    <w:uiPriority w:val="0"/>
    <w:pPr>
      <w:numPr>
        <w:ilvl w:val="0"/>
        <w:numId w:val="2"/>
      </w:numPr>
    </w:pPr>
  </w:style>
  <w:style w:type="paragraph" w:styleId="32">
    <w:name w:val="footer"/>
    <w:basedOn w:val="1"/>
    <w:qFormat/>
    <w:uiPriority w:val="0"/>
    <w:pPr>
      <w:tabs>
        <w:tab w:val="center" w:pos="4677"/>
        <w:tab w:val="right" w:pos="9355"/>
      </w:tabs>
      <w:spacing w:after="0"/>
    </w:pPr>
    <w:rPr>
      <w:rFonts w:eastAsia="Calibri"/>
      <w:lang w:eastAsia="en-US"/>
    </w:rPr>
  </w:style>
  <w:style w:type="paragraph" w:styleId="33">
    <w:name w:val="List Number"/>
    <w:basedOn w:val="1"/>
    <w:qFormat/>
    <w:uiPriority w:val="0"/>
    <w:pPr>
      <w:numPr>
        <w:ilvl w:val="0"/>
        <w:numId w:val="3"/>
      </w:numPr>
    </w:pPr>
  </w:style>
  <w:style w:type="paragraph" w:styleId="34">
    <w:name w:val="List"/>
    <w:basedOn w:val="26"/>
    <w:qFormat/>
    <w:uiPriority w:val="0"/>
    <w:rPr>
      <w:rFonts w:cs="FreeSans"/>
    </w:rPr>
  </w:style>
  <w:style w:type="paragraph" w:styleId="35">
    <w:name w:val="Normal (Web)"/>
    <w:basedOn w:val="1"/>
    <w:qFormat/>
    <w:uiPriority w:val="0"/>
    <w:pPr>
      <w:spacing w:beforeAutospacing="1" w:after="0" w:afterAutospacing="1"/>
      <w:jc w:val="left"/>
    </w:pPr>
    <w:rPr>
      <w:sz w:val="24"/>
      <w:szCs w:val="24"/>
      <w:lang w:val="en-US" w:eastAsia="zh-CN"/>
    </w:rPr>
  </w:style>
  <w:style w:type="paragraph" w:styleId="36">
    <w:name w:val="Subtitle"/>
    <w:basedOn w:val="1"/>
    <w:next w:val="1"/>
    <w:qFormat/>
    <w:uiPriority w:val="0"/>
    <w:pPr>
      <w:spacing w:before="200" w:after="900" w:line="256" w:lineRule="auto"/>
      <w:jc w:val="right"/>
    </w:pPr>
    <w:rPr>
      <w:rFonts w:eastAsia="Times New Roman"/>
      <w:i/>
      <w:iCs/>
      <w:sz w:val="24"/>
      <w:szCs w:val="24"/>
      <w:lang w:eastAsia="en-US"/>
    </w:rPr>
  </w:style>
  <w:style w:type="paragraph" w:styleId="37">
    <w:name w:val="HTML Preformatt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ascii="SimSun" w:hAnsi="SimSun" w:eastAsia="SimSun" w:cs="Times New Roman"/>
      <w:sz w:val="24"/>
      <w:szCs w:val="24"/>
      <w:lang w:val="en-US" w:eastAsia="zh-CN" w:bidi="ar-SA"/>
    </w:rPr>
  </w:style>
  <w:style w:type="table" w:styleId="38">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39">
    <w:name w:val="WW8Num1z0"/>
    <w:qFormat/>
    <w:uiPriority w:val="0"/>
    <w:rPr>
      <w:rFonts w:ascii="Symbol" w:hAnsi="Symbol" w:cs="Symbol"/>
      <w:sz w:val="20"/>
    </w:rPr>
  </w:style>
  <w:style w:type="character" w:customStyle="1" w:styleId="40">
    <w:name w:val="WW8Num1z1"/>
    <w:qFormat/>
    <w:uiPriority w:val="0"/>
    <w:rPr>
      <w:rFonts w:ascii="Courier New" w:hAnsi="Courier New" w:cs="Courier New"/>
      <w:sz w:val="20"/>
    </w:rPr>
  </w:style>
  <w:style w:type="character" w:customStyle="1" w:styleId="41">
    <w:name w:val="WW8Num1z2"/>
    <w:qFormat/>
    <w:uiPriority w:val="0"/>
    <w:rPr>
      <w:rFonts w:ascii="Wingdings" w:hAnsi="Wingdings" w:cs="Wingdings"/>
      <w:sz w:val="20"/>
    </w:rPr>
  </w:style>
  <w:style w:type="character" w:customStyle="1" w:styleId="42">
    <w:name w:val="WW8Num2z0"/>
    <w:qFormat/>
    <w:uiPriority w:val="0"/>
    <w:rPr>
      <w:rFonts w:ascii="Symbol" w:hAnsi="Symbol" w:cs="Symbol"/>
      <w:sz w:val="20"/>
    </w:rPr>
  </w:style>
  <w:style w:type="character" w:customStyle="1" w:styleId="43">
    <w:name w:val="WW8Num2z1"/>
    <w:qFormat/>
    <w:uiPriority w:val="0"/>
    <w:rPr>
      <w:rFonts w:ascii="Courier New" w:hAnsi="Courier New" w:cs="Courier New"/>
      <w:sz w:val="20"/>
    </w:rPr>
  </w:style>
  <w:style w:type="character" w:customStyle="1" w:styleId="44">
    <w:name w:val="WW8Num2z2"/>
    <w:qFormat/>
    <w:uiPriority w:val="0"/>
    <w:rPr>
      <w:rFonts w:ascii="Wingdings" w:hAnsi="Wingdings" w:cs="Wingdings"/>
      <w:sz w:val="20"/>
    </w:rPr>
  </w:style>
  <w:style w:type="character" w:customStyle="1" w:styleId="45">
    <w:name w:val="WW8Num3z0"/>
    <w:qFormat/>
    <w:uiPriority w:val="0"/>
    <w:rPr>
      <w:rFonts w:ascii="Symbol" w:hAnsi="Symbol" w:cs="Symbol"/>
      <w:sz w:val="20"/>
    </w:rPr>
  </w:style>
  <w:style w:type="character" w:customStyle="1" w:styleId="46">
    <w:name w:val="WW8Num3z1"/>
    <w:qFormat/>
    <w:uiPriority w:val="0"/>
    <w:rPr>
      <w:rFonts w:ascii="Courier New" w:hAnsi="Courier New" w:cs="Courier New"/>
      <w:sz w:val="20"/>
    </w:rPr>
  </w:style>
  <w:style w:type="character" w:customStyle="1" w:styleId="47">
    <w:name w:val="WW8Num3z2"/>
    <w:qFormat/>
    <w:uiPriority w:val="0"/>
    <w:rPr>
      <w:rFonts w:ascii="Wingdings" w:hAnsi="Wingdings" w:cs="Wingdings"/>
      <w:sz w:val="20"/>
    </w:rPr>
  </w:style>
  <w:style w:type="character" w:customStyle="1" w:styleId="48">
    <w:name w:val="WW8Num4z0"/>
    <w:qFormat/>
    <w:uiPriority w:val="0"/>
    <w:rPr>
      <w:rFonts w:ascii="Symbol" w:hAnsi="Symbol" w:cs="Symbol"/>
      <w:sz w:val="20"/>
    </w:rPr>
  </w:style>
  <w:style w:type="character" w:customStyle="1" w:styleId="49">
    <w:name w:val="WW8Num4z1"/>
    <w:qFormat/>
    <w:uiPriority w:val="0"/>
    <w:rPr>
      <w:rFonts w:ascii="Courier New" w:hAnsi="Courier New" w:cs="Courier New"/>
      <w:sz w:val="20"/>
    </w:rPr>
  </w:style>
  <w:style w:type="character" w:customStyle="1" w:styleId="50">
    <w:name w:val="WW8Num4z2"/>
    <w:qFormat/>
    <w:uiPriority w:val="0"/>
    <w:rPr>
      <w:rFonts w:ascii="Wingdings" w:hAnsi="Wingdings" w:cs="Wingdings"/>
      <w:sz w:val="20"/>
    </w:rPr>
  </w:style>
  <w:style w:type="character" w:customStyle="1" w:styleId="51">
    <w:name w:val="WW8Num5z0"/>
    <w:qFormat/>
    <w:uiPriority w:val="0"/>
    <w:rPr>
      <w:rFonts w:ascii="Symbol" w:hAnsi="Symbol" w:cs="Symbol"/>
      <w:sz w:val="20"/>
    </w:rPr>
  </w:style>
  <w:style w:type="character" w:customStyle="1" w:styleId="52">
    <w:name w:val="WW8Num5z1"/>
    <w:qFormat/>
    <w:uiPriority w:val="0"/>
    <w:rPr>
      <w:rFonts w:ascii="Courier New" w:hAnsi="Courier New" w:cs="Courier New"/>
      <w:sz w:val="20"/>
    </w:rPr>
  </w:style>
  <w:style w:type="character" w:customStyle="1" w:styleId="53">
    <w:name w:val="WW8Num5z2"/>
    <w:qFormat/>
    <w:uiPriority w:val="0"/>
    <w:rPr>
      <w:rFonts w:ascii="Wingdings" w:hAnsi="Wingdings" w:cs="Wingdings"/>
      <w:sz w:val="20"/>
    </w:rPr>
  </w:style>
  <w:style w:type="character" w:customStyle="1" w:styleId="54">
    <w:name w:val="WW8Num6z0"/>
    <w:qFormat/>
    <w:uiPriority w:val="0"/>
    <w:rPr>
      <w:rFonts w:ascii="Symbol" w:hAnsi="Symbol" w:cs="Symbol"/>
      <w:sz w:val="20"/>
    </w:rPr>
  </w:style>
  <w:style w:type="character" w:customStyle="1" w:styleId="55">
    <w:name w:val="WW8Num6z1"/>
    <w:qFormat/>
    <w:uiPriority w:val="0"/>
    <w:rPr>
      <w:rFonts w:ascii="Courier New" w:hAnsi="Courier New" w:cs="Courier New"/>
      <w:sz w:val="20"/>
    </w:rPr>
  </w:style>
  <w:style w:type="character" w:customStyle="1" w:styleId="56">
    <w:name w:val="WW8Num6z2"/>
    <w:qFormat/>
    <w:uiPriority w:val="0"/>
    <w:rPr>
      <w:rFonts w:ascii="Wingdings" w:hAnsi="Wingdings" w:cs="Wingdings"/>
      <w:sz w:val="20"/>
    </w:rPr>
  </w:style>
  <w:style w:type="character" w:customStyle="1" w:styleId="57">
    <w:name w:val="WW8Num7z0"/>
    <w:qFormat/>
    <w:uiPriority w:val="0"/>
    <w:rPr>
      <w:rFonts w:ascii="Symbol" w:hAnsi="Symbol" w:cs="Symbol"/>
      <w:sz w:val="20"/>
    </w:rPr>
  </w:style>
  <w:style w:type="character" w:customStyle="1" w:styleId="58">
    <w:name w:val="WW8Num7z1"/>
    <w:qFormat/>
    <w:uiPriority w:val="0"/>
    <w:rPr>
      <w:rFonts w:ascii="Courier New" w:hAnsi="Courier New" w:cs="Courier New"/>
      <w:sz w:val="20"/>
    </w:rPr>
  </w:style>
  <w:style w:type="character" w:customStyle="1" w:styleId="59">
    <w:name w:val="WW8Num7z2"/>
    <w:qFormat/>
    <w:uiPriority w:val="0"/>
    <w:rPr>
      <w:rFonts w:ascii="Wingdings" w:hAnsi="Wingdings" w:cs="Wingdings"/>
      <w:sz w:val="20"/>
    </w:rPr>
  </w:style>
  <w:style w:type="character" w:customStyle="1" w:styleId="60">
    <w:name w:val="WW8Num8z0"/>
    <w:qFormat/>
    <w:uiPriority w:val="0"/>
    <w:rPr>
      <w:rFonts w:ascii="Symbol" w:hAnsi="Symbol" w:cs="Symbol"/>
      <w:sz w:val="20"/>
    </w:rPr>
  </w:style>
  <w:style w:type="character" w:customStyle="1" w:styleId="61">
    <w:name w:val="WW8Num8z1"/>
    <w:qFormat/>
    <w:uiPriority w:val="0"/>
    <w:rPr>
      <w:rFonts w:ascii="Courier New" w:hAnsi="Courier New" w:cs="Courier New"/>
      <w:sz w:val="20"/>
    </w:rPr>
  </w:style>
  <w:style w:type="character" w:customStyle="1" w:styleId="62">
    <w:name w:val="WW8Num8z2"/>
    <w:qFormat/>
    <w:uiPriority w:val="0"/>
    <w:rPr>
      <w:rFonts w:ascii="Wingdings" w:hAnsi="Wingdings" w:cs="Wingdings"/>
      <w:sz w:val="20"/>
    </w:rPr>
  </w:style>
  <w:style w:type="character" w:customStyle="1" w:styleId="63">
    <w:name w:val="WW8Num9z0"/>
    <w:qFormat/>
    <w:uiPriority w:val="0"/>
    <w:rPr>
      <w:rFonts w:ascii="Symbol" w:hAnsi="Symbol" w:cs="Symbol"/>
      <w:sz w:val="20"/>
    </w:rPr>
  </w:style>
  <w:style w:type="character" w:customStyle="1" w:styleId="64">
    <w:name w:val="WW8Num9z1"/>
    <w:qFormat/>
    <w:uiPriority w:val="0"/>
    <w:rPr>
      <w:rFonts w:ascii="Courier New" w:hAnsi="Courier New" w:cs="Courier New"/>
      <w:sz w:val="20"/>
    </w:rPr>
  </w:style>
  <w:style w:type="character" w:customStyle="1" w:styleId="65">
    <w:name w:val="WW8Num9z2"/>
    <w:qFormat/>
    <w:uiPriority w:val="0"/>
    <w:rPr>
      <w:rFonts w:ascii="Wingdings" w:hAnsi="Wingdings" w:cs="Wingdings"/>
      <w:sz w:val="20"/>
    </w:rPr>
  </w:style>
  <w:style w:type="character" w:customStyle="1" w:styleId="66">
    <w:name w:val="WW8Num10z0"/>
    <w:qFormat/>
    <w:uiPriority w:val="0"/>
    <w:rPr>
      <w:rFonts w:ascii="Symbol" w:hAnsi="Symbol" w:cs="Symbol"/>
      <w:sz w:val="20"/>
    </w:rPr>
  </w:style>
  <w:style w:type="character" w:customStyle="1" w:styleId="67">
    <w:name w:val="WW8Num10z1"/>
    <w:qFormat/>
    <w:uiPriority w:val="0"/>
    <w:rPr>
      <w:rFonts w:ascii="Courier New" w:hAnsi="Courier New" w:cs="Courier New"/>
      <w:sz w:val="20"/>
    </w:rPr>
  </w:style>
  <w:style w:type="character" w:customStyle="1" w:styleId="68">
    <w:name w:val="WW8Num10z2"/>
    <w:qFormat/>
    <w:uiPriority w:val="0"/>
    <w:rPr>
      <w:rFonts w:ascii="Wingdings" w:hAnsi="Wingdings" w:cs="Wingdings"/>
      <w:sz w:val="20"/>
    </w:rPr>
  </w:style>
  <w:style w:type="character" w:customStyle="1" w:styleId="69">
    <w:name w:val="WW8Num11z0"/>
    <w:qFormat/>
    <w:uiPriority w:val="0"/>
    <w:rPr>
      <w:rFonts w:ascii="Symbol" w:hAnsi="Symbol" w:cs="Symbol"/>
      <w:sz w:val="20"/>
    </w:rPr>
  </w:style>
  <w:style w:type="character" w:customStyle="1" w:styleId="70">
    <w:name w:val="WW8Num11z1"/>
    <w:qFormat/>
    <w:uiPriority w:val="0"/>
    <w:rPr>
      <w:rFonts w:ascii="Courier New" w:hAnsi="Courier New" w:cs="Courier New"/>
      <w:sz w:val="20"/>
    </w:rPr>
  </w:style>
  <w:style w:type="character" w:customStyle="1" w:styleId="71">
    <w:name w:val="WW8Num11z2"/>
    <w:qFormat/>
    <w:uiPriority w:val="0"/>
    <w:rPr>
      <w:rFonts w:ascii="Wingdings" w:hAnsi="Wingdings" w:cs="Wingdings"/>
      <w:sz w:val="20"/>
    </w:rPr>
  </w:style>
  <w:style w:type="character" w:customStyle="1" w:styleId="72">
    <w:name w:val="WW8Num12z0"/>
    <w:qFormat/>
    <w:uiPriority w:val="0"/>
    <w:rPr>
      <w:rFonts w:ascii="Symbol" w:hAnsi="Symbol" w:cs="Symbol"/>
      <w:sz w:val="20"/>
    </w:rPr>
  </w:style>
  <w:style w:type="character" w:customStyle="1" w:styleId="73">
    <w:name w:val="WW8Num12z1"/>
    <w:qFormat/>
    <w:uiPriority w:val="0"/>
    <w:rPr>
      <w:rFonts w:ascii="Courier New" w:hAnsi="Courier New" w:cs="Courier New"/>
      <w:sz w:val="20"/>
    </w:rPr>
  </w:style>
  <w:style w:type="character" w:customStyle="1" w:styleId="74">
    <w:name w:val="WW8Num12z2"/>
    <w:qFormat/>
    <w:uiPriority w:val="0"/>
    <w:rPr>
      <w:rFonts w:ascii="Wingdings" w:hAnsi="Wingdings" w:cs="Wingdings"/>
      <w:sz w:val="20"/>
    </w:rPr>
  </w:style>
  <w:style w:type="character" w:customStyle="1" w:styleId="75">
    <w:name w:val="WW8Num13z0"/>
    <w:qFormat/>
    <w:uiPriority w:val="0"/>
    <w:rPr>
      <w:rFonts w:ascii="Symbol" w:hAnsi="Symbol" w:cs="Symbol"/>
      <w:sz w:val="20"/>
    </w:rPr>
  </w:style>
  <w:style w:type="character" w:customStyle="1" w:styleId="76">
    <w:name w:val="WW8Num13z1"/>
    <w:qFormat/>
    <w:uiPriority w:val="0"/>
    <w:rPr>
      <w:rFonts w:ascii="Courier New" w:hAnsi="Courier New" w:cs="Courier New"/>
      <w:sz w:val="20"/>
    </w:rPr>
  </w:style>
  <w:style w:type="character" w:customStyle="1" w:styleId="77">
    <w:name w:val="WW8Num13z2"/>
    <w:qFormat/>
    <w:uiPriority w:val="0"/>
    <w:rPr>
      <w:rFonts w:ascii="Wingdings" w:hAnsi="Wingdings" w:cs="Wingdings"/>
      <w:sz w:val="20"/>
    </w:rPr>
  </w:style>
  <w:style w:type="character" w:customStyle="1" w:styleId="78">
    <w:name w:val="WW8Num14z0"/>
    <w:qFormat/>
    <w:uiPriority w:val="0"/>
    <w:rPr>
      <w:rFonts w:ascii="Symbol" w:hAnsi="Symbol" w:cs="Symbol"/>
      <w:sz w:val="20"/>
    </w:rPr>
  </w:style>
  <w:style w:type="character" w:customStyle="1" w:styleId="79">
    <w:name w:val="WW8Num14z1"/>
    <w:qFormat/>
    <w:uiPriority w:val="0"/>
    <w:rPr>
      <w:rFonts w:ascii="Courier New" w:hAnsi="Courier New" w:cs="Courier New"/>
      <w:sz w:val="20"/>
    </w:rPr>
  </w:style>
  <w:style w:type="character" w:customStyle="1" w:styleId="80">
    <w:name w:val="WW8Num14z2"/>
    <w:qFormat/>
    <w:uiPriority w:val="0"/>
    <w:rPr>
      <w:rFonts w:ascii="Wingdings" w:hAnsi="Wingdings" w:cs="Wingdings"/>
      <w:sz w:val="20"/>
    </w:rPr>
  </w:style>
  <w:style w:type="character" w:customStyle="1" w:styleId="81">
    <w:name w:val="WW8Num16z0"/>
    <w:qFormat/>
    <w:uiPriority w:val="0"/>
    <w:rPr>
      <w:rFonts w:ascii="Symbol" w:hAnsi="Symbol" w:cs="Symbol"/>
      <w:sz w:val="20"/>
    </w:rPr>
  </w:style>
  <w:style w:type="character" w:customStyle="1" w:styleId="82">
    <w:name w:val="WW8Num16z1"/>
    <w:qFormat/>
    <w:uiPriority w:val="0"/>
    <w:rPr>
      <w:rFonts w:ascii="Courier New" w:hAnsi="Courier New" w:cs="Courier New"/>
      <w:sz w:val="20"/>
    </w:rPr>
  </w:style>
  <w:style w:type="character" w:customStyle="1" w:styleId="83">
    <w:name w:val="WW8Num16z2"/>
    <w:qFormat/>
    <w:uiPriority w:val="0"/>
    <w:rPr>
      <w:rFonts w:ascii="Wingdings" w:hAnsi="Wingdings" w:cs="Wingdings"/>
      <w:sz w:val="20"/>
    </w:rPr>
  </w:style>
  <w:style w:type="character" w:customStyle="1" w:styleId="84">
    <w:name w:val="WW8Num17z0"/>
    <w:qFormat/>
    <w:uiPriority w:val="0"/>
    <w:rPr>
      <w:rFonts w:ascii="Symbol" w:hAnsi="Symbol" w:cs="Symbol"/>
      <w:sz w:val="20"/>
    </w:rPr>
  </w:style>
  <w:style w:type="character" w:customStyle="1" w:styleId="85">
    <w:name w:val="WW8Num17z1"/>
    <w:qFormat/>
    <w:uiPriority w:val="0"/>
    <w:rPr>
      <w:rFonts w:ascii="Courier New" w:hAnsi="Courier New" w:cs="Courier New"/>
      <w:sz w:val="20"/>
    </w:rPr>
  </w:style>
  <w:style w:type="character" w:customStyle="1" w:styleId="86">
    <w:name w:val="WW8Num17z2"/>
    <w:qFormat/>
    <w:uiPriority w:val="0"/>
    <w:rPr>
      <w:rFonts w:ascii="Wingdings" w:hAnsi="Wingdings" w:cs="Wingdings"/>
      <w:sz w:val="20"/>
    </w:rPr>
  </w:style>
  <w:style w:type="character" w:customStyle="1" w:styleId="87">
    <w:name w:val="WW8Num18z0"/>
    <w:qFormat/>
    <w:uiPriority w:val="0"/>
    <w:rPr>
      <w:rFonts w:ascii="Symbol" w:hAnsi="Symbol" w:cs="Symbol"/>
      <w:sz w:val="20"/>
    </w:rPr>
  </w:style>
  <w:style w:type="character" w:customStyle="1" w:styleId="88">
    <w:name w:val="WW8Num18z1"/>
    <w:qFormat/>
    <w:uiPriority w:val="0"/>
    <w:rPr>
      <w:rFonts w:ascii="Courier New" w:hAnsi="Courier New" w:cs="Courier New"/>
      <w:sz w:val="20"/>
    </w:rPr>
  </w:style>
  <w:style w:type="character" w:customStyle="1" w:styleId="89">
    <w:name w:val="WW8Num18z2"/>
    <w:qFormat/>
    <w:uiPriority w:val="0"/>
    <w:rPr>
      <w:rFonts w:ascii="Wingdings" w:hAnsi="Wingdings" w:cs="Wingdings"/>
      <w:sz w:val="20"/>
    </w:rPr>
  </w:style>
  <w:style w:type="character" w:customStyle="1" w:styleId="90">
    <w:name w:val="WW8Num19z0"/>
    <w:qFormat/>
    <w:uiPriority w:val="0"/>
  </w:style>
  <w:style w:type="character" w:customStyle="1" w:styleId="91">
    <w:name w:val="WW8Num20z0"/>
    <w:qFormat/>
    <w:uiPriority w:val="0"/>
  </w:style>
  <w:style w:type="character" w:customStyle="1" w:styleId="92">
    <w:name w:val="WW8Num21z0"/>
    <w:qFormat/>
    <w:uiPriority w:val="0"/>
    <w:rPr>
      <w:rFonts w:ascii="Symbol" w:hAnsi="Symbol" w:cs="Symbol"/>
      <w:sz w:val="20"/>
    </w:rPr>
  </w:style>
  <w:style w:type="character" w:customStyle="1" w:styleId="93">
    <w:name w:val="WW8Num21z1"/>
    <w:qFormat/>
    <w:uiPriority w:val="0"/>
    <w:rPr>
      <w:rFonts w:ascii="Courier New" w:hAnsi="Courier New" w:cs="Courier New"/>
      <w:sz w:val="20"/>
    </w:rPr>
  </w:style>
  <w:style w:type="character" w:customStyle="1" w:styleId="94">
    <w:name w:val="WW8Num21z2"/>
    <w:qFormat/>
    <w:uiPriority w:val="0"/>
    <w:rPr>
      <w:rFonts w:ascii="Wingdings" w:hAnsi="Wingdings" w:cs="Wingdings"/>
      <w:sz w:val="20"/>
    </w:rPr>
  </w:style>
  <w:style w:type="character" w:customStyle="1" w:styleId="95">
    <w:name w:val="WW8Num22z0"/>
    <w:qFormat/>
    <w:uiPriority w:val="0"/>
  </w:style>
  <w:style w:type="character" w:customStyle="1" w:styleId="96">
    <w:name w:val="WW8Num22z1"/>
    <w:qFormat/>
    <w:uiPriority w:val="0"/>
    <w:rPr>
      <w:b/>
      <w:bCs/>
      <w:color w:val="000000"/>
    </w:rPr>
  </w:style>
  <w:style w:type="character" w:customStyle="1" w:styleId="97">
    <w:name w:val="WW8Num23z0"/>
    <w:qFormat/>
    <w:uiPriority w:val="0"/>
  </w:style>
  <w:style w:type="character" w:customStyle="1" w:styleId="98">
    <w:name w:val="WW8Num24z0"/>
    <w:qFormat/>
    <w:uiPriority w:val="0"/>
    <w:rPr>
      <w:sz w:val="24"/>
      <w:szCs w:val="24"/>
    </w:rPr>
  </w:style>
  <w:style w:type="character" w:customStyle="1" w:styleId="99">
    <w:name w:val="WW8Num25z0"/>
    <w:qFormat/>
    <w:uiPriority w:val="0"/>
    <w:rPr>
      <w:rFonts w:ascii="Symbol" w:hAnsi="Symbol" w:cs="Symbol"/>
      <w:sz w:val="20"/>
    </w:rPr>
  </w:style>
  <w:style w:type="character" w:customStyle="1" w:styleId="100">
    <w:name w:val="WW8Num25z1"/>
    <w:qFormat/>
    <w:uiPriority w:val="0"/>
    <w:rPr>
      <w:rFonts w:ascii="Courier New" w:hAnsi="Courier New" w:cs="Courier New"/>
      <w:sz w:val="20"/>
    </w:rPr>
  </w:style>
  <w:style w:type="character" w:customStyle="1" w:styleId="101">
    <w:name w:val="WW8Num25z2"/>
    <w:qFormat/>
    <w:uiPriority w:val="0"/>
    <w:rPr>
      <w:rFonts w:ascii="Wingdings" w:hAnsi="Wingdings" w:cs="Wingdings"/>
      <w:sz w:val="20"/>
    </w:rPr>
  </w:style>
  <w:style w:type="character" w:customStyle="1" w:styleId="102">
    <w:name w:val="WW8Num27z0"/>
    <w:qFormat/>
    <w:uiPriority w:val="0"/>
    <w:rPr>
      <w:rFonts w:ascii="Symbol" w:hAnsi="Symbol" w:cs="Symbol"/>
      <w:sz w:val="20"/>
    </w:rPr>
  </w:style>
  <w:style w:type="character" w:customStyle="1" w:styleId="103">
    <w:name w:val="WW8Num27z1"/>
    <w:qFormat/>
    <w:uiPriority w:val="0"/>
    <w:rPr>
      <w:rFonts w:ascii="Courier New" w:hAnsi="Courier New" w:cs="Courier New"/>
      <w:sz w:val="20"/>
    </w:rPr>
  </w:style>
  <w:style w:type="character" w:customStyle="1" w:styleId="104">
    <w:name w:val="WW8Num27z2"/>
    <w:qFormat/>
    <w:uiPriority w:val="0"/>
    <w:rPr>
      <w:rFonts w:ascii="Wingdings" w:hAnsi="Wingdings" w:cs="Wingdings"/>
      <w:sz w:val="20"/>
    </w:rPr>
  </w:style>
  <w:style w:type="character" w:customStyle="1" w:styleId="105">
    <w:name w:val="WW8Num28z0"/>
    <w:qFormat/>
    <w:uiPriority w:val="0"/>
  </w:style>
  <w:style w:type="character" w:customStyle="1" w:styleId="106">
    <w:name w:val="WW8Num29z0"/>
    <w:qFormat/>
    <w:uiPriority w:val="0"/>
  </w:style>
  <w:style w:type="character" w:customStyle="1" w:styleId="107">
    <w:name w:val="WW8Num30z0"/>
    <w:qFormat/>
    <w:uiPriority w:val="0"/>
    <w:rPr>
      <w:rFonts w:ascii="Symbol" w:hAnsi="Symbol" w:cs="Symbol"/>
      <w:sz w:val="20"/>
    </w:rPr>
  </w:style>
  <w:style w:type="character" w:customStyle="1" w:styleId="108">
    <w:name w:val="WW8Num30z1"/>
    <w:qFormat/>
    <w:uiPriority w:val="0"/>
    <w:rPr>
      <w:rFonts w:ascii="Courier New" w:hAnsi="Courier New" w:cs="Courier New"/>
      <w:sz w:val="20"/>
    </w:rPr>
  </w:style>
  <w:style w:type="character" w:customStyle="1" w:styleId="109">
    <w:name w:val="WW8Num30z2"/>
    <w:qFormat/>
    <w:uiPriority w:val="0"/>
    <w:rPr>
      <w:rFonts w:ascii="Wingdings" w:hAnsi="Wingdings" w:cs="Wingdings"/>
      <w:sz w:val="20"/>
    </w:rPr>
  </w:style>
  <w:style w:type="character" w:customStyle="1" w:styleId="110">
    <w:name w:val="WW8Num31z0"/>
    <w:qFormat/>
    <w:uiPriority w:val="0"/>
  </w:style>
  <w:style w:type="character" w:customStyle="1" w:styleId="111">
    <w:name w:val="WW8Num32z0"/>
    <w:qFormat/>
    <w:uiPriority w:val="0"/>
    <w:rPr>
      <w:rFonts w:ascii="Symbol" w:hAnsi="Symbol" w:cs="Symbol"/>
      <w:sz w:val="20"/>
    </w:rPr>
  </w:style>
  <w:style w:type="character" w:customStyle="1" w:styleId="112">
    <w:name w:val="WW8Num32z1"/>
    <w:qFormat/>
    <w:uiPriority w:val="0"/>
    <w:rPr>
      <w:rFonts w:ascii="Courier New" w:hAnsi="Courier New" w:cs="Courier New"/>
      <w:sz w:val="20"/>
    </w:rPr>
  </w:style>
  <w:style w:type="character" w:customStyle="1" w:styleId="113">
    <w:name w:val="WW8Num32z2"/>
    <w:qFormat/>
    <w:uiPriority w:val="0"/>
    <w:rPr>
      <w:rFonts w:ascii="Wingdings" w:hAnsi="Wingdings" w:cs="Wingdings"/>
      <w:sz w:val="20"/>
    </w:rPr>
  </w:style>
  <w:style w:type="character" w:customStyle="1" w:styleId="114">
    <w:name w:val="WW8Num33z0"/>
    <w:qFormat/>
    <w:uiPriority w:val="0"/>
    <w:rPr>
      <w:rFonts w:ascii="Symbol" w:hAnsi="Symbol" w:cs="Symbol"/>
      <w:sz w:val="20"/>
    </w:rPr>
  </w:style>
  <w:style w:type="character" w:customStyle="1" w:styleId="115">
    <w:name w:val="WW8Num33z1"/>
    <w:qFormat/>
    <w:uiPriority w:val="0"/>
    <w:rPr>
      <w:rFonts w:ascii="Courier New" w:hAnsi="Courier New" w:cs="Courier New"/>
      <w:sz w:val="20"/>
    </w:rPr>
  </w:style>
  <w:style w:type="character" w:customStyle="1" w:styleId="116">
    <w:name w:val="WW8Num33z2"/>
    <w:qFormat/>
    <w:uiPriority w:val="0"/>
    <w:rPr>
      <w:rFonts w:ascii="Wingdings" w:hAnsi="Wingdings" w:cs="Wingdings"/>
      <w:sz w:val="20"/>
    </w:rPr>
  </w:style>
  <w:style w:type="character" w:customStyle="1" w:styleId="117">
    <w:name w:val="WW8Num34z0"/>
    <w:qFormat/>
    <w:uiPriority w:val="0"/>
    <w:rPr>
      <w:rFonts w:ascii="Symbol" w:hAnsi="Symbol" w:cs="Symbol"/>
      <w:sz w:val="20"/>
    </w:rPr>
  </w:style>
  <w:style w:type="character" w:customStyle="1" w:styleId="118">
    <w:name w:val="WW8Num34z1"/>
    <w:qFormat/>
    <w:uiPriority w:val="0"/>
    <w:rPr>
      <w:rFonts w:ascii="Courier New" w:hAnsi="Courier New" w:cs="Courier New"/>
      <w:sz w:val="20"/>
    </w:rPr>
  </w:style>
  <w:style w:type="character" w:customStyle="1" w:styleId="119">
    <w:name w:val="WW8Num34z2"/>
    <w:qFormat/>
    <w:uiPriority w:val="0"/>
    <w:rPr>
      <w:rFonts w:ascii="Wingdings" w:hAnsi="Wingdings" w:cs="Wingdings"/>
      <w:sz w:val="20"/>
    </w:rPr>
  </w:style>
  <w:style w:type="character" w:customStyle="1" w:styleId="120">
    <w:name w:val="WW8Num35z0"/>
    <w:qFormat/>
    <w:uiPriority w:val="0"/>
  </w:style>
  <w:style w:type="character" w:customStyle="1" w:styleId="121">
    <w:name w:val="WW8Num36z0"/>
    <w:qFormat/>
    <w:uiPriority w:val="0"/>
    <w:rPr>
      <w:rFonts w:ascii="Symbol" w:hAnsi="Symbol" w:cs="Symbol"/>
      <w:sz w:val="20"/>
    </w:rPr>
  </w:style>
  <w:style w:type="character" w:customStyle="1" w:styleId="122">
    <w:name w:val="WW8Num36z1"/>
    <w:qFormat/>
    <w:uiPriority w:val="0"/>
    <w:rPr>
      <w:rFonts w:ascii="Courier New" w:hAnsi="Courier New" w:cs="Courier New"/>
      <w:sz w:val="20"/>
    </w:rPr>
  </w:style>
  <w:style w:type="character" w:customStyle="1" w:styleId="123">
    <w:name w:val="WW8Num36z2"/>
    <w:qFormat/>
    <w:uiPriority w:val="0"/>
    <w:rPr>
      <w:rFonts w:ascii="Wingdings" w:hAnsi="Wingdings" w:cs="Wingdings"/>
      <w:sz w:val="20"/>
    </w:rPr>
  </w:style>
  <w:style w:type="character" w:customStyle="1" w:styleId="124">
    <w:name w:val="WW8Num37z0"/>
    <w:qFormat/>
    <w:uiPriority w:val="0"/>
    <w:rPr>
      <w:sz w:val="24"/>
      <w:szCs w:val="24"/>
    </w:rPr>
  </w:style>
  <w:style w:type="character" w:customStyle="1" w:styleId="125">
    <w:name w:val="WW8Num38z0"/>
    <w:qFormat/>
    <w:uiPriority w:val="0"/>
    <w:rPr>
      <w:rFonts w:ascii="Symbol" w:hAnsi="Symbol" w:cs="Symbol"/>
      <w:sz w:val="20"/>
    </w:rPr>
  </w:style>
  <w:style w:type="character" w:customStyle="1" w:styleId="126">
    <w:name w:val="WW8Num38z1"/>
    <w:qFormat/>
    <w:uiPriority w:val="0"/>
    <w:rPr>
      <w:rFonts w:ascii="Courier New" w:hAnsi="Courier New" w:cs="Courier New"/>
      <w:sz w:val="20"/>
    </w:rPr>
  </w:style>
  <w:style w:type="character" w:customStyle="1" w:styleId="127">
    <w:name w:val="WW8Num38z2"/>
    <w:qFormat/>
    <w:uiPriority w:val="0"/>
    <w:rPr>
      <w:rFonts w:ascii="Wingdings" w:hAnsi="Wingdings" w:cs="Wingdings"/>
      <w:sz w:val="20"/>
    </w:rPr>
  </w:style>
  <w:style w:type="character" w:customStyle="1" w:styleId="128">
    <w:name w:val="WW8Num39z0"/>
    <w:qFormat/>
    <w:uiPriority w:val="0"/>
  </w:style>
  <w:style w:type="character" w:customStyle="1" w:styleId="129">
    <w:name w:val="WW8Num40z0"/>
    <w:qFormat/>
    <w:uiPriority w:val="0"/>
  </w:style>
  <w:style w:type="character" w:customStyle="1" w:styleId="130">
    <w:name w:val="WW8Num41z0"/>
    <w:qFormat/>
    <w:uiPriority w:val="0"/>
    <w:rPr>
      <w:rFonts w:ascii="Symbol" w:hAnsi="Symbol" w:cs="Symbol"/>
      <w:sz w:val="20"/>
    </w:rPr>
  </w:style>
  <w:style w:type="character" w:customStyle="1" w:styleId="131">
    <w:name w:val="WW8Num41z1"/>
    <w:qFormat/>
    <w:uiPriority w:val="0"/>
    <w:rPr>
      <w:rFonts w:ascii="Courier New" w:hAnsi="Courier New" w:cs="Courier New"/>
      <w:sz w:val="20"/>
    </w:rPr>
  </w:style>
  <w:style w:type="character" w:customStyle="1" w:styleId="132">
    <w:name w:val="WW8Num41z2"/>
    <w:qFormat/>
    <w:uiPriority w:val="0"/>
    <w:rPr>
      <w:rFonts w:ascii="Wingdings" w:hAnsi="Wingdings" w:cs="Wingdings"/>
      <w:sz w:val="20"/>
    </w:rPr>
  </w:style>
  <w:style w:type="character" w:customStyle="1" w:styleId="133">
    <w:name w:val="WW8Num42z0"/>
    <w:qFormat/>
    <w:uiPriority w:val="0"/>
  </w:style>
  <w:style w:type="character" w:customStyle="1" w:styleId="134">
    <w:name w:val="WW8Num43z0"/>
    <w:qFormat/>
    <w:uiPriority w:val="0"/>
    <w:rPr>
      <w:rFonts w:ascii="Symbol" w:hAnsi="Symbol" w:cs="Symbol"/>
      <w:sz w:val="20"/>
    </w:rPr>
  </w:style>
  <w:style w:type="character" w:customStyle="1" w:styleId="135">
    <w:name w:val="WW8Num43z1"/>
    <w:qFormat/>
    <w:uiPriority w:val="0"/>
    <w:rPr>
      <w:rFonts w:ascii="Courier New" w:hAnsi="Courier New" w:cs="Courier New"/>
      <w:sz w:val="20"/>
    </w:rPr>
  </w:style>
  <w:style w:type="character" w:customStyle="1" w:styleId="136">
    <w:name w:val="WW8Num43z2"/>
    <w:qFormat/>
    <w:uiPriority w:val="0"/>
    <w:rPr>
      <w:rFonts w:ascii="Wingdings" w:hAnsi="Wingdings" w:cs="Wingdings"/>
      <w:sz w:val="20"/>
    </w:rPr>
  </w:style>
  <w:style w:type="character" w:customStyle="1" w:styleId="137">
    <w:name w:val="WW8Num44z0"/>
    <w:qFormat/>
    <w:uiPriority w:val="0"/>
  </w:style>
  <w:style w:type="character" w:customStyle="1" w:styleId="138">
    <w:name w:val="WW8Num45z0"/>
    <w:qFormat/>
    <w:uiPriority w:val="0"/>
    <w:rPr>
      <w:rFonts w:ascii="Symbol" w:hAnsi="Symbol" w:cs="Symbol"/>
      <w:sz w:val="20"/>
    </w:rPr>
  </w:style>
  <w:style w:type="character" w:customStyle="1" w:styleId="139">
    <w:name w:val="WW8Num45z1"/>
    <w:qFormat/>
    <w:uiPriority w:val="0"/>
    <w:rPr>
      <w:rFonts w:ascii="Courier New" w:hAnsi="Courier New" w:cs="Courier New"/>
      <w:sz w:val="20"/>
    </w:rPr>
  </w:style>
  <w:style w:type="character" w:customStyle="1" w:styleId="140">
    <w:name w:val="WW8Num45z2"/>
    <w:qFormat/>
    <w:uiPriority w:val="0"/>
    <w:rPr>
      <w:rFonts w:ascii="Wingdings" w:hAnsi="Wingdings" w:cs="Wingdings"/>
      <w:sz w:val="20"/>
    </w:rPr>
  </w:style>
  <w:style w:type="character" w:customStyle="1" w:styleId="141">
    <w:name w:val="WW8Num46z0"/>
    <w:qFormat/>
    <w:uiPriority w:val="0"/>
  </w:style>
  <w:style w:type="character" w:customStyle="1" w:styleId="142">
    <w:name w:val="WW8Num47z0"/>
    <w:qFormat/>
    <w:uiPriority w:val="0"/>
  </w:style>
  <w:style w:type="character" w:customStyle="1" w:styleId="143">
    <w:name w:val="WW8Num48z0"/>
    <w:qFormat/>
    <w:uiPriority w:val="0"/>
    <w:rPr>
      <w:rFonts w:ascii="Symbol" w:hAnsi="Symbol" w:cs="Symbol"/>
      <w:sz w:val="20"/>
    </w:rPr>
  </w:style>
  <w:style w:type="character" w:customStyle="1" w:styleId="144">
    <w:name w:val="WW8Num48z1"/>
    <w:qFormat/>
    <w:uiPriority w:val="0"/>
    <w:rPr>
      <w:rFonts w:ascii="Courier New" w:hAnsi="Courier New" w:cs="Courier New"/>
      <w:sz w:val="20"/>
    </w:rPr>
  </w:style>
  <w:style w:type="character" w:customStyle="1" w:styleId="145">
    <w:name w:val="WW8Num48z2"/>
    <w:qFormat/>
    <w:uiPriority w:val="0"/>
    <w:rPr>
      <w:rFonts w:ascii="Wingdings" w:hAnsi="Wingdings" w:cs="Wingdings"/>
      <w:sz w:val="20"/>
    </w:rPr>
  </w:style>
  <w:style w:type="character" w:customStyle="1" w:styleId="146">
    <w:name w:val="WW8Num49z0"/>
    <w:qFormat/>
    <w:uiPriority w:val="0"/>
    <w:rPr>
      <w:rFonts w:ascii="Symbol" w:hAnsi="Symbol" w:cs="Symbol"/>
      <w:sz w:val="20"/>
    </w:rPr>
  </w:style>
  <w:style w:type="character" w:customStyle="1" w:styleId="147">
    <w:name w:val="WW8Num49z1"/>
    <w:qFormat/>
    <w:uiPriority w:val="0"/>
    <w:rPr>
      <w:rFonts w:ascii="Courier New" w:hAnsi="Courier New" w:cs="Courier New"/>
      <w:sz w:val="20"/>
    </w:rPr>
  </w:style>
  <w:style w:type="character" w:customStyle="1" w:styleId="148">
    <w:name w:val="WW8Num49z2"/>
    <w:qFormat/>
    <w:uiPriority w:val="0"/>
    <w:rPr>
      <w:rFonts w:ascii="Wingdings" w:hAnsi="Wingdings" w:cs="Wingdings"/>
      <w:sz w:val="20"/>
    </w:rPr>
  </w:style>
  <w:style w:type="character" w:customStyle="1" w:styleId="149">
    <w:name w:val="WW8Num50z0"/>
    <w:qFormat/>
    <w:uiPriority w:val="0"/>
    <w:rPr>
      <w:rFonts w:ascii="Symbol" w:hAnsi="Symbol" w:cs="Symbol"/>
      <w:sz w:val="20"/>
    </w:rPr>
  </w:style>
  <w:style w:type="character" w:customStyle="1" w:styleId="150">
    <w:name w:val="WW8Num50z1"/>
    <w:qFormat/>
    <w:uiPriority w:val="0"/>
    <w:rPr>
      <w:rFonts w:ascii="Courier New" w:hAnsi="Courier New" w:cs="Courier New"/>
      <w:sz w:val="20"/>
    </w:rPr>
  </w:style>
  <w:style w:type="character" w:customStyle="1" w:styleId="151">
    <w:name w:val="WW8Num50z2"/>
    <w:qFormat/>
    <w:uiPriority w:val="0"/>
    <w:rPr>
      <w:rFonts w:ascii="Wingdings" w:hAnsi="Wingdings" w:cs="Wingdings"/>
      <w:sz w:val="20"/>
    </w:rPr>
  </w:style>
  <w:style w:type="character" w:customStyle="1" w:styleId="152">
    <w:name w:val="WW8Num51z0"/>
    <w:qFormat/>
    <w:uiPriority w:val="0"/>
  </w:style>
  <w:style w:type="character" w:customStyle="1" w:styleId="153">
    <w:name w:val="WW8Num52z0"/>
    <w:qFormat/>
    <w:uiPriority w:val="0"/>
    <w:rPr>
      <w:rFonts w:ascii="Symbol" w:hAnsi="Symbol" w:cs="Symbol"/>
      <w:sz w:val="20"/>
    </w:rPr>
  </w:style>
  <w:style w:type="character" w:customStyle="1" w:styleId="154">
    <w:name w:val="WW8Num52z1"/>
    <w:qFormat/>
    <w:uiPriority w:val="0"/>
    <w:rPr>
      <w:rFonts w:ascii="Courier New" w:hAnsi="Courier New" w:cs="Courier New"/>
      <w:sz w:val="20"/>
    </w:rPr>
  </w:style>
  <w:style w:type="character" w:customStyle="1" w:styleId="155">
    <w:name w:val="WW8Num52z2"/>
    <w:qFormat/>
    <w:uiPriority w:val="0"/>
    <w:rPr>
      <w:rFonts w:ascii="Wingdings" w:hAnsi="Wingdings" w:cs="Wingdings"/>
      <w:sz w:val="20"/>
    </w:rPr>
  </w:style>
  <w:style w:type="character" w:customStyle="1" w:styleId="156">
    <w:name w:val="WW8Num53z0"/>
    <w:qFormat/>
    <w:uiPriority w:val="0"/>
    <w:rPr>
      <w:rFonts w:ascii="Symbol" w:hAnsi="Symbol" w:cs="Symbol"/>
      <w:sz w:val="20"/>
    </w:rPr>
  </w:style>
  <w:style w:type="character" w:customStyle="1" w:styleId="157">
    <w:name w:val="WW8Num53z1"/>
    <w:qFormat/>
    <w:uiPriority w:val="0"/>
    <w:rPr>
      <w:rFonts w:ascii="Courier New" w:hAnsi="Courier New" w:cs="Courier New"/>
      <w:sz w:val="20"/>
    </w:rPr>
  </w:style>
  <w:style w:type="character" w:customStyle="1" w:styleId="158">
    <w:name w:val="WW8Num53z2"/>
    <w:qFormat/>
    <w:uiPriority w:val="0"/>
    <w:rPr>
      <w:rFonts w:ascii="Wingdings" w:hAnsi="Wingdings" w:cs="Wingdings"/>
      <w:sz w:val="20"/>
    </w:rPr>
  </w:style>
  <w:style w:type="character" w:customStyle="1" w:styleId="159">
    <w:name w:val="WW8Num54z0"/>
    <w:qFormat/>
    <w:uiPriority w:val="0"/>
    <w:rPr>
      <w:rFonts w:ascii="Symbol" w:hAnsi="Symbol" w:cs="Symbol"/>
      <w:sz w:val="20"/>
    </w:rPr>
  </w:style>
  <w:style w:type="character" w:customStyle="1" w:styleId="160">
    <w:name w:val="WW8Num54z1"/>
    <w:qFormat/>
    <w:uiPriority w:val="0"/>
    <w:rPr>
      <w:rFonts w:ascii="Courier New" w:hAnsi="Courier New" w:cs="Courier New"/>
      <w:sz w:val="20"/>
    </w:rPr>
  </w:style>
  <w:style w:type="character" w:customStyle="1" w:styleId="161">
    <w:name w:val="WW8Num54z2"/>
    <w:qFormat/>
    <w:uiPriority w:val="0"/>
    <w:rPr>
      <w:rFonts w:ascii="Wingdings" w:hAnsi="Wingdings" w:cs="Wingdings"/>
      <w:sz w:val="20"/>
    </w:rPr>
  </w:style>
  <w:style w:type="character" w:customStyle="1" w:styleId="162">
    <w:name w:val="WW8Num55z0"/>
    <w:qFormat/>
    <w:uiPriority w:val="0"/>
    <w:rPr>
      <w:rFonts w:ascii="Symbol" w:hAnsi="Symbol" w:cs="Symbol"/>
      <w:sz w:val="20"/>
    </w:rPr>
  </w:style>
  <w:style w:type="character" w:customStyle="1" w:styleId="163">
    <w:name w:val="WW8Num55z1"/>
    <w:qFormat/>
    <w:uiPriority w:val="0"/>
    <w:rPr>
      <w:rFonts w:ascii="Courier New" w:hAnsi="Courier New" w:cs="Courier New"/>
      <w:sz w:val="20"/>
    </w:rPr>
  </w:style>
  <w:style w:type="character" w:customStyle="1" w:styleId="164">
    <w:name w:val="WW8Num55z2"/>
    <w:qFormat/>
    <w:uiPriority w:val="0"/>
    <w:rPr>
      <w:rFonts w:ascii="Wingdings" w:hAnsi="Wingdings" w:cs="Wingdings"/>
      <w:sz w:val="20"/>
    </w:rPr>
  </w:style>
  <w:style w:type="character" w:customStyle="1" w:styleId="165">
    <w:name w:val="WW8Num56z0"/>
    <w:qFormat/>
    <w:uiPriority w:val="0"/>
  </w:style>
  <w:style w:type="character" w:customStyle="1" w:styleId="166">
    <w:name w:val="WW8Num57z0"/>
    <w:qFormat/>
    <w:uiPriority w:val="0"/>
    <w:rPr>
      <w:rFonts w:ascii="Symbol" w:hAnsi="Symbol" w:cs="Symbol"/>
      <w:sz w:val="20"/>
    </w:rPr>
  </w:style>
  <w:style w:type="character" w:customStyle="1" w:styleId="167">
    <w:name w:val="WW8Num57z1"/>
    <w:qFormat/>
    <w:uiPriority w:val="0"/>
    <w:rPr>
      <w:rFonts w:ascii="Courier New" w:hAnsi="Courier New" w:cs="Courier New"/>
      <w:sz w:val="20"/>
    </w:rPr>
  </w:style>
  <w:style w:type="character" w:customStyle="1" w:styleId="168">
    <w:name w:val="WW8Num57z2"/>
    <w:qFormat/>
    <w:uiPriority w:val="0"/>
    <w:rPr>
      <w:rFonts w:ascii="Wingdings" w:hAnsi="Wingdings" w:cs="Wingdings"/>
      <w:sz w:val="20"/>
    </w:rPr>
  </w:style>
  <w:style w:type="character" w:customStyle="1" w:styleId="169">
    <w:name w:val="WW8Num58z0"/>
    <w:qFormat/>
    <w:uiPriority w:val="0"/>
  </w:style>
  <w:style w:type="character" w:customStyle="1" w:styleId="170">
    <w:name w:val="WW8Num59z0"/>
    <w:qFormat/>
    <w:uiPriority w:val="0"/>
    <w:rPr>
      <w:rFonts w:ascii="Symbol" w:hAnsi="Symbol" w:cs="Symbol"/>
      <w:sz w:val="20"/>
    </w:rPr>
  </w:style>
  <w:style w:type="character" w:customStyle="1" w:styleId="171">
    <w:name w:val="WW8Num59z1"/>
    <w:qFormat/>
    <w:uiPriority w:val="0"/>
    <w:rPr>
      <w:rFonts w:ascii="Courier New" w:hAnsi="Courier New" w:cs="Courier New"/>
      <w:sz w:val="20"/>
    </w:rPr>
  </w:style>
  <w:style w:type="character" w:customStyle="1" w:styleId="172">
    <w:name w:val="WW8Num59z2"/>
    <w:qFormat/>
    <w:uiPriority w:val="0"/>
    <w:rPr>
      <w:rFonts w:ascii="Wingdings" w:hAnsi="Wingdings" w:cs="Wingdings"/>
      <w:sz w:val="20"/>
    </w:rPr>
  </w:style>
  <w:style w:type="character" w:customStyle="1" w:styleId="173">
    <w:name w:val="Заголовок 1 Знак"/>
    <w:basedOn w:val="14"/>
    <w:qFormat/>
    <w:uiPriority w:val="0"/>
    <w:rPr>
      <w:rFonts w:ascii="Calibri Light" w:hAnsi="Calibri Light" w:eastAsia="SimSun" w:cs="Times New Roman"/>
      <w:color w:val="2E75B5"/>
      <w:sz w:val="32"/>
      <w:szCs w:val="32"/>
      <w:lang w:eastAsia="ru-RU"/>
    </w:rPr>
  </w:style>
  <w:style w:type="character" w:customStyle="1" w:styleId="174">
    <w:name w:val="Заголовок 2 Знак"/>
    <w:basedOn w:val="14"/>
    <w:qFormat/>
    <w:uiPriority w:val="0"/>
    <w:rPr>
      <w:rFonts w:ascii="Calibri Light" w:hAnsi="Calibri Light" w:eastAsia="SimSun" w:cs="Times New Roman"/>
      <w:color w:val="2E75B5"/>
      <w:sz w:val="26"/>
      <w:szCs w:val="26"/>
      <w:lang w:eastAsia="ru-RU"/>
    </w:rPr>
  </w:style>
  <w:style w:type="character" w:customStyle="1" w:styleId="175">
    <w:name w:val="Заголовок 3 Знак"/>
    <w:basedOn w:val="14"/>
    <w:qFormat/>
    <w:uiPriority w:val="0"/>
    <w:rPr>
      <w:rFonts w:ascii="Calibri Light" w:hAnsi="Calibri Light" w:eastAsia="SimSun" w:cs="Times New Roman"/>
      <w:color w:val="1E4D78"/>
      <w:szCs w:val="24"/>
      <w:lang w:eastAsia="ru-RU"/>
    </w:rPr>
  </w:style>
  <w:style w:type="character" w:customStyle="1" w:styleId="176">
    <w:name w:val="Заголовок 4 Знак"/>
    <w:basedOn w:val="14"/>
    <w:qFormat/>
    <w:uiPriority w:val="0"/>
    <w:rPr>
      <w:rFonts w:ascii="Calibri Light" w:hAnsi="Calibri Light" w:eastAsia="SimSun" w:cs="Times New Roman"/>
      <w:i/>
      <w:iCs/>
      <w:color w:val="2E75B5"/>
      <w:sz w:val="22"/>
      <w:lang w:eastAsia="ru-RU"/>
    </w:rPr>
  </w:style>
  <w:style w:type="character" w:customStyle="1" w:styleId="177">
    <w:name w:val="Заголовок 5 Знак"/>
    <w:basedOn w:val="14"/>
    <w:qFormat/>
    <w:uiPriority w:val="0"/>
    <w:rPr>
      <w:rFonts w:ascii="Calibri Light" w:hAnsi="Calibri Light" w:eastAsia="SimSun" w:cs="Times New Roman"/>
      <w:color w:val="2E75B5"/>
      <w:sz w:val="22"/>
      <w:lang w:eastAsia="ru-RU"/>
    </w:rPr>
  </w:style>
  <w:style w:type="character" w:customStyle="1" w:styleId="178">
    <w:name w:val="Заголовок 6 Знак"/>
    <w:basedOn w:val="14"/>
    <w:qFormat/>
    <w:uiPriority w:val="0"/>
    <w:rPr>
      <w:rFonts w:ascii="Calibri Light" w:hAnsi="Calibri Light" w:eastAsia="SimSun" w:cs="Calibri Light"/>
      <w:i/>
      <w:iCs/>
      <w:color w:val="5B9BD5"/>
      <w:sz w:val="22"/>
    </w:rPr>
  </w:style>
  <w:style w:type="character" w:customStyle="1" w:styleId="179">
    <w:name w:val="Заголовок 7 Знак"/>
    <w:basedOn w:val="14"/>
    <w:qFormat/>
    <w:uiPriority w:val="0"/>
    <w:rPr>
      <w:rFonts w:ascii="Calibri Light" w:hAnsi="Calibri Light" w:eastAsia="SimSun" w:cs="Calibri Light"/>
      <w:b/>
      <w:bCs/>
      <w:color w:val="A5A5A5"/>
      <w:sz w:val="20"/>
      <w:szCs w:val="20"/>
    </w:rPr>
  </w:style>
  <w:style w:type="character" w:customStyle="1" w:styleId="180">
    <w:name w:val="Заголовок 8 Знак"/>
    <w:basedOn w:val="14"/>
    <w:qFormat/>
    <w:uiPriority w:val="0"/>
    <w:rPr>
      <w:rFonts w:ascii="Calibri Light" w:hAnsi="Calibri Light" w:eastAsia="SimSun" w:cs="Calibri Light"/>
      <w:b/>
      <w:bCs/>
      <w:i/>
      <w:iCs/>
      <w:color w:val="A5A5A5"/>
      <w:sz w:val="20"/>
      <w:szCs w:val="20"/>
    </w:rPr>
  </w:style>
  <w:style w:type="character" w:customStyle="1" w:styleId="181">
    <w:name w:val="Заголовок 9 Знак"/>
    <w:basedOn w:val="14"/>
    <w:qFormat/>
    <w:uiPriority w:val="0"/>
    <w:rPr>
      <w:rFonts w:ascii="Calibri Light" w:hAnsi="Calibri Light" w:eastAsia="SimSun" w:cs="Calibri Light"/>
      <w:i/>
      <w:iCs/>
      <w:color w:val="A5A5A5"/>
      <w:sz w:val="20"/>
      <w:szCs w:val="20"/>
    </w:rPr>
  </w:style>
  <w:style w:type="character" w:customStyle="1" w:styleId="182">
    <w:name w:val="Footnote Characters"/>
    <w:basedOn w:val="14"/>
    <w:qFormat/>
    <w:uiPriority w:val="0"/>
    <w:rPr>
      <w:vertAlign w:val="superscript"/>
    </w:rPr>
  </w:style>
  <w:style w:type="character" w:customStyle="1" w:styleId="183">
    <w:name w:val="Знак примечания1"/>
    <w:basedOn w:val="14"/>
    <w:qFormat/>
    <w:uiPriority w:val="0"/>
    <w:rPr>
      <w:sz w:val="16"/>
      <w:szCs w:val="16"/>
    </w:rPr>
  </w:style>
  <w:style w:type="character" w:customStyle="1" w:styleId="184">
    <w:name w:val="Endnote Characters"/>
    <w:basedOn w:val="14"/>
    <w:qFormat/>
    <w:uiPriority w:val="0"/>
    <w:rPr>
      <w:rFonts w:cs="Times New Roman"/>
      <w:vertAlign w:val="superscript"/>
    </w:rPr>
  </w:style>
  <w:style w:type="character" w:customStyle="1" w:styleId="185">
    <w:name w:val="Strong Emphasis"/>
    <w:basedOn w:val="14"/>
    <w:qFormat/>
    <w:uiPriority w:val="0"/>
    <w:rPr>
      <w:b/>
      <w:bCs/>
    </w:rPr>
  </w:style>
  <w:style w:type="character" w:customStyle="1" w:styleId="186">
    <w:name w:val="Текст выноски Знак"/>
    <w:basedOn w:val="14"/>
    <w:qFormat/>
    <w:uiPriority w:val="0"/>
    <w:rPr>
      <w:rFonts w:ascii="Tahoma" w:hAnsi="Tahoma" w:cs="Tahoma"/>
      <w:sz w:val="16"/>
      <w:szCs w:val="16"/>
    </w:rPr>
  </w:style>
  <w:style w:type="character" w:customStyle="1" w:styleId="187">
    <w:name w:val="Основной текст 2 Знак"/>
    <w:basedOn w:val="14"/>
    <w:qFormat/>
    <w:uiPriority w:val="0"/>
    <w:rPr>
      <w:rFonts w:eastAsia="Times New Roman"/>
      <w:szCs w:val="24"/>
      <w:lang w:eastAsia="ru-RU"/>
    </w:rPr>
  </w:style>
  <w:style w:type="character" w:customStyle="1" w:styleId="188">
    <w:name w:val="Текст Знак"/>
    <w:basedOn w:val="14"/>
    <w:qFormat/>
    <w:uiPriority w:val="0"/>
    <w:rPr>
      <w:rFonts w:ascii="Consolas" w:hAnsi="Consolas" w:eastAsia="Times New Roman" w:cs="Consolas"/>
      <w:sz w:val="21"/>
      <w:szCs w:val="21"/>
    </w:rPr>
  </w:style>
  <w:style w:type="character" w:customStyle="1" w:styleId="189">
    <w:name w:val="Основной текст с отступом 3 Знак"/>
    <w:basedOn w:val="14"/>
    <w:qFormat/>
    <w:uiPriority w:val="0"/>
    <w:rPr>
      <w:rFonts w:eastAsia="SimSun"/>
      <w:sz w:val="16"/>
      <w:szCs w:val="16"/>
      <w:lang w:eastAsia="ru-RU"/>
    </w:rPr>
  </w:style>
  <w:style w:type="character" w:customStyle="1" w:styleId="190">
    <w:name w:val="Текст концевой сноски Знак"/>
    <w:basedOn w:val="14"/>
    <w:qFormat/>
    <w:uiPriority w:val="0"/>
    <w:rPr>
      <w:sz w:val="20"/>
      <w:szCs w:val="20"/>
    </w:rPr>
  </w:style>
  <w:style w:type="character" w:customStyle="1" w:styleId="191">
    <w:name w:val="Текст примечания Знак"/>
    <w:basedOn w:val="14"/>
    <w:qFormat/>
    <w:uiPriority w:val="0"/>
    <w:rPr>
      <w:rFonts w:ascii="Calibri" w:hAnsi="Calibri" w:eastAsia="SimSun" w:cs="Times New Roman"/>
      <w:sz w:val="20"/>
      <w:szCs w:val="20"/>
      <w:lang w:eastAsia="ru-RU"/>
    </w:rPr>
  </w:style>
  <w:style w:type="character" w:customStyle="1" w:styleId="192">
    <w:name w:val="Тема примечания Знак"/>
    <w:basedOn w:val="191"/>
    <w:qFormat/>
    <w:uiPriority w:val="0"/>
    <w:rPr>
      <w:rFonts w:ascii="Calibri" w:hAnsi="Calibri" w:eastAsia="SimSun" w:cs="Times New Roman"/>
      <w:b/>
      <w:bCs/>
      <w:sz w:val="20"/>
      <w:szCs w:val="20"/>
      <w:lang w:eastAsia="ru-RU"/>
    </w:rPr>
  </w:style>
  <w:style w:type="character" w:customStyle="1" w:styleId="193">
    <w:name w:val="Схема документа Знак"/>
    <w:basedOn w:val="14"/>
    <w:qFormat/>
    <w:uiPriority w:val="0"/>
    <w:rPr>
      <w:rFonts w:ascii="Tahoma" w:hAnsi="Tahoma" w:eastAsia="SimSun" w:cs="Tahoma"/>
      <w:sz w:val="16"/>
      <w:szCs w:val="16"/>
      <w:lang w:eastAsia="ru-RU"/>
    </w:rPr>
  </w:style>
  <w:style w:type="character" w:customStyle="1" w:styleId="194">
    <w:name w:val="Текст сноски Знак"/>
    <w:basedOn w:val="14"/>
    <w:qFormat/>
    <w:uiPriority w:val="0"/>
    <w:rPr>
      <w:rFonts w:ascii="Calibri" w:hAnsi="Calibri" w:cs="Times New Roman"/>
      <w:sz w:val="20"/>
      <w:szCs w:val="20"/>
    </w:rPr>
  </w:style>
  <w:style w:type="character" w:customStyle="1" w:styleId="195">
    <w:name w:val="Верхний колонтитул Знак"/>
    <w:basedOn w:val="14"/>
    <w:qFormat/>
    <w:uiPriority w:val="0"/>
  </w:style>
  <w:style w:type="character" w:customStyle="1" w:styleId="196">
    <w:name w:val="Основной текст Знак"/>
    <w:basedOn w:val="14"/>
    <w:qFormat/>
    <w:uiPriority w:val="0"/>
    <w:rPr>
      <w:rFonts w:ascii="Calibri" w:hAnsi="Calibri" w:eastAsia="Times New Roman" w:cs="Calibri"/>
      <w:sz w:val="28"/>
      <w:szCs w:val="28"/>
    </w:rPr>
  </w:style>
  <w:style w:type="character" w:customStyle="1" w:styleId="197">
    <w:name w:val="Без интервала Знак"/>
    <w:basedOn w:val="14"/>
    <w:qFormat/>
    <w:uiPriority w:val="0"/>
    <w:rPr>
      <w:rFonts w:ascii="Calibri" w:hAnsi="Calibri" w:eastAsia="Times New Roman" w:cs="Calibri"/>
      <w:sz w:val="22"/>
    </w:rPr>
  </w:style>
  <w:style w:type="character" w:customStyle="1" w:styleId="198">
    <w:name w:val="Основной текст с отступом Знак"/>
    <w:basedOn w:val="14"/>
    <w:qFormat/>
    <w:uiPriority w:val="0"/>
    <w:rPr>
      <w:rFonts w:ascii="Calibri" w:hAnsi="Calibri" w:eastAsia="Times New Roman" w:cs="Calibri"/>
      <w:sz w:val="28"/>
      <w:szCs w:val="28"/>
      <w:lang w:eastAsia="ru-RU"/>
    </w:rPr>
  </w:style>
  <w:style w:type="character" w:customStyle="1" w:styleId="199">
    <w:name w:val="Заголовок Знак"/>
    <w:basedOn w:val="14"/>
    <w:qFormat/>
    <w:uiPriority w:val="0"/>
    <w:rPr>
      <w:rFonts w:ascii="Calibri Light" w:hAnsi="Calibri Light" w:eastAsia="SimSun" w:cs="Calibri Light"/>
      <w:i/>
      <w:iCs/>
      <w:color w:val="1E4D78"/>
      <w:sz w:val="60"/>
      <w:szCs w:val="60"/>
    </w:rPr>
  </w:style>
  <w:style w:type="character" w:customStyle="1" w:styleId="200">
    <w:name w:val="Нижний колонтитул Знак"/>
    <w:basedOn w:val="14"/>
    <w:qFormat/>
    <w:uiPriority w:val="0"/>
    <w:rPr>
      <w:rFonts w:ascii="Calibri" w:hAnsi="Calibri" w:cs="Times New Roman"/>
      <w:sz w:val="22"/>
    </w:rPr>
  </w:style>
  <w:style w:type="character" w:customStyle="1" w:styleId="201">
    <w:name w:val="Обычный (Интернет) Знак"/>
    <w:qFormat/>
    <w:uiPriority w:val="0"/>
    <w:rPr>
      <w:rFonts w:eastAsia="Times New Roman"/>
      <w:szCs w:val="24"/>
      <w:lang w:eastAsia="ru-RU"/>
    </w:rPr>
  </w:style>
  <w:style w:type="character" w:customStyle="1" w:styleId="202">
    <w:name w:val="Основной текст с отступом 2 Знак"/>
    <w:basedOn w:val="14"/>
    <w:qFormat/>
    <w:uiPriority w:val="0"/>
    <w:rPr>
      <w:rFonts w:eastAsia="Times New Roman"/>
      <w:szCs w:val="24"/>
      <w:lang w:eastAsia="ru-RU"/>
    </w:rPr>
  </w:style>
  <w:style w:type="character" w:customStyle="1" w:styleId="203">
    <w:name w:val="Подзаголовок Знак"/>
    <w:basedOn w:val="14"/>
    <w:qFormat/>
    <w:uiPriority w:val="0"/>
    <w:rPr>
      <w:rFonts w:ascii="Calibri" w:hAnsi="Calibri" w:eastAsia="Times New Roman" w:cs="Calibri"/>
      <w:i/>
      <w:iCs/>
      <w:szCs w:val="24"/>
    </w:rPr>
  </w:style>
  <w:style w:type="character" w:customStyle="1" w:styleId="204">
    <w:name w:val="Стандартный HTML Знак"/>
    <w:basedOn w:val="14"/>
    <w:qFormat/>
    <w:uiPriority w:val="0"/>
    <w:rPr>
      <w:rFonts w:ascii="Courier New" w:hAnsi="Courier New" w:cs="Courier New"/>
      <w:sz w:val="20"/>
      <w:szCs w:val="20"/>
      <w:lang w:val="zh-CN" w:eastAsia="ru-RU"/>
    </w:rPr>
  </w:style>
  <w:style w:type="character" w:customStyle="1" w:styleId="205">
    <w:name w:val="Абзац списка Знак"/>
    <w:qFormat/>
    <w:uiPriority w:val="0"/>
    <w:rPr>
      <w:rFonts w:ascii="Calibri" w:hAnsi="Calibri" w:eastAsia="SimSun" w:cs="Times New Roman"/>
      <w:sz w:val="22"/>
      <w:lang w:eastAsia="ru-RU"/>
    </w:rPr>
  </w:style>
  <w:style w:type="character" w:customStyle="1" w:styleId="206">
    <w:name w:val="hps"/>
    <w:basedOn w:val="14"/>
    <w:qFormat/>
    <w:uiPriority w:val="0"/>
  </w:style>
  <w:style w:type="character" w:customStyle="1" w:styleId="207">
    <w:name w:val="st"/>
    <w:basedOn w:val="14"/>
    <w:qFormat/>
    <w:uiPriority w:val="0"/>
  </w:style>
  <w:style w:type="character" w:customStyle="1" w:styleId="208">
    <w:name w:val="short_text"/>
    <w:basedOn w:val="14"/>
    <w:qFormat/>
    <w:uiPriority w:val="0"/>
  </w:style>
  <w:style w:type="character" w:customStyle="1" w:styleId="209">
    <w:name w:val="Верхний колонтитул Знак1"/>
    <w:basedOn w:val="14"/>
    <w:qFormat/>
    <w:uiPriority w:val="0"/>
    <w:rPr>
      <w:rFonts w:ascii="Calibri" w:hAnsi="Calibri" w:eastAsia="SimSun" w:cs="Times New Roman"/>
      <w:sz w:val="22"/>
      <w:lang w:eastAsia="ru-RU"/>
    </w:rPr>
  </w:style>
  <w:style w:type="character" w:styleId="210">
    <w:name w:val="Placeholder Text"/>
    <w:basedOn w:val="14"/>
    <w:qFormat/>
    <w:uiPriority w:val="0"/>
    <w:rPr>
      <w:color w:val="808080"/>
    </w:rPr>
  </w:style>
  <w:style w:type="character" w:customStyle="1" w:styleId="211">
    <w:name w:val="apple-converted-space"/>
    <w:basedOn w:val="14"/>
    <w:qFormat/>
    <w:uiPriority w:val="0"/>
  </w:style>
  <w:style w:type="character" w:customStyle="1" w:styleId="212">
    <w:name w:val="Стиль1 Знак"/>
    <w:basedOn w:val="14"/>
    <w:qFormat/>
    <w:uiPriority w:val="0"/>
    <w:rPr>
      <w:rFonts w:eastAsia="SimSun"/>
      <w:b/>
      <w:sz w:val="28"/>
      <w:szCs w:val="28"/>
      <w:lang w:eastAsia="ru-RU"/>
    </w:rPr>
  </w:style>
  <w:style w:type="character" w:customStyle="1" w:styleId="213">
    <w:name w:val="Стиль2 Знак"/>
    <w:basedOn w:val="173"/>
    <w:qFormat/>
    <w:uiPriority w:val="0"/>
    <w:rPr>
      <w:rFonts w:ascii="Calibri Light" w:hAnsi="Calibri Light" w:eastAsia="SimSun" w:cs="Times New Roman"/>
      <w:b/>
      <w:color w:val="2E75B5"/>
      <w:sz w:val="28"/>
      <w:szCs w:val="28"/>
      <w:lang w:eastAsia="ru-RU"/>
    </w:rPr>
  </w:style>
  <w:style w:type="character" w:customStyle="1" w:styleId="214">
    <w:name w:val="Стиль3 Знак"/>
    <w:basedOn w:val="174"/>
    <w:qFormat/>
    <w:uiPriority w:val="0"/>
    <w:rPr>
      <w:rFonts w:ascii="Calibri Light" w:hAnsi="Calibri Light" w:eastAsia="SimSun" w:cs="Times New Roman"/>
      <w:b/>
      <w:color w:val="2E75B5"/>
      <w:sz w:val="28"/>
      <w:szCs w:val="28"/>
      <w:lang w:eastAsia="ru-RU"/>
    </w:rPr>
  </w:style>
  <w:style w:type="character" w:customStyle="1" w:styleId="215">
    <w:name w:val="Цитата 2 Знак"/>
    <w:basedOn w:val="14"/>
    <w:qFormat/>
    <w:uiPriority w:val="0"/>
    <w:rPr>
      <w:rFonts w:ascii="Calibri Light" w:hAnsi="Calibri Light" w:eastAsia="SimSun" w:cs="Calibri Light"/>
      <w:i/>
      <w:iCs/>
      <w:color w:val="595959"/>
      <w:sz w:val="22"/>
    </w:rPr>
  </w:style>
  <w:style w:type="character" w:customStyle="1" w:styleId="216">
    <w:name w:val="Выделенная цитата Знак"/>
    <w:basedOn w:val="14"/>
    <w:qFormat/>
    <w:uiPriority w:val="0"/>
    <w:rPr>
      <w:rFonts w:ascii="Calibri Light" w:hAnsi="Calibri Light" w:eastAsia="SimSun" w:cs="Calibri Light"/>
      <w:i/>
      <w:iCs/>
      <w:color w:val="FFFFFF"/>
      <w:szCs w:val="24"/>
      <w:shd w:val="clear" w:color="auto" w:fill="5B9BD5"/>
    </w:rPr>
  </w:style>
  <w:style w:type="character" w:customStyle="1" w:styleId="217">
    <w:name w:val="Слабое выделение1"/>
    <w:basedOn w:val="14"/>
    <w:qFormat/>
    <w:uiPriority w:val="0"/>
    <w:rPr>
      <w:rFonts w:cs="Times New Roman"/>
      <w:i/>
      <w:color w:val="595959"/>
    </w:rPr>
  </w:style>
  <w:style w:type="character" w:customStyle="1" w:styleId="218">
    <w:name w:val="Сильное выделение1"/>
    <w:basedOn w:val="14"/>
    <w:qFormat/>
    <w:uiPriority w:val="0"/>
    <w:rPr>
      <w:rFonts w:cs="Times New Roman"/>
      <w:b/>
      <w:i/>
      <w:color w:val="5B9BD5"/>
      <w:sz w:val="22"/>
    </w:rPr>
  </w:style>
  <w:style w:type="character" w:customStyle="1" w:styleId="219">
    <w:name w:val="Слабая ссылка1"/>
    <w:basedOn w:val="14"/>
    <w:qFormat/>
    <w:uiPriority w:val="0"/>
    <w:rPr>
      <w:rFonts w:cs="Times New Roman"/>
      <w:color w:val="000000"/>
      <w:u w:val="single" w:color="A5A5A5"/>
    </w:rPr>
  </w:style>
  <w:style w:type="character" w:customStyle="1" w:styleId="220">
    <w:name w:val="Сильная ссылка1"/>
    <w:basedOn w:val="14"/>
    <w:qFormat/>
    <w:uiPriority w:val="0"/>
    <w:rPr>
      <w:rFonts w:cs="Times New Roman"/>
      <w:b/>
      <w:bCs/>
      <w:color w:val="7B7B7B"/>
      <w:u w:val="single" w:color="A5A5A5"/>
    </w:rPr>
  </w:style>
  <w:style w:type="character" w:customStyle="1" w:styleId="221">
    <w:name w:val="Название книги1"/>
    <w:basedOn w:val="14"/>
    <w:qFormat/>
    <w:uiPriority w:val="0"/>
    <w:rPr>
      <w:rFonts w:ascii="Calibri Light" w:hAnsi="Calibri Light" w:eastAsia="SimSun" w:cs="Times New Roman"/>
      <w:b/>
      <w:bCs/>
      <w:i/>
      <w:iCs/>
      <w:color w:val="000000"/>
    </w:rPr>
  </w:style>
  <w:style w:type="character" w:customStyle="1" w:styleId="222">
    <w:name w:val="(таблица Знак"/>
    <w:basedOn w:val="14"/>
    <w:qFormat/>
    <w:uiPriority w:val="0"/>
    <w:rPr>
      <w:rFonts w:eastAsia="Times New Roman"/>
      <w:sz w:val="28"/>
      <w:szCs w:val="28"/>
    </w:rPr>
  </w:style>
  <w:style w:type="character" w:customStyle="1" w:styleId="223">
    <w:name w:val="Название2"/>
    <w:qFormat/>
    <w:uiPriority w:val="0"/>
  </w:style>
  <w:style w:type="character" w:customStyle="1" w:styleId="224">
    <w:name w:val="xj9"/>
    <w:basedOn w:val="14"/>
    <w:qFormat/>
    <w:uiPriority w:val="0"/>
    <w:rPr>
      <w:rFonts w:cs="Times New Roman"/>
    </w:rPr>
  </w:style>
  <w:style w:type="character" w:customStyle="1" w:styleId="225">
    <w:name w:val="Цветной список - Акцент 1 Знак"/>
    <w:qFormat/>
    <w:uiPriority w:val="0"/>
    <w:rPr>
      <w:rFonts w:ascii="Times New Roman" w:hAnsi="Times New Roman" w:cs="Times New Roman"/>
      <w:sz w:val="28"/>
    </w:rPr>
  </w:style>
  <w:style w:type="character" w:customStyle="1" w:styleId="226">
    <w:name w:val="Верхний колонтитул Знак17"/>
    <w:basedOn w:val="14"/>
    <w:qFormat/>
    <w:uiPriority w:val="0"/>
    <w:rPr>
      <w:rFonts w:ascii="Calibri" w:hAnsi="Calibri" w:cs="Times New Roman"/>
      <w:sz w:val="22"/>
      <w:szCs w:val="22"/>
    </w:rPr>
  </w:style>
  <w:style w:type="character" w:customStyle="1" w:styleId="227">
    <w:name w:val="Верхний колонтитул Знак16"/>
    <w:basedOn w:val="14"/>
    <w:qFormat/>
    <w:uiPriority w:val="0"/>
    <w:rPr>
      <w:rFonts w:ascii="Calibri" w:hAnsi="Calibri" w:cs="Times New Roman"/>
      <w:sz w:val="22"/>
      <w:szCs w:val="22"/>
    </w:rPr>
  </w:style>
  <w:style w:type="character" w:customStyle="1" w:styleId="228">
    <w:name w:val="Верхний колонтитул Знак15"/>
    <w:basedOn w:val="14"/>
    <w:qFormat/>
    <w:uiPriority w:val="0"/>
    <w:rPr>
      <w:rFonts w:ascii="Calibri" w:hAnsi="Calibri" w:cs="Times New Roman"/>
      <w:sz w:val="22"/>
      <w:szCs w:val="22"/>
    </w:rPr>
  </w:style>
  <w:style w:type="character" w:customStyle="1" w:styleId="229">
    <w:name w:val="Верхний колонтитул Знак14"/>
    <w:basedOn w:val="14"/>
    <w:qFormat/>
    <w:uiPriority w:val="0"/>
    <w:rPr>
      <w:rFonts w:ascii="Calibri" w:hAnsi="Calibri" w:cs="Times New Roman"/>
      <w:sz w:val="22"/>
      <w:szCs w:val="22"/>
    </w:rPr>
  </w:style>
  <w:style w:type="character" w:customStyle="1" w:styleId="230">
    <w:name w:val="Верхний колонтитул Знак13"/>
    <w:basedOn w:val="14"/>
    <w:qFormat/>
    <w:uiPriority w:val="0"/>
    <w:rPr>
      <w:rFonts w:ascii="Calibri" w:hAnsi="Calibri" w:cs="Times New Roman"/>
      <w:sz w:val="22"/>
      <w:szCs w:val="22"/>
    </w:rPr>
  </w:style>
  <w:style w:type="character" w:customStyle="1" w:styleId="231">
    <w:name w:val="Верхний колонтитул Знак12"/>
    <w:basedOn w:val="14"/>
    <w:qFormat/>
    <w:uiPriority w:val="0"/>
    <w:rPr>
      <w:rFonts w:ascii="Calibri" w:hAnsi="Calibri" w:cs="Times New Roman"/>
      <w:sz w:val="22"/>
      <w:szCs w:val="22"/>
    </w:rPr>
  </w:style>
  <w:style w:type="character" w:customStyle="1" w:styleId="232">
    <w:name w:val="Верхний колонтитул Знак11"/>
    <w:basedOn w:val="14"/>
    <w:qFormat/>
    <w:uiPriority w:val="0"/>
    <w:rPr>
      <w:rFonts w:ascii="Calibri" w:hAnsi="Calibri" w:cs="Times New Roman"/>
      <w:sz w:val="22"/>
    </w:rPr>
  </w:style>
  <w:style w:type="character" w:customStyle="1" w:styleId="233">
    <w:name w:val="Нижний колонтитул Знак1"/>
    <w:basedOn w:val="14"/>
    <w:qFormat/>
    <w:uiPriority w:val="0"/>
    <w:rPr>
      <w:rFonts w:ascii="Calibri" w:hAnsi="Calibri" w:cs="Calibri"/>
      <w:sz w:val="22"/>
      <w:szCs w:val="22"/>
    </w:rPr>
  </w:style>
  <w:style w:type="character" w:customStyle="1" w:styleId="234">
    <w:name w:val="Нижний колонтитул Знак17"/>
    <w:basedOn w:val="14"/>
    <w:qFormat/>
    <w:uiPriority w:val="0"/>
    <w:rPr>
      <w:rFonts w:ascii="Calibri" w:hAnsi="Calibri" w:cs="Times New Roman"/>
      <w:sz w:val="22"/>
      <w:szCs w:val="22"/>
    </w:rPr>
  </w:style>
  <w:style w:type="character" w:customStyle="1" w:styleId="235">
    <w:name w:val="Нижний колонтитул Знак16"/>
    <w:basedOn w:val="14"/>
    <w:qFormat/>
    <w:uiPriority w:val="0"/>
    <w:rPr>
      <w:rFonts w:ascii="Calibri" w:hAnsi="Calibri" w:cs="Times New Roman"/>
      <w:sz w:val="22"/>
      <w:szCs w:val="22"/>
    </w:rPr>
  </w:style>
  <w:style w:type="character" w:customStyle="1" w:styleId="236">
    <w:name w:val="Нижний колонтитул Знак15"/>
    <w:basedOn w:val="14"/>
    <w:qFormat/>
    <w:uiPriority w:val="0"/>
    <w:rPr>
      <w:rFonts w:ascii="Calibri" w:hAnsi="Calibri" w:cs="Times New Roman"/>
      <w:sz w:val="22"/>
      <w:szCs w:val="22"/>
    </w:rPr>
  </w:style>
  <w:style w:type="character" w:customStyle="1" w:styleId="237">
    <w:name w:val="Нижний колонтитул Знак14"/>
    <w:basedOn w:val="14"/>
    <w:qFormat/>
    <w:uiPriority w:val="0"/>
    <w:rPr>
      <w:rFonts w:ascii="Calibri" w:hAnsi="Calibri" w:cs="Times New Roman"/>
      <w:sz w:val="22"/>
      <w:szCs w:val="22"/>
    </w:rPr>
  </w:style>
  <w:style w:type="character" w:customStyle="1" w:styleId="238">
    <w:name w:val="Нижний колонтитул Знак13"/>
    <w:basedOn w:val="14"/>
    <w:qFormat/>
    <w:uiPriority w:val="0"/>
    <w:rPr>
      <w:rFonts w:ascii="Calibri" w:hAnsi="Calibri" w:cs="Times New Roman"/>
      <w:sz w:val="22"/>
      <w:szCs w:val="22"/>
    </w:rPr>
  </w:style>
  <w:style w:type="character" w:customStyle="1" w:styleId="239">
    <w:name w:val="Нижний колонтитул Знак12"/>
    <w:basedOn w:val="14"/>
    <w:qFormat/>
    <w:uiPriority w:val="0"/>
    <w:rPr>
      <w:rFonts w:ascii="Calibri" w:hAnsi="Calibri" w:cs="Times New Roman"/>
      <w:sz w:val="22"/>
      <w:szCs w:val="22"/>
    </w:rPr>
  </w:style>
  <w:style w:type="character" w:customStyle="1" w:styleId="240">
    <w:name w:val="Нижний колонтитул Знак11"/>
    <w:basedOn w:val="14"/>
    <w:qFormat/>
    <w:uiPriority w:val="0"/>
    <w:rPr>
      <w:rFonts w:ascii="Calibri" w:hAnsi="Calibri" w:cs="Times New Roman"/>
      <w:sz w:val="22"/>
    </w:rPr>
  </w:style>
  <w:style w:type="character" w:customStyle="1" w:styleId="241">
    <w:name w:val="Стандартный HTML Знак1"/>
    <w:basedOn w:val="14"/>
    <w:qFormat/>
    <w:uiPriority w:val="0"/>
    <w:rPr>
      <w:rFonts w:ascii="Consolas" w:hAnsi="Consolas" w:eastAsia="SimSun" w:cs="Consolas"/>
      <w:sz w:val="20"/>
      <w:szCs w:val="20"/>
      <w:lang w:eastAsia="ru-RU"/>
    </w:rPr>
  </w:style>
  <w:style w:type="character" w:customStyle="1" w:styleId="242">
    <w:name w:val="Стандартный HTML Знак17"/>
    <w:basedOn w:val="14"/>
    <w:qFormat/>
    <w:uiPriority w:val="0"/>
    <w:rPr>
      <w:rFonts w:ascii="Courier New" w:hAnsi="Courier New" w:cs="Courier New"/>
      <w:sz w:val="20"/>
      <w:szCs w:val="20"/>
    </w:rPr>
  </w:style>
  <w:style w:type="character" w:customStyle="1" w:styleId="243">
    <w:name w:val="Стандартный HTML Знак16"/>
    <w:basedOn w:val="14"/>
    <w:qFormat/>
    <w:uiPriority w:val="0"/>
    <w:rPr>
      <w:rFonts w:ascii="Courier New" w:hAnsi="Courier New" w:cs="Courier New"/>
      <w:sz w:val="20"/>
      <w:szCs w:val="20"/>
    </w:rPr>
  </w:style>
  <w:style w:type="character" w:customStyle="1" w:styleId="244">
    <w:name w:val="Стандартный HTML Знак15"/>
    <w:basedOn w:val="14"/>
    <w:qFormat/>
    <w:uiPriority w:val="0"/>
    <w:rPr>
      <w:rFonts w:ascii="Courier New" w:hAnsi="Courier New" w:cs="Courier New"/>
      <w:sz w:val="20"/>
      <w:szCs w:val="20"/>
    </w:rPr>
  </w:style>
  <w:style w:type="character" w:customStyle="1" w:styleId="245">
    <w:name w:val="Стандартный HTML Знак14"/>
    <w:basedOn w:val="14"/>
    <w:qFormat/>
    <w:uiPriority w:val="0"/>
    <w:rPr>
      <w:rFonts w:ascii="Courier New" w:hAnsi="Courier New" w:cs="Courier New"/>
      <w:sz w:val="20"/>
      <w:szCs w:val="20"/>
    </w:rPr>
  </w:style>
  <w:style w:type="character" w:customStyle="1" w:styleId="246">
    <w:name w:val="Стандартный HTML Знак13"/>
    <w:basedOn w:val="14"/>
    <w:qFormat/>
    <w:uiPriority w:val="0"/>
    <w:rPr>
      <w:rFonts w:ascii="Courier New" w:hAnsi="Courier New" w:cs="Courier New"/>
      <w:sz w:val="20"/>
      <w:szCs w:val="20"/>
    </w:rPr>
  </w:style>
  <w:style w:type="character" w:customStyle="1" w:styleId="247">
    <w:name w:val="Стандартный HTML Знак12"/>
    <w:basedOn w:val="14"/>
    <w:qFormat/>
    <w:uiPriority w:val="0"/>
    <w:rPr>
      <w:rFonts w:ascii="Courier New" w:hAnsi="Courier New" w:cs="Courier New"/>
      <w:sz w:val="20"/>
      <w:szCs w:val="20"/>
    </w:rPr>
  </w:style>
  <w:style w:type="character" w:customStyle="1" w:styleId="248">
    <w:name w:val="Стандартный HTML Знак11"/>
    <w:basedOn w:val="14"/>
    <w:qFormat/>
    <w:uiPriority w:val="0"/>
    <w:rPr>
      <w:rFonts w:ascii="Consolas" w:hAnsi="Consolas" w:cs="Consolas"/>
      <w:sz w:val="20"/>
      <w:szCs w:val="20"/>
    </w:rPr>
  </w:style>
  <w:style w:type="character" w:customStyle="1" w:styleId="249">
    <w:name w:val="s0"/>
    <w:qFormat/>
    <w:uiPriority w:val="0"/>
    <w:rPr>
      <w:rFonts w:ascii="Times New Roman" w:hAnsi="Times New Roman" w:cs="Times New Roman"/>
      <w:color w:val="000000"/>
      <w:sz w:val="32"/>
      <w:u w:val="none"/>
    </w:rPr>
  </w:style>
  <w:style w:type="character" w:customStyle="1" w:styleId="250">
    <w:name w:val="hl"/>
    <w:basedOn w:val="14"/>
    <w:qFormat/>
    <w:uiPriority w:val="0"/>
    <w:rPr>
      <w:rFonts w:cs="Times New Roman"/>
    </w:rPr>
  </w:style>
  <w:style w:type="character" w:customStyle="1" w:styleId="251">
    <w:name w:val="hdesc"/>
    <w:basedOn w:val="14"/>
    <w:qFormat/>
    <w:uiPriority w:val="0"/>
    <w:rPr>
      <w:rFonts w:cs="Times New Roman"/>
    </w:rPr>
  </w:style>
  <w:style w:type="character" w:customStyle="1" w:styleId="252">
    <w:name w:val="Body text_"/>
    <w:qFormat/>
    <w:uiPriority w:val="0"/>
    <w:rPr>
      <w:sz w:val="26"/>
      <w:shd w:val="clear" w:color="auto" w:fill="FFFFFF"/>
    </w:rPr>
  </w:style>
  <w:style w:type="character" w:customStyle="1" w:styleId="253">
    <w:name w:val="ОснТекст Знак"/>
    <w:qFormat/>
    <w:uiPriority w:val="0"/>
    <w:rPr>
      <w:rFonts w:ascii="Arial" w:hAnsi="Arial" w:eastAsia="Times New Roman" w:cs="Arial"/>
      <w:sz w:val="20"/>
      <w:szCs w:val="20"/>
      <w:lang w:eastAsia="ru-RU"/>
    </w:rPr>
  </w:style>
  <w:style w:type="character" w:customStyle="1" w:styleId="254">
    <w:name w:val="Единица измерения Знак"/>
    <w:qFormat/>
    <w:uiPriority w:val="0"/>
    <w:rPr>
      <w:rFonts w:ascii="Arial" w:hAnsi="Arial" w:eastAsia="Times New Roman" w:cs="Arial"/>
      <w:sz w:val="16"/>
      <w:szCs w:val="20"/>
      <w:lang w:eastAsia="ru-RU"/>
    </w:rPr>
  </w:style>
  <w:style w:type="character" w:customStyle="1" w:styleId="255">
    <w:name w:val="ШапкаТаблицы Знак"/>
    <w:qFormat/>
    <w:uiPriority w:val="0"/>
    <w:rPr>
      <w:rFonts w:ascii="Arial" w:hAnsi="Arial" w:eastAsia="Times New Roman" w:cs="Arial"/>
      <w:sz w:val="16"/>
      <w:szCs w:val="20"/>
      <w:lang w:eastAsia="ru-RU"/>
    </w:rPr>
  </w:style>
  <w:style w:type="character" w:customStyle="1" w:styleId="256">
    <w:name w:val="Наименование Знак"/>
    <w:qFormat/>
    <w:uiPriority w:val="0"/>
    <w:rPr>
      <w:rFonts w:ascii="Arial" w:hAnsi="Arial" w:eastAsia="Times New Roman" w:cs="Arial"/>
      <w:b/>
      <w:sz w:val="20"/>
      <w:szCs w:val="20"/>
      <w:lang w:eastAsia="ru-RU"/>
    </w:rPr>
  </w:style>
  <w:style w:type="character" w:customStyle="1" w:styleId="257">
    <w:name w:val="FirstОснТекст Знак"/>
    <w:qFormat/>
    <w:uiPriority w:val="0"/>
    <w:rPr>
      <w:rFonts w:ascii="Arial" w:hAnsi="Arial" w:eastAsia="Times New Roman" w:cs="Arial"/>
      <w:sz w:val="20"/>
      <w:szCs w:val="20"/>
      <w:lang w:eastAsia="ru-RU"/>
    </w:rPr>
  </w:style>
  <w:style w:type="character" w:customStyle="1" w:styleId="258">
    <w:name w:val="rvts11"/>
    <w:basedOn w:val="14"/>
    <w:qFormat/>
    <w:uiPriority w:val="0"/>
    <w:rPr>
      <w:rFonts w:cs="Times New Roman"/>
    </w:rPr>
  </w:style>
  <w:style w:type="character" w:customStyle="1" w:styleId="259">
    <w:name w:val="Обычный (веб) Знак2"/>
    <w:qFormat/>
    <w:uiPriority w:val="0"/>
    <w:rPr>
      <w:rFonts w:ascii="Times New Roman" w:hAnsi="Times New Roman" w:cs="Times New Roman"/>
      <w:sz w:val="24"/>
    </w:rPr>
  </w:style>
  <w:style w:type="character" w:customStyle="1" w:styleId="260">
    <w:name w:val="interref"/>
    <w:basedOn w:val="14"/>
    <w:qFormat/>
    <w:uiPriority w:val="0"/>
    <w:rPr>
      <w:rFonts w:cs="Times New Roman"/>
    </w:rPr>
  </w:style>
  <w:style w:type="character" w:customStyle="1" w:styleId="261">
    <w:name w:val="label"/>
    <w:basedOn w:val="14"/>
    <w:qFormat/>
    <w:uiPriority w:val="0"/>
    <w:rPr>
      <w:rFonts w:cs="Times New Roman"/>
    </w:rPr>
  </w:style>
  <w:style w:type="character" w:customStyle="1" w:styleId="262">
    <w:name w:val="Основной текст (2)_"/>
    <w:qFormat/>
    <w:uiPriority w:val="0"/>
    <w:rPr>
      <w:rFonts w:eastAsia="Times New Roman"/>
      <w:shd w:val="clear" w:color="auto" w:fill="FFFFFF"/>
    </w:rPr>
  </w:style>
  <w:style w:type="character" w:customStyle="1" w:styleId="263">
    <w:name w:val="note"/>
    <w:basedOn w:val="14"/>
    <w:qFormat/>
    <w:uiPriority w:val="0"/>
    <w:rPr>
      <w:rFonts w:cs="Times New Roman"/>
    </w:rPr>
  </w:style>
  <w:style w:type="character" w:customStyle="1" w:styleId="264">
    <w:name w:val="review-h5"/>
    <w:basedOn w:val="14"/>
    <w:qFormat/>
    <w:uiPriority w:val="0"/>
    <w:rPr>
      <w:rFonts w:cs="Times New Roman"/>
    </w:rPr>
  </w:style>
  <w:style w:type="character" w:customStyle="1" w:styleId="265">
    <w:name w:val="shorttext"/>
    <w:basedOn w:val="14"/>
    <w:qFormat/>
    <w:uiPriority w:val="0"/>
    <w:rPr>
      <w:rFonts w:cs="Times New Roman"/>
    </w:rPr>
  </w:style>
  <w:style w:type="character" w:customStyle="1" w:styleId="266">
    <w:name w:val="Основной шрифт абзаца1"/>
    <w:qFormat/>
    <w:uiPriority w:val="0"/>
  </w:style>
  <w:style w:type="character" w:customStyle="1" w:styleId="267">
    <w:name w:val="response-text"/>
    <w:basedOn w:val="14"/>
    <w:qFormat/>
    <w:uiPriority w:val="0"/>
    <w:rPr>
      <w:rFonts w:cs="Times New Roman"/>
    </w:rPr>
  </w:style>
  <w:style w:type="character" w:customStyle="1" w:styleId="268">
    <w:name w:val="cit-ahead-of-print-date"/>
    <w:basedOn w:val="14"/>
    <w:qFormat/>
    <w:uiPriority w:val="0"/>
    <w:rPr>
      <w:rFonts w:cs="Times New Roman"/>
    </w:rPr>
  </w:style>
  <w:style w:type="character" w:customStyle="1" w:styleId="269">
    <w:name w:val="s1"/>
    <w:basedOn w:val="14"/>
    <w:qFormat/>
    <w:uiPriority w:val="0"/>
    <w:rPr>
      <w:rFonts w:cs="Times New Roman"/>
    </w:rPr>
  </w:style>
  <w:style w:type="character" w:customStyle="1" w:styleId="270">
    <w:name w:val="s3"/>
    <w:basedOn w:val="14"/>
    <w:qFormat/>
    <w:uiPriority w:val="0"/>
    <w:rPr>
      <w:rFonts w:cs="Times New Roman"/>
    </w:rPr>
  </w:style>
  <w:style w:type="character" w:customStyle="1" w:styleId="271">
    <w:name w:val="s9"/>
    <w:basedOn w:val="14"/>
    <w:qFormat/>
    <w:uiPriority w:val="0"/>
    <w:rPr>
      <w:rFonts w:cs="Times New Roman"/>
    </w:rPr>
  </w:style>
  <w:style w:type="character" w:customStyle="1" w:styleId="272">
    <w:name w:val="catalog1"/>
    <w:qFormat/>
    <w:uiPriority w:val="0"/>
    <w:rPr>
      <w:rFonts w:ascii="Verdana" w:hAnsi="Verdana" w:cs="Verdana"/>
      <w:sz w:val="20"/>
    </w:rPr>
  </w:style>
  <w:style w:type="character" w:customStyle="1" w:styleId="273">
    <w:name w:val="_tgc"/>
    <w:basedOn w:val="14"/>
    <w:qFormat/>
    <w:uiPriority w:val="0"/>
    <w:rPr>
      <w:rFonts w:cs="Times New Roman"/>
    </w:rPr>
  </w:style>
  <w:style w:type="character" w:customStyle="1" w:styleId="274">
    <w:name w:val="uficommentbody"/>
    <w:basedOn w:val="14"/>
    <w:qFormat/>
    <w:uiPriority w:val="0"/>
    <w:rPr>
      <w:rFonts w:cs="Times New Roman"/>
    </w:rPr>
  </w:style>
  <w:style w:type="character" w:customStyle="1" w:styleId="275">
    <w:name w:val="citedby_"/>
    <w:basedOn w:val="14"/>
    <w:qFormat/>
    <w:uiPriority w:val="0"/>
    <w:rPr>
      <w:rFonts w:cs="Times New Roman"/>
    </w:rPr>
  </w:style>
  <w:style w:type="character" w:customStyle="1" w:styleId="276">
    <w:name w:val="pdficonsmall"/>
    <w:basedOn w:val="14"/>
    <w:qFormat/>
    <w:uiPriority w:val="0"/>
    <w:rPr>
      <w:rFonts w:cs="Times New Roman"/>
    </w:rPr>
  </w:style>
  <w:style w:type="character" w:customStyle="1" w:styleId="277">
    <w:name w:val="headline"/>
    <w:basedOn w:val="14"/>
    <w:qFormat/>
    <w:uiPriority w:val="0"/>
    <w:rPr>
      <w:rFonts w:cs="Times New Roman"/>
    </w:rPr>
  </w:style>
  <w:style w:type="character" w:customStyle="1" w:styleId="278">
    <w:name w:val="j21"/>
    <w:basedOn w:val="14"/>
    <w:qFormat/>
    <w:uiPriority w:val="0"/>
    <w:rPr>
      <w:rFonts w:cs="Times New Roman"/>
    </w:rPr>
  </w:style>
  <w:style w:type="character" w:customStyle="1" w:styleId="279">
    <w:name w:val="spelle"/>
    <w:basedOn w:val="14"/>
    <w:qFormat/>
    <w:uiPriority w:val="0"/>
    <w:rPr>
      <w:rFonts w:cs="Times New Roman"/>
    </w:rPr>
  </w:style>
  <w:style w:type="character" w:customStyle="1" w:styleId="280">
    <w:name w:val="atn"/>
    <w:basedOn w:val="14"/>
    <w:qFormat/>
    <w:uiPriority w:val="0"/>
    <w:rPr>
      <w:rFonts w:cs="Times New Roman"/>
    </w:rPr>
  </w:style>
  <w:style w:type="character" w:customStyle="1" w:styleId="281">
    <w:name w:val="Font Style11"/>
    <w:qFormat/>
    <w:uiPriority w:val="0"/>
    <w:rPr>
      <w:rFonts w:ascii="Times New Roman" w:hAnsi="Times New Roman" w:cs="Times New Roman"/>
      <w:sz w:val="22"/>
    </w:rPr>
  </w:style>
  <w:style w:type="character" w:customStyle="1" w:styleId="282">
    <w:name w:val="paragraph"/>
    <w:qFormat/>
    <w:uiPriority w:val="0"/>
  </w:style>
  <w:style w:type="character" w:customStyle="1" w:styleId="283">
    <w:name w:val="Основной текст + Курсив"/>
    <w:basedOn w:val="14"/>
    <w:qFormat/>
    <w:uiPriority w:val="0"/>
    <w:rPr>
      <w:rFonts w:ascii="Times New Roman" w:hAnsi="Times New Roman" w:cs="Times New Roman"/>
      <w:i/>
      <w:iCs/>
      <w:color w:val="000000"/>
      <w:spacing w:val="3"/>
      <w:w w:val="100"/>
      <w:position w:val="0"/>
      <w:sz w:val="19"/>
      <w:szCs w:val="19"/>
      <w:shd w:val="clear" w:color="auto" w:fill="FFFFFF"/>
      <w:vertAlign w:val="baseline"/>
      <w:lang w:val="en-US" w:eastAsia="en-US"/>
    </w:rPr>
  </w:style>
  <w:style w:type="character" w:customStyle="1" w:styleId="284">
    <w:name w:val="bold"/>
    <w:basedOn w:val="14"/>
    <w:qFormat/>
    <w:uiPriority w:val="0"/>
    <w:rPr>
      <w:rFonts w:cs="Times New Roman"/>
    </w:rPr>
  </w:style>
  <w:style w:type="character" w:customStyle="1" w:styleId="285">
    <w:name w:val="Основной текст_"/>
    <w:basedOn w:val="14"/>
    <w:qFormat/>
    <w:uiPriority w:val="0"/>
    <w:rPr>
      <w:rFonts w:eastAsia="Times New Roman"/>
      <w:shd w:val="clear" w:color="auto" w:fill="FFFFFF"/>
    </w:rPr>
  </w:style>
  <w:style w:type="character" w:customStyle="1" w:styleId="286">
    <w:name w:val="Основной текст + Полужирный"/>
    <w:basedOn w:val="285"/>
    <w:qFormat/>
    <w:uiPriority w:val="0"/>
    <w:rPr>
      <w:rFonts w:eastAsia="Times New Roman"/>
      <w:b/>
      <w:bCs/>
      <w:color w:val="000000"/>
      <w:spacing w:val="0"/>
      <w:w w:val="100"/>
      <w:position w:val="0"/>
      <w:sz w:val="24"/>
      <w:szCs w:val="24"/>
      <w:shd w:val="clear" w:color="auto" w:fill="FFFFFF"/>
      <w:vertAlign w:val="baseline"/>
      <w:lang w:val="ru-RU" w:eastAsia="ru-RU"/>
    </w:rPr>
  </w:style>
  <w:style w:type="character" w:customStyle="1" w:styleId="287">
    <w:name w:val="Основной текст + Курсив;Интервал 0 pt"/>
    <w:basedOn w:val="14"/>
    <w:qFormat/>
    <w:uiPriority w:val="0"/>
    <w:rPr>
      <w:rFonts w:ascii="Times New Roman" w:hAnsi="Times New Roman" w:eastAsia="Times New Roman" w:cs="Times New Roman"/>
      <w:i/>
      <w:iCs/>
      <w:color w:val="000000"/>
      <w:spacing w:val="3"/>
      <w:w w:val="100"/>
      <w:position w:val="0"/>
      <w:sz w:val="19"/>
      <w:szCs w:val="19"/>
      <w:shd w:val="clear" w:color="auto" w:fill="FFFFFF"/>
      <w:vertAlign w:val="baseline"/>
      <w:lang w:val="en-US" w:eastAsia="en-US" w:bidi="en-US"/>
    </w:rPr>
  </w:style>
  <w:style w:type="paragraph" w:customStyle="1" w:styleId="288">
    <w:name w:val="Heading"/>
    <w:basedOn w:val="1"/>
    <w:next w:val="1"/>
    <w:qFormat/>
    <w:uiPriority w:val="0"/>
    <w:pPr>
      <w:pBdr>
        <w:top w:val="single" w:color="ADCDEA" w:sz="8" w:space="10"/>
        <w:bottom w:val="single" w:color="A5A5A5" w:sz="24" w:space="15"/>
      </w:pBdr>
      <w:spacing w:after="160" w:line="256" w:lineRule="auto"/>
      <w:jc w:val="center"/>
    </w:pPr>
    <w:rPr>
      <w:rFonts w:ascii="Calibri Light" w:hAnsi="Calibri Light"/>
      <w:i/>
      <w:iCs/>
      <w:color w:val="1E4D78"/>
      <w:sz w:val="60"/>
      <w:szCs w:val="60"/>
      <w:lang w:eastAsia="en-US"/>
    </w:rPr>
  </w:style>
  <w:style w:type="paragraph" w:customStyle="1" w:styleId="289">
    <w:name w:val="Index"/>
    <w:basedOn w:val="1"/>
    <w:qFormat/>
    <w:uiPriority w:val="0"/>
    <w:pPr>
      <w:suppressLineNumbers/>
    </w:pPr>
    <w:rPr>
      <w:rFonts w:cs="FreeSans"/>
    </w:rPr>
  </w:style>
  <w:style w:type="paragraph" w:customStyle="1" w:styleId="290">
    <w:name w:val="Текст выноски1"/>
    <w:basedOn w:val="1"/>
    <w:qFormat/>
    <w:uiPriority w:val="0"/>
    <w:pPr>
      <w:spacing w:after="0"/>
    </w:pPr>
    <w:rPr>
      <w:rFonts w:ascii="Tahoma" w:hAnsi="Tahoma" w:eastAsia="Calibri" w:cs="Tahoma"/>
      <w:sz w:val="16"/>
      <w:szCs w:val="16"/>
      <w:lang w:eastAsia="en-US"/>
    </w:rPr>
  </w:style>
  <w:style w:type="paragraph" w:customStyle="1" w:styleId="291">
    <w:name w:val="Основной текст 211"/>
    <w:basedOn w:val="1"/>
    <w:qFormat/>
    <w:uiPriority w:val="0"/>
    <w:pPr>
      <w:spacing w:after="120" w:line="480" w:lineRule="auto"/>
      <w:ind w:firstLine="567"/>
    </w:pPr>
    <w:rPr>
      <w:rFonts w:eastAsia="Times New Roman"/>
      <w:sz w:val="24"/>
      <w:szCs w:val="24"/>
    </w:rPr>
  </w:style>
  <w:style w:type="paragraph" w:customStyle="1" w:styleId="292">
    <w:name w:val="Текст1"/>
    <w:basedOn w:val="1"/>
    <w:qFormat/>
    <w:uiPriority w:val="0"/>
    <w:pPr>
      <w:spacing w:after="0"/>
      <w:ind w:firstLine="567"/>
    </w:pPr>
    <w:rPr>
      <w:rFonts w:ascii="Consolas" w:hAnsi="Consolas" w:eastAsia="Times New Roman"/>
      <w:sz w:val="21"/>
      <w:szCs w:val="21"/>
      <w:lang w:eastAsia="en-US"/>
    </w:rPr>
  </w:style>
  <w:style w:type="paragraph" w:customStyle="1" w:styleId="293">
    <w:name w:val="Основной текст с отступом 31"/>
    <w:basedOn w:val="1"/>
    <w:qFormat/>
    <w:uiPriority w:val="0"/>
    <w:pPr>
      <w:spacing w:after="120"/>
      <w:ind w:left="283" w:firstLine="567"/>
    </w:pPr>
    <w:rPr>
      <w:sz w:val="16"/>
      <w:szCs w:val="16"/>
    </w:rPr>
  </w:style>
  <w:style w:type="paragraph" w:customStyle="1" w:styleId="294">
    <w:name w:val="Название объекта1"/>
    <w:basedOn w:val="1"/>
    <w:next w:val="1"/>
    <w:qFormat/>
    <w:uiPriority w:val="0"/>
    <w:pPr>
      <w:spacing w:after="0"/>
    </w:pPr>
    <w:rPr>
      <w:rFonts w:eastAsia="Calibri"/>
      <w:bCs/>
      <w:szCs w:val="28"/>
      <w:shd w:val="clear" w:color="auto" w:fill="FFFFFF"/>
      <w:lang w:eastAsia="en-US"/>
    </w:rPr>
  </w:style>
  <w:style w:type="paragraph" w:customStyle="1" w:styleId="295">
    <w:name w:val="Текст примечания1"/>
    <w:basedOn w:val="1"/>
    <w:qFormat/>
    <w:uiPriority w:val="0"/>
    <w:rPr>
      <w:sz w:val="20"/>
      <w:szCs w:val="20"/>
    </w:rPr>
  </w:style>
  <w:style w:type="paragraph" w:customStyle="1" w:styleId="296">
    <w:name w:val="Тема примечания1"/>
    <w:basedOn w:val="295"/>
    <w:next w:val="295"/>
    <w:qFormat/>
    <w:uiPriority w:val="0"/>
    <w:rPr>
      <w:b/>
      <w:bCs/>
    </w:rPr>
  </w:style>
  <w:style w:type="paragraph" w:customStyle="1" w:styleId="297">
    <w:name w:val="Схема документа1"/>
    <w:basedOn w:val="1"/>
    <w:qFormat/>
    <w:uiPriority w:val="0"/>
    <w:pPr>
      <w:spacing w:after="0"/>
      <w:ind w:firstLine="567"/>
    </w:pPr>
    <w:rPr>
      <w:rFonts w:ascii="Tahoma" w:hAnsi="Tahoma" w:cs="Tahoma"/>
      <w:sz w:val="16"/>
      <w:szCs w:val="16"/>
    </w:rPr>
  </w:style>
  <w:style w:type="paragraph" w:customStyle="1" w:styleId="298">
    <w:name w:val="Header and Footer"/>
    <w:basedOn w:val="1"/>
    <w:qFormat/>
    <w:uiPriority w:val="0"/>
    <w:pPr>
      <w:suppressLineNumbers/>
      <w:tabs>
        <w:tab w:val="center" w:pos="4819"/>
        <w:tab w:val="right" w:pos="9638"/>
      </w:tabs>
    </w:pPr>
  </w:style>
  <w:style w:type="paragraph" w:styleId="299">
    <w:name w:val="No Spacing"/>
    <w:basedOn w:val="1"/>
    <w:qFormat/>
    <w:uiPriority w:val="0"/>
    <w:pPr>
      <w:spacing w:after="160" w:line="256" w:lineRule="auto"/>
      <w:ind w:firstLine="567"/>
    </w:pPr>
    <w:rPr>
      <w:rFonts w:eastAsia="Times New Roman"/>
      <w:lang w:eastAsia="en-US"/>
    </w:rPr>
  </w:style>
  <w:style w:type="paragraph" w:customStyle="1" w:styleId="300">
    <w:name w:val="Перечень рисунков1"/>
    <w:basedOn w:val="299"/>
    <w:next w:val="299"/>
    <w:qFormat/>
    <w:uiPriority w:val="0"/>
    <w:rPr>
      <w:lang w:eastAsia="ru-RU"/>
    </w:rPr>
  </w:style>
  <w:style w:type="paragraph" w:customStyle="1" w:styleId="301">
    <w:name w:val="Обычный (веб)1"/>
    <w:basedOn w:val="1"/>
    <w:qFormat/>
    <w:uiPriority w:val="0"/>
    <w:pPr>
      <w:spacing w:before="100" w:after="100"/>
    </w:pPr>
    <w:rPr>
      <w:rFonts w:eastAsia="Times New Roman"/>
      <w:sz w:val="24"/>
      <w:szCs w:val="24"/>
    </w:rPr>
  </w:style>
  <w:style w:type="paragraph" w:customStyle="1" w:styleId="302">
    <w:name w:val="Основной текст 31"/>
    <w:basedOn w:val="1"/>
    <w:qFormat/>
    <w:uiPriority w:val="0"/>
    <w:pPr>
      <w:spacing w:after="120"/>
    </w:pPr>
    <w:rPr>
      <w:sz w:val="16"/>
      <w:szCs w:val="16"/>
    </w:rPr>
  </w:style>
  <w:style w:type="paragraph" w:customStyle="1" w:styleId="303">
    <w:name w:val="Основной текст с отступом 21"/>
    <w:basedOn w:val="1"/>
    <w:qFormat/>
    <w:uiPriority w:val="0"/>
    <w:pPr>
      <w:spacing w:after="120" w:line="480" w:lineRule="auto"/>
      <w:ind w:left="283" w:firstLine="567"/>
    </w:pPr>
    <w:rPr>
      <w:rFonts w:eastAsia="Times New Roman"/>
      <w:sz w:val="24"/>
      <w:szCs w:val="24"/>
    </w:rPr>
  </w:style>
  <w:style w:type="paragraph" w:customStyle="1" w:styleId="304">
    <w:name w:val="Стандартный HTML1"/>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pPr>
    <w:rPr>
      <w:rFonts w:ascii="Courier New" w:hAnsi="Courier New" w:eastAsia="Calibri" w:cs="Courier New"/>
      <w:sz w:val="20"/>
      <w:szCs w:val="20"/>
      <w:lang w:val="zh-CN"/>
    </w:rPr>
  </w:style>
  <w:style w:type="paragraph" w:customStyle="1" w:styleId="305">
    <w:name w:val="Цитата1"/>
    <w:basedOn w:val="1"/>
    <w:qFormat/>
    <w:uiPriority w:val="0"/>
    <w:pPr>
      <w:widowControl w:val="0"/>
      <w:autoSpaceDE w:val="0"/>
      <w:spacing w:before="200" w:after="0" w:line="259" w:lineRule="auto"/>
      <w:ind w:left="1960" w:right="1800" w:firstLine="567"/>
      <w:jc w:val="center"/>
    </w:pPr>
    <w:rPr>
      <w:rFonts w:eastAsia="Times New Roman"/>
      <w:b/>
      <w:bCs/>
      <w:szCs w:val="28"/>
      <w:lang w:eastAsia="en-US"/>
    </w:rPr>
  </w:style>
  <w:style w:type="paragraph" w:styleId="306">
    <w:name w:val="List Paragraph"/>
    <w:basedOn w:val="1"/>
    <w:qFormat/>
    <w:uiPriority w:val="0"/>
    <w:pPr>
      <w:ind w:left="720"/>
      <w:contextualSpacing/>
    </w:pPr>
  </w:style>
  <w:style w:type="paragraph" w:customStyle="1" w:styleId="307">
    <w:name w:val="Default"/>
    <w:qFormat/>
    <w:uiPriority w:val="0"/>
    <w:pPr>
      <w:suppressAutoHyphens/>
      <w:autoSpaceDE w:val="0"/>
    </w:pPr>
    <w:rPr>
      <w:rFonts w:ascii="Times New Roman" w:hAnsi="Times New Roman" w:eastAsia="Calibri" w:cs="Times New Roman"/>
      <w:color w:val="000000"/>
      <w:sz w:val="24"/>
      <w:szCs w:val="24"/>
      <w:lang w:val="ru-RU" w:eastAsia="ru-RU" w:bidi="ar-SA"/>
    </w:rPr>
  </w:style>
  <w:style w:type="paragraph" w:customStyle="1" w:styleId="308">
    <w:name w:val="Стиль1"/>
    <w:basedOn w:val="2"/>
    <w:qFormat/>
    <w:uiPriority w:val="0"/>
    <w:pPr>
      <w:numPr>
        <w:numId w:val="0"/>
      </w:numPr>
      <w:jc w:val="center"/>
      <w:outlineLvl w:val="9"/>
    </w:pPr>
    <w:rPr>
      <w:rFonts w:ascii="Times New Roman" w:hAnsi="Times New Roman"/>
      <w:b/>
      <w:color w:val="000000"/>
      <w:sz w:val="28"/>
      <w:szCs w:val="28"/>
    </w:rPr>
  </w:style>
  <w:style w:type="paragraph" w:customStyle="1" w:styleId="309">
    <w:name w:val="Стиль2"/>
    <w:basedOn w:val="2"/>
    <w:qFormat/>
    <w:uiPriority w:val="0"/>
    <w:pPr>
      <w:numPr>
        <w:numId w:val="0"/>
      </w:numPr>
      <w:ind w:firstLine="567"/>
      <w:outlineLvl w:val="9"/>
    </w:pPr>
    <w:rPr>
      <w:rFonts w:ascii="Times New Roman" w:hAnsi="Times New Roman"/>
      <w:b/>
      <w:color w:val="000000"/>
      <w:sz w:val="28"/>
      <w:szCs w:val="28"/>
    </w:rPr>
  </w:style>
  <w:style w:type="paragraph" w:customStyle="1" w:styleId="310">
    <w:name w:val="Стиль3"/>
    <w:basedOn w:val="3"/>
    <w:qFormat/>
    <w:uiPriority w:val="0"/>
    <w:pPr>
      <w:numPr>
        <w:ilvl w:val="0"/>
        <w:numId w:val="0"/>
      </w:numPr>
      <w:ind w:firstLine="567"/>
      <w:outlineLvl w:val="9"/>
    </w:pPr>
    <w:rPr>
      <w:rFonts w:ascii="Times New Roman" w:hAnsi="Times New Roman"/>
      <w:b/>
      <w:color w:val="000000"/>
      <w:sz w:val="28"/>
      <w:szCs w:val="28"/>
    </w:rPr>
  </w:style>
  <w:style w:type="paragraph" w:styleId="311">
    <w:name w:val="Quote"/>
    <w:basedOn w:val="1"/>
    <w:next w:val="1"/>
    <w:qFormat/>
    <w:uiPriority w:val="0"/>
    <w:pPr>
      <w:spacing w:after="160" w:line="256" w:lineRule="auto"/>
    </w:pPr>
    <w:rPr>
      <w:rFonts w:ascii="Calibri Light" w:hAnsi="Calibri Light"/>
      <w:i/>
      <w:iCs/>
      <w:color w:val="595959"/>
      <w:lang w:eastAsia="en-US"/>
    </w:rPr>
  </w:style>
  <w:style w:type="paragraph" w:styleId="312">
    <w:name w:val="Intense Quote"/>
    <w:basedOn w:val="1"/>
    <w:next w:val="1"/>
    <w:qFormat/>
    <w:uiPriority w:val="0"/>
    <w:pPr>
      <w:pBdr>
        <w:top w:val="single" w:color="BDD6EE" w:sz="12" w:space="10"/>
        <w:left w:val="single" w:color="5B9BD5" w:sz="36" w:space="4"/>
        <w:bottom w:val="single" w:color="A5A5A5" w:sz="24" w:space="10"/>
        <w:right w:val="single" w:color="5B9BD5" w:sz="36" w:space="4"/>
      </w:pBdr>
      <w:shd w:val="clear" w:color="auto" w:fill="5B9BD5"/>
      <w:spacing w:before="320" w:after="320" w:line="300" w:lineRule="auto"/>
      <w:ind w:left="1440" w:right="1440"/>
    </w:pPr>
    <w:rPr>
      <w:rFonts w:ascii="Calibri Light" w:hAnsi="Calibri Light"/>
      <w:i/>
      <w:iCs/>
      <w:color w:val="FFFFFF"/>
      <w:sz w:val="24"/>
      <w:szCs w:val="24"/>
      <w:lang w:eastAsia="en-US"/>
    </w:rPr>
  </w:style>
  <w:style w:type="paragraph" w:customStyle="1" w:styleId="313">
    <w:name w:val="Заголовок оглавления1"/>
    <w:basedOn w:val="2"/>
    <w:next w:val="1"/>
    <w:qFormat/>
    <w:uiPriority w:val="0"/>
    <w:pPr>
      <w:keepNext w:val="0"/>
      <w:keepLines w:val="0"/>
      <w:numPr>
        <w:numId w:val="0"/>
      </w:numPr>
      <w:spacing w:before="0" w:after="80"/>
      <w:jc w:val="center"/>
      <w:outlineLvl w:val="9"/>
    </w:pPr>
    <w:rPr>
      <w:bCs/>
      <w:color w:val="000000"/>
      <w:sz w:val="28"/>
      <w:szCs w:val="24"/>
      <w:lang w:eastAsia="en-US"/>
    </w:rPr>
  </w:style>
  <w:style w:type="paragraph" w:customStyle="1" w:styleId="314">
    <w:name w:val="(таблица"/>
    <w:basedOn w:val="1"/>
    <w:qFormat/>
    <w:uiPriority w:val="0"/>
    <w:pPr>
      <w:spacing w:after="0"/>
      <w:ind w:firstLine="425"/>
    </w:pPr>
    <w:rPr>
      <w:rFonts w:eastAsia="Times New Roman"/>
      <w:szCs w:val="28"/>
      <w:lang w:eastAsia="en-US"/>
    </w:rPr>
  </w:style>
  <w:style w:type="paragraph" w:customStyle="1" w:styleId="315">
    <w:name w:val="normal8"/>
    <w:basedOn w:val="1"/>
    <w:qFormat/>
    <w:uiPriority w:val="0"/>
    <w:pPr>
      <w:spacing w:before="100" w:after="100"/>
      <w:ind w:firstLine="567"/>
    </w:pPr>
    <w:rPr>
      <w:rFonts w:eastAsia="Times New Roman"/>
      <w:sz w:val="24"/>
      <w:szCs w:val="24"/>
    </w:rPr>
  </w:style>
  <w:style w:type="paragraph" w:customStyle="1" w:styleId="316">
    <w:name w:val="Body text1"/>
    <w:basedOn w:val="1"/>
    <w:qFormat/>
    <w:uiPriority w:val="0"/>
    <w:pPr>
      <w:widowControl w:val="0"/>
      <w:shd w:val="clear" w:color="auto" w:fill="FFFFFF"/>
      <w:spacing w:after="0" w:line="317" w:lineRule="exact"/>
      <w:ind w:hanging="420"/>
    </w:pPr>
    <w:rPr>
      <w:rFonts w:eastAsia="Calibri"/>
      <w:sz w:val="26"/>
      <w:lang w:eastAsia="en-US"/>
    </w:rPr>
  </w:style>
  <w:style w:type="paragraph" w:customStyle="1" w:styleId="317">
    <w:name w:val="Заголов1"/>
    <w:qFormat/>
    <w:uiPriority w:val="0"/>
    <w:pPr>
      <w:suppressAutoHyphens/>
    </w:pPr>
    <w:rPr>
      <w:rFonts w:ascii="Arial" w:hAnsi="Arial" w:eastAsia="Times New Roman" w:cs="Times New Roman"/>
      <w:b/>
      <w:sz w:val="28"/>
      <w:lang w:val="ru-RU" w:eastAsia="ru-RU" w:bidi="ar-SA"/>
    </w:rPr>
  </w:style>
  <w:style w:type="paragraph" w:customStyle="1" w:styleId="318">
    <w:name w:val="ОснТекст"/>
    <w:qFormat/>
    <w:uiPriority w:val="0"/>
    <w:pPr>
      <w:suppressAutoHyphens/>
      <w:ind w:firstLine="709"/>
      <w:jc w:val="both"/>
    </w:pPr>
    <w:rPr>
      <w:rFonts w:ascii="Arial" w:hAnsi="Arial" w:eastAsia="Times New Roman" w:cs="Times New Roman"/>
      <w:lang w:val="ru-RU" w:eastAsia="ru-RU" w:bidi="ar-SA"/>
    </w:rPr>
  </w:style>
  <w:style w:type="paragraph" w:customStyle="1" w:styleId="319">
    <w:name w:val="Врезанная сноска"/>
    <w:basedOn w:val="318"/>
    <w:next w:val="1"/>
    <w:qFormat/>
    <w:uiPriority w:val="0"/>
    <w:pPr>
      <w:spacing w:before="120" w:after="240"/>
      <w:ind w:left="851" w:firstLine="0"/>
      <w:jc w:val="left"/>
    </w:pPr>
    <w:rPr>
      <w:i/>
      <w:sz w:val="16"/>
    </w:rPr>
  </w:style>
  <w:style w:type="paragraph" w:customStyle="1" w:styleId="320">
    <w:name w:val="Единица измерения"/>
    <w:basedOn w:val="318"/>
    <w:next w:val="321"/>
    <w:qFormat/>
    <w:uiPriority w:val="0"/>
    <w:pPr>
      <w:spacing w:before="60" w:after="80"/>
      <w:ind w:firstLine="0"/>
      <w:jc w:val="right"/>
    </w:pPr>
    <w:rPr>
      <w:sz w:val="16"/>
    </w:rPr>
  </w:style>
  <w:style w:type="paragraph" w:customStyle="1" w:styleId="321">
    <w:name w:val="ШапкаТаблицы"/>
    <w:basedOn w:val="318"/>
    <w:next w:val="322"/>
    <w:qFormat/>
    <w:uiPriority w:val="0"/>
    <w:pPr>
      <w:ind w:firstLine="0"/>
      <w:jc w:val="center"/>
    </w:pPr>
    <w:rPr>
      <w:sz w:val="16"/>
    </w:rPr>
  </w:style>
  <w:style w:type="paragraph" w:customStyle="1" w:styleId="322">
    <w:name w:val="Боковик"/>
    <w:basedOn w:val="318"/>
    <w:qFormat/>
    <w:uiPriority w:val="0"/>
    <w:pPr>
      <w:ind w:firstLine="0"/>
      <w:jc w:val="left"/>
    </w:pPr>
    <w:rPr>
      <w:sz w:val="16"/>
    </w:rPr>
  </w:style>
  <w:style w:type="paragraph" w:customStyle="1" w:styleId="323">
    <w:name w:val="Наименование"/>
    <w:basedOn w:val="318"/>
    <w:next w:val="318"/>
    <w:qFormat/>
    <w:uiPriority w:val="0"/>
    <w:pPr>
      <w:spacing w:before="200" w:after="200"/>
      <w:ind w:firstLine="567"/>
      <w:jc w:val="center"/>
    </w:pPr>
    <w:rPr>
      <w:b/>
    </w:rPr>
  </w:style>
  <w:style w:type="paragraph" w:customStyle="1" w:styleId="324">
    <w:name w:val="График"/>
    <w:basedOn w:val="318"/>
    <w:next w:val="318"/>
    <w:qFormat/>
    <w:uiPriority w:val="0"/>
    <w:pPr>
      <w:spacing w:before="60"/>
      <w:ind w:firstLine="0"/>
      <w:jc w:val="left"/>
    </w:pPr>
  </w:style>
  <w:style w:type="paragraph" w:customStyle="1" w:styleId="325">
    <w:name w:val="Столбец"/>
    <w:basedOn w:val="318"/>
    <w:qFormat/>
    <w:uiPriority w:val="0"/>
    <w:pPr>
      <w:ind w:firstLine="0"/>
      <w:jc w:val="right"/>
    </w:pPr>
    <w:rPr>
      <w:sz w:val="16"/>
    </w:rPr>
  </w:style>
  <w:style w:type="paragraph" w:customStyle="1" w:styleId="326">
    <w:name w:val="FirstОснТекст"/>
    <w:basedOn w:val="318"/>
    <w:next w:val="318"/>
    <w:qFormat/>
    <w:uiPriority w:val="0"/>
    <w:pPr>
      <w:spacing w:before="160"/>
      <w:ind w:firstLine="0"/>
    </w:pPr>
  </w:style>
  <w:style w:type="paragraph" w:customStyle="1" w:styleId="327">
    <w:name w:val="Знак1 Знак Знак Знак Знак Знак Знак Знак Знак Знак"/>
    <w:basedOn w:val="1"/>
    <w:qFormat/>
    <w:uiPriority w:val="0"/>
    <w:pPr>
      <w:spacing w:after="160" w:line="240" w:lineRule="exact"/>
      <w:ind w:firstLine="567"/>
    </w:pPr>
    <w:rPr>
      <w:rFonts w:eastAsia="Times New Roman"/>
      <w:szCs w:val="20"/>
      <w:lang w:val="en-US"/>
    </w:rPr>
  </w:style>
  <w:style w:type="paragraph" w:customStyle="1" w:styleId="328">
    <w:name w:val="textdoca"/>
    <w:basedOn w:val="1"/>
    <w:qFormat/>
    <w:uiPriority w:val="0"/>
    <w:pPr>
      <w:spacing w:before="100" w:after="100"/>
      <w:ind w:firstLine="567"/>
    </w:pPr>
    <w:rPr>
      <w:rFonts w:eastAsia="Times New Roman"/>
      <w:sz w:val="24"/>
      <w:szCs w:val="24"/>
    </w:rPr>
  </w:style>
  <w:style w:type="paragraph" w:customStyle="1" w:styleId="329">
    <w:name w:val="Абзац списка1"/>
    <w:basedOn w:val="1"/>
    <w:qFormat/>
    <w:uiPriority w:val="0"/>
    <w:pPr>
      <w:spacing w:after="0"/>
      <w:ind w:left="720" w:firstLine="567"/>
      <w:contextualSpacing/>
    </w:pPr>
    <w:rPr>
      <w:rFonts w:ascii="Calibri" w:hAnsi="Calibri" w:eastAsia="Times New Roman"/>
      <w:sz w:val="20"/>
      <w:szCs w:val="20"/>
      <w:lang w:val="en-US"/>
    </w:rPr>
  </w:style>
  <w:style w:type="paragraph" w:customStyle="1" w:styleId="330">
    <w:name w:val="Обычный2"/>
    <w:qFormat/>
    <w:uiPriority w:val="0"/>
    <w:pPr>
      <w:suppressAutoHyphens/>
    </w:pPr>
    <w:rPr>
      <w:rFonts w:ascii="Times New Roman" w:hAnsi="Times New Roman" w:eastAsia="Times New Roman" w:cs="Times New Roman"/>
      <w:sz w:val="24"/>
      <w:lang w:val="ru-RU" w:eastAsia="ru-RU" w:bidi="ar-SA"/>
    </w:rPr>
  </w:style>
  <w:style w:type="paragraph" w:customStyle="1" w:styleId="331">
    <w:name w:val="j15"/>
    <w:basedOn w:val="1"/>
    <w:qFormat/>
    <w:uiPriority w:val="0"/>
    <w:pPr>
      <w:spacing w:before="100" w:after="100"/>
      <w:ind w:firstLine="567"/>
    </w:pPr>
    <w:rPr>
      <w:rFonts w:eastAsia="Times New Roman"/>
      <w:sz w:val="24"/>
      <w:szCs w:val="24"/>
    </w:rPr>
  </w:style>
  <w:style w:type="paragraph" w:customStyle="1" w:styleId="332">
    <w:name w:val="volissue"/>
    <w:basedOn w:val="1"/>
    <w:qFormat/>
    <w:uiPriority w:val="0"/>
    <w:pPr>
      <w:spacing w:before="100" w:after="100"/>
      <w:ind w:firstLine="567"/>
    </w:pPr>
    <w:rPr>
      <w:rFonts w:eastAsia="Times New Roman"/>
      <w:sz w:val="24"/>
      <w:szCs w:val="24"/>
    </w:rPr>
  </w:style>
  <w:style w:type="paragraph" w:customStyle="1" w:styleId="333">
    <w:name w:val="svarticle"/>
    <w:basedOn w:val="1"/>
    <w:qFormat/>
    <w:uiPriority w:val="0"/>
    <w:pPr>
      <w:spacing w:before="100" w:after="100"/>
      <w:ind w:firstLine="567"/>
    </w:pPr>
    <w:rPr>
      <w:rFonts w:eastAsia="Times New Roman"/>
      <w:sz w:val="24"/>
      <w:szCs w:val="24"/>
    </w:rPr>
  </w:style>
  <w:style w:type="paragraph" w:customStyle="1" w:styleId="334">
    <w:name w:val="Основной текст (2)"/>
    <w:basedOn w:val="1"/>
    <w:qFormat/>
    <w:uiPriority w:val="0"/>
    <w:pPr>
      <w:widowControl w:val="0"/>
      <w:shd w:val="clear" w:color="auto" w:fill="FFFFFF"/>
      <w:spacing w:before="180" w:after="0" w:line="552" w:lineRule="exact"/>
      <w:ind w:hanging="420"/>
    </w:pPr>
    <w:rPr>
      <w:rFonts w:eastAsia="Times New Roman"/>
      <w:sz w:val="24"/>
      <w:lang w:eastAsia="en-US"/>
    </w:rPr>
  </w:style>
  <w:style w:type="paragraph" w:customStyle="1" w:styleId="335">
    <w:name w:val="bodytext"/>
    <w:basedOn w:val="1"/>
    <w:qFormat/>
    <w:uiPriority w:val="0"/>
    <w:pPr>
      <w:spacing w:before="100" w:after="100"/>
      <w:ind w:firstLine="567"/>
    </w:pPr>
    <w:rPr>
      <w:rFonts w:eastAsia="Times New Roman"/>
      <w:sz w:val="24"/>
      <w:szCs w:val="24"/>
    </w:rPr>
  </w:style>
  <w:style w:type="paragraph" w:customStyle="1" w:styleId="336">
    <w:name w:val="Знак"/>
    <w:basedOn w:val="1"/>
    <w:qFormat/>
    <w:uiPriority w:val="0"/>
    <w:pPr>
      <w:spacing w:after="160" w:line="240" w:lineRule="exact"/>
      <w:ind w:firstLine="567"/>
    </w:pPr>
    <w:rPr>
      <w:b/>
      <w:szCs w:val="24"/>
      <w:lang w:val="en-US" w:eastAsia="en-US"/>
    </w:rPr>
  </w:style>
  <w:style w:type="paragraph" w:customStyle="1" w:styleId="337">
    <w:name w:val="doc-info1"/>
    <w:basedOn w:val="1"/>
    <w:qFormat/>
    <w:uiPriority w:val="0"/>
    <w:pPr>
      <w:spacing w:before="105" w:after="0" w:line="270" w:lineRule="atLeast"/>
      <w:ind w:firstLine="450"/>
      <w:jc w:val="center"/>
    </w:pPr>
    <w:rPr>
      <w:rFonts w:ascii="Tahoma" w:hAnsi="Tahoma" w:eastAsia="Times New Roman" w:cs="Tahoma"/>
      <w:b/>
      <w:bCs/>
      <w:color w:val="333399"/>
      <w:sz w:val="20"/>
      <w:szCs w:val="20"/>
    </w:rPr>
  </w:style>
  <w:style w:type="paragraph" w:customStyle="1" w:styleId="338">
    <w:name w:val="j14"/>
    <w:basedOn w:val="1"/>
    <w:qFormat/>
    <w:uiPriority w:val="0"/>
    <w:pPr>
      <w:spacing w:after="0"/>
      <w:ind w:firstLine="567"/>
      <w:textAlignment w:val="baseline"/>
    </w:pPr>
    <w:rPr>
      <w:rFonts w:ascii="inherit;Times New Roman" w:hAnsi="inherit;Times New Roman" w:eastAsia="Times New Roman"/>
      <w:sz w:val="24"/>
      <w:szCs w:val="24"/>
    </w:rPr>
  </w:style>
  <w:style w:type="paragraph" w:customStyle="1" w:styleId="339">
    <w:name w:val="Текст в заданном формате"/>
    <w:basedOn w:val="1"/>
    <w:qFormat/>
    <w:uiPriority w:val="0"/>
    <w:pPr>
      <w:widowControl w:val="0"/>
      <w:spacing w:after="0"/>
      <w:ind w:firstLine="567"/>
    </w:pPr>
    <w:rPr>
      <w:rFonts w:ascii="Courier New" w:hAnsi="Courier New" w:eastAsia="Times New Roman" w:cs="Courier New"/>
      <w:sz w:val="20"/>
      <w:szCs w:val="20"/>
    </w:rPr>
  </w:style>
  <w:style w:type="paragraph" w:customStyle="1" w:styleId="340">
    <w:name w:val="Цветной список - Акцент 11"/>
    <w:basedOn w:val="1"/>
    <w:qFormat/>
    <w:uiPriority w:val="0"/>
    <w:pPr>
      <w:spacing w:after="0"/>
      <w:ind w:left="720" w:firstLine="567"/>
      <w:contextualSpacing/>
    </w:pPr>
    <w:rPr>
      <w:rFonts w:ascii="Cambria" w:hAnsi="Cambria" w:eastAsia="Times New Roman"/>
      <w:szCs w:val="28"/>
      <w:lang w:val="en-US" w:eastAsia="en-US"/>
    </w:rPr>
  </w:style>
  <w:style w:type="paragraph" w:customStyle="1" w:styleId="341">
    <w:name w:val="Абзац списка2"/>
    <w:basedOn w:val="1"/>
    <w:qFormat/>
    <w:uiPriority w:val="0"/>
    <w:pPr>
      <w:spacing w:after="0"/>
      <w:ind w:left="720" w:firstLine="567"/>
      <w:contextualSpacing/>
    </w:pPr>
    <w:rPr>
      <w:rFonts w:ascii="Calibri" w:hAnsi="Calibri" w:eastAsia="Times New Roman"/>
      <w:sz w:val="20"/>
      <w:szCs w:val="20"/>
      <w:lang w:val="en-US" w:eastAsia="en-US"/>
    </w:rPr>
  </w:style>
  <w:style w:type="paragraph" w:customStyle="1" w:styleId="342">
    <w:name w:val="j16"/>
    <w:basedOn w:val="1"/>
    <w:qFormat/>
    <w:uiPriority w:val="0"/>
    <w:pPr>
      <w:spacing w:before="100" w:after="100"/>
      <w:ind w:firstLine="567"/>
    </w:pPr>
    <w:rPr>
      <w:rFonts w:eastAsia="Times New Roman"/>
      <w:sz w:val="24"/>
      <w:szCs w:val="24"/>
    </w:rPr>
  </w:style>
  <w:style w:type="paragraph" w:customStyle="1" w:styleId="343">
    <w:name w:val="j12"/>
    <w:basedOn w:val="1"/>
    <w:qFormat/>
    <w:uiPriority w:val="0"/>
    <w:pPr>
      <w:spacing w:before="100" w:after="100"/>
      <w:ind w:firstLine="567"/>
    </w:pPr>
    <w:rPr>
      <w:rFonts w:eastAsia="Times New Roman"/>
      <w:sz w:val="24"/>
      <w:szCs w:val="24"/>
    </w:rPr>
  </w:style>
  <w:style w:type="paragraph" w:customStyle="1" w:styleId="344">
    <w:name w:val="legend"/>
    <w:basedOn w:val="1"/>
    <w:qFormat/>
    <w:uiPriority w:val="0"/>
    <w:pPr>
      <w:spacing w:before="100" w:after="100"/>
      <w:ind w:firstLine="567"/>
    </w:pPr>
    <w:rPr>
      <w:rFonts w:eastAsia="Times New Roman"/>
      <w:sz w:val="24"/>
      <w:szCs w:val="24"/>
    </w:rPr>
  </w:style>
  <w:style w:type="paragraph" w:customStyle="1" w:styleId="345">
    <w:name w:val="section"/>
    <w:basedOn w:val="1"/>
    <w:qFormat/>
    <w:uiPriority w:val="0"/>
    <w:pPr>
      <w:spacing w:before="100" w:after="100"/>
      <w:ind w:firstLine="567"/>
    </w:pPr>
    <w:rPr>
      <w:rFonts w:eastAsia="Times New Roman"/>
      <w:sz w:val="24"/>
      <w:szCs w:val="24"/>
    </w:rPr>
  </w:style>
  <w:style w:type="paragraph" w:customStyle="1" w:styleId="346">
    <w:name w:val="j11"/>
    <w:basedOn w:val="1"/>
    <w:qFormat/>
    <w:uiPriority w:val="0"/>
    <w:pPr>
      <w:spacing w:before="100" w:after="100"/>
    </w:pPr>
    <w:rPr>
      <w:rFonts w:eastAsia="Times New Roman"/>
      <w:sz w:val="24"/>
      <w:szCs w:val="24"/>
    </w:rPr>
  </w:style>
  <w:style w:type="paragraph" w:customStyle="1" w:styleId="347">
    <w:name w:val="j18"/>
    <w:basedOn w:val="1"/>
    <w:qFormat/>
    <w:uiPriority w:val="0"/>
    <w:pPr>
      <w:spacing w:before="100" w:after="100"/>
    </w:pPr>
    <w:rPr>
      <w:rFonts w:eastAsia="Times New Roman"/>
      <w:sz w:val="24"/>
      <w:szCs w:val="24"/>
    </w:rPr>
  </w:style>
  <w:style w:type="paragraph" w:customStyle="1" w:styleId="348">
    <w:name w:val="Знак Знак Знак Знак Знак Знак Знак Знак Знак Знак Знак Знак Знак Знак Знак Знак"/>
    <w:basedOn w:val="1"/>
    <w:qFormat/>
    <w:uiPriority w:val="0"/>
    <w:pPr>
      <w:spacing w:after="160" w:line="240" w:lineRule="exact"/>
    </w:pPr>
    <w:rPr>
      <w:rFonts w:eastAsia="Times New Roman"/>
      <w:szCs w:val="20"/>
      <w:lang w:val="en-US" w:eastAsia="en-US"/>
    </w:rPr>
  </w:style>
  <w:style w:type="paragraph" w:customStyle="1" w:styleId="349">
    <w:name w:val="a"/>
    <w:basedOn w:val="1"/>
    <w:qFormat/>
    <w:uiPriority w:val="0"/>
    <w:pPr>
      <w:spacing w:before="100" w:after="100"/>
    </w:pPr>
    <w:rPr>
      <w:rFonts w:eastAsia="Times New Roman"/>
      <w:sz w:val="24"/>
      <w:szCs w:val="24"/>
    </w:rPr>
  </w:style>
  <w:style w:type="paragraph" w:customStyle="1" w:styleId="350">
    <w:name w:val="wicked-purp-head"/>
    <w:basedOn w:val="1"/>
    <w:qFormat/>
    <w:uiPriority w:val="0"/>
    <w:pPr>
      <w:spacing w:before="100" w:after="100"/>
    </w:pPr>
    <w:rPr>
      <w:rFonts w:eastAsia="Times New Roman"/>
      <w:sz w:val="24"/>
      <w:szCs w:val="24"/>
    </w:rPr>
  </w:style>
  <w:style w:type="paragraph" w:customStyle="1" w:styleId="351">
    <w:name w:val="Pa13"/>
    <w:basedOn w:val="307"/>
    <w:next w:val="307"/>
    <w:qFormat/>
    <w:uiPriority w:val="0"/>
    <w:pPr>
      <w:spacing w:line="261" w:lineRule="atLeast"/>
    </w:pPr>
    <w:rPr>
      <w:rFonts w:eastAsia="SimSun"/>
    </w:rPr>
  </w:style>
  <w:style w:type="paragraph" w:customStyle="1" w:styleId="352">
    <w:name w:val="Style2"/>
    <w:basedOn w:val="1"/>
    <w:qFormat/>
    <w:uiPriority w:val="0"/>
    <w:pPr>
      <w:widowControl w:val="0"/>
      <w:autoSpaceDE w:val="0"/>
      <w:spacing w:after="0" w:line="235" w:lineRule="exact"/>
      <w:ind w:firstLine="470"/>
    </w:pPr>
    <w:rPr>
      <w:rFonts w:eastAsia="Times New Roman"/>
      <w:sz w:val="24"/>
      <w:szCs w:val="24"/>
    </w:rPr>
  </w:style>
  <w:style w:type="paragraph" w:customStyle="1" w:styleId="353">
    <w:name w:val="Основной текст 21"/>
    <w:basedOn w:val="1"/>
    <w:qFormat/>
    <w:uiPriority w:val="0"/>
    <w:pPr>
      <w:overflowPunct w:val="0"/>
      <w:autoSpaceDE w:val="0"/>
      <w:spacing w:after="0"/>
      <w:ind w:firstLine="426"/>
      <w:textAlignment w:val="baseline"/>
    </w:pPr>
    <w:rPr>
      <w:rFonts w:eastAsia="Times New Roman"/>
      <w:color w:val="000000"/>
      <w:spacing w:val="-2"/>
      <w:szCs w:val="20"/>
    </w:rPr>
  </w:style>
  <w:style w:type="paragraph" w:customStyle="1" w:styleId="354">
    <w:name w:val="Основной текст 22"/>
    <w:basedOn w:val="1"/>
    <w:qFormat/>
    <w:uiPriority w:val="0"/>
    <w:pPr>
      <w:overflowPunct w:val="0"/>
      <w:autoSpaceDE w:val="0"/>
      <w:spacing w:after="0"/>
      <w:ind w:firstLine="426"/>
      <w:textAlignment w:val="baseline"/>
    </w:pPr>
    <w:rPr>
      <w:rFonts w:eastAsia="Times New Roman"/>
      <w:color w:val="000000"/>
      <w:spacing w:val="-2"/>
      <w:szCs w:val="20"/>
    </w:rPr>
  </w:style>
  <w:style w:type="paragraph" w:customStyle="1" w:styleId="355">
    <w:name w:val="FR1"/>
    <w:qFormat/>
    <w:uiPriority w:val="0"/>
    <w:pPr>
      <w:widowControl w:val="0"/>
      <w:suppressAutoHyphens/>
      <w:autoSpaceDE w:val="0"/>
      <w:spacing w:before="180"/>
      <w:ind w:left="480"/>
    </w:pPr>
    <w:rPr>
      <w:rFonts w:ascii="Times New Roman" w:hAnsi="Times New Roman" w:eastAsia="Times New Roman" w:cs="Times New Roman"/>
      <w:b/>
      <w:bCs/>
      <w:sz w:val="28"/>
      <w:szCs w:val="28"/>
      <w:lang w:val="ru-RU" w:eastAsia="ru-RU" w:bidi="ar-SA"/>
    </w:rPr>
  </w:style>
  <w:style w:type="paragraph" w:customStyle="1" w:styleId="356">
    <w:name w:val="Основной текст4"/>
    <w:basedOn w:val="1"/>
    <w:qFormat/>
    <w:uiPriority w:val="0"/>
    <w:pPr>
      <w:widowControl w:val="0"/>
      <w:shd w:val="clear" w:color="auto" w:fill="FFFFFF"/>
      <w:spacing w:after="0" w:line="322" w:lineRule="exact"/>
      <w:ind w:hanging="160"/>
    </w:pPr>
    <w:rPr>
      <w:rFonts w:eastAsia="Times New Roman"/>
      <w:sz w:val="24"/>
      <w:lang w:eastAsia="en-US"/>
    </w:rPr>
  </w:style>
  <w:style w:type="paragraph" w:customStyle="1" w:styleId="357">
    <w:name w:val="Обычный1"/>
    <w:qFormat/>
    <w:uiPriority w:val="0"/>
    <w:pPr>
      <w:suppressAutoHyphens/>
      <w:spacing w:before="100" w:after="100"/>
    </w:pPr>
    <w:rPr>
      <w:rFonts w:ascii="Times New Roman" w:hAnsi="Times New Roman" w:eastAsia="Times New Roman" w:cs="Times New Roman"/>
      <w:sz w:val="24"/>
      <w:lang w:val="ru-RU" w:eastAsia="ru-RU" w:bidi="ar-SA"/>
    </w:rPr>
  </w:style>
  <w:style w:type="paragraph" w:customStyle="1" w:styleId="358">
    <w:name w:val="Zagolovok2"/>
    <w:basedOn w:val="1"/>
    <w:next w:val="1"/>
    <w:qFormat/>
    <w:uiPriority w:val="0"/>
    <w:pPr>
      <w:tabs>
        <w:tab w:val="left" w:pos="1134"/>
      </w:tabs>
      <w:spacing w:before="270" w:after="180"/>
      <w:jc w:val="center"/>
      <w:outlineLvl w:val="1"/>
    </w:pPr>
    <w:rPr>
      <w:rFonts w:ascii="Kz Arial;Arial" w:hAnsi="Kz Arial;Arial" w:eastAsia="Times New Roman"/>
      <w:b/>
      <w:sz w:val="32"/>
      <w:lang w:eastAsia="en-US"/>
    </w:rPr>
  </w:style>
  <w:style w:type="paragraph" w:customStyle="1" w:styleId="359">
    <w:name w:val="Naimenovanie"/>
    <w:basedOn w:val="1"/>
    <w:qFormat/>
    <w:uiPriority w:val="0"/>
    <w:pPr>
      <w:spacing w:before="200" w:after="100" w:line="330" w:lineRule="exact"/>
      <w:ind w:left="851" w:right="851"/>
      <w:jc w:val="center"/>
    </w:pPr>
    <w:rPr>
      <w:rFonts w:ascii="Arial" w:hAnsi="Arial" w:eastAsia="Times New Roman"/>
      <w:b/>
      <w:sz w:val="23"/>
      <w:szCs w:val="20"/>
    </w:rPr>
  </w:style>
  <w:style w:type="paragraph" w:customStyle="1" w:styleId="360">
    <w:name w:val="Рецензия1"/>
    <w:qFormat/>
    <w:uiPriority w:val="0"/>
    <w:pPr>
      <w:suppressAutoHyphens/>
    </w:pPr>
    <w:rPr>
      <w:rFonts w:ascii="Calibri" w:hAnsi="Calibri" w:eastAsia="SimSun" w:cs="Times New Roman"/>
      <w:sz w:val="22"/>
      <w:szCs w:val="22"/>
      <w:lang w:val="ru-RU" w:eastAsia="ru-RU" w:bidi="ar-SA"/>
    </w:rPr>
  </w:style>
  <w:style w:type="paragraph" w:customStyle="1" w:styleId="361">
    <w:name w:val="Table Contents"/>
    <w:basedOn w:val="1"/>
    <w:qFormat/>
    <w:uiPriority w:val="0"/>
    <w:pPr>
      <w:widowControl w:val="0"/>
      <w:suppressLineNumbers/>
    </w:pPr>
  </w:style>
  <w:style w:type="paragraph" w:customStyle="1" w:styleId="362">
    <w:name w:val="Table Heading"/>
    <w:basedOn w:val="361"/>
    <w:qFormat/>
    <w:uiPriority w:val="0"/>
    <w:pPr>
      <w:jc w:val="center"/>
    </w:pPr>
    <w:rPr>
      <w:b/>
      <w:bCs/>
    </w:rPr>
  </w:style>
  <w:style w:type="paragraph" w:customStyle="1" w:styleId="363">
    <w:name w:val="Диссер"/>
    <w:basedOn w:val="1"/>
    <w:qFormat/>
    <w:uiPriority w:val="0"/>
    <w:pPr>
      <w:spacing w:after="0"/>
    </w:pPr>
  </w:style>
  <w:style w:type="paragraph" w:customStyle="1" w:styleId="364">
    <w:name w:val="Dissertation"/>
    <w:basedOn w:val="1"/>
    <w:qFormat/>
    <w:uiPriority w:val="0"/>
    <w:pPr>
      <w:ind w:firstLine="708"/>
    </w:pPr>
    <w:rPr>
      <w:color w:val="000000"/>
      <w:szCs w:val="28"/>
      <w:lang w:val="kk-KZ"/>
    </w:rPr>
  </w:style>
  <w:style w:type="character" w:customStyle="1" w:styleId="365">
    <w:name w:val="Текст концевой сноски Знак1"/>
    <w:link w:val="21"/>
    <w:qFormat/>
    <w:uiPriority w:val="0"/>
    <w:rPr>
      <w:rFonts w:ascii="Times New Roman" w:hAnsi="Times New Roman" w:eastAsia="Calibri" w:cs="Times New Roman"/>
      <w:sz w:val="20"/>
      <w:szCs w:val="20"/>
      <w:lang w:eastAsia="en-US"/>
    </w:rPr>
  </w:style>
  <w:style w:type="table" w:styleId="366">
    <w:name w:val="Light Grid Accent 1"/>
    <w:basedOn w:val="1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8" Type="http://schemas.openxmlformats.org/officeDocument/2006/relationships/fontTable" Target="fontTable.xml"/><Relationship Id="rId47" Type="http://schemas.openxmlformats.org/officeDocument/2006/relationships/numbering" Target="numbering.xml"/><Relationship Id="rId46" Type="http://schemas.openxmlformats.org/officeDocument/2006/relationships/customXml" Target="../customXml/item1.xml"/><Relationship Id="rId45" Type="http://schemas.openxmlformats.org/officeDocument/2006/relationships/image" Target="media/image33.jpeg"/><Relationship Id="rId44" Type="http://schemas.openxmlformats.org/officeDocument/2006/relationships/image" Target="media/image32.png"/><Relationship Id="rId43" Type="http://schemas.openxmlformats.org/officeDocument/2006/relationships/image" Target="media/image31.jpeg"/><Relationship Id="rId42" Type="http://schemas.openxmlformats.org/officeDocument/2006/relationships/image" Target="media/image30.jpeg"/><Relationship Id="rId41" Type="http://schemas.openxmlformats.org/officeDocument/2006/relationships/image" Target="media/image29.jpeg"/><Relationship Id="rId40" Type="http://schemas.openxmlformats.org/officeDocument/2006/relationships/image" Target="media/image28.jpeg"/><Relationship Id="rId4" Type="http://schemas.openxmlformats.org/officeDocument/2006/relationships/header" Target="header1.xml"/><Relationship Id="rId39" Type="http://schemas.openxmlformats.org/officeDocument/2006/relationships/image" Target="media/image27.png"/><Relationship Id="rId38" Type="http://schemas.openxmlformats.org/officeDocument/2006/relationships/image" Target="media/image26.png"/><Relationship Id="rId37" Type="http://schemas.openxmlformats.org/officeDocument/2006/relationships/image" Target="media/image25.png"/><Relationship Id="rId36" Type="http://schemas.openxmlformats.org/officeDocument/2006/relationships/image" Target="media/image24.png"/><Relationship Id="rId35" Type="http://schemas.openxmlformats.org/officeDocument/2006/relationships/image" Target="media/image23.png"/><Relationship Id="rId34" Type="http://schemas.openxmlformats.org/officeDocument/2006/relationships/image" Target="media/image22.png"/><Relationship Id="rId33" Type="http://schemas.openxmlformats.org/officeDocument/2006/relationships/image" Target="media/image21.jpeg"/><Relationship Id="rId32" Type="http://schemas.openxmlformats.org/officeDocument/2006/relationships/image" Target="media/image20.jpeg"/><Relationship Id="rId31" Type="http://schemas.openxmlformats.org/officeDocument/2006/relationships/chart" Target="charts/chart5.xml"/><Relationship Id="rId30" Type="http://schemas.openxmlformats.org/officeDocument/2006/relationships/chart" Target="charts/chart4.xml"/><Relationship Id="rId3" Type="http://schemas.openxmlformats.org/officeDocument/2006/relationships/footnotes" Target="footnotes.xml"/><Relationship Id="rId29" Type="http://schemas.openxmlformats.org/officeDocument/2006/relationships/image" Target="media/image19.png"/><Relationship Id="rId28" Type="http://schemas.openxmlformats.org/officeDocument/2006/relationships/chart" Target="charts/chart3.xml"/><Relationship Id="rId27" Type="http://schemas.openxmlformats.org/officeDocument/2006/relationships/chart" Target="charts/chart2.xml"/><Relationship Id="rId26" Type="http://schemas.openxmlformats.org/officeDocument/2006/relationships/image" Target="media/image18.png"/><Relationship Id="rId25" Type="http://schemas.openxmlformats.org/officeDocument/2006/relationships/image" Target="media/image17.png"/><Relationship Id="rId24" Type="http://schemas.openxmlformats.org/officeDocument/2006/relationships/image" Target="media/image16.jpeg"/><Relationship Id="rId23" Type="http://schemas.openxmlformats.org/officeDocument/2006/relationships/chart" Target="charts/chart1.xml"/><Relationship Id="rId22" Type="http://schemas.openxmlformats.org/officeDocument/2006/relationships/image" Target="media/image15.png"/><Relationship Id="rId21" Type="http://schemas.openxmlformats.org/officeDocument/2006/relationships/image" Target="media/image14.png"/><Relationship Id="rId20" Type="http://schemas.openxmlformats.org/officeDocument/2006/relationships/image" Target="media/image13.jpeg"/><Relationship Id="rId2" Type="http://schemas.openxmlformats.org/officeDocument/2006/relationships/settings" Target="settings.xml"/><Relationship Id="rId19" Type="http://schemas.openxmlformats.org/officeDocument/2006/relationships/image" Target="media/image12.jpeg"/><Relationship Id="rId18" Type="http://schemas.openxmlformats.org/officeDocument/2006/relationships/image" Target="media/image11.png"/><Relationship Id="rId17" Type="http://schemas.openxmlformats.org/officeDocument/2006/relationships/image" Target="media/image10.jpeg"/><Relationship Id="rId16" Type="http://schemas.openxmlformats.org/officeDocument/2006/relationships/image" Target="media/image9.png"/><Relationship Id="rId15" Type="http://schemas.openxmlformats.org/officeDocument/2006/relationships/image" Target="media/image8.jpeg"/><Relationship Id="rId14" Type="http://schemas.openxmlformats.org/officeDocument/2006/relationships/image" Target="media/image7.png"/><Relationship Id="rId13" Type="http://schemas.openxmlformats.org/officeDocument/2006/relationships/image" Target="media/image6.webp"/><Relationship Id="rId12" Type="http://schemas.openxmlformats.org/officeDocument/2006/relationships/image" Target="media/image5.webp"/><Relationship Id="rId11" Type="http://schemas.openxmlformats.org/officeDocument/2006/relationships/image" Target="media/image4.jpeg"/><Relationship Id="rId10" Type="http://schemas.openxmlformats.org/officeDocument/2006/relationships/image" Target="media/image3.pn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1092;&#1072;&#1088;&#1080;&#1079;&#1072;\Desktop\&#1057;&#1090;&#1072;&#1090;&#1100;&#1103;%20-&#1057;&#1082;&#1086;&#1087;&#1091;&#1089;\&#1057;&#1090;&#1072;&#1090;&#1100;&#1103;%20&#1057;&#1082;&#1086;&#1087;&#1091;&#1089;&#8470;1\Diagramms\Biodegradation_Data%2011111..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1092;&#1072;&#1088;&#1080;&#1079;&#1072;\Desktop\&#1057;&#1090;&#1072;&#1090;&#1100;&#1103;%20-&#1057;&#1082;&#1086;&#1087;&#1091;&#1089;\&#1057;&#1090;&#1072;&#1090;&#1100;&#1103;%20&#1057;&#1082;&#1086;&#1087;&#1091;&#1089;&#8470;1\Diagramms\Biodegradation_Data%2011111..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1092;&#1072;&#1088;&#1080;&#1079;&#1072;\Desktop\&#1057;&#1090;&#1072;&#1090;&#1100;&#1103;%20-&#1057;&#1082;&#1086;&#1087;&#1091;&#1089;\&#1057;&#1090;&#1072;&#1090;&#1100;&#1103;%20&#1057;&#1082;&#1086;&#1087;&#1091;&#1089;&#8470;1\Diagramms\Biodegradation_Data%2011111..xlsx" TargetMode="External"/></Relationships>
</file>

<file path=word/charts/_rels/chart4.xml.rels><?xml version="1.0" encoding="UTF-8" standalone="yes"?>
<Relationships xmlns="http://schemas.openxmlformats.org/package/2006/relationships"><Relationship Id="rId4" Type="http://schemas.microsoft.com/office/2011/relationships/chartColorStyle" Target="colors4.xml"/><Relationship Id="rId3" Type="http://schemas.microsoft.com/office/2011/relationships/chartStyle" Target="style4.xml"/><Relationship Id="rId2" Type="http://schemas.openxmlformats.org/officeDocument/2006/relationships/chartUserShapes" Target="../drawings/drawing1.xml"/><Relationship Id="rId1" Type="http://schemas.openxmlformats.org/officeDocument/2006/relationships/oleObject" Target="file:///C:\Users\&#1092;&#1072;&#1088;&#1080;&#1079;&#1072;\Desktop\&#1057;&#1090;&#1072;&#1090;&#1100;&#1103;%20-&#1057;&#1082;&#1086;&#1087;&#1091;&#1089;\&#1057;&#1090;&#1072;&#1090;&#1100;&#1103;%20&#1057;&#1082;&#1086;&#1087;&#1091;&#1089;&#8470;1\Diagramms\Biodegradation_Data%2011111..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1092;&#1072;&#1088;&#1080;&#1079;&#1072;\Desktop\&#1057;&#1090;&#1072;&#1090;&#1100;&#1103;%20-&#1057;&#1082;&#1086;&#1087;&#1091;&#1089;\&#1057;&#1090;&#1072;&#1090;&#1100;&#1103;%20&#1057;&#1082;&#1086;&#1087;&#1091;&#1089;&#8470;1\Diagramms\Biodegradation_Data%201111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4815789473684"/>
          <c:y val="0.0509259259259259"/>
          <c:w val="0.796236842105263"/>
          <c:h val="0.66837962962963"/>
        </c:manualLayout>
      </c:layout>
      <c:barChart>
        <c:barDir val="col"/>
        <c:grouping val="clustered"/>
        <c:varyColors val="0"/>
        <c:ser>
          <c:idx val="0"/>
          <c:order val="0"/>
          <c:tx>
            <c:strRef>
              <c:f>'[Biodegradation_Data 11111..xlsx]Fig. 2. Comparison of the numbe'!$B$1</c:f>
              <c:strCache>
                <c:ptCount val="1"/>
                <c:pt idx="0">
                  <c:v>PCA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ru-RU"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errBars>
            <c:errBarType val="both"/>
            <c:errValType val="stdErr"/>
            <c:noEndCap val="0"/>
            <c:spPr>
              <a:noFill/>
              <a:ln w="9525" cap="flat" cmpd="sng" algn="ctr">
                <a:solidFill>
                  <a:schemeClr val="tx1">
                    <a:lumMod val="65000"/>
                    <a:lumOff val="35000"/>
                  </a:schemeClr>
                </a:solidFill>
                <a:round/>
              </a:ln>
              <a:effectLst/>
            </c:spPr>
          </c:errBars>
          <c:cat>
            <c:strRef>
              <c:f>'[Biodegradation_Data 11111..xlsx]Fig. 2. Comparison of the numbe'!$A$2:$A$4</c:f>
              <c:strCache>
                <c:ptCount val="3"/>
                <c:pt idx="0">
                  <c:v>Бос клеткалар</c:v>
                </c:pt>
                <c:pt idx="1">
                  <c:v>КҚ</c:v>
                </c:pt>
                <c:pt idx="2">
                  <c:v>ҚҚ</c:v>
                </c:pt>
              </c:strCache>
            </c:strRef>
          </c:cat>
          <c:val>
            <c:numRef>
              <c:f>'[Biodegradation_Data 11111..xlsx]Fig. 2. Comparison of the numbe'!$B$2:$B$4</c:f>
              <c:numCache>
                <c:formatCode>General</c:formatCode>
                <c:ptCount val="3"/>
                <c:pt idx="0">
                  <c:v>4.7</c:v>
                </c:pt>
                <c:pt idx="1">
                  <c:v>6.7</c:v>
                </c:pt>
                <c:pt idx="2">
                  <c:v>7.4</c:v>
                </c:pt>
              </c:numCache>
            </c:numRef>
          </c:val>
        </c:ser>
        <c:ser>
          <c:idx val="1"/>
          <c:order val="1"/>
          <c:tx>
            <c:strRef>
              <c:f>'[Biodegradation_Data 11111..xlsx]Fig. 2. Comparison of the numbe'!$C$1</c:f>
              <c:strCache>
                <c:ptCount val="1"/>
                <c:pt idx="0">
                  <c:v>3M Petrifilm</c:v>
                </c:pt>
              </c:strCache>
            </c:strRef>
          </c:tx>
          <c:spPr>
            <a:solidFill>
              <a:schemeClr val="accent2"/>
            </a:solidFill>
            <a:ln>
              <a:noFill/>
            </a:ln>
            <a:effectLst/>
          </c:spPr>
          <c:invertIfNegative val="0"/>
          <c:dLbls>
            <c:dLbl>
              <c:idx val="0"/>
              <c:layout/>
              <c:tx>
                <c:rich>
                  <a:bodyPr rot="0" spcFirstLastPara="1" vertOverflow="ellipsis" vert="horz" wrap="square" lIns="38100" tIns="19050" rIns="38100" bIns="19050" anchor="ctr" anchorCtr="1"/>
                  <a:lstStyle/>
                  <a:p>
                    <a:fld id="{669361a6-254e-47e2-8bd7-bb8f7aee6216}" type="VALUE">
                      <a:t>[VALUE]</a:t>
                    </a:fld>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lang="ru-RU"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errBars>
            <c:errBarType val="both"/>
            <c:errValType val="stdErr"/>
            <c:noEndCap val="0"/>
            <c:spPr>
              <a:noFill/>
              <a:ln w="9525" cap="flat" cmpd="sng" algn="ctr">
                <a:solidFill>
                  <a:schemeClr val="tx1">
                    <a:lumMod val="65000"/>
                    <a:lumOff val="35000"/>
                  </a:schemeClr>
                </a:solidFill>
                <a:round/>
              </a:ln>
              <a:effectLst/>
            </c:spPr>
          </c:errBars>
          <c:cat>
            <c:strRef>
              <c:f>'[Biodegradation_Data 11111..xlsx]Fig. 2. Comparison of the numbe'!$A$2:$A$4</c:f>
              <c:strCache>
                <c:ptCount val="3"/>
                <c:pt idx="0">
                  <c:v>Бос клеткалар</c:v>
                </c:pt>
                <c:pt idx="1">
                  <c:v>КҚ</c:v>
                </c:pt>
                <c:pt idx="2">
                  <c:v>ҚҚ</c:v>
                </c:pt>
              </c:strCache>
            </c:strRef>
          </c:cat>
          <c:val>
            <c:numRef>
              <c:f>'[Biodegradation_Data 11111..xlsx]Fig. 2. Comparison of the numbe'!$C$2:$C$4</c:f>
              <c:numCache>
                <c:formatCode>@</c:formatCode>
                <c:ptCount val="3"/>
                <c:pt idx="0">
                  <c:v>5</c:v>
                </c:pt>
                <c:pt idx="1" c:formatCode="General">
                  <c:v>6.3</c:v>
                </c:pt>
                <c:pt idx="2" c:formatCode="General">
                  <c:v>7.3</c:v>
                </c:pt>
              </c:numCache>
            </c:numRef>
          </c:val>
        </c:ser>
        <c:dLbls>
          <c:showLegendKey val="0"/>
          <c:showVal val="0"/>
          <c:showCatName val="0"/>
          <c:showSerName val="0"/>
          <c:showPercent val="0"/>
          <c:showBubbleSize val="0"/>
        </c:dLbls>
        <c:gapWidth val="246"/>
        <c:overlap val="-28"/>
        <c:axId val="233561224"/>
        <c:axId val="233559264"/>
      </c:barChart>
      <c:catAx>
        <c:axId val="23356122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crossAx val="233559264"/>
        <c:crosses val="autoZero"/>
        <c:auto val="1"/>
        <c:lblAlgn val="ctr"/>
        <c:lblOffset val="100"/>
        <c:noMultiLvlLbl val="0"/>
      </c:catAx>
      <c:valAx>
        <c:axId val="233559264"/>
        <c:scaling>
          <c:orientation val="minMax"/>
        </c:scaling>
        <c:delete val="0"/>
        <c:axPos val="l"/>
        <c:majorGridlines>
          <c:spPr>
            <a:ln w="9525" cap="flat" cmpd="sng" algn="ctr">
              <a:solidFill>
                <a:schemeClr val="lt1">
                  <a:lumMod val="90200"/>
                </a:schemeClr>
              </a:solidFill>
              <a:round/>
            </a:ln>
            <a:effectLst/>
          </c:spPr>
        </c:majorGridlines>
        <c:title>
          <c:tx>
            <c:rich>
              <a:bodyPr rot="-5400000" spcFirstLastPara="0" vertOverflow="ellipsis" vert="horz" wrap="square" anchor="t" anchorCtr="1"/>
              <a:lstStyle/>
              <a:p>
                <a:pPr defTabSz="914400">
                  <a:defRPr lang="ru-RU" sz="1000" b="0" i="0" u="none" strike="noStrike" kern="1200" baseline="0">
                    <a:solidFill>
                      <a:schemeClr val="tx1">
                        <a:lumMod val="65000"/>
                        <a:lumOff val="35000"/>
                      </a:schemeClr>
                    </a:solidFill>
                    <a:latin typeface="+mn-lt"/>
                    <a:ea typeface="+mn-ea"/>
                    <a:cs typeface="+mn-cs"/>
                  </a:defRPr>
                </a:pPr>
                <a:r>
                  <a:rPr lang="en-US" altLang="en-US"/>
                  <a:t>Тірі микроорганизмдер саны</a:t>
                </a:r>
                <a:r>
                  <a:rPr lang="en-US" altLang="ru-RU"/>
                  <a:t>[·10⁶ </a:t>
                </a:r>
                <a:r>
                  <a:rPr lang="en-US" altLang="en-US"/>
                  <a:t>КТБ/г құрғақ заттағы</a:t>
                </a:r>
                <a:r>
                  <a:rPr lang="en-US" altLang="ru-RU"/>
                  <a:t>]</a:t>
                </a:r>
                <a:endParaRPr lang="en-US" altLang="ru-RU"/>
              </a:p>
            </c:rich>
          </c:tx>
          <c:layout>
            <c:manualLayout>
              <c:xMode val="edge"/>
              <c:yMode val="edge"/>
              <c:x val="0.0728394034367237"/>
              <c:y val="0.0552648837312712"/>
            </c:manualLayout>
          </c:layout>
          <c:overlay val="0"/>
          <c:spPr>
            <a:noFill/>
            <a:ln>
              <a:noFill/>
            </a:ln>
            <a:effectLst/>
          </c:spPr>
        </c:title>
        <c:numFmt formatCode="General" sourceLinked="1"/>
        <c:majorTickMark val="out"/>
        <c:minorTickMark val="none"/>
        <c:tickLblPos val="nextTo"/>
        <c:spPr>
          <a:noFill/>
          <a:ln>
            <a:solidFill>
              <a:schemeClr val="accent1"/>
            </a:solidFill>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crossAx val="233561224"/>
        <c:crosses val="autoZero"/>
        <c:crossBetween val="between"/>
      </c:valAx>
      <c:spPr>
        <a:noFill/>
        <a:ln>
          <a:noFill/>
        </a:ln>
        <a:effectLst/>
      </c:spPr>
    </c:plotArea>
    <c:legend>
      <c:legendPos val="b"/>
      <c:layout>
        <c:manualLayout>
          <c:xMode val="edge"/>
          <c:yMode val="edge"/>
          <c:x val="0.367684804928131"/>
          <c:y val="0.868703703703704"/>
          <c:w val="0.291067761806982"/>
          <c:h val="0.109074074074074"/>
        </c:manualLayout>
      </c:layout>
      <c:overlay val="0"/>
      <c:spPr>
        <a:noFill/>
        <a:ln>
          <a:noFill/>
        </a:ln>
        <a:effectLst/>
      </c:spPr>
      <c:txPr>
        <a:bodyPr rot="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fa8c52a-8ec5-4b81-8d8b-0c85f1524560}"/>
      </c:ext>
    </c:extLst>
  </c:chart>
  <c:spPr>
    <a:solidFill>
      <a:schemeClr val="bg1"/>
    </a:solidFill>
    <a:ln w="9525" cap="flat" cmpd="sng" algn="ctr">
      <a:solidFill>
        <a:schemeClr val="tx1">
          <a:lumMod val="15000"/>
          <a:lumOff val="85000"/>
        </a:schemeClr>
      </a:solidFill>
      <a:round/>
    </a:ln>
    <a:effectLst/>
  </c:spPr>
  <c:txPr>
    <a:bodyPr/>
    <a:lstStyle/>
    <a:p>
      <a:pPr>
        <a:defRPr lang="ru-RU"/>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'[Biodegradation_Data 11111..xlsx]Fig. 3. TPH decomposition '!$A$2</c:f>
              <c:strCache>
                <c:ptCount val="1"/>
                <c:pt idx="0">
                  <c:v>Б</c:v>
                </c:pt>
              </c:strCache>
            </c:strRef>
          </c:tx>
          <c:spPr>
            <a:ln w="12700" cap="rnd" cmpd="sng">
              <a:solidFill>
                <a:schemeClr val="accent4">
                  <a:lumMod val="50000"/>
                </a:schemeClr>
              </a:solidFill>
              <a:prstDash val="dash"/>
              <a:round/>
            </a:ln>
            <a:effectLst/>
          </c:spPr>
          <c:marker>
            <c:symbol val="plus"/>
            <c:size val="5"/>
            <c:spPr>
              <a:noFill/>
              <a:ln w="9525">
                <a:solidFill>
                  <a:schemeClr val="accent1"/>
                </a:solidFill>
              </a:ln>
              <a:effectLst/>
            </c:spPr>
          </c:marker>
          <c:dLbls>
            <c:delete val="1"/>
          </c:dLbls>
          <c:errBars>
            <c:errDir val="y"/>
            <c:errBarType val="both"/>
            <c:errValType val="stdErr"/>
            <c:noEndCap val="0"/>
            <c:spPr>
              <a:noFill/>
              <a:ln w="9525" cap="flat" cmpd="sng" algn="ctr">
                <a:solidFill>
                  <a:schemeClr val="tx1">
                    <a:lumMod val="65000"/>
                    <a:lumOff val="35000"/>
                  </a:schemeClr>
                </a:solidFill>
                <a:round/>
              </a:ln>
              <a:effectLst/>
            </c:spPr>
          </c:errBars>
          <c:cat>
            <c:numRef>
              <c:f>'[Biodegradation_Data 11111..xlsx]Fig. 3. TPH decomposition '!$B$1:$E$1</c:f>
              <c:numCache>
                <c:formatCode>General</c:formatCode>
                <c:ptCount val="4"/>
                <c:pt idx="0">
                  <c:v>0</c:v>
                </c:pt>
                <c:pt idx="1">
                  <c:v>15</c:v>
                </c:pt>
                <c:pt idx="2">
                  <c:v>30</c:v>
                </c:pt>
                <c:pt idx="3">
                  <c:v>45</c:v>
                </c:pt>
              </c:numCache>
            </c:numRef>
          </c:cat>
          <c:val>
            <c:numRef>
              <c:f>'[Biodegradation_Data 11111..xlsx]Fig. 3. TPH decomposition '!$B$2:$E$2</c:f>
              <c:numCache>
                <c:formatCode>General</c:formatCode>
                <c:ptCount val="4"/>
                <c:pt idx="0">
                  <c:v>0</c:v>
                </c:pt>
                <c:pt idx="1">
                  <c:v>3</c:v>
                </c:pt>
                <c:pt idx="2">
                  <c:v>6</c:v>
                </c:pt>
                <c:pt idx="3">
                  <c:v>8</c:v>
                </c:pt>
              </c:numCache>
            </c:numRef>
          </c:val>
          <c:smooth val="0"/>
        </c:ser>
        <c:ser>
          <c:idx val="1"/>
          <c:order val="1"/>
          <c:tx>
            <c:strRef>
              <c:f>'[Biodegradation_Data 11111..xlsx]Fig. 3. TPH decomposition '!$A$3</c:f>
              <c:strCache>
                <c:ptCount val="1"/>
                <c:pt idx="0">
                  <c:v>AБ</c:v>
                </c:pt>
              </c:strCache>
            </c:strRef>
          </c:tx>
          <c:spPr>
            <a:ln w="12700" cap="rnd" cmpd="sng">
              <a:solidFill>
                <a:schemeClr val="tx1">
                  <a:lumMod val="85000"/>
                  <a:lumOff val="15000"/>
                </a:schemeClr>
              </a:solidFill>
              <a:prstDash val="lgDash"/>
              <a:round/>
            </a:ln>
            <a:effectLst/>
          </c:spPr>
          <c:marker>
            <c:symbol val="circle"/>
            <c:size val="5"/>
            <c:spPr>
              <a:solidFill>
                <a:schemeClr val="tx1">
                  <a:lumMod val="75000"/>
                  <a:lumOff val="25000"/>
                </a:schemeClr>
              </a:solidFill>
              <a:ln w="9525">
                <a:solidFill>
                  <a:schemeClr val="bg2">
                    <a:lumMod val="50000"/>
                  </a:schemeClr>
                </a:solidFill>
              </a:ln>
              <a:effectLst/>
            </c:spPr>
          </c:marker>
          <c:dLbls>
            <c:dLbl>
              <c:idx val="0"/>
              <c:delete val="1"/>
            </c:dLbl>
            <c:dLbl>
              <c:idx val="1"/>
              <c:delete val="1"/>
            </c:dLbl>
            <c:dLbl>
              <c:idx val="2"/>
              <c:delete val="1"/>
            </c:dLbl>
            <c:dLbl>
              <c:idx val="3"/>
              <c:layout/>
              <c:tx>
                <c:rich>
                  <a:bodyPr rot="0" spcFirstLastPara="1" vertOverflow="ellipsis" vert="horz" wrap="square" lIns="38100" tIns="19050" rIns="38100" bIns="19050" anchor="ctr" anchorCtr="1"/>
                  <a:lstStyle/>
                  <a:p>
                    <a:pPr>
                      <a:defRPr lang="ru-RU" sz="1000" b="0" i="0" u="none" strike="noStrike" kern="1200" baseline="0">
                        <a:solidFill>
                          <a:schemeClr val="tx1">
                            <a:lumMod val="75000"/>
                            <a:lumOff val="25000"/>
                          </a:schemeClr>
                        </a:solidFill>
                        <a:latin typeface="+mn-lt"/>
                        <a:ea typeface="+mn-ea"/>
                        <a:cs typeface="+mn-cs"/>
                      </a:defRPr>
                    </a:pPr>
                    <a:r>
                      <a:rPr lang="en-US" altLang="ru-RU"/>
                      <a:t>d</a:t>
                    </a:r>
                    <a:endParaRPr lang="en-US" altLang="ru-RU"/>
                  </a:p>
                </c:rich>
              </c:tx>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lang="ru-RU" sz="1000" b="0" i="0" u="none" strike="noStrike" kern="1200" baseline="0">
                    <a:solidFill>
                      <a:schemeClr val="tx1">
                        <a:lumMod val="75000"/>
                        <a:lumOff val="25000"/>
                      </a:schemeClr>
                    </a:solidFill>
                    <a:latin typeface="+mn-lt"/>
                    <a:ea typeface="+mn-ea"/>
                    <a:cs typeface="+mn-cs"/>
                  </a:defRPr>
                </a:pPr>
              </a:p>
            </c:txPr>
            <c:dLblPos val="r"/>
            <c:showLegendKey val="0"/>
            <c:showVal val="0"/>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errBars>
            <c:errDir val="y"/>
            <c:errBarType val="both"/>
            <c:errValType val="stdErr"/>
            <c:noEndCap val="0"/>
            <c:spPr>
              <a:noFill/>
              <a:ln w="9525" cap="flat" cmpd="sng" algn="ctr">
                <a:solidFill>
                  <a:schemeClr val="tx1">
                    <a:lumMod val="65000"/>
                    <a:lumOff val="35000"/>
                  </a:schemeClr>
                </a:solidFill>
                <a:round/>
              </a:ln>
              <a:effectLst/>
            </c:spPr>
          </c:errBars>
          <c:cat>
            <c:numRef>
              <c:f>'[Biodegradation_Data 11111..xlsx]Fig. 3. TPH decomposition '!$B$1:$E$1</c:f>
              <c:numCache>
                <c:formatCode>General</c:formatCode>
                <c:ptCount val="4"/>
                <c:pt idx="0">
                  <c:v>0</c:v>
                </c:pt>
                <c:pt idx="1">
                  <c:v>15</c:v>
                </c:pt>
                <c:pt idx="2">
                  <c:v>30</c:v>
                </c:pt>
                <c:pt idx="3">
                  <c:v>45</c:v>
                </c:pt>
              </c:numCache>
            </c:numRef>
          </c:cat>
          <c:val>
            <c:numRef>
              <c:f>'[Biodegradation_Data 11111..xlsx]Fig. 3. TPH decomposition '!$B$3:$E$3</c:f>
              <c:numCache>
                <c:formatCode>General</c:formatCode>
                <c:ptCount val="4"/>
                <c:pt idx="0">
                  <c:v>0</c:v>
                </c:pt>
                <c:pt idx="1">
                  <c:v>2</c:v>
                </c:pt>
                <c:pt idx="2">
                  <c:v>4</c:v>
                </c:pt>
                <c:pt idx="3">
                  <c:v>6</c:v>
                </c:pt>
              </c:numCache>
            </c:numRef>
          </c:val>
          <c:smooth val="0"/>
        </c:ser>
        <c:ser>
          <c:idx val="2"/>
          <c:order val="2"/>
          <c:tx>
            <c:strRef>
              <c:f>'[Biodegradation_Data 11111..xlsx]Fig. 3. TPH decomposition '!$A$4</c:f>
              <c:strCache>
                <c:ptCount val="1"/>
                <c:pt idx="0">
                  <c:v>ТБ</c:v>
                </c:pt>
              </c:strCache>
            </c:strRef>
          </c:tx>
          <c:spPr>
            <a:ln w="12700" cap="rnd" cmpd="sng">
              <a:solidFill>
                <a:schemeClr val="bg2">
                  <a:lumMod val="50000"/>
                </a:schemeClr>
              </a:solidFill>
              <a:prstDash val="dashDot"/>
              <a:round/>
            </a:ln>
            <a:effectLst/>
          </c:spPr>
          <c:marker>
            <c:symbol val="x"/>
            <c:size val="5"/>
            <c:spPr>
              <a:solidFill>
                <a:schemeClr val="tx1">
                  <a:lumMod val="85000"/>
                  <a:lumOff val="15000"/>
                </a:schemeClr>
              </a:solidFill>
              <a:ln w="9525">
                <a:solidFill>
                  <a:schemeClr val="accent3"/>
                </a:solidFill>
              </a:ln>
              <a:effectLst/>
            </c:spPr>
          </c:marker>
          <c:dLbls>
            <c:dLbl>
              <c:idx val="0"/>
              <c:delete val="1"/>
            </c:dLbl>
            <c:dLbl>
              <c:idx val="1"/>
              <c:delete val="1"/>
            </c:dLbl>
            <c:dLbl>
              <c:idx val="2"/>
              <c:delete val="1"/>
            </c:dLbl>
            <c:dLbl>
              <c:idx val="3"/>
              <c:layout>
                <c:manualLayout>
                  <c:x val="0.00131578947368421"/>
                  <c:y val="-0.0160919540229885"/>
                </c:manualLayout>
              </c:layout>
              <c:tx>
                <c:rich>
                  <a:bodyPr rot="0" spcFirstLastPara="1" vertOverflow="ellipsis" vert="horz" wrap="square" lIns="38100" tIns="19050" rIns="38100" bIns="19050" anchor="ctr" anchorCtr="1"/>
                  <a:lstStyle/>
                  <a:p>
                    <a:pPr>
                      <a:defRPr lang="ru-RU" sz="1000" b="0" i="0" u="none" strike="noStrike" kern="1200" baseline="0">
                        <a:solidFill>
                          <a:schemeClr val="tx1">
                            <a:lumMod val="75000"/>
                            <a:lumOff val="25000"/>
                          </a:schemeClr>
                        </a:solidFill>
                        <a:latin typeface="+mn-lt"/>
                        <a:ea typeface="+mn-ea"/>
                        <a:cs typeface="+mn-cs"/>
                      </a:defRPr>
                    </a:pPr>
                    <a:r>
                      <a:rPr lang="en-US" altLang="ru-RU"/>
                      <a:t>d</a:t>
                    </a:r>
                    <a:endParaRPr lang="en-US" altLang="ru-RU"/>
                  </a:p>
                </c:rich>
              </c:tx>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ru-RU" sz="1000" b="0" i="0" u="none" strike="noStrike" kern="1200" baseline="0">
                    <a:solidFill>
                      <a:schemeClr val="tx1">
                        <a:lumMod val="75000"/>
                        <a:lumOff val="25000"/>
                      </a:schemeClr>
                    </a:solidFill>
                    <a:latin typeface="+mn-lt"/>
                    <a:ea typeface="+mn-ea"/>
                    <a:cs typeface="+mn-cs"/>
                  </a:defRPr>
                </a:pPr>
              </a:p>
            </c:txPr>
            <c:dLblPos val="r"/>
            <c:showLegendKey val="0"/>
            <c:showVal val="0"/>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errBars>
            <c:errDir val="y"/>
            <c:errBarType val="both"/>
            <c:errValType val="stdErr"/>
            <c:noEndCap val="0"/>
            <c:spPr>
              <a:noFill/>
              <a:ln w="9525" cap="flat" cmpd="sng" algn="ctr">
                <a:solidFill>
                  <a:schemeClr val="tx1">
                    <a:lumMod val="65000"/>
                    <a:lumOff val="35000"/>
                  </a:schemeClr>
                </a:solidFill>
                <a:round/>
              </a:ln>
              <a:effectLst/>
            </c:spPr>
          </c:errBars>
          <c:cat>
            <c:numRef>
              <c:f>'[Biodegradation_Data 11111..xlsx]Fig. 3. TPH decomposition '!$B$1:$E$1</c:f>
              <c:numCache>
                <c:formatCode>General</c:formatCode>
                <c:ptCount val="4"/>
                <c:pt idx="0">
                  <c:v>0</c:v>
                </c:pt>
                <c:pt idx="1">
                  <c:v>15</c:v>
                </c:pt>
                <c:pt idx="2">
                  <c:v>30</c:v>
                </c:pt>
                <c:pt idx="3">
                  <c:v>45</c:v>
                </c:pt>
              </c:numCache>
            </c:numRef>
          </c:cat>
          <c:val>
            <c:numRef>
              <c:f>'[Biodegradation_Data 11111..xlsx]Fig. 3. TPH decomposition '!$B$4:$E$4</c:f>
              <c:numCache>
                <c:formatCode>General</c:formatCode>
                <c:ptCount val="4"/>
                <c:pt idx="0">
                  <c:v>0</c:v>
                </c:pt>
                <c:pt idx="1">
                  <c:v>5</c:v>
                </c:pt>
                <c:pt idx="2">
                  <c:v>9</c:v>
                </c:pt>
                <c:pt idx="3">
                  <c:v>12</c:v>
                </c:pt>
              </c:numCache>
            </c:numRef>
          </c:val>
          <c:smooth val="0"/>
        </c:ser>
        <c:ser>
          <c:idx val="3"/>
          <c:order val="3"/>
          <c:tx>
            <c:strRef>
              <c:f>'[Biodegradation_Data 11111..xlsx]Fig. 3. TPH decomposition '!$A$5</c:f>
              <c:strCache>
                <c:ptCount val="1"/>
                <c:pt idx="0">
                  <c:v>БК</c:v>
                </c:pt>
              </c:strCache>
            </c:strRef>
          </c:tx>
          <c:spPr>
            <a:ln w="25400" cap="rnd" cmpd="sng">
              <a:solidFill>
                <a:srgbClr val="00B050"/>
              </a:solidFill>
              <a:prstDash val="sysDot"/>
              <a:round/>
            </a:ln>
            <a:effectLst/>
          </c:spPr>
          <c:marker>
            <c:symbol val="diamond"/>
            <c:size val="5"/>
            <c:spPr>
              <a:solidFill>
                <a:schemeClr val="tx1">
                  <a:lumMod val="65000"/>
                  <a:lumOff val="35000"/>
                </a:schemeClr>
              </a:solidFill>
              <a:ln w="9525">
                <a:solidFill>
                  <a:schemeClr val="bg2">
                    <a:lumMod val="50000"/>
                  </a:schemeClr>
                </a:solidFill>
              </a:ln>
              <a:effectLst/>
            </c:spPr>
          </c:marker>
          <c:dLbls>
            <c:dLbl>
              <c:idx val="0"/>
              <c:delete val="1"/>
            </c:dLbl>
            <c:dLbl>
              <c:idx val="1"/>
              <c:delete val="1"/>
            </c:dLbl>
            <c:dLbl>
              <c:idx val="2"/>
              <c:delete val="1"/>
            </c:dLbl>
            <c:dLbl>
              <c:idx val="3"/>
              <c:layout/>
              <c:tx>
                <c:rich>
                  <a:bodyPr rot="0" spcFirstLastPara="1" vertOverflow="ellipsis" vert="horz" wrap="square" lIns="38100" tIns="19050" rIns="38100" bIns="19050" anchor="ctr" anchorCtr="1"/>
                  <a:lstStyle/>
                  <a:p>
                    <a:pPr>
                      <a:defRPr lang="ru-RU" sz="1000" b="0" i="0" u="none" strike="noStrike" kern="1200" baseline="0">
                        <a:solidFill>
                          <a:schemeClr val="tx1">
                            <a:lumMod val="75000"/>
                            <a:lumOff val="25000"/>
                          </a:schemeClr>
                        </a:solidFill>
                        <a:latin typeface="+mn-lt"/>
                        <a:ea typeface="+mn-ea"/>
                        <a:cs typeface="+mn-cs"/>
                      </a:defRPr>
                    </a:pPr>
                    <a:r>
                      <a:rPr lang="en-US" altLang="ru-RU"/>
                      <a:t>c</a:t>
                    </a:r>
                    <a:endParaRPr lang="en-US" altLang="ru-RU"/>
                  </a:p>
                </c:rich>
              </c:tx>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lang="ru-RU" sz="1000" b="0" i="0" u="none" strike="noStrike" kern="1200" baseline="0">
                    <a:solidFill>
                      <a:schemeClr val="tx1">
                        <a:lumMod val="75000"/>
                        <a:lumOff val="25000"/>
                      </a:schemeClr>
                    </a:solidFill>
                    <a:latin typeface="+mn-lt"/>
                    <a:ea typeface="+mn-ea"/>
                    <a:cs typeface="+mn-cs"/>
                  </a:defRPr>
                </a:pPr>
              </a:p>
            </c:txPr>
            <c:dLblPos val="r"/>
            <c:showLegendKey val="0"/>
            <c:showVal val="0"/>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errBars>
            <c:errDir val="y"/>
            <c:errBarType val="both"/>
            <c:errValType val="stdErr"/>
            <c:noEndCap val="0"/>
            <c:spPr>
              <a:noFill/>
              <a:ln w="9525" cap="flat" cmpd="sng" algn="ctr">
                <a:solidFill>
                  <a:schemeClr val="tx1">
                    <a:lumMod val="65000"/>
                    <a:lumOff val="35000"/>
                  </a:schemeClr>
                </a:solidFill>
                <a:round/>
              </a:ln>
              <a:effectLst/>
            </c:spPr>
          </c:errBars>
          <c:cat>
            <c:numRef>
              <c:f>'[Biodegradation_Data 11111..xlsx]Fig. 3. TPH decomposition '!$B$1:$E$1</c:f>
              <c:numCache>
                <c:formatCode>General</c:formatCode>
                <c:ptCount val="4"/>
                <c:pt idx="0">
                  <c:v>0</c:v>
                </c:pt>
                <c:pt idx="1">
                  <c:v>15</c:v>
                </c:pt>
                <c:pt idx="2">
                  <c:v>30</c:v>
                </c:pt>
                <c:pt idx="3">
                  <c:v>45</c:v>
                </c:pt>
              </c:numCache>
            </c:numRef>
          </c:cat>
          <c:val>
            <c:numRef>
              <c:f>'[Biodegradation_Data 11111..xlsx]Fig. 3. TPH decomposition '!$B$5:$E$5</c:f>
              <c:numCache>
                <c:formatCode>General</c:formatCode>
                <c:ptCount val="4"/>
                <c:pt idx="0">
                  <c:v>0</c:v>
                </c:pt>
                <c:pt idx="1">
                  <c:v>14</c:v>
                </c:pt>
                <c:pt idx="2">
                  <c:v>27</c:v>
                </c:pt>
                <c:pt idx="3">
                  <c:v>38</c:v>
                </c:pt>
              </c:numCache>
            </c:numRef>
          </c:val>
          <c:smooth val="0"/>
        </c:ser>
        <c:ser>
          <c:idx val="4"/>
          <c:order val="4"/>
          <c:tx>
            <c:strRef>
              <c:f>'[Biodegradation_Data 11111..xlsx]Fig. 3. TPH decomposition '!$A$6</c:f>
              <c:strCache>
                <c:ptCount val="1"/>
                <c:pt idx="0">
                  <c:v>ҚҚ иммобилизация</c:v>
                </c:pt>
              </c:strCache>
            </c:strRef>
          </c:tx>
          <c:spPr>
            <a:ln w="25400" cap="flat" cmpd="sng">
              <a:solidFill>
                <a:schemeClr val="accent1">
                  <a:lumMod val="50000"/>
                </a:schemeClr>
              </a:solidFill>
              <a:prstDash val="solid"/>
              <a:round/>
            </a:ln>
            <a:effectLst/>
          </c:spPr>
          <c:marker>
            <c:symbol val="triangle"/>
            <c:size val="6"/>
            <c:spPr>
              <a:solidFill>
                <a:schemeClr val="accent5"/>
              </a:solidFill>
              <a:ln w="9525">
                <a:solidFill>
                  <a:schemeClr val="accent5"/>
                </a:solidFill>
              </a:ln>
              <a:effectLst/>
            </c:spPr>
          </c:marker>
          <c:dLbls>
            <c:dLbl>
              <c:idx val="0"/>
              <c:delete val="1"/>
            </c:dLbl>
            <c:dLbl>
              <c:idx val="1"/>
              <c:delete val="1"/>
            </c:dLbl>
            <c:dLbl>
              <c:idx val="2"/>
              <c:delete val="1"/>
            </c:dLbl>
            <c:dLbl>
              <c:idx val="3"/>
              <c:layout/>
              <c:tx>
                <c:rich>
                  <a:bodyPr rot="0" spcFirstLastPara="1" vertOverflow="ellipsis" vert="horz" wrap="square" lIns="38100" tIns="19050" rIns="38100" bIns="19050" anchor="ctr" anchorCtr="1"/>
                  <a:lstStyle/>
                  <a:p>
                    <a:pPr>
                      <a:defRPr lang="ru-RU" sz="1000" b="0" i="0" u="none" strike="noStrike" kern="1200" baseline="0">
                        <a:solidFill>
                          <a:schemeClr val="tx1">
                            <a:lumMod val="75000"/>
                            <a:lumOff val="25000"/>
                          </a:schemeClr>
                        </a:solidFill>
                        <a:latin typeface="+mn-lt"/>
                        <a:ea typeface="+mn-ea"/>
                        <a:cs typeface="+mn-cs"/>
                      </a:defRPr>
                    </a:pPr>
                    <a:r>
                      <a:rPr lang="en-US" altLang="ru-RU"/>
                      <a:t>a</a:t>
                    </a:r>
                    <a:endParaRPr lang="en-US" altLang="ru-RU"/>
                  </a:p>
                </c:rich>
              </c:tx>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lang="ru-RU" sz="1000" b="0" i="0" u="none" strike="noStrike" kern="1200" baseline="0">
                    <a:solidFill>
                      <a:schemeClr val="tx1">
                        <a:lumMod val="75000"/>
                        <a:lumOff val="25000"/>
                      </a:schemeClr>
                    </a:solidFill>
                    <a:latin typeface="+mn-lt"/>
                    <a:ea typeface="+mn-ea"/>
                    <a:cs typeface="+mn-cs"/>
                  </a:defRPr>
                </a:pPr>
              </a:p>
            </c:txPr>
            <c:dLblPos val="r"/>
            <c:showLegendKey val="0"/>
            <c:showVal val="0"/>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'[Biodegradation_Data 11111..xlsx]Fig. 3. TPH decomposition '!$B$1:$E$1</c:f>
              <c:numCache>
                <c:formatCode>General</c:formatCode>
                <c:ptCount val="4"/>
                <c:pt idx="0">
                  <c:v>0</c:v>
                </c:pt>
                <c:pt idx="1">
                  <c:v>15</c:v>
                </c:pt>
                <c:pt idx="2">
                  <c:v>30</c:v>
                </c:pt>
                <c:pt idx="3">
                  <c:v>45</c:v>
                </c:pt>
              </c:numCache>
            </c:numRef>
          </c:cat>
          <c:val>
            <c:numRef>
              <c:f>'[Biodegradation_Data 11111..xlsx]Fig. 3. TPH decomposition '!$B$6:$E$6</c:f>
              <c:numCache>
                <c:formatCode>General</c:formatCode>
                <c:ptCount val="4"/>
                <c:pt idx="0">
                  <c:v>0</c:v>
                </c:pt>
                <c:pt idx="1">
                  <c:v>22</c:v>
                </c:pt>
                <c:pt idx="2">
                  <c:v>41</c:v>
                </c:pt>
                <c:pt idx="3">
                  <c:v>58</c:v>
                </c:pt>
              </c:numCache>
            </c:numRef>
          </c:val>
          <c:smooth val="0"/>
        </c:ser>
        <c:ser>
          <c:idx val="5"/>
          <c:order val="5"/>
          <c:tx>
            <c:strRef>
              <c:f>'[Biodegradation_Data 11111..xlsx]Fig. 3. TPH decomposition '!$A$7</c:f>
              <c:strCache>
                <c:ptCount val="1"/>
                <c:pt idx="0">
                  <c:v>КҚ иммобилизация</c:v>
                </c:pt>
              </c:strCache>
            </c:strRef>
          </c:tx>
          <c:spPr>
            <a:ln w="25400" cap="rnd" cmpd="sng">
              <a:solidFill>
                <a:srgbClr val="FF0000"/>
              </a:solidFill>
              <a:prstDash val="sysDash"/>
              <a:round/>
            </a:ln>
            <a:effectLst/>
          </c:spPr>
          <c:marker>
            <c:symbol val="square"/>
            <c:size val="6"/>
            <c:spPr>
              <a:solidFill>
                <a:schemeClr val="tx1">
                  <a:lumMod val="65000"/>
                  <a:lumOff val="35000"/>
                </a:schemeClr>
              </a:solidFill>
              <a:ln w="28575" cmpd="sng">
                <a:solidFill>
                  <a:schemeClr val="tx1">
                    <a:lumMod val="50000"/>
                    <a:lumOff val="50000"/>
                  </a:schemeClr>
                </a:solidFill>
                <a:prstDash val="sysDot"/>
              </a:ln>
              <a:effectLst/>
            </c:spPr>
          </c:marker>
          <c:dLbls>
            <c:dLbl>
              <c:idx val="0"/>
              <c:delete val="1"/>
            </c:dLbl>
            <c:dLbl>
              <c:idx val="1"/>
              <c:delete val="1"/>
            </c:dLbl>
            <c:dLbl>
              <c:idx val="2"/>
              <c:delete val="1"/>
            </c:dLbl>
            <c:dLbl>
              <c:idx val="3"/>
              <c:layout/>
              <c:tx>
                <c:rich>
                  <a:bodyPr rot="0" spcFirstLastPara="1" vertOverflow="ellipsis" vert="horz" wrap="square" lIns="38100" tIns="19050" rIns="38100" bIns="19050" anchor="ctr" anchorCtr="1"/>
                  <a:lstStyle/>
                  <a:p>
                    <a:pPr>
                      <a:defRPr lang="ru-RU" sz="1000" b="0" i="0" u="none" strike="noStrike" kern="1200" baseline="0">
                        <a:solidFill>
                          <a:schemeClr val="tx1">
                            <a:lumMod val="75000"/>
                            <a:lumOff val="25000"/>
                          </a:schemeClr>
                        </a:solidFill>
                        <a:latin typeface="+mn-lt"/>
                        <a:ea typeface="+mn-ea"/>
                        <a:cs typeface="+mn-cs"/>
                      </a:defRPr>
                    </a:pPr>
                    <a:r>
                      <a:rPr lang="en-US" altLang="ru-RU"/>
                      <a:t>b</a:t>
                    </a:r>
                    <a:endParaRPr lang="en-US" altLang="ru-RU"/>
                  </a:p>
                </c:rich>
              </c:tx>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lang="ru-RU" sz="1000" b="0" i="0" u="none" strike="noStrike" kern="1200" baseline="0">
                    <a:solidFill>
                      <a:schemeClr val="tx1">
                        <a:lumMod val="75000"/>
                        <a:lumOff val="25000"/>
                      </a:schemeClr>
                    </a:solidFill>
                    <a:latin typeface="+mn-lt"/>
                    <a:ea typeface="+mn-ea"/>
                    <a:cs typeface="+mn-cs"/>
                  </a:defRPr>
                </a:pPr>
              </a:p>
            </c:txPr>
            <c:dLblPos val="r"/>
            <c:showLegendKey val="0"/>
            <c:showVal val="0"/>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'[Biodegradation_Data 11111..xlsx]Fig. 3. TPH decomposition '!$B$1:$E$1</c:f>
              <c:numCache>
                <c:formatCode>General</c:formatCode>
                <c:ptCount val="4"/>
                <c:pt idx="0">
                  <c:v>0</c:v>
                </c:pt>
                <c:pt idx="1">
                  <c:v>15</c:v>
                </c:pt>
                <c:pt idx="2">
                  <c:v>30</c:v>
                </c:pt>
                <c:pt idx="3">
                  <c:v>45</c:v>
                </c:pt>
              </c:numCache>
            </c:numRef>
          </c:cat>
          <c:val>
            <c:numRef>
              <c:f>'[Biodegradation_Data 11111..xlsx]Fig. 3. TPH decomposition '!$B$7:$E$7</c:f>
              <c:numCache>
                <c:formatCode>General</c:formatCode>
                <c:ptCount val="4"/>
                <c:pt idx="0">
                  <c:v>0</c:v>
                </c:pt>
                <c:pt idx="1">
                  <c:v>19</c:v>
                </c:pt>
                <c:pt idx="2">
                  <c:v>37</c:v>
                </c:pt>
                <c:pt idx="3">
                  <c:v>52</c:v>
                </c:pt>
              </c:numCache>
            </c:numRef>
          </c:val>
          <c:smooth val="0"/>
        </c:ser>
        <c:dLbls>
          <c:showLegendKey val="0"/>
          <c:showVal val="0"/>
          <c:showCatName val="0"/>
          <c:showSerName val="0"/>
          <c:showPercent val="0"/>
          <c:showBubbleSize val="0"/>
        </c:dLbls>
        <c:marker val="1"/>
        <c:smooth val="0"/>
        <c:axId val="233558480"/>
        <c:axId val="233558872"/>
      </c:lineChart>
      <c:catAx>
        <c:axId val="233558480"/>
        <c:scaling>
          <c:orientation val="minMax"/>
        </c:scaling>
        <c:delete val="0"/>
        <c:axPos val="b"/>
        <c:title>
          <c:tx>
            <c:rich>
              <a:bodyPr rot="0" spcFirstLastPara="0" vertOverflow="ellipsis" vert="horz" wrap="square" anchor="ctr" anchorCtr="1"/>
              <a:lstStyle/>
              <a:p>
                <a:pPr defTabSz="914400">
                  <a:defRPr lang="ru-RU" sz="1000" b="0" i="0" u="none" strike="noStrike" kern="1200" baseline="0">
                    <a:solidFill>
                      <a:schemeClr val="tx1">
                        <a:lumMod val="65000"/>
                        <a:lumOff val="35000"/>
                      </a:schemeClr>
                    </a:solidFill>
                    <a:latin typeface="+mn-lt"/>
                    <a:ea typeface="+mn-ea"/>
                    <a:cs typeface="+mn-cs"/>
                  </a:defRPr>
                </a:pPr>
                <a:r>
                  <a:rPr lang="ru-RU" altLang="en-US"/>
                  <a:t>Уа</a:t>
                </a:r>
                <a:r>
                  <a:rPr lang="ru-RU" altLang="ru-RU"/>
                  <a:t>қыт [</a:t>
                </a:r>
                <a:r>
                  <a:rPr lang="ru-RU" altLang="en-US"/>
                  <a:t>күндер</a:t>
                </a:r>
                <a:r>
                  <a:rPr lang="ru-RU" altLang="ru-RU"/>
                  <a:t>]</a:t>
                </a:r>
                <a:endParaRPr lang="ru-RU" altLang="ru-RU"/>
              </a:p>
            </c:rich>
          </c:tx>
          <c:layout>
            <c:manualLayout>
              <c:xMode val="edge"/>
              <c:yMode val="edge"/>
              <c:x val="0.471355263157895"/>
              <c:y val="0.762528735632184"/>
            </c:manualLayout>
          </c:layout>
          <c:overlay val="0"/>
          <c:spPr>
            <a:noFill/>
            <a:ln>
              <a:noFill/>
            </a:ln>
            <a:effectLst/>
          </c:spPr>
        </c:title>
        <c:numFmt formatCode="General" sourceLinked="0"/>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crossAx val="233558872"/>
        <c:crosses val="autoZero"/>
        <c:auto val="1"/>
        <c:lblAlgn val="ctr"/>
        <c:lblOffset val="100"/>
        <c:noMultiLvlLbl val="0"/>
      </c:catAx>
      <c:valAx>
        <c:axId val="233558872"/>
        <c:scaling>
          <c:orientation val="minMax"/>
          <c:max val="100"/>
          <c:min val="0"/>
        </c:scaling>
        <c:delete val="0"/>
        <c:axPos val="l"/>
        <c:majorGridlines>
          <c:spPr>
            <a:ln w="9525" cap="flat" cmpd="sng" algn="ctr">
              <a:solidFill>
                <a:schemeClr val="lt1">
                  <a:lumMod val="90200"/>
                </a:schemeClr>
              </a:solidFill>
              <a:round/>
            </a:ln>
            <a:effectLst/>
          </c:spPr>
        </c:majorGridlines>
        <c:title>
          <c:tx>
            <c:rich>
              <a:bodyPr rot="-5400000" spcFirstLastPara="0" vertOverflow="ellipsis" vert="horz" wrap="square" anchor="ctr" anchorCtr="1"/>
              <a:lstStyle/>
              <a:p>
                <a:pPr defTabSz="914400">
                  <a:defRPr lang="ru-RU" sz="1000" b="0" i="0" u="none" strike="noStrike" kern="1200" baseline="0">
                    <a:solidFill>
                      <a:schemeClr val="tx1">
                        <a:lumMod val="65000"/>
                        <a:lumOff val="35000"/>
                      </a:schemeClr>
                    </a:solidFill>
                    <a:latin typeface="+mn-lt"/>
                    <a:ea typeface="+mn-ea"/>
                    <a:cs typeface="+mn-cs"/>
                  </a:defRPr>
                </a:pPr>
                <a:r>
                  <a:rPr lang="ru-RU" altLang="en-US"/>
                  <a:t>ЖМӨ деструкциясы %;</a:t>
                </a:r>
                <a:endParaRPr lang="ru-RU" altLang="en-US"/>
              </a:p>
            </c:rich>
          </c:tx>
          <c:layout>
            <c:manualLayout>
              <c:xMode val="edge"/>
              <c:yMode val="edge"/>
              <c:x val="0.0289473684210526"/>
              <c:y val="0.160045977011494"/>
            </c:manualLayout>
          </c:layout>
          <c:overlay val="0"/>
          <c:spPr>
            <a:noFill/>
            <a:ln>
              <a:noFill/>
            </a:ln>
            <a:effectLst/>
          </c:spPr>
        </c:title>
        <c:numFmt formatCode="General" sourceLinked="1"/>
        <c:majorTickMark val="none"/>
        <c:minorTickMark val="none"/>
        <c:tickLblPos val="nextTo"/>
        <c:spPr>
          <a:noFill/>
          <a:ln w="9525" cmpd="sng">
            <a:solidFill>
              <a:schemeClr val="accent1">
                <a:alpha val="85000"/>
              </a:schemeClr>
            </a:solidFill>
            <a:prstDash val="soli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crossAx val="233558480"/>
        <c:crosses val="autoZero"/>
        <c:crossBetween val="between"/>
        <c:majorUnit val="10"/>
      </c:valAx>
      <c:spPr>
        <a:noFill/>
        <a:ln>
          <a:noFill/>
        </a:ln>
        <a:effectLst/>
      </c:spPr>
    </c:plotArea>
    <c:legend>
      <c:legendPos val="b"/>
      <c:layout>
        <c:manualLayout>
          <c:xMode val="edge"/>
          <c:yMode val="edge"/>
          <c:x val="0.0815789473684211"/>
          <c:y val="0.871724137931035"/>
          <c:w val="0.863684210526316"/>
          <c:h val="0.100459770114943"/>
        </c:manualLayout>
      </c:layout>
      <c:overlay val="0"/>
      <c:spPr>
        <a:noFill/>
        <a:ln>
          <a:noFill/>
        </a:ln>
        <a:effectLst/>
      </c:spPr>
      <c:txPr>
        <a:bodyPr rot="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b3cbc2a-683d-4720-977f-29695a9ede06}"/>
      </c:ext>
    </c:extLst>
  </c:chart>
  <c:spPr>
    <a:solidFill>
      <a:schemeClr val="bg1"/>
    </a:solidFill>
    <a:ln w="9525" cap="flat" cmpd="sng" algn="ctr">
      <a:solidFill>
        <a:schemeClr val="tx1">
          <a:lumMod val="15000"/>
          <a:lumOff val="85000"/>
        </a:schemeClr>
      </a:solidFill>
      <a:round/>
    </a:ln>
    <a:effectLst/>
  </c:spPr>
  <c:txPr>
    <a:bodyPr/>
    <a:lstStyle/>
    <a:p>
      <a:pPr>
        <a:defRPr lang="ru-RU"/>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'[Biodegradation_Data 11111..xlsx]Fig. 4. Degradation efficiency '!$B$1</c:f>
              <c:strCache>
                <c:ptCount val="1"/>
                <c:pt idx="0">
                  <c:v>Degradation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ru-RU"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'[Biodegradation_Data 11111..xlsx]Fig. 4. Degradation efficiency '!$E$3:$E$8</c:f>
                <c:numCache>
                  <c:formatCode>General</c:formatCode>
                  <c:ptCount val="6"/>
                  <c:pt idx="0">
                    <c:v>3.8</c:v>
                  </c:pt>
                  <c:pt idx="1">
                    <c:v>3.2</c:v>
                  </c:pt>
                  <c:pt idx="2">
                    <c:v>4.1</c:v>
                  </c:pt>
                  <c:pt idx="3">
                    <c:v>7.2</c:v>
                  </c:pt>
                  <c:pt idx="4">
                    <c:v>5.8</c:v>
                  </c:pt>
                  <c:pt idx="5">
                    <c:v>7.9</c:v>
                  </c:pt>
                </c:numCache>
              </c:numRef>
            </c:plus>
            <c:minus>
              <c:numRef>
                <c:f>'[Biodegradation_Data 11111..xlsx]Fig. 4. Degradation efficiency '!$E$3:$E$8</c:f>
                <c:numCache>
                  <c:formatCode>General</c:formatCode>
                  <c:ptCount val="6"/>
                  <c:pt idx="0">
                    <c:v>3.8</c:v>
                  </c:pt>
                  <c:pt idx="1">
                    <c:v>3.2</c:v>
                  </c:pt>
                  <c:pt idx="2">
                    <c:v>4.1</c:v>
                  </c:pt>
                  <c:pt idx="3">
                    <c:v>7.2</c:v>
                  </c:pt>
                  <c:pt idx="4">
                    <c:v>5.8</c:v>
                  </c:pt>
                  <c:pt idx="5">
                    <c:v>7.9</c:v>
                  </c:pt>
                </c:numCache>
              </c:numRef>
            </c:minus>
            <c:spPr>
              <a:noFill/>
              <a:ln w="9525" cap="flat" cmpd="sng" algn="ctr">
                <a:solidFill>
                  <a:schemeClr val="tx1">
                    <a:lumMod val="65000"/>
                    <a:lumOff val="35000"/>
                  </a:schemeClr>
                </a:solidFill>
                <a:round/>
              </a:ln>
              <a:effectLst/>
            </c:spPr>
          </c:errBars>
          <c:cat>
            <c:strRef>
              <c:f>'[Biodegradation_Data 11111..xlsx]Fig. 4. Degradation efficiency '!$A$2:$A$7</c:f>
              <c:strCache>
                <c:ptCount val="6"/>
                <c:pt idx="0">
                  <c:v>БТЭК                  </c:v>
                </c:pt>
                <c:pt idx="1">
                  <c:v>Қысқа алкандар (C10-C20)    </c:v>
                </c:pt>
                <c:pt idx="2">
                  <c:v> Орташа алкандар (C21-C30)   </c:v>
                </c:pt>
                <c:pt idx="3">
                  <c:v> ПАК (2-3сақиналар)           </c:v>
                </c:pt>
                <c:pt idx="4">
                  <c:v>Ұзын алкандар (C31-C40)    </c:v>
                </c:pt>
                <c:pt idx="5">
                  <c:v>ПАК (4+ сақиналар)           </c:v>
                </c:pt>
              </c:strCache>
            </c:strRef>
          </c:cat>
          <c:val>
            <c:numRef>
              <c:f>'[Biodegradation_Data 11111..xlsx]Fig. 4. Degradation efficiency '!$B$2:$B$7</c:f>
              <c:numCache>
                <c:formatCode>General</c:formatCode>
                <c:ptCount val="6"/>
                <c:pt idx="0">
                  <c:v>89.2</c:v>
                </c:pt>
                <c:pt idx="1">
                  <c:v>83.4</c:v>
                </c:pt>
                <c:pt idx="2">
                  <c:v>74.3</c:v>
                </c:pt>
                <c:pt idx="3">
                  <c:v>72.5</c:v>
                </c:pt>
                <c:pt idx="4">
                  <c:v>49.3</c:v>
                </c:pt>
                <c:pt idx="5">
                  <c:v>35.1</c:v>
                </c:pt>
              </c:numCache>
            </c:numRef>
          </c:val>
        </c:ser>
        <c:dLbls>
          <c:showLegendKey val="0"/>
          <c:showVal val="1"/>
          <c:showCatName val="0"/>
          <c:showSerName val="0"/>
          <c:showPercent val="0"/>
          <c:showBubbleSize val="0"/>
        </c:dLbls>
        <c:gapWidth val="246"/>
        <c:overlap val="-28"/>
        <c:axId val="233560440"/>
        <c:axId val="477352984"/>
      </c:barChart>
      <c:catAx>
        <c:axId val="23356044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crossAx val="477352984"/>
        <c:crosses val="autoZero"/>
        <c:auto val="1"/>
        <c:lblAlgn val="ctr"/>
        <c:lblOffset val="100"/>
        <c:noMultiLvlLbl val="0"/>
      </c:catAx>
      <c:valAx>
        <c:axId val="477352984"/>
        <c:scaling>
          <c:orientation val="minMax"/>
        </c:scaling>
        <c:delete val="0"/>
        <c:axPos val="l"/>
        <c:majorGridlines>
          <c:spPr>
            <a:ln w="9525" cap="flat" cmpd="sng" algn="ctr">
              <a:solidFill>
                <a:schemeClr val="lt1">
                  <a:lumMod val="90200"/>
                </a:schemeClr>
              </a:solidFill>
              <a:round/>
            </a:ln>
            <a:effectLst/>
          </c:spPr>
        </c:majorGridlines>
        <c:title>
          <c:tx>
            <c:rich>
              <a:bodyPr rot="-5400000" spcFirstLastPara="0" vertOverflow="ellipsis" vert="horz" wrap="square" anchor="ctr" anchorCtr="1"/>
              <a:lstStyle/>
              <a:p>
                <a:pPr defTabSz="914400">
                  <a:defRPr lang="ru-RU" sz="1000" b="0" i="0" u="none" strike="noStrike" kern="1200" baseline="0">
                    <a:solidFill>
                      <a:schemeClr val="tx1">
                        <a:lumMod val="65000"/>
                        <a:lumOff val="35000"/>
                      </a:schemeClr>
                    </a:solidFill>
                    <a:latin typeface="+mn-lt"/>
                    <a:ea typeface="+mn-ea"/>
                    <a:cs typeface="+mn-cs"/>
                  </a:defRPr>
                </a:pPr>
                <a:r>
                  <a:rPr lang="en-US" altLang="en-US"/>
                  <a:t>ДЭ</a:t>
                </a:r>
                <a:r>
                  <a:rPr lang="en-US" altLang="ru-RU"/>
                  <a:t> [%]</a:t>
                </a:r>
                <a:endParaRPr lang="en-US" altLang="ru-RU"/>
              </a:p>
            </c:rich>
          </c:tx>
          <c:layout/>
          <c:overlay val="0"/>
          <c:spPr>
            <a:noFill/>
            <a:ln>
              <a:noFill/>
            </a:ln>
            <a:effectLst/>
          </c:spPr>
        </c:title>
        <c:numFmt formatCode="General" sourceLinked="1"/>
        <c:majorTickMark val="none"/>
        <c:minorTickMark val="none"/>
        <c:tickLblPos val="nextTo"/>
        <c:spPr>
          <a:noFill/>
          <a:ln>
            <a:solidFill>
              <a:schemeClr val="accent1"/>
            </a:solidFill>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crossAx val="233560440"/>
        <c:crosses val="autoZero"/>
        <c:crossBetween val="between"/>
      </c:valAx>
      <c:spPr>
        <a:noFill/>
        <a:ln>
          <a:noFill/>
        </a:ln>
        <a:effectLst/>
      </c:spPr>
    </c:plotArea>
    <c:plotVisOnly val="1"/>
    <c:dispBlanksAs val="gap"/>
    <c:showDLblsOverMax val="0"/>
    <c:extLst>
      <c:ext uri="{0b15fc19-7d7d-44ad-8c2d-2c3a37ce22c3}">
        <chartProps xmlns="https://web.wps.cn/et/2018/main" chartId="{75b7514c-c8c2-46cc-a721-99081243ee0b}"/>
      </c:ext>
    </c:extLst>
  </c:chart>
  <c:spPr>
    <a:solidFill>
      <a:schemeClr val="bg1"/>
    </a:solidFill>
    <a:ln w="9525" cap="flat" cmpd="sng" algn="ctr">
      <a:solidFill>
        <a:schemeClr val="tx1">
          <a:lumMod val="15000"/>
          <a:lumOff val="85000"/>
        </a:schemeClr>
      </a:solidFill>
      <a:round/>
    </a:ln>
    <a:effectLst/>
  </c:spPr>
  <c:txPr>
    <a:bodyPr/>
    <a:lstStyle/>
    <a:p>
      <a:pPr>
        <a:defRPr lang="ru-RU"/>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4157894736842"/>
          <c:y val="0.0583333333333333"/>
          <c:w val="0.846894736842105"/>
          <c:h val="0.630416666666667"/>
        </c:manualLayout>
      </c:layout>
      <c:lineChart>
        <c:grouping val="standard"/>
        <c:varyColors val="0"/>
        <c:ser>
          <c:idx val="1"/>
          <c:order val="0"/>
          <c:tx>
            <c:strRef>
              <c:f>'[Biodegradation_Data 11111..xlsx]Fig 5. Dynamics of soil pH (A) '!$A$3</c:f>
              <c:strCache>
                <c:ptCount val="1"/>
                <c:pt idx="0">
                  <c:v>AБ</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elete val="1"/>
          </c:dLbls>
          <c:errBars>
            <c:errDir val="y"/>
            <c:errBarType val="both"/>
            <c:errValType val="stdErr"/>
            <c:noEndCap val="0"/>
            <c:spPr>
              <a:noFill/>
              <a:ln w="9525" cap="flat" cmpd="sng" algn="ctr">
                <a:solidFill>
                  <a:schemeClr val="tx1">
                    <a:lumMod val="65000"/>
                    <a:lumOff val="35000"/>
                  </a:schemeClr>
                </a:solidFill>
                <a:round/>
              </a:ln>
              <a:effectLst/>
            </c:spPr>
          </c:errBars>
          <c:cat>
            <c:numRef>
              <c:f>'[Biodegradation_Data 11111..xlsx]Fig 5. Dynamics of soil pH (A) '!$B$1:$E$1</c:f>
              <c:numCache>
                <c:formatCode>General</c:formatCode>
                <c:ptCount val="4"/>
                <c:pt idx="0">
                  <c:v>0</c:v>
                </c:pt>
                <c:pt idx="1">
                  <c:v>15</c:v>
                </c:pt>
                <c:pt idx="2">
                  <c:v>30</c:v>
                </c:pt>
                <c:pt idx="3">
                  <c:v>45</c:v>
                </c:pt>
              </c:numCache>
            </c:numRef>
          </c:cat>
          <c:val>
            <c:numRef>
              <c:f>'[Biodegradation_Data 11111..xlsx]Fig 5. Dynamics of soil pH (A) '!$B$3:$E$3</c:f>
              <c:numCache>
                <c:formatCode>General</c:formatCode>
                <c:ptCount val="4"/>
                <c:pt idx="0">
                  <c:v>8.5</c:v>
                </c:pt>
                <c:pt idx="1">
                  <c:v>8.4</c:v>
                </c:pt>
                <c:pt idx="2">
                  <c:v>8.3</c:v>
                </c:pt>
                <c:pt idx="3">
                  <c:v>8.4</c:v>
                </c:pt>
              </c:numCache>
            </c:numRef>
          </c:val>
          <c:smooth val="0"/>
        </c:ser>
        <c:ser>
          <c:idx val="2"/>
          <c:order val="1"/>
          <c:tx>
            <c:strRef>
              <c:f>'[Biodegradation_Data 11111..xlsx]Fig 5. Dynamics of soil pH (A) '!$A$4</c:f>
              <c:strCache>
                <c:ptCount val="1"/>
                <c:pt idx="0">
                  <c:v>ТБ</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dLbls>
            <c:delete val="1"/>
          </c:dLbls>
          <c:errBars>
            <c:errDir val="y"/>
            <c:errBarType val="both"/>
            <c:errValType val="stdErr"/>
            <c:noEndCap val="0"/>
            <c:spPr>
              <a:noFill/>
              <a:ln w="9525" cap="flat" cmpd="sng" algn="ctr">
                <a:solidFill>
                  <a:schemeClr val="tx1">
                    <a:lumMod val="65000"/>
                    <a:lumOff val="35000"/>
                  </a:schemeClr>
                </a:solidFill>
                <a:round/>
              </a:ln>
              <a:effectLst/>
            </c:spPr>
          </c:errBars>
          <c:cat>
            <c:numRef>
              <c:f>'[Biodegradation_Data 11111..xlsx]Fig 5. Dynamics of soil pH (A) '!$B$1:$E$1</c:f>
              <c:numCache>
                <c:formatCode>General</c:formatCode>
                <c:ptCount val="4"/>
                <c:pt idx="0">
                  <c:v>0</c:v>
                </c:pt>
                <c:pt idx="1">
                  <c:v>15</c:v>
                </c:pt>
                <c:pt idx="2">
                  <c:v>30</c:v>
                </c:pt>
                <c:pt idx="3">
                  <c:v>45</c:v>
                </c:pt>
              </c:numCache>
            </c:numRef>
          </c:cat>
          <c:val>
            <c:numRef>
              <c:f>'[Biodegradation_Data 11111..xlsx]Fig 5. Dynamics of soil pH (A) '!$B$4:$E$4</c:f>
              <c:numCache>
                <c:formatCode>General</c:formatCode>
                <c:ptCount val="4"/>
                <c:pt idx="0">
                  <c:v>8.5</c:v>
                </c:pt>
                <c:pt idx="1">
                  <c:v>8.4</c:v>
                </c:pt>
                <c:pt idx="2">
                  <c:v>8.1</c:v>
                </c:pt>
                <c:pt idx="3">
                  <c:v>7.8</c:v>
                </c:pt>
              </c:numCache>
            </c:numRef>
          </c:val>
          <c:smooth val="0"/>
        </c:ser>
        <c:ser>
          <c:idx val="3"/>
          <c:order val="2"/>
          <c:tx>
            <c:strRef>
              <c:f>'[Biodegradation_Data 11111..xlsx]Fig 5. Dynamics of soil pH (A) '!$A$5</c:f>
              <c:strCache>
                <c:ptCount val="1"/>
                <c:pt idx="0">
                  <c:v>БК</c:v>
                </c:pt>
              </c:strCache>
            </c:strRef>
          </c:tx>
          <c:spPr>
            <a:ln w="12700" cap="rnd" cmpd="sng">
              <a:solidFill>
                <a:schemeClr val="accent4"/>
              </a:solidFill>
              <a:prstDash val="dash"/>
              <a:round/>
            </a:ln>
            <a:effectLst/>
          </c:spPr>
          <c:marker>
            <c:symbol val="circle"/>
            <c:size val="5"/>
            <c:spPr>
              <a:solidFill>
                <a:schemeClr val="accent4"/>
              </a:solidFill>
              <a:ln w="9525">
                <a:solidFill>
                  <a:schemeClr val="accent4"/>
                </a:solidFill>
              </a:ln>
              <a:effectLst/>
            </c:spPr>
          </c:marker>
          <c:dLbls>
            <c:delete val="1"/>
          </c:dLbls>
          <c:errBars>
            <c:errDir val="y"/>
            <c:errBarType val="both"/>
            <c:errValType val="stdErr"/>
            <c:noEndCap val="0"/>
            <c:spPr>
              <a:noFill/>
              <a:ln w="9525" cap="flat" cmpd="sng" algn="ctr">
                <a:solidFill>
                  <a:schemeClr val="tx1">
                    <a:lumMod val="65000"/>
                    <a:lumOff val="35000"/>
                  </a:schemeClr>
                </a:solidFill>
                <a:round/>
              </a:ln>
              <a:effectLst/>
            </c:spPr>
          </c:errBars>
          <c:cat>
            <c:numRef>
              <c:f>'[Biodegradation_Data 11111..xlsx]Fig 5. Dynamics of soil pH (A) '!$B$1:$E$1</c:f>
              <c:numCache>
                <c:formatCode>General</c:formatCode>
                <c:ptCount val="4"/>
                <c:pt idx="0">
                  <c:v>0</c:v>
                </c:pt>
                <c:pt idx="1">
                  <c:v>15</c:v>
                </c:pt>
                <c:pt idx="2">
                  <c:v>30</c:v>
                </c:pt>
                <c:pt idx="3">
                  <c:v>45</c:v>
                </c:pt>
              </c:numCache>
            </c:numRef>
          </c:cat>
          <c:val>
            <c:numRef>
              <c:f>'[Biodegradation_Data 11111..xlsx]Fig 5. Dynamics of soil pH (A) '!$B$5:$E$5</c:f>
              <c:numCache>
                <c:formatCode>General</c:formatCode>
                <c:ptCount val="4"/>
                <c:pt idx="0">
                  <c:v>8.5</c:v>
                </c:pt>
                <c:pt idx="1">
                  <c:v>8.3</c:v>
                </c:pt>
                <c:pt idx="2">
                  <c:v>7.9</c:v>
                </c:pt>
                <c:pt idx="3">
                  <c:v>7.6</c:v>
                </c:pt>
              </c:numCache>
            </c:numRef>
          </c:val>
          <c:smooth val="0"/>
        </c:ser>
        <c:ser>
          <c:idx val="0"/>
          <c:order val="3"/>
          <c:tx>
            <c:strRef>
              <c:f>'[Biodegradation_Data 11111..xlsx]Fig 5. Dynamics of soil pH (A) '!$A$2</c:f>
              <c:strCache>
                <c:ptCount val="1"/>
                <c:pt idx="0">
                  <c:v>Б</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elete val="1"/>
          </c:dLbls>
          <c:errBars>
            <c:errDir val="y"/>
            <c:errBarType val="both"/>
            <c:errValType val="stdErr"/>
            <c:noEndCap val="0"/>
            <c:spPr>
              <a:noFill/>
              <a:ln w="9525" cap="flat" cmpd="sng" algn="ctr">
                <a:solidFill>
                  <a:schemeClr val="tx1">
                    <a:lumMod val="65000"/>
                    <a:lumOff val="35000"/>
                  </a:schemeClr>
                </a:solidFill>
                <a:round/>
              </a:ln>
              <a:effectLst/>
            </c:spPr>
          </c:errBars>
          <c:cat>
            <c:numRef>
              <c:f>'[Biodegradation_Data 11111..xlsx]Fig 5. Dynamics of soil pH (A) '!$B$1:$E$1</c:f>
              <c:numCache>
                <c:formatCode>General</c:formatCode>
                <c:ptCount val="4"/>
                <c:pt idx="0">
                  <c:v>0</c:v>
                </c:pt>
                <c:pt idx="1">
                  <c:v>15</c:v>
                </c:pt>
                <c:pt idx="2">
                  <c:v>30</c:v>
                </c:pt>
                <c:pt idx="3">
                  <c:v>45</c:v>
                </c:pt>
              </c:numCache>
            </c:numRef>
          </c:cat>
          <c:val>
            <c:numRef>
              <c:f>'[Biodegradation_Data 11111..xlsx]Fig 5. Dynamics of soil pH (A) '!$B$2:$E$2</c:f>
              <c:numCache>
                <c:formatCode>General</c:formatCode>
                <c:ptCount val="4"/>
                <c:pt idx="0">
                  <c:v>8.5</c:v>
                </c:pt>
                <c:pt idx="1">
                  <c:v>8.4</c:v>
                </c:pt>
                <c:pt idx="2">
                  <c:v>8.3</c:v>
                </c:pt>
                <c:pt idx="3">
                  <c:v>8.3</c:v>
                </c:pt>
              </c:numCache>
            </c:numRef>
          </c:val>
          <c:smooth val="0"/>
        </c:ser>
        <c:ser>
          <c:idx val="4"/>
          <c:order val="4"/>
          <c:tx>
            <c:strRef>
              <c:f>'[Biodegradation_Data 11111..xlsx]Fig 5. Dynamics of soil pH (A) '!$A$6</c:f>
              <c:strCache>
                <c:ptCount val="1"/>
                <c:pt idx="0">
                  <c:v>ҚҚ иммобилизация</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dLbls>
            <c:delete val="1"/>
          </c:dLbls>
          <c:errBars>
            <c:errDir val="y"/>
            <c:errBarType val="both"/>
            <c:errValType val="stdErr"/>
            <c:noEndCap val="0"/>
            <c:spPr>
              <a:noFill/>
              <a:ln w="9525" cap="flat" cmpd="sng" algn="ctr">
                <a:solidFill>
                  <a:schemeClr val="tx1">
                    <a:lumMod val="65000"/>
                    <a:lumOff val="35000"/>
                  </a:schemeClr>
                </a:solidFill>
                <a:round/>
              </a:ln>
              <a:effectLst/>
            </c:spPr>
          </c:errBars>
          <c:cat>
            <c:numRef>
              <c:f>'[Biodegradation_Data 11111..xlsx]Fig 5. Dynamics of soil pH (A) '!$B$1:$E$1</c:f>
              <c:numCache>
                <c:formatCode>General</c:formatCode>
                <c:ptCount val="4"/>
                <c:pt idx="0">
                  <c:v>0</c:v>
                </c:pt>
                <c:pt idx="1">
                  <c:v>15</c:v>
                </c:pt>
                <c:pt idx="2">
                  <c:v>30</c:v>
                </c:pt>
                <c:pt idx="3">
                  <c:v>45</c:v>
                </c:pt>
              </c:numCache>
            </c:numRef>
          </c:cat>
          <c:val>
            <c:numRef>
              <c:f>'[Biodegradation_Data 11111..xlsx]Fig 5. Dynamics of soil pH (A) '!$B$6:$E$6</c:f>
              <c:numCache>
                <c:formatCode>General</c:formatCode>
                <c:ptCount val="4"/>
                <c:pt idx="0">
                  <c:v>8.5</c:v>
                </c:pt>
                <c:pt idx="1">
                  <c:v>8.1</c:v>
                </c:pt>
                <c:pt idx="2">
                  <c:v>7.7</c:v>
                </c:pt>
                <c:pt idx="3">
                  <c:v>7.2</c:v>
                </c:pt>
              </c:numCache>
            </c:numRef>
          </c:val>
          <c:smooth val="0"/>
        </c:ser>
        <c:ser>
          <c:idx val="5"/>
          <c:order val="5"/>
          <c:tx>
            <c:strRef>
              <c:f>'[Biodegradation_Data 11111..xlsx]Fig 5. Dynamics of soil pH (A) '!$A$7</c:f>
              <c:strCache>
                <c:ptCount val="1"/>
                <c:pt idx="0">
                  <c:v>КҚ иммобилизация</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dLbls>
            <c:delete val="1"/>
          </c:dLbls>
          <c:cat>
            <c:numRef>
              <c:f>'[Biodegradation_Data 11111..xlsx]Fig 5. Dynamics of soil pH (A) '!$B$1:$E$1</c:f>
              <c:numCache>
                <c:formatCode>General</c:formatCode>
                <c:ptCount val="4"/>
                <c:pt idx="0">
                  <c:v>0</c:v>
                </c:pt>
                <c:pt idx="1">
                  <c:v>15</c:v>
                </c:pt>
                <c:pt idx="2">
                  <c:v>30</c:v>
                </c:pt>
                <c:pt idx="3">
                  <c:v>45</c:v>
                </c:pt>
              </c:numCache>
            </c:numRef>
          </c:cat>
          <c:val>
            <c:numRef>
              <c:f>'[Biodegradation_Data 11111..xlsx]Fig 5. Dynamics of soil pH (A) '!$B$7:$E$7</c:f>
              <c:numCache>
                <c:formatCode>General</c:formatCode>
                <c:ptCount val="4"/>
                <c:pt idx="0">
                  <c:v>8.5</c:v>
                </c:pt>
                <c:pt idx="1">
                  <c:v>8.2</c:v>
                </c:pt>
                <c:pt idx="2">
                  <c:v>7.8</c:v>
                </c:pt>
                <c:pt idx="3">
                  <c:v>7.4</c:v>
                </c:pt>
              </c:numCache>
            </c:numRef>
          </c:val>
          <c:smooth val="0"/>
        </c:ser>
        <c:dLbls>
          <c:showLegendKey val="0"/>
          <c:showVal val="0"/>
          <c:showCatName val="0"/>
          <c:showSerName val="0"/>
          <c:showPercent val="0"/>
          <c:showBubbleSize val="0"/>
        </c:dLbls>
        <c:marker val="1"/>
        <c:smooth val="0"/>
        <c:axId val="477355728"/>
        <c:axId val="477354944"/>
      </c:lineChart>
      <c:catAx>
        <c:axId val="477355728"/>
        <c:scaling>
          <c:orientation val="minMax"/>
        </c:scaling>
        <c:delete val="0"/>
        <c:axPos val="b"/>
        <c:title>
          <c:tx>
            <c:rich>
              <a:bodyPr rot="0" spcFirstLastPara="0" vertOverflow="ellipsis" vert="horz" wrap="square" anchor="ctr" anchorCtr="1"/>
              <a:lstStyle/>
              <a:p>
                <a:pPr defTabSz="914400">
                  <a:defRPr lang="ru-RU" sz="1000" b="0" i="0" u="none" strike="noStrike" kern="1200" baseline="0">
                    <a:solidFill>
                      <a:schemeClr val="tx1">
                        <a:lumMod val="65000"/>
                        <a:lumOff val="35000"/>
                      </a:schemeClr>
                    </a:solidFill>
                    <a:latin typeface="+mn-lt"/>
                    <a:ea typeface="+mn-ea"/>
                    <a:cs typeface="+mn-cs"/>
                  </a:defRPr>
                </a:pPr>
                <a:r>
                  <a:rPr lang="ru-RU" altLang="en-US"/>
                  <a:t>Уа</a:t>
                </a:r>
                <a:r>
                  <a:rPr lang="ru-RU" altLang="ru-RU"/>
                  <a:t>қыт [</a:t>
                </a:r>
                <a:r>
                  <a:rPr lang="ru-RU" altLang="en-US"/>
                  <a:t>күндер</a:t>
                </a:r>
                <a:r>
                  <a:rPr lang="ru-RU" altLang="ru-RU"/>
                  <a:t>]</a:t>
                </a:r>
                <a:endParaRPr lang="ru-RU" altLang="ru-RU"/>
              </a:p>
            </c:rich>
          </c:tx>
          <c:layout/>
          <c:overlay val="0"/>
          <c:spPr>
            <a:noFill/>
            <a:ln>
              <a:noFill/>
            </a:ln>
            <a:effectLst/>
          </c:spPr>
        </c:title>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crossAx val="477354944"/>
        <c:crosses val="autoZero"/>
        <c:auto val="0"/>
        <c:lblAlgn val="ctr"/>
        <c:lblOffset val="100"/>
        <c:noMultiLvlLbl val="0"/>
      </c:catAx>
      <c:valAx>
        <c:axId val="477354944"/>
        <c:scaling>
          <c:orientation val="minMax"/>
          <c:max val="8.6"/>
          <c:min val="7"/>
        </c:scaling>
        <c:delete val="0"/>
        <c:axPos val="l"/>
        <c:majorGridlines>
          <c:spPr>
            <a:ln w="9525" cap="flat" cmpd="sng" algn="ctr">
              <a:solidFill>
                <a:schemeClr val="lt1">
                  <a:lumMod val="90200"/>
                </a:schemeClr>
              </a:solidFill>
              <a:round/>
            </a:ln>
            <a:effectLst/>
          </c:spPr>
        </c:majorGridlines>
        <c:title>
          <c:tx>
            <c:rich>
              <a:bodyPr rot="-5400000" spcFirstLastPara="0" vertOverflow="ellipsis" vert="horz" wrap="square" anchor="ctr" anchorCtr="1"/>
              <a:lstStyle/>
              <a:p>
                <a:pPr defTabSz="914400">
                  <a:defRPr lang="ru-RU"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US" altLang="ru-RU" sz="900">
                    <a:latin typeface="Times New Roman" panose="02020603050405020304" charset="0"/>
                    <a:ea typeface="Times New Roman" panose="02020603050405020304" charset="0"/>
                    <a:cs typeface="Times New Roman" panose="02020603050405020304" charset="0"/>
                    <a:sym typeface="Times New Roman" panose="02020603050405020304" charset="0"/>
                  </a:rPr>
                  <a:t>pH [-]</a:t>
                </a:r>
                <a:endParaRPr lang="en-US" altLang="ru-RU" sz="900">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layout>
            <c:manualLayout>
              <c:xMode val="edge"/>
              <c:yMode val="edge"/>
              <c:x val="0.00605263157894725"/>
              <c:y val="0.321029351395731"/>
            </c:manualLayout>
          </c:layout>
          <c:overlay val="0"/>
          <c:spPr>
            <a:noFill/>
            <a:ln>
              <a:noFill/>
            </a:ln>
            <a:effectLst/>
          </c:spPr>
        </c:title>
        <c:numFmt formatCode="#\ ##0.0_);[Red]\(#\ ##0.0\)" sourceLinked="0"/>
        <c:majorTickMark val="out"/>
        <c:minorTickMark val="none"/>
        <c:tickLblPos val="nextTo"/>
        <c:spPr>
          <a:noFill/>
          <a:ln>
            <a:solidFill>
              <a:schemeClr val="accent1"/>
            </a:solidFill>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crossAx val="477355728"/>
        <c:crosses val="autoZero"/>
        <c:crossBetween val="midCat"/>
      </c:valAx>
      <c:spPr>
        <a:noFill/>
        <a:ln>
          <a:noFill/>
        </a:ln>
        <a:effectLst/>
      </c:spPr>
    </c:plotArea>
    <c:legend>
      <c:legendPos val="b"/>
      <c:legendEntry>
        <c:idx val="0"/>
        <c:txPr>
          <a:bodyPr rot="0" spcFirstLastPara="0" vertOverflow="ellipsis" vert="horz" wrap="square" anchor="ctr" anchorCtr="1"/>
          <a:lstStyle/>
          <a:p>
            <a:pPr>
              <a:defRPr lang="ru-RU"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egendEntry>
        <c:idx val="1"/>
        <c:txPr>
          <a:bodyPr rot="0" spcFirstLastPara="0" vertOverflow="ellipsis" vert="horz" wrap="square" anchor="ctr" anchorCtr="1"/>
          <a:lstStyle/>
          <a:p>
            <a:pPr>
              <a:defRPr lang="ru-RU"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egendEntry>
        <c:idx val="2"/>
        <c:txPr>
          <a:bodyPr rot="0" spcFirstLastPara="0" vertOverflow="ellipsis" vert="horz" wrap="square" anchor="ctr" anchorCtr="1"/>
          <a:lstStyle/>
          <a:p>
            <a:pPr>
              <a:defRPr lang="ru-RU"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egendEntry>
        <c:idx val="3"/>
        <c:txPr>
          <a:bodyPr rot="0" spcFirstLastPara="0" vertOverflow="ellipsis" vert="horz" wrap="square" anchor="ctr" anchorCtr="1"/>
          <a:lstStyle/>
          <a:p>
            <a:pPr>
              <a:defRPr lang="ru-RU"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egendEntry>
        <c:idx val="4"/>
        <c:txPr>
          <a:bodyPr rot="0" spcFirstLastPara="0" vertOverflow="ellipsis" vert="horz" wrap="square" anchor="ctr" anchorCtr="1"/>
          <a:lstStyle/>
          <a:p>
            <a:pPr>
              <a:defRPr lang="ru-RU"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egendEntry>
        <c:idx val="5"/>
        <c:txPr>
          <a:bodyPr rot="0" spcFirstLastPara="0" vertOverflow="ellipsis" vert="horz" wrap="square" anchor="ctr" anchorCtr="1"/>
          <a:lstStyle/>
          <a:p>
            <a:pPr>
              <a:defRPr lang="ru-RU"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ayout>
        <c:manualLayout>
          <c:xMode val="edge"/>
          <c:yMode val="edge"/>
          <c:x val="0.0484210526315789"/>
          <c:y val="0.813399014778325"/>
          <c:w val="0.906315789473684"/>
          <c:h val="0.158817733990148"/>
        </c:manualLayout>
      </c:layout>
      <c:overlay val="0"/>
      <c:spPr>
        <a:noFill/>
        <a:ln>
          <a:noFill/>
        </a:ln>
        <a:effectLst/>
      </c:spPr>
      <c:txPr>
        <a:bodyPr rot="0" spcFirstLastPara="0" vertOverflow="ellipsis" vert="horz" wrap="square" anchor="ctr" anchorCtr="1"/>
        <a:lstStyle/>
        <a:p>
          <a:pPr>
            <a:defRPr lang="ru-RU"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
    <c:plotVisOnly val="1"/>
    <c:dispBlanksAs val="gap"/>
    <c:showDLblsOverMax val="0"/>
    <c:extLst>
      <c:ext uri="{0b15fc19-7d7d-44ad-8c2d-2c3a37ce22c3}">
        <chartProps xmlns="https://web.wps.cn/et/2018/main" chartId="{58a4e375-b7a6-44f5-8c1b-d1379627f2de}"/>
      </c:ext>
    </c:extLst>
  </c:chart>
  <c:spPr>
    <a:solidFill>
      <a:schemeClr val="bg1"/>
    </a:solidFill>
    <a:ln w="9525" cap="flat" cmpd="sng" algn="ctr">
      <a:solidFill>
        <a:schemeClr val="tx1">
          <a:lumMod val="15000"/>
          <a:lumOff val="85000"/>
        </a:schemeClr>
      </a:solidFill>
      <a:round/>
    </a:ln>
    <a:effectLst>
      <a:softEdge rad="12700"/>
    </a:effectLst>
  </c:spPr>
  <c:txPr>
    <a:bodyPr/>
    <a:lstStyle/>
    <a:p>
      <a:pPr>
        <a:defRPr lang="ru-RU"/>
      </a:pPr>
    </a:p>
  </c:txPr>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'[Biodegradation_Data 11111..xlsx]Fig 5. Dynamics of soil pH (A) '!$A$18</c:f>
              <c:strCache>
                <c:ptCount val="1"/>
                <c:pt idx="0">
                  <c:v>Б</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elete val="1"/>
          </c:dLbls>
          <c:errBars>
            <c:errDir val="y"/>
            <c:errBarType val="both"/>
            <c:errValType val="stdErr"/>
            <c:noEndCap val="0"/>
            <c:spPr>
              <a:noFill/>
              <a:ln w="9525" cap="flat" cmpd="sng" algn="ctr">
                <a:solidFill>
                  <a:schemeClr val="tx1">
                    <a:lumMod val="65000"/>
                    <a:lumOff val="35000"/>
                  </a:schemeClr>
                </a:solidFill>
                <a:round/>
              </a:ln>
              <a:effectLst/>
            </c:spPr>
          </c:errBars>
          <c:cat>
            <c:numRef>
              <c:f>'[Biodegradation_Data 11111..xlsx]Fig 5. Dynamics of soil pH (A) '!$B$17:$E$17</c:f>
              <c:numCache>
                <c:formatCode>General</c:formatCode>
                <c:ptCount val="4"/>
                <c:pt idx="0">
                  <c:v>0</c:v>
                </c:pt>
                <c:pt idx="1">
                  <c:v>15</c:v>
                </c:pt>
                <c:pt idx="2">
                  <c:v>30</c:v>
                </c:pt>
                <c:pt idx="3">
                  <c:v>45</c:v>
                </c:pt>
              </c:numCache>
            </c:numRef>
          </c:cat>
          <c:val>
            <c:numRef>
              <c:f>'[Biodegradation_Data 11111..xlsx]Fig 5. Dynamics of soil pH (A) '!$B$18:$E$18</c:f>
              <c:numCache>
                <c:formatCode>General</c:formatCode>
                <c:ptCount val="4"/>
                <c:pt idx="0">
                  <c:v>60</c:v>
                </c:pt>
                <c:pt idx="1">
                  <c:v>55</c:v>
                </c:pt>
                <c:pt idx="2">
                  <c:v>46</c:v>
                </c:pt>
                <c:pt idx="3">
                  <c:v>38</c:v>
                </c:pt>
              </c:numCache>
            </c:numRef>
          </c:val>
          <c:smooth val="0"/>
        </c:ser>
        <c:ser>
          <c:idx val="1"/>
          <c:order val="1"/>
          <c:tx>
            <c:strRef>
              <c:f>'[Biodegradation_Data 11111..xlsx]Fig 5. Dynamics of soil pH (A) '!$A$19</c:f>
              <c:strCache>
                <c:ptCount val="1"/>
                <c:pt idx="0">
                  <c:v>AБ</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elete val="1"/>
          </c:dLbls>
          <c:errBars>
            <c:errDir val="y"/>
            <c:errBarType val="both"/>
            <c:errValType val="stdErr"/>
            <c:noEndCap val="0"/>
            <c:spPr>
              <a:noFill/>
              <a:ln w="9525" cap="flat" cmpd="sng" algn="ctr">
                <a:solidFill>
                  <a:schemeClr val="tx1">
                    <a:lumMod val="65000"/>
                    <a:lumOff val="35000"/>
                  </a:schemeClr>
                </a:solidFill>
                <a:round/>
              </a:ln>
              <a:effectLst/>
            </c:spPr>
          </c:errBars>
          <c:cat>
            <c:numRef>
              <c:f>'[Biodegradation_Data 11111..xlsx]Fig 5. Dynamics of soil pH (A) '!$B$17:$E$17</c:f>
              <c:numCache>
                <c:formatCode>General</c:formatCode>
                <c:ptCount val="4"/>
                <c:pt idx="0">
                  <c:v>0</c:v>
                </c:pt>
                <c:pt idx="1">
                  <c:v>15</c:v>
                </c:pt>
                <c:pt idx="2">
                  <c:v>30</c:v>
                </c:pt>
                <c:pt idx="3">
                  <c:v>45</c:v>
                </c:pt>
              </c:numCache>
            </c:numRef>
          </c:cat>
          <c:val>
            <c:numRef>
              <c:f>'[Biodegradation_Data 11111..xlsx]Fig 5. Dynamics of soil pH (A) '!$B$19:$E$19</c:f>
              <c:numCache>
                <c:formatCode>General</c:formatCode>
                <c:ptCount val="4"/>
                <c:pt idx="0">
                  <c:v>60</c:v>
                </c:pt>
                <c:pt idx="1">
                  <c:v>55</c:v>
                </c:pt>
                <c:pt idx="2">
                  <c:v>42</c:v>
                </c:pt>
                <c:pt idx="3">
                  <c:v>36</c:v>
                </c:pt>
              </c:numCache>
            </c:numRef>
          </c:val>
          <c:smooth val="0"/>
        </c:ser>
        <c:ser>
          <c:idx val="2"/>
          <c:order val="2"/>
          <c:tx>
            <c:strRef>
              <c:f>'[Biodegradation_Data 11111..xlsx]Fig 5. Dynamics of soil pH (A) '!$A$20</c:f>
              <c:strCache>
                <c:ptCount val="1"/>
                <c:pt idx="0">
                  <c:v>ТБ</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dLbls>
            <c:delete val="1"/>
          </c:dLbls>
          <c:errBars>
            <c:errDir val="y"/>
            <c:errBarType val="both"/>
            <c:errValType val="stdErr"/>
            <c:noEndCap val="0"/>
            <c:spPr>
              <a:noFill/>
              <a:ln w="9525" cap="flat" cmpd="sng" algn="ctr">
                <a:solidFill>
                  <a:schemeClr val="tx1">
                    <a:lumMod val="65000"/>
                    <a:lumOff val="35000"/>
                  </a:schemeClr>
                </a:solidFill>
                <a:round/>
              </a:ln>
              <a:effectLst/>
            </c:spPr>
          </c:errBars>
          <c:cat>
            <c:numRef>
              <c:f>'[Biodegradation_Data 11111..xlsx]Fig 5. Dynamics of soil pH (A) '!$B$17:$E$17</c:f>
              <c:numCache>
                <c:formatCode>General</c:formatCode>
                <c:ptCount val="4"/>
                <c:pt idx="0">
                  <c:v>0</c:v>
                </c:pt>
                <c:pt idx="1">
                  <c:v>15</c:v>
                </c:pt>
                <c:pt idx="2">
                  <c:v>30</c:v>
                </c:pt>
                <c:pt idx="3">
                  <c:v>45</c:v>
                </c:pt>
              </c:numCache>
            </c:numRef>
          </c:cat>
          <c:val>
            <c:numRef>
              <c:f>'[Biodegradation_Data 11111..xlsx]Fig 5. Dynamics of soil pH (A) '!$B$20:$E$20</c:f>
              <c:numCache>
                <c:formatCode>General</c:formatCode>
                <c:ptCount val="4"/>
                <c:pt idx="0">
                  <c:v>62</c:v>
                </c:pt>
                <c:pt idx="1">
                  <c:v>58</c:v>
                </c:pt>
                <c:pt idx="2">
                  <c:v>50</c:v>
                </c:pt>
                <c:pt idx="3">
                  <c:v>42</c:v>
                </c:pt>
              </c:numCache>
            </c:numRef>
          </c:val>
          <c:smooth val="0"/>
        </c:ser>
        <c:ser>
          <c:idx val="3"/>
          <c:order val="3"/>
          <c:tx>
            <c:strRef>
              <c:f>'[Biodegradation_Data 11111..xlsx]Fig 5. Dynamics of soil pH (A) '!$A$21</c:f>
              <c:strCache>
                <c:ptCount val="1"/>
                <c:pt idx="0">
                  <c:v>БК</c:v>
                </c:pt>
              </c:strCache>
            </c:strRef>
          </c:tx>
          <c:spPr>
            <a:ln w="28575" cap="rnd">
              <a:solidFill>
                <a:schemeClr val="accent4"/>
              </a:solidFill>
              <a:prstDash val="dash"/>
              <a:round/>
            </a:ln>
            <a:effectLst/>
          </c:spPr>
          <c:marker>
            <c:symbol val="circle"/>
            <c:size val="5"/>
            <c:spPr>
              <a:solidFill>
                <a:schemeClr val="accent4"/>
              </a:solidFill>
              <a:ln w="9525">
                <a:solidFill>
                  <a:schemeClr val="accent4"/>
                </a:solidFill>
              </a:ln>
              <a:effectLst/>
            </c:spPr>
          </c:marker>
          <c:dLbls>
            <c:delete val="1"/>
          </c:dLbls>
          <c:errBars>
            <c:errDir val="y"/>
            <c:errBarType val="both"/>
            <c:errValType val="stdErr"/>
            <c:noEndCap val="0"/>
            <c:spPr>
              <a:noFill/>
              <a:ln w="9525" cap="flat" cmpd="sng" algn="ctr">
                <a:solidFill>
                  <a:schemeClr val="tx1">
                    <a:lumMod val="65000"/>
                    <a:lumOff val="35000"/>
                  </a:schemeClr>
                </a:solidFill>
                <a:round/>
              </a:ln>
              <a:effectLst/>
            </c:spPr>
          </c:errBars>
          <c:cat>
            <c:numRef>
              <c:f>'[Biodegradation_Data 11111..xlsx]Fig 5. Dynamics of soil pH (A) '!$B$17:$E$17</c:f>
              <c:numCache>
                <c:formatCode>General</c:formatCode>
                <c:ptCount val="4"/>
                <c:pt idx="0">
                  <c:v>0</c:v>
                </c:pt>
                <c:pt idx="1">
                  <c:v>15</c:v>
                </c:pt>
                <c:pt idx="2">
                  <c:v>30</c:v>
                </c:pt>
                <c:pt idx="3">
                  <c:v>45</c:v>
                </c:pt>
              </c:numCache>
            </c:numRef>
          </c:cat>
          <c:val>
            <c:numRef>
              <c:f>'[Biodegradation_Data 11111..xlsx]Fig 5. Dynamics of soil pH (A) '!$B$21:$E$21</c:f>
              <c:numCache>
                <c:formatCode>General</c:formatCode>
                <c:ptCount val="4"/>
                <c:pt idx="0">
                  <c:v>60</c:v>
                </c:pt>
                <c:pt idx="1">
                  <c:v>55</c:v>
                </c:pt>
                <c:pt idx="2">
                  <c:v>50</c:v>
                </c:pt>
                <c:pt idx="3">
                  <c:v>45</c:v>
                </c:pt>
              </c:numCache>
            </c:numRef>
          </c:val>
          <c:smooth val="0"/>
        </c:ser>
        <c:ser>
          <c:idx val="4"/>
          <c:order val="4"/>
          <c:tx>
            <c:strRef>
              <c:f>'[Biodegradation_Data 11111..xlsx]Fig 5. Dynamics of soil pH (A) '!$A$22</c:f>
              <c:strCache>
                <c:ptCount val="1"/>
                <c:pt idx="0">
                  <c:v>ҚҚ иммобилизация</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dLbls>
            <c:delete val="1"/>
          </c:dLbls>
          <c:errBars>
            <c:errDir val="y"/>
            <c:errBarType val="both"/>
            <c:errValType val="stdErr"/>
            <c:noEndCap val="0"/>
            <c:spPr>
              <a:noFill/>
              <a:ln w="9525" cap="flat" cmpd="sng" algn="ctr">
                <a:solidFill>
                  <a:schemeClr val="tx1">
                    <a:lumMod val="65000"/>
                    <a:lumOff val="35000"/>
                  </a:schemeClr>
                </a:solidFill>
                <a:round/>
              </a:ln>
              <a:effectLst/>
            </c:spPr>
          </c:errBars>
          <c:cat>
            <c:numRef>
              <c:f>'[Biodegradation_Data 11111..xlsx]Fig 5. Dynamics of soil pH (A) '!$B$17:$E$17</c:f>
              <c:numCache>
                <c:formatCode>General</c:formatCode>
                <c:ptCount val="4"/>
                <c:pt idx="0">
                  <c:v>0</c:v>
                </c:pt>
                <c:pt idx="1">
                  <c:v>15</c:v>
                </c:pt>
                <c:pt idx="2">
                  <c:v>30</c:v>
                </c:pt>
                <c:pt idx="3">
                  <c:v>45</c:v>
                </c:pt>
              </c:numCache>
            </c:numRef>
          </c:cat>
          <c:val>
            <c:numRef>
              <c:f>'[Biodegradation_Data 11111..xlsx]Fig 5. Dynamics of soil pH (A) '!$B$22:$E$22</c:f>
              <c:numCache>
                <c:formatCode>General</c:formatCode>
                <c:ptCount val="4"/>
                <c:pt idx="0">
                  <c:v>65</c:v>
                </c:pt>
                <c:pt idx="1">
                  <c:v>62</c:v>
                </c:pt>
                <c:pt idx="2">
                  <c:v>58</c:v>
                </c:pt>
                <c:pt idx="3">
                  <c:v>55</c:v>
                </c:pt>
              </c:numCache>
            </c:numRef>
          </c:val>
          <c:smooth val="0"/>
        </c:ser>
        <c:ser>
          <c:idx val="5"/>
          <c:order val="5"/>
          <c:tx>
            <c:strRef>
              <c:f>'[Biodegradation_Data 11111..xlsx]Fig 5. Dynamics of soil pH (A) '!$A$23</c:f>
              <c:strCache>
                <c:ptCount val="1"/>
                <c:pt idx="0">
                  <c:v>КҚ иммобилизация</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dLbls>
            <c:delete val="1"/>
          </c:dLbls>
          <c:errBars>
            <c:errDir val="y"/>
            <c:errBarType val="both"/>
            <c:errValType val="stdErr"/>
            <c:noEndCap val="0"/>
            <c:spPr>
              <a:noFill/>
              <a:ln w="9525" cap="flat" cmpd="sng" algn="ctr">
                <a:solidFill>
                  <a:schemeClr val="tx1">
                    <a:lumMod val="65000"/>
                    <a:lumOff val="35000"/>
                  </a:schemeClr>
                </a:solidFill>
                <a:round/>
              </a:ln>
              <a:effectLst/>
            </c:spPr>
          </c:errBars>
          <c:cat>
            <c:numRef>
              <c:f>'[Biodegradation_Data 11111..xlsx]Fig 5. Dynamics of soil pH (A) '!$B$17:$E$17</c:f>
              <c:numCache>
                <c:formatCode>General</c:formatCode>
                <c:ptCount val="4"/>
                <c:pt idx="0">
                  <c:v>0</c:v>
                </c:pt>
                <c:pt idx="1">
                  <c:v>15</c:v>
                </c:pt>
                <c:pt idx="2">
                  <c:v>30</c:v>
                </c:pt>
                <c:pt idx="3">
                  <c:v>45</c:v>
                </c:pt>
              </c:numCache>
            </c:numRef>
          </c:cat>
          <c:val>
            <c:numRef>
              <c:f>'[Biodegradation_Data 11111..xlsx]Fig 5. Dynamics of soil pH (A) '!$B$23:$E$23</c:f>
              <c:numCache>
                <c:formatCode>General</c:formatCode>
                <c:ptCount val="4"/>
                <c:pt idx="0">
                  <c:v>62</c:v>
                </c:pt>
                <c:pt idx="1">
                  <c:v>58</c:v>
                </c:pt>
                <c:pt idx="2">
                  <c:v>54</c:v>
                </c:pt>
                <c:pt idx="3">
                  <c:v>50</c:v>
                </c:pt>
              </c:numCache>
            </c:numRef>
          </c:val>
          <c:smooth val="0"/>
        </c:ser>
        <c:dLbls>
          <c:showLegendKey val="0"/>
          <c:showVal val="0"/>
          <c:showCatName val="0"/>
          <c:showSerName val="0"/>
          <c:showPercent val="0"/>
          <c:showBubbleSize val="0"/>
        </c:dLbls>
        <c:marker val="1"/>
        <c:smooth val="0"/>
        <c:axId val="477355336"/>
        <c:axId val="477356120"/>
      </c:lineChart>
      <c:catAx>
        <c:axId val="477355336"/>
        <c:scaling>
          <c:orientation val="minMax"/>
        </c:scaling>
        <c:delete val="0"/>
        <c:axPos val="b"/>
        <c:title>
          <c:tx>
            <c:rich>
              <a:bodyPr rot="0" spcFirstLastPara="0" vertOverflow="ellipsis" vert="horz" wrap="square" anchor="ctr" anchorCtr="1"/>
              <a:lstStyle/>
              <a:p>
                <a:pPr defTabSz="914400">
                  <a:defRPr lang="ru-RU" sz="1000" b="0" i="0" u="none" strike="noStrike" kern="1200" baseline="0">
                    <a:solidFill>
                      <a:schemeClr val="tx1">
                        <a:lumMod val="65000"/>
                        <a:lumOff val="35000"/>
                      </a:schemeClr>
                    </a:solidFill>
                    <a:latin typeface="+mn-lt"/>
                    <a:ea typeface="+mn-ea"/>
                    <a:cs typeface="+mn-cs"/>
                  </a:defRPr>
                </a:pPr>
                <a:r>
                  <a:rPr lang="en-US" altLang="en-US"/>
                  <a:t>Уақыт</a:t>
                </a:r>
                <a:r>
                  <a:rPr lang="en-US" altLang="ru-RU"/>
                  <a:t> [</a:t>
                </a:r>
                <a:r>
                  <a:rPr lang="en-US" altLang="en-US"/>
                  <a:t>күндер</a:t>
                </a:r>
                <a:r>
                  <a:rPr lang="en-US" altLang="ru-RU"/>
                  <a:t>]</a:t>
                </a:r>
                <a:endParaRPr lang="en-US" altLang="ru-RU"/>
              </a:p>
            </c:rich>
          </c:tx>
          <c:layout>
            <c:manualLayout>
              <c:xMode val="edge"/>
              <c:yMode val="edge"/>
              <c:x val="0.436449424579273"/>
              <c:y val="0.794078554360812"/>
            </c:manualLayout>
          </c:layout>
          <c:overlay val="0"/>
          <c:spPr>
            <a:noFill/>
            <a:ln>
              <a:noFill/>
            </a:ln>
            <a:effectLst/>
          </c:spPr>
        </c:title>
        <c:numFmt formatCode="General" sourceLinked="0"/>
        <c:majorTickMark val="out"/>
        <c:minorTickMark val="out"/>
        <c:tickLblPos val="nextTo"/>
        <c:spPr>
          <a:noFill/>
          <a:ln w="12700" cap="flat" cmpd="sng" algn="ctr">
            <a:noFill/>
            <a:prstDash val="solid"/>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crossAx val="477356120"/>
        <c:crosses val="autoZero"/>
        <c:auto val="1"/>
        <c:lblAlgn val="ctr"/>
        <c:lblOffset val="100"/>
        <c:tickMarkSkip val="15"/>
        <c:noMultiLvlLbl val="0"/>
      </c:catAx>
      <c:valAx>
        <c:axId val="477356120"/>
        <c:scaling>
          <c:orientation val="minMax"/>
          <c:min val="30"/>
        </c:scaling>
        <c:delete val="0"/>
        <c:axPos val="l"/>
        <c:majorGridlines>
          <c:spPr>
            <a:ln w="9525" cap="flat" cmpd="sng" algn="ctr">
              <a:solidFill>
                <a:schemeClr val="lt1">
                  <a:lumMod val="90200"/>
                </a:schemeClr>
              </a:solidFill>
              <a:round/>
            </a:ln>
            <a:effectLst/>
          </c:spPr>
        </c:majorGridlines>
        <c:title>
          <c:tx>
            <c:rich>
              <a:bodyPr rot="-5400000" spcFirstLastPara="0" vertOverflow="ellipsis" vert="horz" wrap="square" anchor="ctr" anchorCtr="1"/>
              <a:lstStyle/>
              <a:p>
                <a:pPr defTabSz="914400">
                  <a:defRPr lang="ru-RU"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lang="en-US" altLang="ru-RU" sz="900" i="1">
                    <a:latin typeface="Times New Roman" panose="02020603050405020304" charset="0"/>
                    <a:ea typeface="Times New Roman" panose="02020603050405020304" charset="0"/>
                    <a:cs typeface="Times New Roman" panose="02020603050405020304" charset="0"/>
                    <a:sym typeface="Times New Roman" panose="02020603050405020304" charset="0"/>
                  </a:rPr>
                  <a:t>MC</a:t>
                </a:r>
                <a:r>
                  <a:rPr lang="en-US" altLang="ru-RU" sz="900" i="0">
                    <a:latin typeface="Times New Roman" panose="02020603050405020304" charset="0"/>
                    <a:ea typeface="Times New Roman" panose="02020603050405020304" charset="0"/>
                    <a:cs typeface="Times New Roman" panose="02020603050405020304" charset="0"/>
                    <a:sym typeface="Times New Roman" panose="02020603050405020304" charset="0"/>
                  </a:rPr>
                  <a:t> [ %]</a:t>
                </a:r>
                <a:endParaRPr lang="en-US" altLang="ru-RU" sz="900" i="0">
                  <a:latin typeface="Times New Roman" panose="02020603050405020304" charset="0"/>
                  <a:ea typeface="Times New Roman" panose="02020603050405020304" charset="0"/>
                  <a:cs typeface="Times New Roman" panose="02020603050405020304" charset="0"/>
                  <a:sym typeface="Times New Roman" panose="02020603050405020304" charset="0"/>
                </a:endParaRPr>
              </a:p>
            </c:rich>
          </c:tx>
          <c:layout>
            <c:manualLayout>
              <c:xMode val="edge"/>
              <c:yMode val="edge"/>
              <c:x val="0.0313624678663239"/>
              <c:y val="0.30070306038048"/>
            </c:manualLayout>
          </c:layout>
          <c:overlay val="0"/>
          <c:spPr>
            <a:noFill/>
            <a:ln>
              <a:noFill/>
            </a:ln>
            <a:effectLst/>
          </c:spPr>
        </c:title>
        <c:numFmt formatCode="General" sourceLinked="1"/>
        <c:majorTickMark val="none"/>
        <c:minorTickMark val="none"/>
        <c:tickLblPos val="nextTo"/>
        <c:spPr>
          <a:noFill/>
          <a:ln w="12700">
            <a:solidFill>
              <a:schemeClr val="accent1"/>
            </a:solidFill>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p>
        </c:txPr>
        <c:crossAx val="477355336"/>
        <c:crosses val="autoZero"/>
        <c:crossBetween val="midCat"/>
      </c:valAx>
      <c:spPr>
        <a:noFill/>
        <a:ln>
          <a:noFill/>
        </a:ln>
        <a:effectLst/>
      </c:spPr>
    </c:plotArea>
    <c:legend>
      <c:legendPos val="b"/>
      <c:legendEntry>
        <c:idx val="0"/>
        <c:txPr>
          <a:bodyPr rot="0" spcFirstLastPara="0" vertOverflow="ellipsis" vert="horz" wrap="square" anchor="b" anchorCtr="1"/>
          <a:lstStyle/>
          <a:p>
            <a:pPr>
              <a:defRPr lang="ru-RU"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egendEntry>
        <c:idx val="1"/>
        <c:txPr>
          <a:bodyPr rot="0" spcFirstLastPara="0" vertOverflow="ellipsis" vert="horz" wrap="square" anchor="b" anchorCtr="1"/>
          <a:lstStyle/>
          <a:p>
            <a:pPr>
              <a:defRPr lang="ru-RU"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egendEntry>
        <c:idx val="2"/>
        <c:txPr>
          <a:bodyPr rot="0" spcFirstLastPara="0" vertOverflow="ellipsis" vert="horz" wrap="square" anchor="b" anchorCtr="1"/>
          <a:lstStyle/>
          <a:p>
            <a:pPr>
              <a:defRPr lang="ru-RU"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egendEntry>
        <c:idx val="3"/>
        <c:txPr>
          <a:bodyPr rot="0" spcFirstLastPara="0" vertOverflow="ellipsis" vert="horz" wrap="square" anchor="b" anchorCtr="1"/>
          <a:lstStyle/>
          <a:p>
            <a:pPr>
              <a:defRPr lang="ru-RU"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egendEntry>
        <c:idx val="4"/>
        <c:txPr>
          <a:bodyPr rot="0" spcFirstLastPara="0" vertOverflow="ellipsis" vert="horz" wrap="square" anchor="b" anchorCtr="1"/>
          <a:lstStyle/>
          <a:p>
            <a:pPr>
              <a:defRPr lang="ru-RU"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egendEntry>
        <c:idx val="5"/>
        <c:txPr>
          <a:bodyPr rot="0" spcFirstLastPara="0" vertOverflow="ellipsis" vert="horz" wrap="square" anchor="b" anchorCtr="1"/>
          <a:lstStyle/>
          <a:p>
            <a:pPr>
              <a:defRPr lang="ru-RU"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Entry>
      <c:layout>
        <c:manualLayout>
          <c:xMode val="edge"/>
          <c:yMode val="edge"/>
          <c:x val="0.0580976863753213"/>
          <c:y val="0.864350703060381"/>
          <c:w val="0.883933161953728"/>
          <c:h val="0.0918114143920596"/>
        </c:manualLayout>
      </c:layout>
      <c:overlay val="0"/>
      <c:spPr>
        <a:noFill/>
        <a:ln>
          <a:noFill/>
        </a:ln>
        <a:effectLst/>
      </c:spPr>
      <c:txPr>
        <a:bodyPr rot="0" spcFirstLastPara="0" vertOverflow="ellipsis" vert="horz" wrap="square" anchor="b" anchorCtr="1"/>
        <a:lstStyle/>
        <a:p>
          <a:pPr>
            <a:defRPr lang="ru-RU"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legend>
    <c:plotVisOnly val="1"/>
    <c:dispBlanksAs val="gap"/>
    <c:showDLblsOverMax val="0"/>
    <c:extLst>
      <c:ext uri="{0b15fc19-7d7d-44ad-8c2d-2c3a37ce22c3}">
        <chartProps xmlns="https://web.wps.cn/et/2018/main" chartId="{25967bb7-ad81-40e6-8656-bdcbcfe23ab6}"/>
      </c:ext>
    </c:extLst>
  </c:chart>
  <c:spPr>
    <a:solidFill>
      <a:schemeClr val="bg1"/>
    </a:solidFill>
    <a:ln w="9525" cap="flat" cmpd="sng" algn="ctr">
      <a:solidFill>
        <a:schemeClr val="tx1">
          <a:lumMod val="15000"/>
          <a:lumOff val="85000"/>
        </a:schemeClr>
      </a:solidFill>
      <a:round/>
    </a:ln>
    <a:effectLst/>
  </c:spPr>
  <c:txPr>
    <a:bodyPr/>
    <a:lstStyle/>
    <a:p>
      <a:pPr>
        <a:defRPr lang="ru-RU"/>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55">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0">
      <cs:styleClr val="auto"/>
    </cs:fillRef>
    <cs:effectRef idx="0"/>
    <cs:fontRef idx="minor">
      <a:schemeClr val="dk1"/>
    </cs:fontRef>
    <cs:spPr>
      <a:ln w="28575" cap="rnd">
        <a:solidFill>
          <a:schemeClr val="phClr"/>
        </a:solidFill>
        <a:round/>
      </a:ln>
      <a:effectLst/>
    </cs:spPr>
  </cs:dataPointLine>
  <cs:dataPointMarker>
    <cs:lnRef idx="0">
      <cs:styleClr val="auto"/>
    </cs:lnRef>
    <cs:fillRef idx="1">
      <cs:styleClr val="auto"/>
    </cs:fillRef>
    <cs:effectRef idx="0"/>
    <cs:fontRef idx="minor">
      <a:schemeClr val="dk1"/>
    </cs:fontRef>
    <cs:spPr>
      <a:ln w="9525">
        <a:solidFill>
          <a:schemeClr val="phClr"/>
        </a:solidFill>
      </a:ln>
      <a:effectLst/>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55">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0">
      <cs:styleClr val="auto"/>
    </cs:fillRef>
    <cs:effectRef idx="0"/>
    <cs:fontRef idx="minor">
      <a:schemeClr val="dk1"/>
    </cs:fontRef>
    <cs:spPr>
      <a:ln w="28575" cap="rnd">
        <a:solidFill>
          <a:schemeClr val="phClr"/>
        </a:solidFill>
        <a:round/>
      </a:ln>
      <a:effectLst/>
    </cs:spPr>
  </cs:dataPointLine>
  <cs:dataPointMarker>
    <cs:lnRef idx="0">
      <cs:styleClr val="auto"/>
    </cs:lnRef>
    <cs:fillRef idx="1">
      <cs:styleClr val="auto"/>
    </cs:fillRef>
    <cs:effectRef idx="0"/>
    <cs:fontRef idx="minor">
      <a:schemeClr val="dk1"/>
    </cs:fontRef>
    <cs:spPr>
      <a:ln w="9525">
        <a:solidFill>
          <a:schemeClr val="phClr"/>
        </a:solidFill>
      </a:ln>
      <a:effectLst/>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55">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0">
      <cs:styleClr val="auto"/>
    </cs:fillRef>
    <cs:effectRef idx="0"/>
    <cs:fontRef idx="minor">
      <a:schemeClr val="dk1"/>
    </cs:fontRef>
    <cs:spPr>
      <a:ln w="28575" cap="rnd">
        <a:solidFill>
          <a:schemeClr val="phClr"/>
        </a:solidFill>
        <a:round/>
      </a:ln>
      <a:effectLst/>
    </cs:spPr>
  </cs:dataPointLine>
  <cs:dataPointMarker>
    <cs:lnRef idx="0">
      <cs:styleClr val="auto"/>
    </cs:lnRef>
    <cs:fillRef idx="1">
      <cs:styleClr val="auto"/>
    </cs:fillRef>
    <cs:effectRef idx="0"/>
    <cs:fontRef idx="minor">
      <a:schemeClr val="dk1"/>
    </cs:fontRef>
    <cs:spPr>
      <a:ln w="9525">
        <a:solidFill>
          <a:schemeClr val="phClr"/>
        </a:solidFill>
      </a:ln>
      <a:effectLst/>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0.07842</cdr:x>
      <cdr:y>0.0331</cdr:y>
    </cdr:from>
    <cdr:to>
      <cdr:x>0.11013</cdr:x>
      <cdr:y>0.70463</cdr:y>
    </cdr:to>
    <cdr:sp>
      <cdr:nvSpPr>
        <cdr:cNvPr id="2" name="Прямоугольник 1"/>
        <cdr:cNvSpPr/>
      </cdr:nvSpPr>
      <cdr:spPr xmlns:a="http://schemas.openxmlformats.org/drawingml/2006/main">
        <a:xfrm xmlns:a="http://schemas.openxmlformats.org/drawingml/2006/main">
          <a:off x="378460" y="106680"/>
          <a:ext cx="153035" cy="2164080"/>
        </a:xfrm>
        <a:prstGeom xmlns:a="http://schemas.openxmlformats.org/drawingml/2006/main" prst="rect">
          <a:avLst/>
        </a:prstGeom>
      </cdr:spPr>
      <cdr:txBody xmlns:a="http://schemas.openxmlformats.org/drawingml/2006/main">
        <a:bodyPr vertOverflow="clip" horzOverflow="clip" vert="wordArtVertRtl" wrap="square" lIns="45720" tIns="45720" rIns="45720" bIns="45720" rtlCol="0" anchor="t" anchorCtr="0">
          <a:normAutofit/>
        </a:bodyPr>
        <a:lstStyle/>
        <a:p>
          <a:endParaRPr lang="ru-RU" altLang="en-US"/>
        </a:p>
      </cdr:txBody>
    </cdr:sp>
  </cdr:relSizeAnchor>
</c:userShape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SPecialiST RePack</Company>
  <Pages>124</Pages>
  <Words>31629</Words>
  <Characters>180289</Characters>
  <Lines>1502</Lines>
  <Paragraphs>422</Paragraphs>
  <TotalTime>2</TotalTime>
  <ScaleCrop>false</ScaleCrop>
  <LinksUpToDate>false</LinksUpToDate>
  <CharactersWithSpaces>211496</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2021-03-25T03:21:00Z</dcterms:created>
  <dc:creator>Yandex.Translate</dc:creator>
  <dc:description>Translated with Yandex.Translate</dc:description>
  <cp:lastModifiedBy>Фариза Хожанепе�</cp:lastModifiedBy>
  <cp:lastPrinted>2026-01-27T17:26:00Z</cp:lastPrinted>
  <dcterms:modified xsi:type="dcterms:W3CDTF">2026-02-19T05:50:45Z</dcterms:modified>
  <cp:revision>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B88B4459CAE64E1FA6BFD756F56596B0_13</vt:lpwstr>
  </property>
  <property fmtid="{D5CDD505-2E9C-101B-9397-08002B2CF9AE}" pid="3" name="KSOProductBuildVer">
    <vt:lpwstr>1049-12.2.0.23196</vt:lpwstr>
  </property>
</Properties>
</file>