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docProps/custom.xml" ContentType="application/vnd.openxmlformats-officedocument.custom-properties+xml"/>
  <Default Extension="gif" ContentType="image/gif"/>
  <Override PartName="/word/charts/chart4.xml" ContentType="application/vnd.openxmlformats-officedocument.drawingml.chart+xml"/>
  <Override PartName="/word/charts/chart5.xml" ContentType="application/vnd.openxmlformats-officedocument.drawingml.chart+xml"/>
  <Default Extension="tiff" ContentType="image/tiff"/>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FE1" w:rsidRDefault="00BB58D7">
      <w:pPr>
        <w:spacing w:after="0" w:line="240" w:lineRule="auto"/>
        <w:ind w:firstLine="567"/>
        <w:jc w:val="center"/>
        <w:rPr>
          <w:rFonts w:ascii="Times New Roman" w:hAnsi="Times New Roman" w:cs="Times New Roman"/>
          <w:bCs/>
          <w:sz w:val="28"/>
          <w:szCs w:val="28"/>
        </w:rPr>
      </w:pPr>
      <w:r>
        <w:rPr>
          <w:rFonts w:ascii="Times New Roman" w:hAnsi="Times New Roman" w:cs="Times New Roman"/>
          <w:bCs/>
          <w:sz w:val="28"/>
          <w:szCs w:val="28"/>
        </w:rPr>
        <w:t>Казахский национальный университет имени аль-Фараби</w:t>
      </w:r>
    </w:p>
    <w:p w:rsidR="00E17FE1" w:rsidRDefault="00E17FE1">
      <w:pPr>
        <w:spacing w:after="0" w:line="240" w:lineRule="auto"/>
        <w:ind w:firstLine="567"/>
        <w:jc w:val="both"/>
        <w:rPr>
          <w:rFonts w:ascii="Times New Roman" w:hAnsi="Times New Roman" w:cs="Times New Roman"/>
          <w:bCs/>
          <w:sz w:val="28"/>
          <w:szCs w:val="28"/>
        </w:rPr>
      </w:pPr>
    </w:p>
    <w:p w:rsidR="00E17FE1" w:rsidRDefault="00E17FE1">
      <w:pPr>
        <w:spacing w:after="0" w:line="240" w:lineRule="auto"/>
        <w:ind w:firstLine="567"/>
        <w:jc w:val="both"/>
        <w:rPr>
          <w:rFonts w:ascii="Times New Roman" w:hAnsi="Times New Roman" w:cs="Times New Roman"/>
          <w:bCs/>
          <w:sz w:val="28"/>
          <w:szCs w:val="28"/>
        </w:rPr>
      </w:pPr>
    </w:p>
    <w:p w:rsidR="00E17FE1" w:rsidRDefault="00BB58D7">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 xml:space="preserve">УДК 620.3:606(043)                    </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На правах рукописи</w:t>
      </w:r>
    </w:p>
    <w:p w:rsidR="00E17FE1" w:rsidRDefault="00E17FE1">
      <w:pPr>
        <w:spacing w:after="0" w:line="240" w:lineRule="auto"/>
        <w:ind w:firstLine="567"/>
        <w:jc w:val="center"/>
        <w:rPr>
          <w:rFonts w:ascii="Times New Roman" w:hAnsi="Times New Roman" w:cs="Times New Roman"/>
          <w:bCs/>
          <w:sz w:val="28"/>
          <w:szCs w:val="28"/>
        </w:rPr>
      </w:pPr>
    </w:p>
    <w:p w:rsidR="00E17FE1" w:rsidRDefault="00E17FE1">
      <w:pPr>
        <w:spacing w:after="0" w:line="240" w:lineRule="auto"/>
        <w:ind w:firstLine="567"/>
        <w:jc w:val="center"/>
        <w:rPr>
          <w:rFonts w:ascii="Times New Roman" w:hAnsi="Times New Roman" w:cs="Times New Roman"/>
          <w:bCs/>
          <w:sz w:val="28"/>
          <w:szCs w:val="28"/>
        </w:rPr>
      </w:pPr>
    </w:p>
    <w:p w:rsidR="00E17FE1" w:rsidRDefault="00E17FE1">
      <w:pPr>
        <w:spacing w:after="0" w:line="240" w:lineRule="auto"/>
        <w:ind w:firstLine="567"/>
        <w:jc w:val="center"/>
        <w:rPr>
          <w:rFonts w:ascii="Times New Roman" w:hAnsi="Times New Roman" w:cs="Times New Roman"/>
          <w:bCs/>
          <w:sz w:val="28"/>
          <w:szCs w:val="28"/>
        </w:rPr>
      </w:pPr>
    </w:p>
    <w:p w:rsidR="00E17FE1" w:rsidRDefault="00E17FE1">
      <w:pPr>
        <w:spacing w:after="0" w:line="240" w:lineRule="auto"/>
        <w:ind w:firstLine="567"/>
        <w:jc w:val="center"/>
        <w:rPr>
          <w:rFonts w:ascii="Times New Roman" w:hAnsi="Times New Roman" w:cs="Times New Roman"/>
          <w:bCs/>
          <w:sz w:val="28"/>
          <w:szCs w:val="28"/>
        </w:rPr>
      </w:pPr>
    </w:p>
    <w:p w:rsidR="00E17FE1" w:rsidRDefault="00E17FE1">
      <w:pPr>
        <w:spacing w:after="0" w:line="240" w:lineRule="auto"/>
        <w:ind w:firstLine="567"/>
        <w:jc w:val="center"/>
        <w:rPr>
          <w:rFonts w:ascii="Times New Roman" w:hAnsi="Times New Roman" w:cs="Times New Roman"/>
          <w:bCs/>
          <w:sz w:val="28"/>
          <w:szCs w:val="28"/>
        </w:rPr>
      </w:pPr>
    </w:p>
    <w:p w:rsidR="00E17FE1" w:rsidRDefault="00E17FE1">
      <w:pPr>
        <w:spacing w:after="0" w:line="240" w:lineRule="auto"/>
        <w:ind w:firstLine="567"/>
        <w:jc w:val="center"/>
        <w:rPr>
          <w:rFonts w:ascii="Times New Roman" w:hAnsi="Times New Roman" w:cs="Times New Roman"/>
          <w:bCs/>
          <w:sz w:val="28"/>
          <w:szCs w:val="28"/>
        </w:rPr>
      </w:pPr>
    </w:p>
    <w:p w:rsidR="00E17FE1" w:rsidRDefault="00BB58D7">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ТАЛИПОВА АЙЖАН БЕРИККЫЗЫ</w:t>
      </w:r>
    </w:p>
    <w:p w:rsidR="00E17FE1" w:rsidRDefault="00E17FE1">
      <w:pPr>
        <w:spacing w:after="0" w:line="240" w:lineRule="auto"/>
        <w:ind w:firstLine="567"/>
        <w:jc w:val="center"/>
        <w:rPr>
          <w:rFonts w:ascii="Times New Roman" w:hAnsi="Times New Roman" w:cs="Times New Roman"/>
          <w:b/>
          <w:bCs/>
          <w:sz w:val="28"/>
          <w:szCs w:val="28"/>
        </w:rPr>
      </w:pPr>
    </w:p>
    <w:p w:rsidR="00E17FE1" w:rsidRDefault="00E17FE1">
      <w:pPr>
        <w:spacing w:after="0" w:line="240" w:lineRule="auto"/>
        <w:ind w:firstLine="567"/>
        <w:jc w:val="center"/>
        <w:rPr>
          <w:rFonts w:ascii="Times New Roman" w:hAnsi="Times New Roman" w:cs="Times New Roman"/>
          <w:b/>
          <w:bCs/>
          <w:sz w:val="28"/>
          <w:szCs w:val="28"/>
        </w:rPr>
      </w:pPr>
    </w:p>
    <w:p w:rsidR="00E17FE1" w:rsidRDefault="00E17FE1">
      <w:pPr>
        <w:spacing w:after="0" w:line="240" w:lineRule="auto"/>
        <w:ind w:firstLine="567"/>
        <w:jc w:val="center"/>
        <w:rPr>
          <w:rFonts w:ascii="Times New Roman" w:hAnsi="Times New Roman" w:cs="Times New Roman"/>
          <w:b/>
          <w:bCs/>
          <w:sz w:val="28"/>
          <w:szCs w:val="28"/>
        </w:rPr>
      </w:pPr>
    </w:p>
    <w:p w:rsidR="00E17FE1" w:rsidRDefault="00BB58D7">
      <w:pPr>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Биоактивный композитный материал на основе бактериальной целлюлозы, гидроксиапатита и наноантисептиков: структура и свойства</w:t>
      </w:r>
    </w:p>
    <w:p w:rsidR="00E17FE1" w:rsidRDefault="00E17FE1">
      <w:pPr>
        <w:spacing w:after="0" w:line="240" w:lineRule="auto"/>
        <w:ind w:firstLine="567"/>
        <w:jc w:val="center"/>
        <w:rPr>
          <w:rFonts w:ascii="Times New Roman" w:hAnsi="Times New Roman" w:cs="Times New Roman"/>
          <w:bCs/>
          <w:sz w:val="28"/>
          <w:szCs w:val="28"/>
        </w:rPr>
      </w:pPr>
    </w:p>
    <w:p w:rsidR="00E17FE1" w:rsidRDefault="00E17FE1">
      <w:pPr>
        <w:spacing w:after="0" w:line="240" w:lineRule="auto"/>
        <w:ind w:firstLine="567"/>
        <w:jc w:val="center"/>
        <w:rPr>
          <w:rFonts w:ascii="Times New Roman" w:hAnsi="Times New Roman" w:cs="Times New Roman"/>
          <w:bCs/>
          <w:sz w:val="28"/>
          <w:szCs w:val="28"/>
        </w:rPr>
      </w:pPr>
    </w:p>
    <w:p w:rsidR="00E17FE1" w:rsidRDefault="00BB58D7">
      <w:pPr>
        <w:spacing w:after="0" w:line="240" w:lineRule="auto"/>
        <w:ind w:firstLine="567"/>
        <w:jc w:val="center"/>
        <w:rPr>
          <w:rFonts w:ascii="Times New Roman" w:hAnsi="Times New Roman" w:cs="Times New Roman"/>
          <w:bCs/>
          <w:sz w:val="28"/>
          <w:szCs w:val="28"/>
        </w:rPr>
      </w:pPr>
      <w:r>
        <w:rPr>
          <w:rFonts w:ascii="Times New Roman" w:hAnsi="Times New Roman" w:cs="Times New Roman"/>
          <w:bCs/>
          <w:sz w:val="28"/>
          <w:szCs w:val="28"/>
        </w:rPr>
        <w:t>6D074000 – Наноматериалы и нанотехнологии</w:t>
      </w:r>
    </w:p>
    <w:p w:rsidR="00E17FE1" w:rsidRDefault="00E17FE1">
      <w:pPr>
        <w:spacing w:after="0" w:line="240" w:lineRule="auto"/>
        <w:ind w:firstLine="567"/>
        <w:jc w:val="center"/>
        <w:rPr>
          <w:rFonts w:ascii="Times New Roman" w:hAnsi="Times New Roman" w:cs="Times New Roman"/>
          <w:bCs/>
          <w:sz w:val="28"/>
          <w:szCs w:val="28"/>
        </w:rPr>
      </w:pPr>
    </w:p>
    <w:p w:rsidR="00E17FE1" w:rsidRDefault="00E17FE1">
      <w:pPr>
        <w:spacing w:after="0" w:line="240" w:lineRule="auto"/>
        <w:ind w:firstLine="567"/>
        <w:jc w:val="center"/>
        <w:rPr>
          <w:rFonts w:ascii="Times New Roman" w:hAnsi="Times New Roman" w:cs="Times New Roman"/>
          <w:bCs/>
          <w:sz w:val="28"/>
          <w:szCs w:val="28"/>
        </w:rPr>
      </w:pPr>
    </w:p>
    <w:p w:rsidR="00E17FE1" w:rsidRDefault="00BB58D7">
      <w:pPr>
        <w:spacing w:after="0" w:line="240" w:lineRule="auto"/>
        <w:ind w:firstLine="567"/>
        <w:jc w:val="center"/>
        <w:rPr>
          <w:rFonts w:ascii="Times New Roman" w:hAnsi="Times New Roman" w:cs="Times New Roman"/>
          <w:bCs/>
          <w:sz w:val="28"/>
          <w:szCs w:val="28"/>
        </w:rPr>
      </w:pPr>
      <w:r>
        <w:rPr>
          <w:rFonts w:ascii="Times New Roman" w:hAnsi="Times New Roman" w:cs="Times New Roman"/>
          <w:bCs/>
          <w:sz w:val="28"/>
          <w:szCs w:val="28"/>
        </w:rPr>
        <w:t xml:space="preserve">Диссертация на соискание степени </w:t>
      </w:r>
    </w:p>
    <w:p w:rsidR="00E17FE1" w:rsidRDefault="00BB58D7">
      <w:pPr>
        <w:spacing w:after="0" w:line="240" w:lineRule="auto"/>
        <w:ind w:firstLine="567"/>
        <w:jc w:val="center"/>
        <w:rPr>
          <w:rFonts w:ascii="Times New Roman" w:hAnsi="Times New Roman" w:cs="Times New Roman"/>
          <w:bCs/>
          <w:sz w:val="28"/>
          <w:szCs w:val="28"/>
        </w:rPr>
      </w:pPr>
      <w:r>
        <w:rPr>
          <w:rFonts w:ascii="Times New Roman" w:hAnsi="Times New Roman" w:cs="Times New Roman"/>
          <w:bCs/>
          <w:sz w:val="28"/>
          <w:szCs w:val="28"/>
        </w:rPr>
        <w:t>доктора философии (PhD)</w:t>
      </w:r>
    </w:p>
    <w:p w:rsidR="00E17FE1" w:rsidRDefault="00E17FE1">
      <w:pPr>
        <w:spacing w:after="0"/>
        <w:ind w:firstLine="567"/>
        <w:jc w:val="center"/>
        <w:rPr>
          <w:rFonts w:ascii="Times New Roman" w:hAnsi="Times New Roman" w:cs="Times New Roman"/>
          <w:bCs/>
          <w:sz w:val="28"/>
          <w:szCs w:val="28"/>
        </w:rPr>
      </w:pPr>
    </w:p>
    <w:p w:rsidR="00E17FE1" w:rsidRDefault="00E17FE1">
      <w:pPr>
        <w:ind w:firstLine="567"/>
        <w:jc w:val="center"/>
        <w:rPr>
          <w:rFonts w:ascii="Times New Roman" w:hAnsi="Times New Roman" w:cs="Times New Roman"/>
          <w:bCs/>
          <w:sz w:val="28"/>
          <w:szCs w:val="28"/>
        </w:rPr>
      </w:pPr>
    </w:p>
    <w:p w:rsidR="00E17FE1" w:rsidRDefault="00E17FE1">
      <w:pPr>
        <w:ind w:firstLine="567"/>
        <w:jc w:val="center"/>
        <w:rPr>
          <w:rFonts w:ascii="Times New Roman" w:hAnsi="Times New Roman" w:cs="Times New Roman"/>
          <w:bCs/>
          <w:sz w:val="28"/>
          <w:szCs w:val="28"/>
        </w:rPr>
      </w:pPr>
    </w:p>
    <w:p w:rsidR="00E17FE1" w:rsidRDefault="00E17FE1">
      <w:pPr>
        <w:ind w:firstLine="567"/>
        <w:jc w:val="center"/>
        <w:rPr>
          <w:rFonts w:ascii="Times New Roman" w:hAnsi="Times New Roman" w:cs="Times New Roman"/>
          <w:bCs/>
          <w:sz w:val="28"/>
          <w:szCs w:val="28"/>
        </w:rPr>
      </w:pPr>
    </w:p>
    <w:p w:rsidR="00E17FE1" w:rsidRDefault="00E17FE1">
      <w:pPr>
        <w:ind w:firstLine="567"/>
        <w:jc w:val="center"/>
        <w:rPr>
          <w:rFonts w:ascii="Times New Roman" w:hAnsi="Times New Roman" w:cs="Times New Roman"/>
          <w:bCs/>
          <w:sz w:val="28"/>
          <w:szCs w:val="28"/>
        </w:rPr>
      </w:pPr>
    </w:p>
    <w:p w:rsidR="00E17FE1" w:rsidRDefault="00E17FE1">
      <w:pPr>
        <w:ind w:firstLine="567"/>
        <w:jc w:val="center"/>
        <w:rPr>
          <w:rFonts w:ascii="Times New Roman" w:hAnsi="Times New Roman" w:cs="Times New Roman"/>
          <w:bCs/>
          <w:sz w:val="28"/>
          <w:szCs w:val="28"/>
        </w:rPr>
      </w:pPr>
    </w:p>
    <w:p w:rsidR="00E17FE1" w:rsidRDefault="00BB58D7">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Научный консультант:</w:t>
      </w:r>
    </w:p>
    <w:p w:rsidR="00E17FE1" w:rsidRDefault="00BB58D7">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Савицкая И.С., </w:t>
      </w:r>
      <w:proofErr w:type="gramStart"/>
      <w:r>
        <w:rPr>
          <w:rFonts w:ascii="Times New Roman" w:eastAsia="Calibri" w:hAnsi="Times New Roman" w:cs="Times New Roman"/>
          <w:sz w:val="28"/>
          <w:szCs w:val="28"/>
        </w:rPr>
        <w:t>д.б</w:t>
      </w:r>
      <w:proofErr w:type="gramEnd"/>
      <w:r>
        <w:rPr>
          <w:rFonts w:ascii="Times New Roman" w:eastAsia="Calibri" w:hAnsi="Times New Roman" w:cs="Times New Roman"/>
          <w:sz w:val="28"/>
          <w:szCs w:val="28"/>
        </w:rPr>
        <w:t>.н., профессор</w:t>
      </w:r>
    </w:p>
    <w:p w:rsidR="00E17FE1" w:rsidRDefault="00E17FE1">
      <w:pPr>
        <w:spacing w:after="0" w:line="240" w:lineRule="auto"/>
        <w:jc w:val="right"/>
        <w:rPr>
          <w:rFonts w:ascii="Times New Roman" w:eastAsia="Calibri" w:hAnsi="Times New Roman" w:cs="Times New Roman"/>
          <w:sz w:val="28"/>
          <w:szCs w:val="28"/>
        </w:rPr>
      </w:pPr>
    </w:p>
    <w:p w:rsidR="00E17FE1" w:rsidRDefault="00BB58D7">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Зарубежный научный консультант:</w:t>
      </w:r>
    </w:p>
    <w:p w:rsidR="00E17FE1" w:rsidRDefault="00BB58D7">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Погребняк А.Д., д.ф.-м.н., профессор</w:t>
      </w:r>
    </w:p>
    <w:p w:rsidR="00E17FE1" w:rsidRDefault="00BB58D7">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Сумского государственного университета</w:t>
      </w:r>
    </w:p>
    <w:p w:rsidR="00E17FE1" w:rsidRDefault="00E17FE1">
      <w:pPr>
        <w:spacing w:after="0" w:line="240" w:lineRule="auto"/>
        <w:rPr>
          <w:rFonts w:ascii="Times New Roman" w:eastAsia="Calibri" w:hAnsi="Times New Roman" w:cs="Times New Roman"/>
          <w:sz w:val="28"/>
          <w:szCs w:val="28"/>
        </w:rPr>
      </w:pPr>
    </w:p>
    <w:p w:rsidR="00E17FE1" w:rsidRDefault="00E17FE1">
      <w:pPr>
        <w:spacing w:after="0" w:line="240" w:lineRule="auto"/>
        <w:jc w:val="center"/>
        <w:rPr>
          <w:rFonts w:ascii="Times New Roman" w:eastAsia="Calibri" w:hAnsi="Times New Roman" w:cs="Times New Roman"/>
          <w:sz w:val="28"/>
          <w:szCs w:val="28"/>
        </w:rPr>
      </w:pPr>
    </w:p>
    <w:p w:rsidR="00E17FE1" w:rsidRDefault="00BB58D7">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Республика Казахстан </w:t>
      </w:r>
    </w:p>
    <w:p w:rsidR="00E17FE1" w:rsidRDefault="00BB58D7">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Алматы, 2026</w:t>
      </w:r>
    </w:p>
    <w:p w:rsidR="00E17FE1" w:rsidRDefault="00E17FE1">
      <w:pPr>
        <w:spacing w:after="0" w:line="240" w:lineRule="auto"/>
        <w:jc w:val="center"/>
        <w:rPr>
          <w:rFonts w:ascii="Times New Roman" w:eastAsia="Calibri" w:hAnsi="Times New Roman" w:cs="Times New Roman"/>
          <w:sz w:val="28"/>
          <w:szCs w:val="28"/>
        </w:rPr>
      </w:pPr>
    </w:p>
    <w:p w:rsidR="00E17FE1" w:rsidRDefault="00BB58D7">
      <w:pPr>
        <w:ind w:firstLine="567"/>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СОДЕРЖАНИЕ </w:t>
      </w:r>
    </w:p>
    <w:tbl>
      <w:tblPr>
        <w:tblpPr w:leftFromText="180" w:rightFromText="180" w:vertAnchor="text" w:tblpX="41" w:tblpY="1"/>
        <w:tblW w:w="9747" w:type="dxa"/>
        <w:tblLook w:val="04A0"/>
      </w:tblPr>
      <w:tblGrid>
        <w:gridCol w:w="1126"/>
        <w:gridCol w:w="8262"/>
        <w:gridCol w:w="635"/>
      </w:tblGrid>
      <w:tr w:rsidR="00E17FE1">
        <w:trPr>
          <w:trHeight w:val="350"/>
        </w:trPr>
        <w:tc>
          <w:tcPr>
            <w:tcW w:w="9112" w:type="dxa"/>
            <w:gridSpan w:val="2"/>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b/>
                <w:sz w:val="28"/>
                <w:szCs w:val="28"/>
              </w:rPr>
              <w:t>ОБОЗНАЧЕНИЯ И СОКРАЩЕНИЯ</w:t>
            </w:r>
            <w:r>
              <w:rPr>
                <w:rFonts w:ascii="Times New Roman" w:hAnsi="Times New Roman" w:cs="Times New Roman"/>
                <w:sz w:val="28"/>
                <w:szCs w:val="28"/>
              </w:rPr>
              <w:t>……………………………………...</w:t>
            </w:r>
            <w:r w:rsidR="009E12D9">
              <w:rPr>
                <w:rFonts w:ascii="Times New Roman" w:hAnsi="Times New Roman" w:cs="Times New Roman"/>
                <w:sz w:val="28"/>
                <w:szCs w:val="28"/>
              </w:rPr>
              <w:t>....</w:t>
            </w:r>
          </w:p>
        </w:tc>
        <w:tc>
          <w:tcPr>
            <w:tcW w:w="63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w:t>
            </w:r>
          </w:p>
        </w:tc>
      </w:tr>
      <w:tr w:rsidR="00E17FE1">
        <w:trPr>
          <w:trHeight w:val="342"/>
        </w:trPr>
        <w:tc>
          <w:tcPr>
            <w:tcW w:w="9112" w:type="dxa"/>
            <w:gridSpan w:val="2"/>
            <w:shd w:val="clear" w:color="auto" w:fill="auto"/>
          </w:tcPr>
          <w:p w:rsidR="00E17FE1" w:rsidRPr="009E12D9"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b/>
                <w:sz w:val="28"/>
                <w:szCs w:val="28"/>
              </w:rPr>
              <w:t>ВВЕДЕНИЕ</w:t>
            </w:r>
            <w:r>
              <w:rPr>
                <w:rFonts w:ascii="Times New Roman" w:hAnsi="Times New Roman" w:cs="Times New Roman"/>
                <w:sz w:val="28"/>
                <w:szCs w:val="28"/>
              </w:rPr>
              <w:t>........................................................................................................</w:t>
            </w:r>
            <w:r w:rsidR="009E12D9">
              <w:rPr>
                <w:rFonts w:ascii="Times New Roman" w:hAnsi="Times New Roman" w:cs="Times New Roman"/>
                <w:sz w:val="28"/>
                <w:szCs w:val="28"/>
              </w:rPr>
              <w:t>...</w:t>
            </w:r>
          </w:p>
        </w:tc>
        <w:tc>
          <w:tcPr>
            <w:tcW w:w="63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5</w:t>
            </w:r>
          </w:p>
        </w:tc>
      </w:tr>
      <w:tr w:rsidR="00E17FE1">
        <w:tc>
          <w:tcPr>
            <w:tcW w:w="9112" w:type="dxa"/>
            <w:gridSpan w:val="2"/>
            <w:shd w:val="clear" w:color="auto" w:fill="auto"/>
          </w:tcPr>
          <w:p w:rsidR="00E17FE1" w:rsidRDefault="00BB58D7">
            <w:pPr>
              <w:spacing w:after="0" w:line="240" w:lineRule="auto"/>
              <w:ind w:right="-1"/>
              <w:jc w:val="both"/>
              <w:rPr>
                <w:rFonts w:ascii="Times New Roman" w:eastAsia="Calibri" w:hAnsi="Times New Roman" w:cs="Times New Roman"/>
                <w:sz w:val="28"/>
                <w:szCs w:val="28"/>
              </w:rPr>
            </w:pPr>
            <w:r>
              <w:rPr>
                <w:rFonts w:ascii="Times New Roman" w:hAnsi="Times New Roman" w:cs="Times New Roman"/>
                <w:b/>
                <w:sz w:val="28"/>
                <w:szCs w:val="28"/>
              </w:rPr>
              <w:t xml:space="preserve">1 </w:t>
            </w:r>
            <w:r>
              <w:rPr>
                <w:rFonts w:ascii="Times New Roman" w:eastAsia="Calibri" w:hAnsi="Times New Roman" w:cs="Times New Roman"/>
                <w:b/>
                <w:bCs/>
                <w:sz w:val="28"/>
                <w:szCs w:val="28"/>
              </w:rPr>
              <w:t>ОБЗОР ЛИТЕРАТУРЫ</w:t>
            </w:r>
            <w:r>
              <w:rPr>
                <w:rFonts w:ascii="Times New Roman" w:eastAsia="Calibri" w:hAnsi="Times New Roman" w:cs="Times New Roman"/>
                <w:sz w:val="28"/>
                <w:szCs w:val="28"/>
              </w:rPr>
              <w:t>……………………………………………………</w:t>
            </w:r>
            <w:r w:rsidR="009E12D9">
              <w:rPr>
                <w:rFonts w:ascii="Times New Roman" w:eastAsia="Calibri" w:hAnsi="Times New Roman" w:cs="Times New Roman"/>
                <w:sz w:val="28"/>
                <w:szCs w:val="28"/>
              </w:rPr>
              <w:t>…</w:t>
            </w:r>
          </w:p>
        </w:tc>
        <w:tc>
          <w:tcPr>
            <w:tcW w:w="635" w:type="dxa"/>
            <w:shd w:val="clear" w:color="auto" w:fill="auto"/>
          </w:tcPr>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0</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1.1</w:t>
            </w:r>
          </w:p>
        </w:tc>
        <w:tc>
          <w:tcPr>
            <w:tcW w:w="7917" w:type="dxa"/>
            <w:shd w:val="clear" w:color="auto" w:fill="auto"/>
          </w:tcPr>
          <w:p w:rsidR="00E17FE1" w:rsidRDefault="00BB58D7">
            <w:pPr>
              <w:tabs>
                <w:tab w:val="left" w:pos="1134"/>
                <w:tab w:val="left" w:pos="1560"/>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Синтез, свойства и биомедицинское применение нанокомпозитных антисептиков на основе бактериальной целлюлозы, MXene и гидроксиапатита…………………………</w:t>
            </w:r>
            <w:r w:rsidR="009E12D9">
              <w:rPr>
                <w:rFonts w:ascii="Times New Roman" w:eastAsia="Calibri" w:hAnsi="Times New Roman" w:cs="Times New Roman"/>
                <w:sz w:val="28"/>
                <w:szCs w:val="28"/>
              </w:rPr>
              <w:t>……</w:t>
            </w:r>
          </w:p>
        </w:tc>
        <w:tc>
          <w:tcPr>
            <w:tcW w:w="635" w:type="dxa"/>
            <w:shd w:val="clear" w:color="auto" w:fill="auto"/>
          </w:tcPr>
          <w:p w:rsidR="00E17FE1" w:rsidRDefault="00E17FE1">
            <w:pPr>
              <w:spacing w:after="0" w:line="240" w:lineRule="auto"/>
              <w:ind w:right="-1"/>
              <w:jc w:val="both"/>
              <w:rPr>
                <w:rFonts w:ascii="Times New Roman" w:hAnsi="Times New Roman" w:cs="Times New Roman"/>
                <w:sz w:val="28"/>
                <w:szCs w:val="28"/>
              </w:rPr>
            </w:pPr>
          </w:p>
          <w:p w:rsidR="00E17FE1" w:rsidRDefault="00E17FE1">
            <w:pPr>
              <w:spacing w:after="0" w:line="240" w:lineRule="auto"/>
              <w:ind w:right="-1"/>
              <w:jc w:val="both"/>
              <w:rPr>
                <w:rFonts w:ascii="Times New Roman" w:hAnsi="Times New Roman" w:cs="Times New Roman"/>
                <w:sz w:val="28"/>
                <w:szCs w:val="28"/>
              </w:rPr>
            </w:pPr>
          </w:p>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0</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eastAsia="Times New Roman" w:hAnsi="Times New Roman" w:cs="Times New Roman"/>
                <w:sz w:val="28"/>
                <w:szCs w:val="28"/>
                <w:lang w:bidi="en-US"/>
              </w:rPr>
              <w:t>1.1.1</w:t>
            </w:r>
            <w:r>
              <w:rPr>
                <w:rFonts w:ascii="Times New Roman" w:eastAsia="Times New Roman" w:hAnsi="Times New Roman" w:cs="Times New Roman"/>
                <w:sz w:val="28"/>
                <w:szCs w:val="28"/>
                <w:lang w:bidi="en-US"/>
              </w:rPr>
              <w:tab/>
            </w:r>
          </w:p>
        </w:tc>
        <w:tc>
          <w:tcPr>
            <w:tcW w:w="7917" w:type="dxa"/>
            <w:shd w:val="clear" w:color="auto" w:fill="auto"/>
          </w:tcPr>
          <w:p w:rsidR="00E17FE1" w:rsidRDefault="00BB58D7">
            <w:pPr>
              <w:widowControl w:val="0"/>
              <w:suppressAutoHyphens/>
              <w:spacing w:after="0" w:line="240" w:lineRule="auto"/>
              <w:jc w:val="both"/>
              <w:rPr>
                <w:rFonts w:ascii="Times New Roman" w:eastAsia="Times New Roman" w:hAnsi="Times New Roman" w:cs="Times New Roman"/>
                <w:sz w:val="28"/>
                <w:szCs w:val="28"/>
                <w:lang w:bidi="en-US"/>
              </w:rPr>
            </w:pPr>
            <w:proofErr w:type="gramStart"/>
            <w:r>
              <w:rPr>
                <w:rFonts w:ascii="Times New Roman" w:eastAsia="Times New Roman" w:hAnsi="Times New Roman" w:cs="Times New Roman"/>
                <w:sz w:val="28"/>
                <w:szCs w:val="28"/>
                <w:lang w:bidi="en-US"/>
              </w:rPr>
              <w:t>Бактериальная</w:t>
            </w:r>
            <w:proofErr w:type="gramEnd"/>
            <w:r>
              <w:rPr>
                <w:rFonts w:ascii="Times New Roman" w:eastAsia="Times New Roman" w:hAnsi="Times New Roman" w:cs="Times New Roman"/>
                <w:sz w:val="28"/>
                <w:szCs w:val="28"/>
                <w:lang w:bidi="en-US"/>
              </w:rPr>
              <w:t xml:space="preserve"> наноцеллюлоза - биополимер в биомедицинских приложениях………………………………………………………</w:t>
            </w:r>
            <w:r w:rsidR="009E12D9">
              <w:rPr>
                <w:rFonts w:ascii="Times New Roman" w:eastAsia="Times New Roman" w:hAnsi="Times New Roman" w:cs="Times New Roman"/>
                <w:sz w:val="28"/>
                <w:szCs w:val="28"/>
                <w:lang w:bidi="en-US"/>
              </w:rPr>
              <w:t>……</w:t>
            </w:r>
          </w:p>
        </w:tc>
        <w:tc>
          <w:tcPr>
            <w:tcW w:w="635" w:type="dxa"/>
            <w:shd w:val="clear" w:color="auto" w:fill="auto"/>
          </w:tcPr>
          <w:p w:rsidR="00E17FE1" w:rsidRDefault="00E17FE1">
            <w:pPr>
              <w:spacing w:after="0" w:line="240" w:lineRule="auto"/>
              <w:ind w:right="-1"/>
              <w:jc w:val="both"/>
              <w:rPr>
                <w:rFonts w:ascii="Times New Roman" w:hAnsi="Times New Roman" w:cs="Times New Roman"/>
                <w:sz w:val="28"/>
                <w:szCs w:val="28"/>
              </w:rPr>
            </w:pPr>
          </w:p>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1</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1.1.2</w:t>
            </w:r>
          </w:p>
        </w:tc>
        <w:tc>
          <w:tcPr>
            <w:tcW w:w="7917" w:type="dxa"/>
            <w:shd w:val="clear" w:color="auto" w:fill="auto"/>
          </w:tcPr>
          <w:p w:rsidR="00E17FE1" w:rsidRDefault="00BB58D7">
            <w:pPr>
              <w:widowControl w:val="0"/>
              <w:suppressAutoHyphens/>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Гидроксиапатит……………………………………………………</w:t>
            </w:r>
            <w:r w:rsidR="009E12D9">
              <w:rPr>
                <w:rFonts w:ascii="Times New Roman" w:eastAsia="Times New Roman" w:hAnsi="Times New Roman" w:cs="Times New Roman"/>
                <w:sz w:val="28"/>
                <w:szCs w:val="28"/>
                <w:lang w:bidi="en-US"/>
              </w:rPr>
              <w:t>…..</w:t>
            </w:r>
          </w:p>
        </w:tc>
        <w:tc>
          <w:tcPr>
            <w:tcW w:w="635" w:type="dxa"/>
            <w:shd w:val="clear" w:color="auto" w:fill="auto"/>
          </w:tcPr>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4</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1.1.3</w:t>
            </w:r>
          </w:p>
        </w:tc>
        <w:tc>
          <w:tcPr>
            <w:tcW w:w="7917" w:type="dxa"/>
            <w:shd w:val="clear" w:color="auto" w:fill="auto"/>
          </w:tcPr>
          <w:p w:rsidR="00E17FE1" w:rsidRDefault="00BB58D7">
            <w:pPr>
              <w:widowControl w:val="0"/>
              <w:suppressAutoHyphens/>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MXene – новый класс наноантисептиков………………………</w:t>
            </w:r>
            <w:r w:rsidR="009E12D9">
              <w:rPr>
                <w:rFonts w:ascii="Times New Roman" w:eastAsia="Times New Roman" w:hAnsi="Times New Roman" w:cs="Times New Roman"/>
                <w:sz w:val="28"/>
                <w:szCs w:val="28"/>
                <w:lang w:bidi="en-US"/>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1</w:t>
            </w:r>
            <w:r w:rsidR="00684CFF">
              <w:rPr>
                <w:rFonts w:ascii="Times New Roman" w:hAnsi="Times New Roman" w:cs="Times New Roman"/>
                <w:sz w:val="28"/>
                <w:szCs w:val="28"/>
              </w:rPr>
              <w:t>6</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sz w:val="28"/>
                <w:szCs w:val="28"/>
                <w:lang w:val="en-US" w:bidi="en-US"/>
              </w:rPr>
            </w:pPr>
            <w:r>
              <w:rPr>
                <w:rFonts w:ascii="Times New Roman" w:eastAsia="Times New Roman" w:hAnsi="Times New Roman" w:cs="Times New Roman"/>
                <w:sz w:val="28"/>
                <w:szCs w:val="28"/>
                <w:lang w:bidi="en-US"/>
              </w:rPr>
              <w:t>1.</w:t>
            </w:r>
            <w:r>
              <w:rPr>
                <w:rFonts w:ascii="Times New Roman" w:eastAsia="Times New Roman" w:hAnsi="Times New Roman" w:cs="Times New Roman"/>
                <w:sz w:val="28"/>
                <w:szCs w:val="28"/>
                <w:lang w:val="en-US" w:bidi="en-US"/>
              </w:rPr>
              <w:t>2</w:t>
            </w:r>
          </w:p>
        </w:tc>
        <w:tc>
          <w:tcPr>
            <w:tcW w:w="7917" w:type="dxa"/>
            <w:shd w:val="clear" w:color="auto" w:fill="auto"/>
          </w:tcPr>
          <w:p w:rsidR="00E17FE1" w:rsidRDefault="00BB58D7">
            <w:pPr>
              <w:widowControl w:val="0"/>
              <w:suppressAutoHyphens/>
              <w:spacing w:after="0" w:line="240" w:lineRule="auto"/>
              <w:jc w:val="both"/>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bidi="en-US"/>
              </w:rPr>
              <w:t>Биомедицинские применения нанокомпозитов из бактериальной целлюлозы, функционализированной ГАП или MXenes……………………………………………………………</w:t>
            </w:r>
            <w:r w:rsidR="009E12D9">
              <w:rPr>
                <w:rFonts w:ascii="Times New Roman" w:eastAsia="Times New Roman" w:hAnsi="Times New Roman" w:cs="Times New Roman"/>
                <w:sz w:val="28"/>
                <w:szCs w:val="28"/>
                <w:lang w:bidi="en-US"/>
              </w:rPr>
              <w:t>……</w:t>
            </w:r>
          </w:p>
        </w:tc>
        <w:tc>
          <w:tcPr>
            <w:tcW w:w="635" w:type="dxa"/>
            <w:shd w:val="clear" w:color="auto" w:fill="auto"/>
          </w:tcPr>
          <w:p w:rsidR="00E17FE1" w:rsidRDefault="00E17FE1">
            <w:pPr>
              <w:spacing w:after="0" w:line="240" w:lineRule="auto"/>
              <w:ind w:right="-1"/>
              <w:jc w:val="both"/>
              <w:rPr>
                <w:rFonts w:ascii="Times New Roman" w:hAnsi="Times New Roman" w:cs="Times New Roman"/>
                <w:sz w:val="28"/>
                <w:szCs w:val="28"/>
              </w:rPr>
            </w:pPr>
          </w:p>
          <w:p w:rsidR="00E17FE1" w:rsidRDefault="00E17FE1">
            <w:pPr>
              <w:spacing w:after="0" w:line="240" w:lineRule="auto"/>
              <w:ind w:right="-1"/>
              <w:jc w:val="both"/>
              <w:rPr>
                <w:rFonts w:ascii="Times New Roman" w:hAnsi="Times New Roman" w:cs="Times New Roman"/>
                <w:sz w:val="28"/>
                <w:szCs w:val="28"/>
              </w:rPr>
            </w:pPr>
          </w:p>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2</w:t>
            </w:r>
            <w:r w:rsidR="00684CFF">
              <w:rPr>
                <w:rFonts w:ascii="Times New Roman" w:hAnsi="Times New Roman" w:cs="Times New Roman"/>
                <w:sz w:val="28"/>
                <w:szCs w:val="28"/>
              </w:rPr>
              <w:t>3</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sz w:val="28"/>
                <w:szCs w:val="28"/>
                <w:lang w:val="en-US" w:bidi="en-US"/>
              </w:rPr>
            </w:pPr>
            <w:r>
              <w:rPr>
                <w:rFonts w:ascii="Times New Roman" w:eastAsia="Times New Roman" w:hAnsi="Times New Roman" w:cs="Times New Roman"/>
                <w:sz w:val="28"/>
                <w:szCs w:val="28"/>
                <w:lang w:val="en-US" w:bidi="en-US"/>
              </w:rPr>
              <w:t>1.2.1</w:t>
            </w:r>
          </w:p>
        </w:tc>
        <w:tc>
          <w:tcPr>
            <w:tcW w:w="7917" w:type="dxa"/>
            <w:shd w:val="clear" w:color="auto" w:fill="auto"/>
          </w:tcPr>
          <w:p w:rsidR="00E17FE1" w:rsidRDefault="00BB58D7">
            <w:pPr>
              <w:widowControl w:val="0"/>
              <w:suppressAutoHyphens/>
              <w:spacing w:after="0" w:line="240" w:lineRule="auto"/>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val="en-US" w:bidi="en-US"/>
              </w:rPr>
              <w:t>Проводящие гидрогели</w:t>
            </w:r>
            <w:r>
              <w:rPr>
                <w:rFonts w:ascii="Times New Roman" w:eastAsia="Times New Roman" w:hAnsi="Times New Roman" w:cs="Times New Roman"/>
                <w:sz w:val="28"/>
                <w:szCs w:val="28"/>
                <w:lang w:bidi="en-US"/>
              </w:rPr>
              <w:t>……………………………………………</w:t>
            </w:r>
            <w:r w:rsidR="009E12D9">
              <w:rPr>
                <w:rFonts w:ascii="Times New Roman" w:eastAsia="Times New Roman" w:hAnsi="Times New Roman" w:cs="Times New Roman"/>
                <w:sz w:val="28"/>
                <w:szCs w:val="28"/>
                <w:lang w:bidi="en-US"/>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2</w:t>
            </w:r>
            <w:r w:rsidR="00684CFF">
              <w:rPr>
                <w:rFonts w:ascii="Times New Roman" w:hAnsi="Times New Roman" w:cs="Times New Roman"/>
                <w:sz w:val="28"/>
                <w:szCs w:val="28"/>
              </w:rPr>
              <w:t>4</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sz w:val="28"/>
                <w:szCs w:val="28"/>
                <w:lang w:val="en-US" w:bidi="en-US"/>
              </w:rPr>
            </w:pPr>
            <w:r>
              <w:rPr>
                <w:rFonts w:ascii="Times New Roman" w:eastAsia="Times New Roman" w:hAnsi="Times New Roman" w:cs="Times New Roman"/>
                <w:sz w:val="28"/>
                <w:szCs w:val="28"/>
                <w:lang w:val="en-US" w:bidi="en-US"/>
              </w:rPr>
              <w:t>1.2.2</w:t>
            </w:r>
          </w:p>
        </w:tc>
        <w:tc>
          <w:tcPr>
            <w:tcW w:w="7917" w:type="dxa"/>
            <w:shd w:val="clear" w:color="auto" w:fill="auto"/>
          </w:tcPr>
          <w:p w:rsidR="00E17FE1" w:rsidRDefault="00BB58D7">
            <w:pPr>
              <w:widowControl w:val="0"/>
              <w:tabs>
                <w:tab w:val="left" w:pos="3278"/>
              </w:tabs>
              <w:suppressAutoHyphens/>
              <w:spacing w:after="0" w:line="240" w:lineRule="auto"/>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val="en-US" w:bidi="en-US"/>
              </w:rPr>
              <w:t>Утилизация активных форм кислорода</w:t>
            </w:r>
            <w:r>
              <w:rPr>
                <w:rFonts w:ascii="Times New Roman" w:eastAsia="Times New Roman" w:hAnsi="Times New Roman" w:cs="Times New Roman"/>
                <w:sz w:val="28"/>
                <w:szCs w:val="28"/>
                <w:lang w:bidi="en-US"/>
              </w:rPr>
              <w:t>…………………………...</w:t>
            </w:r>
            <w:r w:rsidR="009E12D9">
              <w:rPr>
                <w:rFonts w:ascii="Times New Roman" w:eastAsia="Times New Roman" w:hAnsi="Times New Roman" w:cs="Times New Roman"/>
                <w:sz w:val="28"/>
                <w:szCs w:val="28"/>
                <w:lang w:bidi="en-US"/>
              </w:rPr>
              <w:t>...</w:t>
            </w:r>
          </w:p>
        </w:tc>
        <w:tc>
          <w:tcPr>
            <w:tcW w:w="635" w:type="dxa"/>
            <w:shd w:val="clear" w:color="auto" w:fill="auto"/>
          </w:tcPr>
          <w:p w:rsidR="00E17FE1" w:rsidRPr="00684CFF"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28</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sz w:val="28"/>
                <w:szCs w:val="28"/>
                <w:lang w:val="en-US" w:bidi="en-US"/>
              </w:rPr>
            </w:pPr>
            <w:r>
              <w:rPr>
                <w:rFonts w:ascii="Times New Roman" w:eastAsia="Times New Roman" w:hAnsi="Times New Roman" w:cs="Times New Roman"/>
                <w:sz w:val="28"/>
                <w:szCs w:val="28"/>
                <w:lang w:val="en-US" w:bidi="en-US"/>
              </w:rPr>
              <w:t>1.2.3</w:t>
            </w:r>
          </w:p>
        </w:tc>
        <w:tc>
          <w:tcPr>
            <w:tcW w:w="7917" w:type="dxa"/>
            <w:shd w:val="clear" w:color="auto" w:fill="auto"/>
          </w:tcPr>
          <w:p w:rsidR="00E17FE1" w:rsidRDefault="00BB58D7">
            <w:pPr>
              <w:widowControl w:val="0"/>
              <w:tabs>
                <w:tab w:val="left" w:pos="3278"/>
              </w:tabs>
              <w:suppressAutoHyphens/>
              <w:spacing w:after="0" w:line="240" w:lineRule="auto"/>
              <w:rPr>
                <w:rFonts w:ascii="Times New Roman" w:eastAsia="Times New Roman" w:hAnsi="Times New Roman" w:cs="Times New Roman"/>
                <w:sz w:val="28"/>
                <w:szCs w:val="28"/>
                <w:lang w:bidi="en-US"/>
              </w:rPr>
            </w:pPr>
            <w:r>
              <w:rPr>
                <w:rFonts w:ascii="Times New Roman" w:eastAsia="Times New Roman" w:hAnsi="Times New Roman" w:cs="Times New Roman"/>
                <w:sz w:val="28"/>
                <w:szCs w:val="28"/>
                <w:lang w:val="en-US" w:bidi="en-US"/>
              </w:rPr>
              <w:t>Доставка лекарств</w:t>
            </w:r>
            <w:r>
              <w:rPr>
                <w:rFonts w:ascii="Times New Roman" w:eastAsia="Times New Roman" w:hAnsi="Times New Roman" w:cs="Times New Roman"/>
                <w:sz w:val="28"/>
                <w:szCs w:val="28"/>
                <w:lang w:bidi="en-US"/>
              </w:rPr>
              <w:t>…………………………………………………..</w:t>
            </w:r>
            <w:r w:rsidR="009E12D9">
              <w:rPr>
                <w:rFonts w:ascii="Times New Roman" w:eastAsia="Times New Roman" w:hAnsi="Times New Roman" w:cs="Times New Roman"/>
                <w:sz w:val="28"/>
                <w:szCs w:val="28"/>
                <w:lang w:bidi="en-US"/>
              </w:rPr>
              <w:t>...</w:t>
            </w:r>
          </w:p>
        </w:tc>
        <w:tc>
          <w:tcPr>
            <w:tcW w:w="635" w:type="dxa"/>
            <w:shd w:val="clear" w:color="auto" w:fill="auto"/>
          </w:tcPr>
          <w:p w:rsidR="00E17FE1" w:rsidRPr="00684CFF"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31</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sz w:val="28"/>
                <w:szCs w:val="28"/>
                <w:lang w:val="en-US" w:bidi="en-US"/>
              </w:rPr>
            </w:pPr>
            <w:r>
              <w:rPr>
                <w:rFonts w:ascii="Times New Roman" w:eastAsia="Times New Roman" w:hAnsi="Times New Roman" w:cs="Times New Roman"/>
                <w:sz w:val="28"/>
                <w:szCs w:val="28"/>
                <w:lang w:val="en-US" w:bidi="en-US"/>
              </w:rPr>
              <w:t>1.2.4</w:t>
            </w:r>
          </w:p>
        </w:tc>
        <w:tc>
          <w:tcPr>
            <w:tcW w:w="7917" w:type="dxa"/>
            <w:shd w:val="clear" w:color="auto" w:fill="auto"/>
          </w:tcPr>
          <w:p w:rsidR="00E17FE1" w:rsidRDefault="00BB58D7">
            <w:pPr>
              <w:widowControl w:val="0"/>
              <w:tabs>
                <w:tab w:val="left" w:pos="3278"/>
              </w:tabs>
              <w:suppressAutoHyphens/>
              <w:spacing w:after="0" w:line="240" w:lineRule="auto"/>
              <w:rPr>
                <w:rFonts w:ascii="Times New Roman" w:eastAsia="Times New Roman" w:hAnsi="Times New Roman" w:cs="Times New Roman"/>
                <w:sz w:val="28"/>
                <w:szCs w:val="28"/>
                <w:lang w:val="en-US" w:bidi="en-US"/>
              </w:rPr>
            </w:pPr>
            <w:r>
              <w:rPr>
                <w:rFonts w:ascii="Times New Roman" w:hAnsi="Times New Roman" w:cs="Times New Roman"/>
                <w:sz w:val="28"/>
                <w:szCs w:val="28"/>
              </w:rPr>
              <w:t>Фототермическая терапия…………………………………………</w:t>
            </w:r>
            <w:r w:rsidR="009E12D9">
              <w:rPr>
                <w:rFonts w:ascii="Times New Roman" w:hAnsi="Times New Roman" w:cs="Times New Roman"/>
                <w:sz w:val="28"/>
                <w:szCs w:val="28"/>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3</w:t>
            </w:r>
            <w:r w:rsidR="00684CFF">
              <w:rPr>
                <w:rFonts w:ascii="Times New Roman" w:hAnsi="Times New Roman" w:cs="Times New Roman"/>
                <w:sz w:val="28"/>
                <w:szCs w:val="28"/>
              </w:rPr>
              <w:t>2</w:t>
            </w:r>
          </w:p>
        </w:tc>
      </w:tr>
      <w:tr w:rsidR="00E17FE1">
        <w:tc>
          <w:tcPr>
            <w:tcW w:w="9112" w:type="dxa"/>
            <w:gridSpan w:val="2"/>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b/>
                <w:sz w:val="28"/>
                <w:szCs w:val="28"/>
              </w:rPr>
              <w:t xml:space="preserve">2 </w:t>
            </w:r>
            <w:r>
              <w:rPr>
                <w:rFonts w:ascii="Times New Roman" w:eastAsia="Calibri" w:hAnsi="Times New Roman" w:cs="Times New Roman"/>
                <w:b/>
                <w:bCs/>
                <w:sz w:val="28"/>
                <w:szCs w:val="28"/>
              </w:rPr>
              <w:t>МАТЕРИАЛЫ И МЕТОДЫ ИССЛЕДОВАНИЙ</w:t>
            </w:r>
            <w:r>
              <w:rPr>
                <w:rFonts w:ascii="Times New Roman" w:eastAsia="Calibri" w:hAnsi="Times New Roman" w:cs="Times New Roman"/>
                <w:bCs/>
                <w:sz w:val="28"/>
                <w:szCs w:val="28"/>
              </w:rPr>
              <w:t>………………………</w:t>
            </w:r>
            <w:r w:rsidR="009E12D9">
              <w:rPr>
                <w:rFonts w:ascii="Times New Roman" w:eastAsia="Calibri" w:hAnsi="Times New Roman" w:cs="Times New Roman"/>
                <w:bCs/>
                <w:sz w:val="28"/>
                <w:szCs w:val="28"/>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3</w:t>
            </w:r>
            <w:r w:rsidR="00684CFF">
              <w:rPr>
                <w:rFonts w:ascii="Times New Roman" w:hAnsi="Times New Roman" w:cs="Times New Roman"/>
                <w:sz w:val="28"/>
                <w:szCs w:val="28"/>
              </w:rPr>
              <w:t>6</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2.1</w:t>
            </w:r>
          </w:p>
        </w:tc>
        <w:tc>
          <w:tcPr>
            <w:tcW w:w="7917" w:type="dxa"/>
            <w:shd w:val="clear" w:color="auto" w:fill="auto"/>
          </w:tcPr>
          <w:p w:rsidR="00E17FE1" w:rsidRDefault="00BB58D7">
            <w:pPr>
              <w:keepNext/>
              <w:keepLines/>
              <w:spacing w:after="0" w:line="240" w:lineRule="auto"/>
              <w:ind w:right="-1"/>
              <w:jc w:val="both"/>
              <w:outlineLvl w:val="1"/>
              <w:rPr>
                <w:rFonts w:ascii="Times New Roman" w:eastAsia="Calibri" w:hAnsi="Times New Roman" w:cs="Times New Roman"/>
                <w:bCs/>
                <w:sz w:val="28"/>
                <w:szCs w:val="28"/>
              </w:rPr>
            </w:pPr>
            <w:r>
              <w:rPr>
                <w:rFonts w:ascii="Times New Roman" w:eastAsia="Arial Unicode MS" w:hAnsi="Times New Roman" w:cs="Times New Roman"/>
                <w:bCs/>
                <w:sz w:val="28"/>
                <w:szCs w:val="28"/>
                <w:lang w:bidi="en-US"/>
              </w:rPr>
              <w:t>Объекты исследований……………………………………………</w:t>
            </w:r>
            <w:r w:rsidR="009E12D9">
              <w:rPr>
                <w:rFonts w:ascii="Times New Roman" w:eastAsia="Arial Unicode MS" w:hAnsi="Times New Roman" w:cs="Times New Roman"/>
                <w:bCs/>
                <w:sz w:val="28"/>
                <w:szCs w:val="28"/>
                <w:lang w:bidi="en-US"/>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3</w:t>
            </w:r>
            <w:r w:rsidR="00684CFF">
              <w:rPr>
                <w:rFonts w:ascii="Times New Roman" w:hAnsi="Times New Roman" w:cs="Times New Roman"/>
                <w:sz w:val="28"/>
                <w:szCs w:val="28"/>
              </w:rPr>
              <w:t>6</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2.2</w:t>
            </w:r>
          </w:p>
        </w:tc>
        <w:tc>
          <w:tcPr>
            <w:tcW w:w="7917" w:type="dxa"/>
            <w:shd w:val="clear" w:color="auto" w:fill="auto"/>
          </w:tcPr>
          <w:p w:rsidR="00E17FE1" w:rsidRDefault="00BB58D7">
            <w:pPr>
              <w:keepNext/>
              <w:keepLines/>
              <w:spacing w:after="0" w:line="240" w:lineRule="auto"/>
              <w:ind w:right="-1"/>
              <w:jc w:val="both"/>
              <w:outlineLvl w:val="1"/>
              <w:rPr>
                <w:rFonts w:ascii="Times New Roman" w:eastAsia="Calibri" w:hAnsi="Times New Roman" w:cs="Times New Roman"/>
                <w:bCs/>
                <w:sz w:val="28"/>
                <w:szCs w:val="28"/>
              </w:rPr>
            </w:pPr>
            <w:r>
              <w:rPr>
                <w:rFonts w:ascii="Times New Roman" w:eastAsia="Arial Unicode MS" w:hAnsi="Times New Roman" w:cs="Times New Roman"/>
                <w:bCs/>
                <w:sz w:val="28"/>
                <w:szCs w:val="28"/>
                <w:lang w:bidi="en-US"/>
              </w:rPr>
              <w:t>Методы исследований…………………………………</w:t>
            </w:r>
            <w:r w:rsidR="009E12D9">
              <w:rPr>
                <w:rFonts w:ascii="Times New Roman" w:eastAsia="Arial Unicode MS" w:hAnsi="Times New Roman" w:cs="Times New Roman"/>
                <w:bCs/>
                <w:sz w:val="28"/>
                <w:szCs w:val="28"/>
                <w:lang w:bidi="en-US"/>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3</w:t>
            </w:r>
            <w:r w:rsidR="00684CFF">
              <w:rPr>
                <w:rFonts w:ascii="Times New Roman" w:hAnsi="Times New Roman" w:cs="Times New Roman"/>
                <w:sz w:val="28"/>
                <w:szCs w:val="28"/>
              </w:rPr>
              <w:t>6</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2.2.1</w:t>
            </w:r>
          </w:p>
        </w:tc>
        <w:tc>
          <w:tcPr>
            <w:tcW w:w="7917" w:type="dxa"/>
            <w:shd w:val="clear" w:color="auto" w:fill="auto"/>
          </w:tcPr>
          <w:p w:rsidR="00E17FE1" w:rsidRDefault="00BB58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Получение БЦ в поверхностных условиях культивирования</w:t>
            </w:r>
            <w:r w:rsidR="009E12D9">
              <w:rPr>
                <w:rFonts w:ascii="Times New Roman" w:hAnsi="Times New Roman" w:cs="Times New Roman"/>
                <w:sz w:val="28"/>
                <w:szCs w:val="28"/>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3</w:t>
            </w:r>
            <w:r w:rsidR="00684CFF">
              <w:rPr>
                <w:rFonts w:ascii="Times New Roman" w:hAnsi="Times New Roman" w:cs="Times New Roman"/>
                <w:sz w:val="28"/>
                <w:szCs w:val="28"/>
              </w:rPr>
              <w:t>6</w:t>
            </w:r>
          </w:p>
        </w:tc>
      </w:tr>
      <w:tr w:rsidR="00E17FE1">
        <w:tc>
          <w:tcPr>
            <w:tcW w:w="1195" w:type="dxa"/>
            <w:shd w:val="clear" w:color="auto" w:fill="auto"/>
          </w:tcPr>
          <w:p w:rsidR="00E17FE1" w:rsidRDefault="00BB58D7">
            <w:pPr>
              <w:spacing w:after="0" w:line="240" w:lineRule="auto"/>
              <w:rPr>
                <w:rFonts w:ascii="Times New Roman" w:hAnsi="Times New Roman" w:cs="Times New Roman"/>
                <w:sz w:val="28"/>
                <w:szCs w:val="28"/>
              </w:rPr>
            </w:pPr>
            <w:r>
              <w:rPr>
                <w:rFonts w:ascii="Times New Roman" w:hAnsi="Times New Roman" w:cs="Times New Roman"/>
                <w:sz w:val="28"/>
                <w:szCs w:val="28"/>
              </w:rPr>
              <w:t>2.2.2</w:t>
            </w:r>
          </w:p>
        </w:tc>
        <w:tc>
          <w:tcPr>
            <w:tcW w:w="7917" w:type="dxa"/>
            <w:shd w:val="clear" w:color="auto" w:fill="auto"/>
          </w:tcPr>
          <w:p w:rsidR="00E17FE1" w:rsidRDefault="00BB58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Синтез Ti</w:t>
            </w:r>
            <w:r>
              <w:rPr>
                <w:rFonts w:ascii="Cambria Math" w:hAnsi="Cambria Math" w:cs="Cambria Math"/>
                <w:sz w:val="28"/>
                <w:szCs w:val="28"/>
              </w:rPr>
              <w:t>₃</w:t>
            </w:r>
            <w:r>
              <w:rPr>
                <w:rFonts w:ascii="Times New Roman" w:hAnsi="Times New Roman" w:cs="Times New Roman"/>
                <w:sz w:val="28"/>
                <w:szCs w:val="28"/>
              </w:rPr>
              <w:t>C</w:t>
            </w:r>
            <w:r>
              <w:rPr>
                <w:rFonts w:ascii="Cambria Math" w:hAnsi="Cambria Math" w:cs="Cambria Math"/>
                <w:sz w:val="28"/>
                <w:szCs w:val="28"/>
              </w:rPr>
              <w:t>₂</w:t>
            </w:r>
            <w:r>
              <w:rPr>
                <w:rFonts w:ascii="Times New Roman" w:hAnsi="Times New Roman" w:cs="Times New Roman"/>
                <w:sz w:val="28"/>
                <w:szCs w:val="28"/>
              </w:rPr>
              <w:t>TxMxene……………………………………………</w:t>
            </w:r>
            <w:r w:rsidR="009E12D9">
              <w:rPr>
                <w:rFonts w:ascii="Times New Roman" w:hAnsi="Times New Roman" w:cs="Times New Roman"/>
                <w:sz w:val="28"/>
                <w:szCs w:val="28"/>
              </w:rPr>
              <w:t>......</w:t>
            </w:r>
          </w:p>
        </w:tc>
        <w:tc>
          <w:tcPr>
            <w:tcW w:w="635" w:type="dxa"/>
            <w:shd w:val="clear" w:color="auto" w:fill="auto"/>
          </w:tcPr>
          <w:p w:rsidR="00E17FE1" w:rsidRPr="00684CFF"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lang w:val="en-US"/>
              </w:rPr>
              <w:t>3</w:t>
            </w:r>
            <w:r w:rsidR="00684CFF">
              <w:rPr>
                <w:rFonts w:ascii="Times New Roman" w:hAnsi="Times New Roman" w:cs="Times New Roman"/>
                <w:sz w:val="28"/>
                <w:szCs w:val="28"/>
              </w:rPr>
              <w:t>7</w:t>
            </w:r>
          </w:p>
        </w:tc>
      </w:tr>
      <w:tr w:rsidR="00E17FE1">
        <w:tc>
          <w:tcPr>
            <w:tcW w:w="1195" w:type="dxa"/>
            <w:shd w:val="clear" w:color="auto" w:fill="auto"/>
          </w:tcPr>
          <w:p w:rsidR="00E17FE1" w:rsidRDefault="00BB58D7">
            <w:pPr>
              <w:spacing w:after="0" w:line="240" w:lineRule="auto"/>
              <w:rPr>
                <w:rFonts w:ascii="Times New Roman" w:hAnsi="Times New Roman" w:cs="Times New Roman"/>
                <w:sz w:val="28"/>
                <w:szCs w:val="28"/>
              </w:rPr>
            </w:pPr>
            <w:r>
              <w:rPr>
                <w:rFonts w:ascii="Times New Roman" w:hAnsi="Times New Roman" w:cs="Times New Roman"/>
                <w:sz w:val="28"/>
                <w:szCs w:val="28"/>
              </w:rPr>
              <w:t>2.2.3</w:t>
            </w:r>
          </w:p>
        </w:tc>
        <w:tc>
          <w:tcPr>
            <w:tcW w:w="7917" w:type="dxa"/>
            <w:shd w:val="clear" w:color="auto" w:fill="auto"/>
          </w:tcPr>
          <w:p w:rsidR="00E17FE1" w:rsidRDefault="00BB58D7">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Получение наночастиц ГАП……………………………………</w:t>
            </w:r>
            <w:r w:rsidR="009E12D9">
              <w:rPr>
                <w:rFonts w:ascii="Times New Roman" w:hAnsi="Times New Roman" w:cs="Times New Roman"/>
                <w:bCs/>
                <w:sz w:val="28"/>
                <w:szCs w:val="28"/>
              </w:rPr>
              <w:t>…….</w:t>
            </w:r>
          </w:p>
        </w:tc>
        <w:tc>
          <w:tcPr>
            <w:tcW w:w="635" w:type="dxa"/>
            <w:shd w:val="clear" w:color="auto" w:fill="auto"/>
          </w:tcPr>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w:t>
            </w:r>
            <w:r w:rsidR="00684CFF">
              <w:rPr>
                <w:rFonts w:ascii="Times New Roman" w:hAnsi="Times New Roman" w:cs="Times New Roman"/>
                <w:sz w:val="28"/>
                <w:szCs w:val="28"/>
              </w:rPr>
              <w:t>7</w:t>
            </w:r>
          </w:p>
        </w:tc>
      </w:tr>
      <w:tr w:rsidR="00E17FE1">
        <w:tc>
          <w:tcPr>
            <w:tcW w:w="1195" w:type="dxa"/>
            <w:shd w:val="clear" w:color="auto" w:fill="auto"/>
          </w:tcPr>
          <w:p w:rsidR="00E17FE1" w:rsidRDefault="00BB58D7">
            <w:pPr>
              <w:spacing w:after="0" w:line="240" w:lineRule="auto"/>
              <w:rPr>
                <w:rFonts w:ascii="Times New Roman" w:hAnsi="Times New Roman" w:cs="Times New Roman"/>
                <w:sz w:val="28"/>
                <w:szCs w:val="28"/>
              </w:rPr>
            </w:pPr>
            <w:r>
              <w:rPr>
                <w:rFonts w:ascii="Times New Roman" w:hAnsi="Times New Roman" w:cs="Times New Roman"/>
                <w:sz w:val="28"/>
                <w:szCs w:val="28"/>
              </w:rPr>
              <w:t>2.2.4</w:t>
            </w:r>
          </w:p>
        </w:tc>
        <w:tc>
          <w:tcPr>
            <w:tcW w:w="7917" w:type="dxa"/>
            <w:shd w:val="clear" w:color="auto" w:fill="auto"/>
          </w:tcPr>
          <w:p w:rsidR="00E17FE1" w:rsidRDefault="00BB58D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Создание композита ГАП/Mxene………………………………</w:t>
            </w:r>
            <w:r w:rsidR="009E12D9">
              <w:rPr>
                <w:rFonts w:ascii="Times New Roman" w:hAnsi="Times New Roman" w:cs="Times New Roman"/>
                <w:sz w:val="28"/>
                <w:szCs w:val="28"/>
              </w:rPr>
              <w:t>…….</w:t>
            </w:r>
          </w:p>
        </w:tc>
        <w:tc>
          <w:tcPr>
            <w:tcW w:w="635" w:type="dxa"/>
            <w:shd w:val="clear" w:color="auto" w:fill="auto"/>
          </w:tcPr>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w:t>
            </w:r>
            <w:r w:rsidR="00684CFF">
              <w:rPr>
                <w:rFonts w:ascii="Times New Roman" w:hAnsi="Times New Roman" w:cs="Times New Roman"/>
                <w:sz w:val="28"/>
                <w:szCs w:val="28"/>
              </w:rPr>
              <w:t>7</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2.2.5</w:t>
            </w:r>
          </w:p>
        </w:tc>
        <w:tc>
          <w:tcPr>
            <w:tcW w:w="7917" w:type="dxa"/>
            <w:shd w:val="clear" w:color="auto" w:fill="auto"/>
          </w:tcPr>
          <w:p w:rsidR="00E17FE1" w:rsidRPr="009E12D9" w:rsidRDefault="00BB58D7">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Получение композита БЦ/ГАП методом </w:t>
            </w:r>
            <w:r>
              <w:rPr>
                <w:rFonts w:ascii="Times New Roman" w:eastAsia="Calibri" w:hAnsi="Times New Roman" w:cs="Times New Roman"/>
                <w:i/>
                <w:sz w:val="28"/>
                <w:szCs w:val="28"/>
              </w:rPr>
              <w:t>in situ</w:t>
            </w:r>
            <w:r w:rsidRPr="009E12D9">
              <w:rPr>
                <w:rFonts w:ascii="Times New Roman" w:eastAsia="Calibri" w:hAnsi="Times New Roman" w:cs="Times New Roman"/>
                <w:sz w:val="28"/>
                <w:szCs w:val="28"/>
              </w:rPr>
              <w:t>………………….</w:t>
            </w:r>
            <w:r w:rsidR="009E12D9">
              <w:rPr>
                <w:rFonts w:ascii="Times New Roman" w:eastAsia="Calibri" w:hAnsi="Times New Roman" w:cs="Times New Roman"/>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37</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2.2.6</w:t>
            </w:r>
          </w:p>
        </w:tc>
        <w:tc>
          <w:tcPr>
            <w:tcW w:w="7917" w:type="dxa"/>
            <w:shd w:val="clear" w:color="auto" w:fill="auto"/>
          </w:tcPr>
          <w:p w:rsidR="00E17FE1" w:rsidRDefault="00BB58D7">
            <w:pPr>
              <w:spacing w:after="0" w:line="240" w:lineRule="auto"/>
              <w:contextualSpacing/>
              <w:jc w:val="both"/>
              <w:rPr>
                <w:rFonts w:ascii="Times New Roman" w:eastAsia="Calibri" w:hAnsi="Times New Roman" w:cs="Times New Roman"/>
                <w:i/>
                <w:sz w:val="28"/>
                <w:szCs w:val="28"/>
              </w:rPr>
            </w:pPr>
            <w:r>
              <w:rPr>
                <w:rFonts w:ascii="Times New Roman" w:eastAsia="Calibri" w:hAnsi="Times New Roman" w:cs="Times New Roman"/>
                <w:spacing w:val="4"/>
                <w:sz w:val="28"/>
                <w:szCs w:val="28"/>
                <w:lang w:val="kk-KZ"/>
              </w:rPr>
              <w:t xml:space="preserve">Получение композитов БЦ/Mxene и БЦ/ГАП методом </w:t>
            </w:r>
            <w:r>
              <w:rPr>
                <w:rFonts w:ascii="Times New Roman" w:eastAsia="Calibri" w:hAnsi="Times New Roman" w:cs="Times New Roman"/>
                <w:i/>
                <w:spacing w:val="4"/>
                <w:sz w:val="28"/>
                <w:szCs w:val="28"/>
                <w:lang w:val="kk-KZ"/>
              </w:rPr>
              <w:t>ex situ</w:t>
            </w:r>
            <w:r w:rsidR="009E12D9">
              <w:rPr>
                <w:rFonts w:ascii="Times New Roman" w:eastAsia="Calibri" w:hAnsi="Times New Roman" w:cs="Times New Roman"/>
                <w:i/>
                <w:spacing w:val="4"/>
                <w:sz w:val="28"/>
                <w:szCs w:val="28"/>
                <w:lang w:val="kk-KZ"/>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37</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eastAsia="Calibri" w:hAnsi="Times New Roman" w:cs="Times New Roman"/>
                <w:spacing w:val="4"/>
                <w:sz w:val="28"/>
                <w:szCs w:val="28"/>
                <w:lang w:val="kk-KZ"/>
              </w:rPr>
              <w:t>2.2.7</w:t>
            </w:r>
          </w:p>
        </w:tc>
        <w:tc>
          <w:tcPr>
            <w:tcW w:w="7917" w:type="dxa"/>
            <w:shd w:val="clear" w:color="auto" w:fill="auto"/>
          </w:tcPr>
          <w:p w:rsidR="00E17FE1" w:rsidRDefault="00BB58D7">
            <w:pPr>
              <w:tabs>
                <w:tab w:val="left" w:pos="1134"/>
                <w:tab w:val="left" w:pos="9540"/>
              </w:tabs>
              <w:spacing w:after="0" w:line="240" w:lineRule="auto"/>
              <w:ind w:right="-1"/>
              <w:jc w:val="both"/>
              <w:rPr>
                <w:rFonts w:ascii="Times New Roman" w:hAnsi="Times New Roman" w:cs="Times New Roman"/>
                <w:sz w:val="28"/>
                <w:szCs w:val="28"/>
              </w:rPr>
            </w:pPr>
            <w:r>
              <w:rPr>
                <w:rFonts w:ascii="Times New Roman" w:eastAsia="Calibri" w:hAnsi="Times New Roman" w:cs="Times New Roman"/>
                <w:spacing w:val="4"/>
                <w:sz w:val="28"/>
                <w:szCs w:val="28"/>
                <w:lang w:val="kk-KZ"/>
              </w:rPr>
              <w:t>Сборка композита БЦ/ГАП/Mxene.............................................</w:t>
            </w:r>
            <w:r w:rsidR="009E12D9">
              <w:rPr>
                <w:rFonts w:ascii="Times New Roman" w:eastAsia="Calibri" w:hAnsi="Times New Roman" w:cs="Times New Roman"/>
                <w:spacing w:val="4"/>
                <w:sz w:val="28"/>
                <w:szCs w:val="28"/>
                <w:lang w:val="kk-KZ"/>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38</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eastAsia="Calibri" w:hAnsi="Times New Roman" w:cs="Times New Roman"/>
                <w:spacing w:val="4"/>
                <w:sz w:val="28"/>
                <w:szCs w:val="28"/>
                <w:lang w:val="kk-KZ"/>
              </w:rPr>
              <w:t>2.2.8</w:t>
            </w:r>
          </w:p>
        </w:tc>
        <w:tc>
          <w:tcPr>
            <w:tcW w:w="7917" w:type="dxa"/>
            <w:shd w:val="clear" w:color="auto" w:fill="auto"/>
          </w:tcPr>
          <w:p w:rsidR="00E17FE1" w:rsidRDefault="00BB58D7">
            <w:pPr>
              <w:spacing w:after="0" w:line="240" w:lineRule="auto"/>
              <w:jc w:val="both"/>
              <w:rPr>
                <w:rFonts w:ascii="Times New Roman" w:eastAsia="Calibri" w:hAnsi="Times New Roman" w:cs="Times New Roman"/>
                <w:b/>
                <w:i/>
                <w:sz w:val="28"/>
                <w:szCs w:val="28"/>
              </w:rPr>
            </w:pPr>
            <w:r>
              <w:rPr>
                <w:rFonts w:ascii="Times New Roman" w:eastAsia="Calibri" w:hAnsi="Times New Roman" w:cs="Times New Roman"/>
                <w:spacing w:val="4"/>
                <w:sz w:val="28"/>
                <w:szCs w:val="28"/>
                <w:lang w:val="kk-KZ"/>
              </w:rPr>
              <w:t>Определение структурных и химических свойств БЦ и композитов..................................................................................</w:t>
            </w:r>
            <w:r w:rsidR="009E12D9">
              <w:rPr>
                <w:rFonts w:ascii="Times New Roman" w:eastAsia="Calibri" w:hAnsi="Times New Roman" w:cs="Times New Roman"/>
                <w:spacing w:val="4"/>
                <w:sz w:val="28"/>
                <w:szCs w:val="28"/>
                <w:lang w:val="kk-KZ"/>
              </w:rPr>
              <w:t>....</w:t>
            </w:r>
          </w:p>
        </w:tc>
        <w:tc>
          <w:tcPr>
            <w:tcW w:w="635" w:type="dxa"/>
            <w:shd w:val="clear" w:color="auto" w:fill="auto"/>
          </w:tcPr>
          <w:p w:rsidR="00AC0D2B" w:rsidRDefault="00AC0D2B">
            <w:pPr>
              <w:spacing w:after="0" w:line="240" w:lineRule="auto"/>
              <w:ind w:right="-1"/>
              <w:jc w:val="both"/>
              <w:rPr>
                <w:rFonts w:ascii="Times New Roman" w:hAnsi="Times New Roman" w:cs="Times New Roman"/>
                <w:sz w:val="28"/>
                <w:szCs w:val="28"/>
              </w:rPr>
            </w:pPr>
          </w:p>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38</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2.2.8.1</w:t>
            </w:r>
          </w:p>
        </w:tc>
        <w:tc>
          <w:tcPr>
            <w:tcW w:w="7917" w:type="dxa"/>
            <w:shd w:val="clear" w:color="auto" w:fill="auto"/>
          </w:tcPr>
          <w:p w:rsidR="00E17FE1" w:rsidRDefault="00BB58D7">
            <w:pPr>
              <w:keepNext/>
              <w:keepLines/>
              <w:spacing w:after="0" w:line="240" w:lineRule="auto"/>
              <w:ind w:right="-1"/>
              <w:jc w:val="both"/>
              <w:outlineLvl w:val="1"/>
              <w:rPr>
                <w:rFonts w:ascii="Times New Roman" w:eastAsia="Arial Unicode MS" w:hAnsi="Times New Roman" w:cs="Times New Roman"/>
                <w:bCs/>
                <w:sz w:val="28"/>
                <w:szCs w:val="28"/>
                <w:lang w:bidi="en-US"/>
              </w:rPr>
            </w:pPr>
            <w:r>
              <w:rPr>
                <w:rFonts w:ascii="Times New Roman" w:eastAsia="Arial Unicode MS" w:hAnsi="Times New Roman" w:cs="Times New Roman"/>
                <w:color w:val="000000"/>
                <w:sz w:val="28"/>
                <w:szCs w:val="28"/>
                <w:lang w:eastAsia="zh-CN" w:bidi="en-US"/>
              </w:rPr>
              <w:t>Сканирующая электронная микроскопия (СЭМ)………………</w:t>
            </w:r>
            <w:r w:rsidR="009E12D9">
              <w:rPr>
                <w:rFonts w:ascii="Times New Roman" w:eastAsia="Arial Unicode MS" w:hAnsi="Times New Roman" w:cs="Times New Roman"/>
                <w:color w:val="000000"/>
                <w:sz w:val="28"/>
                <w:szCs w:val="28"/>
                <w:lang w:eastAsia="zh-CN" w:bidi="en-US"/>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38</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2.2.8.2</w:t>
            </w:r>
          </w:p>
        </w:tc>
        <w:tc>
          <w:tcPr>
            <w:tcW w:w="7917" w:type="dxa"/>
            <w:shd w:val="clear" w:color="auto" w:fill="auto"/>
          </w:tcPr>
          <w:p w:rsidR="00E17FE1" w:rsidRDefault="00BB58D7">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Просвечивающая электронная микроскопия (ПЭМ)…………</w:t>
            </w:r>
            <w:r w:rsidR="009E12D9">
              <w:rPr>
                <w:rFonts w:ascii="Times New Roman" w:hAnsi="Times New Roman" w:cs="Times New Roman"/>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38</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2.2.8.3</w:t>
            </w:r>
          </w:p>
        </w:tc>
        <w:tc>
          <w:tcPr>
            <w:tcW w:w="7917" w:type="dxa"/>
            <w:shd w:val="clear" w:color="auto" w:fill="auto"/>
          </w:tcPr>
          <w:p w:rsidR="00E17FE1" w:rsidRDefault="00BB58D7">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Энергодисперсионная рентгеновская спектроскопия (ЭДС)…</w:t>
            </w:r>
            <w:r w:rsidR="009E12D9">
              <w:rPr>
                <w:rFonts w:ascii="Times New Roman" w:hAnsi="Times New Roman" w:cs="Times New Roman"/>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39</w:t>
            </w:r>
          </w:p>
        </w:tc>
      </w:tr>
      <w:tr w:rsidR="00E17FE1">
        <w:tc>
          <w:tcPr>
            <w:tcW w:w="1195" w:type="dxa"/>
            <w:shd w:val="clear" w:color="auto" w:fill="auto"/>
          </w:tcPr>
          <w:p w:rsidR="00E17FE1" w:rsidRDefault="00BB58D7">
            <w:pPr>
              <w:spacing w:after="0" w:line="240" w:lineRule="auto"/>
            </w:pPr>
            <w:r>
              <w:rPr>
                <w:rFonts w:ascii="Times New Roman" w:hAnsi="Times New Roman" w:cs="Times New Roman"/>
                <w:sz w:val="28"/>
                <w:szCs w:val="28"/>
              </w:rPr>
              <w:t>2.2.8.4</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Arial Unicode MS" w:hAnsi="Times New Roman" w:cs="Times New Roman"/>
                <w:bCs/>
                <w:iCs/>
                <w:color w:val="000000"/>
                <w:sz w:val="28"/>
                <w:szCs w:val="28"/>
                <w:lang w:bidi="en-US"/>
              </w:rPr>
              <w:t>Инфракрасная спектроскопия с преобразованием Фурье……</w:t>
            </w:r>
            <w:r w:rsidR="009E12D9">
              <w:rPr>
                <w:rFonts w:ascii="Times New Roman" w:eastAsia="Arial Unicode MS" w:hAnsi="Times New Roman" w:cs="Times New Roman"/>
                <w:bCs/>
                <w:iCs/>
                <w:color w:val="000000"/>
                <w:sz w:val="28"/>
                <w:szCs w:val="28"/>
                <w:lang w:bidi="en-US"/>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39</w:t>
            </w:r>
          </w:p>
        </w:tc>
      </w:tr>
      <w:tr w:rsidR="00E17FE1">
        <w:tc>
          <w:tcPr>
            <w:tcW w:w="1195" w:type="dxa"/>
            <w:shd w:val="clear" w:color="auto" w:fill="auto"/>
          </w:tcPr>
          <w:p w:rsidR="00E17FE1" w:rsidRDefault="00BB58D7">
            <w:pPr>
              <w:spacing w:after="0" w:line="240" w:lineRule="auto"/>
            </w:pPr>
            <w:r>
              <w:rPr>
                <w:rFonts w:ascii="Times New Roman" w:hAnsi="Times New Roman" w:cs="Times New Roman"/>
                <w:sz w:val="28"/>
                <w:szCs w:val="28"/>
              </w:rPr>
              <w:t>2.2.8.5</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hAnsi="Times New Roman" w:cs="Times New Roman"/>
                <w:sz w:val="28"/>
                <w:szCs w:val="28"/>
              </w:rPr>
              <w:t>Рентгеноструктурный анализ (</w:t>
            </w:r>
            <w:r>
              <w:rPr>
                <w:rFonts w:ascii="Times New Roman" w:hAnsi="Times New Roman" w:cs="Times New Roman"/>
                <w:sz w:val="28"/>
                <w:szCs w:val="28"/>
                <w:lang w:val="en-US"/>
              </w:rPr>
              <w:t>XRD</w:t>
            </w:r>
            <w:r>
              <w:rPr>
                <w:rFonts w:ascii="Times New Roman" w:hAnsi="Times New Roman" w:cs="Times New Roman"/>
                <w:sz w:val="28"/>
                <w:szCs w:val="28"/>
              </w:rPr>
              <w:t>)……………………………</w:t>
            </w:r>
            <w:r w:rsidR="009E12D9">
              <w:rPr>
                <w:rFonts w:ascii="Times New Roman" w:hAnsi="Times New Roman" w:cs="Times New Roman"/>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39</w:t>
            </w:r>
          </w:p>
        </w:tc>
      </w:tr>
      <w:tr w:rsidR="00E17FE1">
        <w:tc>
          <w:tcPr>
            <w:tcW w:w="1195" w:type="dxa"/>
            <w:shd w:val="clear" w:color="auto" w:fill="auto"/>
          </w:tcPr>
          <w:p w:rsidR="00E17FE1" w:rsidRDefault="00BB58D7">
            <w:pPr>
              <w:spacing w:after="0" w:line="240" w:lineRule="auto"/>
            </w:pPr>
            <w:r>
              <w:rPr>
                <w:rFonts w:ascii="Times New Roman" w:hAnsi="Times New Roman" w:cs="Times New Roman"/>
                <w:sz w:val="28"/>
                <w:szCs w:val="28"/>
              </w:rPr>
              <w:t>2.2.8.6</w:t>
            </w:r>
          </w:p>
        </w:tc>
        <w:tc>
          <w:tcPr>
            <w:tcW w:w="7917" w:type="dxa"/>
            <w:shd w:val="clear" w:color="auto" w:fill="auto"/>
          </w:tcPr>
          <w:p w:rsidR="00E17FE1" w:rsidRDefault="00BB58D7">
            <w:pPr>
              <w:spacing w:after="0" w:line="240" w:lineRule="auto"/>
              <w:jc w:val="both"/>
              <w:rPr>
                <w:rFonts w:ascii="Times New Roman" w:hAnsi="Times New Roman" w:cs="Times New Roman"/>
                <w:i/>
                <w:sz w:val="28"/>
                <w:szCs w:val="28"/>
              </w:rPr>
            </w:pPr>
            <w:r>
              <w:rPr>
                <w:rFonts w:ascii="Times New Roman" w:hAnsi="Times New Roman" w:cs="Times New Roman"/>
                <w:sz w:val="28"/>
                <w:szCs w:val="28"/>
              </w:rPr>
              <w:t>Рентгеновская фотоэлектронная спектроскопия (</w:t>
            </w:r>
            <w:r>
              <w:rPr>
                <w:rFonts w:ascii="Times New Roman" w:hAnsi="Times New Roman" w:cs="Times New Roman"/>
                <w:sz w:val="28"/>
                <w:szCs w:val="28"/>
                <w:lang w:val="en-US"/>
              </w:rPr>
              <w:t>XPS</w:t>
            </w:r>
            <w:r>
              <w:rPr>
                <w:rFonts w:ascii="Times New Roman" w:hAnsi="Times New Roman" w:cs="Times New Roman"/>
                <w:sz w:val="28"/>
                <w:szCs w:val="28"/>
              </w:rPr>
              <w:t>)………</w:t>
            </w:r>
            <w:r w:rsidR="009E12D9">
              <w:rPr>
                <w:rFonts w:ascii="Times New Roman" w:hAnsi="Times New Roman" w:cs="Times New Roman"/>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39</w:t>
            </w:r>
          </w:p>
        </w:tc>
      </w:tr>
      <w:tr w:rsidR="00E17FE1">
        <w:tc>
          <w:tcPr>
            <w:tcW w:w="1195" w:type="dxa"/>
            <w:shd w:val="clear" w:color="auto" w:fill="auto"/>
          </w:tcPr>
          <w:p w:rsidR="00E17FE1" w:rsidRDefault="00BB58D7">
            <w:pPr>
              <w:spacing w:after="0" w:line="240" w:lineRule="auto"/>
            </w:pPr>
            <w:r>
              <w:rPr>
                <w:rFonts w:ascii="Times New Roman" w:hAnsi="Times New Roman" w:cs="Times New Roman"/>
                <w:sz w:val="28"/>
                <w:szCs w:val="28"/>
              </w:rPr>
              <w:t>2.2.9</w:t>
            </w:r>
          </w:p>
        </w:tc>
        <w:tc>
          <w:tcPr>
            <w:tcW w:w="7917" w:type="dxa"/>
            <w:shd w:val="clear" w:color="auto" w:fill="auto"/>
          </w:tcPr>
          <w:p w:rsidR="00E17FE1" w:rsidRDefault="00BB58D7">
            <w:pPr>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Определение физических свойств композитов…………………</w:t>
            </w:r>
            <w:r w:rsidR="009E12D9">
              <w:rPr>
                <w:rFonts w:ascii="Times New Roman" w:hAnsi="Times New Roman" w:cs="Times New Roman"/>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40</w:t>
            </w:r>
          </w:p>
        </w:tc>
      </w:tr>
      <w:tr w:rsidR="00E17FE1">
        <w:tc>
          <w:tcPr>
            <w:tcW w:w="1195" w:type="dxa"/>
            <w:shd w:val="clear" w:color="auto" w:fill="auto"/>
          </w:tcPr>
          <w:p w:rsidR="00E17FE1" w:rsidRDefault="00BB58D7">
            <w:pPr>
              <w:spacing w:after="0" w:line="240" w:lineRule="auto"/>
              <w:rPr>
                <w:rFonts w:ascii="Times New Roman" w:hAnsi="Times New Roman" w:cs="Times New Roman"/>
                <w:sz w:val="28"/>
                <w:szCs w:val="28"/>
              </w:rPr>
            </w:pPr>
            <w:r>
              <w:rPr>
                <w:rFonts w:ascii="Times New Roman" w:eastAsia="Times New Roman" w:hAnsi="Times New Roman" w:cs="Times New Roman"/>
                <w:bCs/>
                <w:sz w:val="28"/>
                <w:szCs w:val="28"/>
              </w:rPr>
              <w:t>2.2.10</w:t>
            </w:r>
          </w:p>
        </w:tc>
        <w:tc>
          <w:tcPr>
            <w:tcW w:w="7917" w:type="dxa"/>
            <w:shd w:val="clear" w:color="auto" w:fill="auto"/>
          </w:tcPr>
          <w:p w:rsidR="00E17FE1" w:rsidRDefault="00BB58D7" w:rsidP="00684CFF">
            <w:pPr>
              <w:spacing w:after="0" w:line="240" w:lineRule="auto"/>
              <w:jc w:val="both"/>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Методы стерилизации</w:t>
            </w:r>
            <w:r w:rsidR="009E12D9">
              <w:rPr>
                <w:rFonts w:ascii="Times New Roman" w:eastAsia="Times New Roman" w:hAnsi="Times New Roman" w:cs="Times New Roman"/>
                <w:bCs/>
                <w:sz w:val="28"/>
                <w:szCs w:val="28"/>
              </w:rPr>
              <w:t xml:space="preserve"> композитн</w:t>
            </w:r>
            <w:r w:rsidR="00684CFF">
              <w:rPr>
                <w:rFonts w:ascii="Times New Roman" w:eastAsia="Times New Roman" w:hAnsi="Times New Roman" w:cs="Times New Roman"/>
                <w:bCs/>
                <w:sz w:val="28"/>
                <w:szCs w:val="28"/>
              </w:rPr>
              <w:t>ого</w:t>
            </w:r>
            <w:r w:rsidR="009E12D9">
              <w:rPr>
                <w:rFonts w:ascii="Times New Roman" w:eastAsia="Times New Roman" w:hAnsi="Times New Roman" w:cs="Times New Roman"/>
                <w:bCs/>
                <w:sz w:val="28"/>
                <w:szCs w:val="28"/>
              </w:rPr>
              <w:t xml:space="preserve"> материал</w:t>
            </w:r>
            <w:r w:rsidR="00684CFF">
              <w:rPr>
                <w:rFonts w:ascii="Times New Roman" w:eastAsia="Times New Roman" w:hAnsi="Times New Roman" w:cs="Times New Roman"/>
                <w:bCs/>
                <w:sz w:val="28"/>
                <w:szCs w:val="28"/>
              </w:rPr>
              <w:t>а</w:t>
            </w:r>
            <w:r w:rsidR="009E12D9">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w:t>
            </w:r>
            <w:r w:rsidR="009E12D9">
              <w:rPr>
                <w:rFonts w:ascii="Times New Roman" w:eastAsia="Times New Roman" w:hAnsi="Times New Roman" w:cs="Times New Roman"/>
                <w:bCs/>
                <w:sz w:val="28"/>
                <w:szCs w:val="28"/>
              </w:rPr>
              <w:t>….</w:t>
            </w:r>
            <w:r w:rsidR="00684CFF">
              <w:rPr>
                <w:rFonts w:ascii="Times New Roman" w:eastAsia="Times New Roman" w:hAnsi="Times New Roman" w:cs="Times New Roman"/>
                <w:bCs/>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41</w:t>
            </w:r>
          </w:p>
        </w:tc>
      </w:tr>
      <w:tr w:rsidR="00E17FE1">
        <w:tc>
          <w:tcPr>
            <w:tcW w:w="1195" w:type="dxa"/>
            <w:shd w:val="clear" w:color="auto" w:fill="auto"/>
          </w:tcPr>
          <w:p w:rsidR="00E17FE1" w:rsidRDefault="00BB58D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2.2.11</w:t>
            </w:r>
          </w:p>
        </w:tc>
        <w:tc>
          <w:tcPr>
            <w:tcW w:w="7917" w:type="dxa"/>
            <w:shd w:val="clear" w:color="auto" w:fill="auto"/>
          </w:tcPr>
          <w:p w:rsidR="00E17FE1" w:rsidRDefault="00BB58D7">
            <w:pPr>
              <w:widowControl w:val="0"/>
              <w:autoSpaceDE w:val="0"/>
              <w:autoSpaceDN w:val="0"/>
              <w:adjustRightInd w:val="0"/>
              <w:spacing w:after="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Оценка биологической активности композитных материалов</w:t>
            </w:r>
            <w:r w:rsidR="009E12D9">
              <w:rPr>
                <w:rFonts w:ascii="Times New Roman" w:eastAsia="Times New Roman" w:hAnsi="Times New Roman" w:cs="Times New Roman"/>
                <w:bCs/>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42</w:t>
            </w:r>
          </w:p>
        </w:tc>
      </w:tr>
      <w:tr w:rsidR="00E17FE1">
        <w:tc>
          <w:tcPr>
            <w:tcW w:w="1195" w:type="dxa"/>
            <w:shd w:val="clear" w:color="auto" w:fill="auto"/>
          </w:tcPr>
          <w:p w:rsidR="00E17FE1" w:rsidRDefault="00BB58D7">
            <w:pPr>
              <w:spacing w:after="0" w:line="240" w:lineRule="auto"/>
            </w:pPr>
            <w:r>
              <w:rPr>
                <w:rFonts w:ascii="Times New Roman" w:eastAsia="Times New Roman" w:hAnsi="Times New Roman" w:cs="Times New Roman"/>
                <w:bCs/>
                <w:sz w:val="28"/>
                <w:szCs w:val="28"/>
              </w:rPr>
              <w:t>2.2.11.1</w:t>
            </w:r>
          </w:p>
        </w:tc>
        <w:tc>
          <w:tcPr>
            <w:tcW w:w="7917" w:type="dxa"/>
            <w:shd w:val="clear" w:color="auto" w:fill="auto"/>
          </w:tcPr>
          <w:p w:rsidR="00E17FE1" w:rsidRDefault="00BB58D7">
            <w:pPr>
              <w:keepNext/>
              <w:keepLines/>
              <w:spacing w:after="0" w:line="240" w:lineRule="auto"/>
              <w:ind w:right="-1"/>
              <w:jc w:val="both"/>
              <w:outlineLvl w:val="1"/>
              <w:rPr>
                <w:rFonts w:ascii="Times New Roman" w:eastAsia="Batang" w:hAnsi="Times New Roman" w:cs="Times New Roman"/>
                <w:sz w:val="28"/>
                <w:szCs w:val="28"/>
                <w:lang w:eastAsia="ko-KR"/>
              </w:rPr>
            </w:pPr>
            <w:r>
              <w:rPr>
                <w:rFonts w:ascii="Times New Roman" w:eastAsia="Times New Roman" w:hAnsi="Times New Roman" w:cs="Times New Roman"/>
                <w:bCs/>
                <w:sz w:val="28"/>
                <w:szCs w:val="28"/>
              </w:rPr>
              <w:t>Определение антибактериальной активности гибридов………</w:t>
            </w:r>
            <w:r w:rsidR="009E12D9">
              <w:rPr>
                <w:rFonts w:ascii="Times New Roman" w:eastAsia="Times New Roman" w:hAnsi="Times New Roman" w:cs="Times New Roman"/>
                <w:bCs/>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42</w:t>
            </w:r>
          </w:p>
        </w:tc>
      </w:tr>
      <w:tr w:rsidR="00E17FE1">
        <w:tc>
          <w:tcPr>
            <w:tcW w:w="1195" w:type="dxa"/>
            <w:shd w:val="clear" w:color="auto" w:fill="auto"/>
          </w:tcPr>
          <w:p w:rsidR="00E17FE1" w:rsidRDefault="00BB58D7">
            <w:pPr>
              <w:spacing w:after="0" w:line="240" w:lineRule="auto"/>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2.2.11.2</w:t>
            </w:r>
          </w:p>
        </w:tc>
        <w:tc>
          <w:tcPr>
            <w:tcW w:w="7917" w:type="dxa"/>
            <w:shd w:val="clear" w:color="auto" w:fill="auto"/>
          </w:tcPr>
          <w:p w:rsidR="00E17FE1" w:rsidRDefault="00BB58D7">
            <w:pPr>
              <w:keepNext/>
              <w:keepLines/>
              <w:spacing w:after="0" w:line="240" w:lineRule="auto"/>
              <w:ind w:right="-1"/>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Изучение антибиопленочной активности………………………</w:t>
            </w:r>
            <w:r w:rsidR="009E12D9">
              <w:rPr>
                <w:rFonts w:ascii="Times New Roman" w:eastAsia="Times New Roman" w:hAnsi="Times New Roman" w:cs="Times New Roman"/>
                <w:bCs/>
                <w:sz w:val="28"/>
                <w:szCs w:val="28"/>
              </w:rPr>
              <w:t>…...</w:t>
            </w:r>
          </w:p>
        </w:tc>
        <w:tc>
          <w:tcPr>
            <w:tcW w:w="635" w:type="dxa"/>
            <w:shd w:val="clear" w:color="auto" w:fill="auto"/>
          </w:tcPr>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w:t>
            </w:r>
            <w:r w:rsidR="00684CFF">
              <w:rPr>
                <w:rFonts w:ascii="Times New Roman" w:hAnsi="Times New Roman" w:cs="Times New Roman"/>
                <w:sz w:val="28"/>
                <w:szCs w:val="28"/>
              </w:rPr>
              <w:t>3</w:t>
            </w:r>
          </w:p>
        </w:tc>
      </w:tr>
      <w:tr w:rsidR="00E17FE1">
        <w:tc>
          <w:tcPr>
            <w:tcW w:w="1195" w:type="dxa"/>
            <w:shd w:val="clear" w:color="auto" w:fill="auto"/>
          </w:tcPr>
          <w:p w:rsidR="00E17FE1" w:rsidRDefault="00BB58D7">
            <w:pPr>
              <w:spacing w:after="0" w:line="240" w:lineRule="auto"/>
            </w:pPr>
            <w:r>
              <w:rPr>
                <w:rFonts w:ascii="Times New Roman" w:eastAsia="Times New Roman" w:hAnsi="Times New Roman" w:cs="Times New Roman"/>
                <w:bCs/>
                <w:iCs/>
                <w:sz w:val="28"/>
                <w:szCs w:val="28"/>
              </w:rPr>
              <w:t>2.2.11.3</w:t>
            </w:r>
          </w:p>
        </w:tc>
        <w:tc>
          <w:tcPr>
            <w:tcW w:w="7917" w:type="dxa"/>
            <w:shd w:val="clear" w:color="auto" w:fill="auto"/>
          </w:tcPr>
          <w:p w:rsidR="00E17FE1" w:rsidRDefault="00BB58D7">
            <w:pPr>
              <w:keepNext/>
              <w:keepLines/>
              <w:spacing w:after="0" w:line="240" w:lineRule="auto"/>
              <w:ind w:right="-1"/>
              <w:jc w:val="both"/>
              <w:outlineLvl w:val="1"/>
              <w:rPr>
                <w:rFonts w:ascii="Times New Roman" w:eastAsia="Batang" w:hAnsi="Times New Roman" w:cs="Times New Roman"/>
                <w:sz w:val="28"/>
                <w:szCs w:val="28"/>
                <w:lang w:eastAsia="ko-KR"/>
              </w:rPr>
            </w:pPr>
            <w:r>
              <w:rPr>
                <w:rFonts w:ascii="Times New Roman" w:hAnsi="Times New Roman" w:cs="Times New Roman"/>
                <w:iCs/>
                <w:sz w:val="28"/>
                <w:szCs w:val="28"/>
              </w:rPr>
              <w:t xml:space="preserve">Анализ биосовместимости и цитотоксичности материалов в условиях </w:t>
            </w:r>
            <w:r>
              <w:rPr>
                <w:rFonts w:ascii="Times New Roman" w:hAnsi="Times New Roman" w:cs="Times New Roman"/>
                <w:i/>
                <w:iCs/>
                <w:sz w:val="28"/>
                <w:szCs w:val="28"/>
              </w:rPr>
              <w:t>in vitro</w:t>
            </w:r>
            <w:r w:rsidRPr="009E12D9">
              <w:rPr>
                <w:rFonts w:ascii="Times New Roman" w:hAnsi="Times New Roman" w:cs="Times New Roman"/>
                <w:iCs/>
                <w:sz w:val="28"/>
                <w:szCs w:val="28"/>
              </w:rPr>
              <w:t>……………………………………………………</w:t>
            </w:r>
            <w:r w:rsidR="009E12D9">
              <w:rPr>
                <w:rFonts w:ascii="Times New Roman" w:hAnsi="Times New Roman" w:cs="Times New Roman"/>
                <w:iCs/>
                <w:sz w:val="28"/>
                <w:szCs w:val="28"/>
              </w:rPr>
              <w:t>….</w:t>
            </w:r>
          </w:p>
        </w:tc>
        <w:tc>
          <w:tcPr>
            <w:tcW w:w="635" w:type="dxa"/>
            <w:shd w:val="clear" w:color="auto" w:fill="auto"/>
          </w:tcPr>
          <w:p w:rsidR="00E17FE1" w:rsidRDefault="00E17FE1">
            <w:pPr>
              <w:spacing w:after="0" w:line="240" w:lineRule="auto"/>
              <w:ind w:right="-1"/>
              <w:jc w:val="both"/>
              <w:rPr>
                <w:rFonts w:ascii="Times New Roman" w:hAnsi="Times New Roman" w:cs="Times New Roman"/>
                <w:sz w:val="28"/>
                <w:szCs w:val="28"/>
              </w:rPr>
            </w:pPr>
          </w:p>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w:t>
            </w:r>
            <w:r w:rsidR="00684CFF">
              <w:rPr>
                <w:rFonts w:ascii="Times New Roman" w:hAnsi="Times New Roman" w:cs="Times New Roman"/>
                <w:sz w:val="28"/>
                <w:szCs w:val="28"/>
              </w:rPr>
              <w:t>4</w:t>
            </w:r>
          </w:p>
        </w:tc>
      </w:tr>
      <w:tr w:rsidR="00E17FE1">
        <w:tc>
          <w:tcPr>
            <w:tcW w:w="9112" w:type="dxa"/>
            <w:gridSpan w:val="2"/>
            <w:shd w:val="clear" w:color="auto" w:fill="auto"/>
          </w:tcPr>
          <w:p w:rsidR="00E17FE1" w:rsidRDefault="00BB58D7">
            <w:pPr>
              <w:spacing w:after="0" w:line="240" w:lineRule="auto"/>
              <w:ind w:right="-1"/>
              <w:jc w:val="both"/>
              <w:rPr>
                <w:rFonts w:ascii="Times New Roman" w:eastAsia="Calibri" w:hAnsi="Times New Roman" w:cs="Times New Roman"/>
                <w:sz w:val="28"/>
                <w:szCs w:val="28"/>
              </w:rPr>
            </w:pPr>
            <w:r>
              <w:rPr>
                <w:rFonts w:ascii="Times New Roman" w:hAnsi="Times New Roman" w:cs="Times New Roman"/>
                <w:b/>
                <w:sz w:val="28"/>
                <w:szCs w:val="28"/>
              </w:rPr>
              <w:lastRenderedPageBreak/>
              <w:t>3 РЕЗУЛЬТАТЫ ИССЛЕДОВАНИЙ И ИХ ОБСУЖДЕНИЕ</w:t>
            </w:r>
            <w:r>
              <w:rPr>
                <w:rFonts w:ascii="Times New Roman" w:hAnsi="Times New Roman" w:cs="Times New Roman"/>
                <w:sz w:val="28"/>
                <w:szCs w:val="28"/>
              </w:rPr>
              <w:t>…………</w:t>
            </w:r>
            <w:r w:rsidR="009E12D9">
              <w:rPr>
                <w:rFonts w:ascii="Times New Roman" w:hAnsi="Times New Roman" w:cs="Times New Roman"/>
                <w:sz w:val="28"/>
                <w:szCs w:val="28"/>
              </w:rPr>
              <w:t>…</w:t>
            </w:r>
            <w:r w:rsidR="009E12D9">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47</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3.1</w:t>
            </w:r>
          </w:p>
        </w:tc>
        <w:tc>
          <w:tcPr>
            <w:tcW w:w="7917" w:type="dxa"/>
            <w:shd w:val="clear" w:color="auto" w:fill="auto"/>
          </w:tcPr>
          <w:p w:rsidR="00E17FE1" w:rsidRDefault="00BB58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Получение </w:t>
            </w:r>
            <w:proofErr w:type="gramStart"/>
            <w:r>
              <w:rPr>
                <w:rFonts w:ascii="Times New Roman" w:hAnsi="Times New Roman" w:cs="Times New Roman"/>
                <w:sz w:val="28"/>
                <w:szCs w:val="28"/>
              </w:rPr>
              <w:t>комплексного</w:t>
            </w:r>
            <w:proofErr w:type="gramEnd"/>
            <w:r>
              <w:rPr>
                <w:rFonts w:ascii="Times New Roman" w:hAnsi="Times New Roman" w:cs="Times New Roman"/>
                <w:sz w:val="28"/>
                <w:szCs w:val="28"/>
              </w:rPr>
              <w:t xml:space="preserve"> наноматериала БЦ/ГАП/MXene……</w:t>
            </w:r>
            <w:r w:rsidR="009E12D9">
              <w:rPr>
                <w:rFonts w:ascii="Times New Roman" w:hAnsi="Times New Roman" w:cs="Times New Roman"/>
                <w:sz w:val="28"/>
                <w:szCs w:val="28"/>
              </w:rPr>
              <w:t>…..</w:t>
            </w:r>
          </w:p>
        </w:tc>
        <w:tc>
          <w:tcPr>
            <w:tcW w:w="635" w:type="dxa"/>
            <w:shd w:val="clear" w:color="auto" w:fill="auto"/>
          </w:tcPr>
          <w:p w:rsidR="00E17FE1" w:rsidRDefault="00684CFF" w:rsidP="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47</w:t>
            </w:r>
          </w:p>
        </w:tc>
      </w:tr>
      <w:tr w:rsidR="00E17FE1">
        <w:tc>
          <w:tcPr>
            <w:tcW w:w="1195" w:type="dxa"/>
            <w:shd w:val="clear" w:color="auto" w:fill="auto"/>
          </w:tcPr>
          <w:p w:rsidR="00E17FE1" w:rsidRPr="00684CFF" w:rsidRDefault="00BB58D7">
            <w:pPr>
              <w:spacing w:after="0" w:line="240" w:lineRule="auto"/>
              <w:ind w:right="-1"/>
              <w:jc w:val="both"/>
              <w:rPr>
                <w:rFonts w:ascii="Times New Roman" w:hAnsi="Times New Roman" w:cs="Times New Roman"/>
                <w:sz w:val="28"/>
                <w:szCs w:val="28"/>
              </w:rPr>
            </w:pPr>
            <w:r w:rsidRPr="00684CFF">
              <w:rPr>
                <w:rFonts w:ascii="Times New Roman" w:hAnsi="Times New Roman" w:cs="Times New Roman"/>
                <w:sz w:val="28"/>
                <w:szCs w:val="28"/>
              </w:rPr>
              <w:t>3.1.1</w:t>
            </w:r>
          </w:p>
        </w:tc>
        <w:tc>
          <w:tcPr>
            <w:tcW w:w="7917" w:type="dxa"/>
            <w:shd w:val="clear" w:color="auto" w:fill="auto"/>
          </w:tcPr>
          <w:p w:rsidR="00E17FE1" w:rsidRDefault="00BB58D7">
            <w:pPr>
              <w:tabs>
                <w:tab w:val="left" w:pos="1743"/>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Синтез БЦ - несущей матрицы гибридного материала…………</w:t>
            </w:r>
            <w:r w:rsidR="009E12D9">
              <w:rPr>
                <w:rFonts w:ascii="Times New Roman" w:hAnsi="Times New Roman" w:cs="Times New Roman"/>
                <w:sz w:val="28"/>
                <w:szCs w:val="28"/>
              </w:rPr>
              <w:t>….</w:t>
            </w:r>
          </w:p>
        </w:tc>
        <w:tc>
          <w:tcPr>
            <w:tcW w:w="635" w:type="dxa"/>
            <w:shd w:val="clear" w:color="auto" w:fill="auto"/>
          </w:tcPr>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48</w:t>
            </w:r>
          </w:p>
        </w:tc>
      </w:tr>
      <w:tr w:rsidR="00E17FE1">
        <w:tc>
          <w:tcPr>
            <w:tcW w:w="1195" w:type="dxa"/>
            <w:shd w:val="clear" w:color="auto" w:fill="auto"/>
          </w:tcPr>
          <w:p w:rsidR="00E17FE1" w:rsidRPr="00684CFF" w:rsidRDefault="00BB58D7">
            <w:pPr>
              <w:spacing w:after="0" w:line="240" w:lineRule="auto"/>
              <w:ind w:right="-1"/>
              <w:jc w:val="both"/>
              <w:rPr>
                <w:rFonts w:ascii="Times New Roman" w:hAnsi="Times New Roman" w:cs="Times New Roman"/>
                <w:sz w:val="28"/>
                <w:szCs w:val="28"/>
              </w:rPr>
            </w:pPr>
            <w:r w:rsidRPr="00684CFF">
              <w:rPr>
                <w:rFonts w:ascii="Times New Roman" w:hAnsi="Times New Roman" w:cs="Times New Roman"/>
                <w:bCs/>
                <w:sz w:val="28"/>
                <w:szCs w:val="28"/>
              </w:rPr>
              <w:t>3.1.1.1</w:t>
            </w:r>
          </w:p>
        </w:tc>
        <w:tc>
          <w:tcPr>
            <w:tcW w:w="7917" w:type="dxa"/>
            <w:shd w:val="clear" w:color="auto" w:fill="auto"/>
          </w:tcPr>
          <w:p w:rsidR="00E17FE1" w:rsidRDefault="00BB58D7" w:rsidP="009E12D9">
            <w:pPr>
              <w:tabs>
                <w:tab w:val="left" w:pos="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Модификация состава классической питательной среды </w:t>
            </w:r>
            <w:r>
              <w:rPr>
                <w:rFonts w:ascii="Times New Roman" w:eastAsia="DejaVu Sans" w:hAnsi="Times New Roman" w:cs="Times New Roman"/>
                <w:sz w:val="28"/>
                <w:szCs w:val="28"/>
                <w:lang w:eastAsia="zh-CN" w:bidi="hi-IN"/>
              </w:rPr>
              <w:t xml:space="preserve">Гестри и Шрамма (HS) </w:t>
            </w:r>
            <w:r>
              <w:rPr>
                <w:rFonts w:ascii="Times New Roman" w:hAnsi="Times New Roman" w:cs="Times New Roman"/>
                <w:bCs/>
                <w:sz w:val="28"/>
                <w:szCs w:val="28"/>
              </w:rPr>
              <w:t xml:space="preserve">для повышения целлюлозосинтетической активности штамма </w:t>
            </w:r>
            <w:r>
              <w:rPr>
                <w:rStyle w:val="a5"/>
                <w:rFonts w:ascii="Times New Roman" w:hAnsi="Times New Roman" w:cs="Times New Roman"/>
                <w:bCs/>
                <w:sz w:val="28"/>
                <w:szCs w:val="28"/>
              </w:rPr>
              <w:t>Komagataeibacter xylinus</w:t>
            </w:r>
            <w:r>
              <w:rPr>
                <w:rFonts w:ascii="Times New Roman" w:hAnsi="Times New Roman" w:cs="Times New Roman"/>
                <w:bCs/>
                <w:sz w:val="28"/>
                <w:szCs w:val="28"/>
              </w:rPr>
              <w:t xml:space="preserve"> С-3…………….</w:t>
            </w:r>
            <w:r w:rsidR="009E12D9">
              <w:rPr>
                <w:rFonts w:ascii="Times New Roman" w:hAnsi="Times New Roman" w:cs="Times New Roman"/>
                <w:bCs/>
                <w:sz w:val="28"/>
                <w:szCs w:val="28"/>
              </w:rPr>
              <w:t>.</w:t>
            </w:r>
            <w:r>
              <w:rPr>
                <w:rFonts w:ascii="Times New Roman" w:hAnsi="Times New Roman" w:cs="Times New Roman"/>
                <w:bCs/>
                <w:sz w:val="28"/>
                <w:szCs w:val="28"/>
              </w:rPr>
              <w:t>…</w:t>
            </w:r>
            <w:r w:rsidR="009E12D9">
              <w:rPr>
                <w:rFonts w:ascii="Times New Roman" w:hAnsi="Times New Roman" w:cs="Times New Roman"/>
                <w:bCs/>
                <w:sz w:val="28"/>
                <w:szCs w:val="28"/>
              </w:rPr>
              <w:t>..</w:t>
            </w:r>
          </w:p>
        </w:tc>
        <w:tc>
          <w:tcPr>
            <w:tcW w:w="635" w:type="dxa"/>
            <w:shd w:val="clear" w:color="auto" w:fill="auto"/>
          </w:tcPr>
          <w:p w:rsidR="00E17FE1" w:rsidRDefault="00E17FE1">
            <w:pPr>
              <w:spacing w:after="0" w:line="240" w:lineRule="auto"/>
              <w:ind w:right="-1"/>
              <w:jc w:val="both"/>
              <w:rPr>
                <w:rFonts w:ascii="Times New Roman" w:hAnsi="Times New Roman" w:cs="Times New Roman"/>
                <w:sz w:val="28"/>
                <w:szCs w:val="28"/>
              </w:rPr>
            </w:pPr>
          </w:p>
          <w:p w:rsidR="00E17FE1" w:rsidRDefault="00E17FE1">
            <w:pPr>
              <w:spacing w:after="0" w:line="240" w:lineRule="auto"/>
              <w:ind w:right="-1"/>
              <w:jc w:val="both"/>
              <w:rPr>
                <w:rFonts w:ascii="Times New Roman" w:hAnsi="Times New Roman" w:cs="Times New Roman"/>
                <w:sz w:val="28"/>
                <w:szCs w:val="28"/>
              </w:rPr>
            </w:pPr>
          </w:p>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18</w:t>
            </w:r>
          </w:p>
        </w:tc>
      </w:tr>
      <w:tr w:rsidR="00E17FE1">
        <w:tc>
          <w:tcPr>
            <w:tcW w:w="1195" w:type="dxa"/>
            <w:shd w:val="clear" w:color="auto" w:fill="auto"/>
          </w:tcPr>
          <w:p w:rsidR="00E17FE1" w:rsidRPr="00684CFF" w:rsidRDefault="00684CFF">
            <w:pPr>
              <w:spacing w:after="0" w:line="240" w:lineRule="auto"/>
              <w:ind w:right="-1"/>
              <w:jc w:val="both"/>
              <w:rPr>
                <w:rFonts w:ascii="Times New Roman" w:hAnsi="Times New Roman" w:cs="Times New Roman"/>
                <w:sz w:val="28"/>
                <w:szCs w:val="28"/>
              </w:rPr>
            </w:pPr>
            <w:r w:rsidRPr="00684CFF">
              <w:rPr>
                <w:rFonts w:ascii="Times New Roman" w:hAnsi="Times New Roman" w:cs="Times New Roman"/>
                <w:bCs/>
                <w:sz w:val="28"/>
                <w:szCs w:val="28"/>
              </w:rPr>
              <w:t>3.1.1.</w:t>
            </w:r>
            <w:r w:rsidR="00BB58D7" w:rsidRPr="00684CFF">
              <w:rPr>
                <w:rFonts w:ascii="Times New Roman" w:hAnsi="Times New Roman" w:cs="Times New Roman"/>
                <w:bCs/>
                <w:sz w:val="28"/>
                <w:szCs w:val="28"/>
              </w:rPr>
              <w:t>2</w:t>
            </w:r>
          </w:p>
        </w:tc>
        <w:tc>
          <w:tcPr>
            <w:tcW w:w="7917" w:type="dxa"/>
            <w:shd w:val="clear" w:color="auto" w:fill="auto"/>
          </w:tcPr>
          <w:p w:rsidR="00E17FE1" w:rsidRDefault="00BB58D7">
            <w:pPr>
              <w:spacing w:after="0" w:line="240" w:lineRule="auto"/>
              <w:jc w:val="both"/>
              <w:outlineLvl w:val="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Разработка питательной среды из производственных отходов для продуцентов бактериальной целлюлозы …………………</w:t>
            </w:r>
            <w:r w:rsidR="009E12D9">
              <w:rPr>
                <w:rFonts w:ascii="Times New Roman" w:eastAsia="Times New Roman" w:hAnsi="Times New Roman" w:cs="Times New Roman"/>
                <w:bCs/>
                <w:sz w:val="28"/>
                <w:szCs w:val="28"/>
              </w:rPr>
              <w:t>………..</w:t>
            </w:r>
          </w:p>
        </w:tc>
        <w:tc>
          <w:tcPr>
            <w:tcW w:w="635" w:type="dxa"/>
            <w:shd w:val="clear" w:color="auto" w:fill="auto"/>
          </w:tcPr>
          <w:p w:rsidR="00E17FE1" w:rsidRDefault="00E17FE1">
            <w:pPr>
              <w:spacing w:after="0" w:line="240" w:lineRule="auto"/>
              <w:ind w:right="-1"/>
              <w:jc w:val="both"/>
              <w:rPr>
                <w:rFonts w:ascii="Times New Roman" w:hAnsi="Times New Roman" w:cs="Times New Roman"/>
                <w:sz w:val="28"/>
                <w:szCs w:val="28"/>
              </w:rPr>
            </w:pPr>
          </w:p>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53</w:t>
            </w:r>
          </w:p>
        </w:tc>
      </w:tr>
      <w:tr w:rsidR="00E17FE1">
        <w:tc>
          <w:tcPr>
            <w:tcW w:w="1195" w:type="dxa"/>
            <w:shd w:val="clear" w:color="auto" w:fill="auto"/>
          </w:tcPr>
          <w:p w:rsidR="00E17FE1" w:rsidRPr="00684CFF" w:rsidRDefault="00684CFF">
            <w:pPr>
              <w:spacing w:after="0" w:line="240" w:lineRule="auto"/>
              <w:ind w:right="-1"/>
              <w:jc w:val="both"/>
              <w:rPr>
                <w:rFonts w:ascii="Times New Roman" w:hAnsi="Times New Roman" w:cs="Times New Roman"/>
                <w:sz w:val="28"/>
                <w:szCs w:val="28"/>
              </w:rPr>
            </w:pPr>
            <w:r w:rsidRPr="00684CFF">
              <w:rPr>
                <w:rFonts w:ascii="Times New Roman" w:eastAsia="Calibri" w:hAnsi="Times New Roman" w:cs="Times New Roman"/>
                <w:sz w:val="28"/>
                <w:szCs w:val="28"/>
              </w:rPr>
              <w:t>3.1.1.</w:t>
            </w:r>
            <w:r w:rsidR="00BB58D7" w:rsidRPr="00684CFF">
              <w:rPr>
                <w:rFonts w:ascii="Times New Roman" w:eastAsia="Calibri" w:hAnsi="Times New Roman" w:cs="Times New Roman"/>
                <w:sz w:val="28"/>
                <w:szCs w:val="28"/>
              </w:rPr>
              <w:t>3</w:t>
            </w:r>
          </w:p>
        </w:tc>
        <w:tc>
          <w:tcPr>
            <w:tcW w:w="7917" w:type="dxa"/>
            <w:shd w:val="clear" w:color="auto" w:fill="auto"/>
          </w:tcPr>
          <w:p w:rsidR="00E17FE1" w:rsidRDefault="00BB58D7">
            <w:pPr>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rPr>
              <w:t>Оптимизация состава ферментационной среды для получения бактериальной целлюлозы со  стандартными структурно-механическими свойствами………………………………………..</w:t>
            </w:r>
            <w:r w:rsidR="009E12D9">
              <w:rPr>
                <w:rFonts w:ascii="Times New Roman" w:eastAsia="Calibri" w:hAnsi="Times New Roman" w:cs="Times New Roman"/>
                <w:sz w:val="28"/>
                <w:szCs w:val="28"/>
              </w:rPr>
              <w:t>....</w:t>
            </w:r>
          </w:p>
        </w:tc>
        <w:tc>
          <w:tcPr>
            <w:tcW w:w="635" w:type="dxa"/>
            <w:shd w:val="clear" w:color="auto" w:fill="auto"/>
          </w:tcPr>
          <w:p w:rsidR="00E17FE1" w:rsidRDefault="00E17FE1">
            <w:pPr>
              <w:spacing w:after="0" w:line="240" w:lineRule="auto"/>
              <w:ind w:right="-1"/>
              <w:jc w:val="both"/>
              <w:rPr>
                <w:rFonts w:ascii="Times New Roman" w:hAnsi="Times New Roman" w:cs="Times New Roman"/>
                <w:sz w:val="28"/>
                <w:szCs w:val="28"/>
              </w:rPr>
            </w:pPr>
          </w:p>
          <w:p w:rsidR="00E17FE1" w:rsidRDefault="00E17FE1">
            <w:pPr>
              <w:spacing w:after="0" w:line="240" w:lineRule="auto"/>
              <w:ind w:right="-1"/>
              <w:jc w:val="both"/>
              <w:rPr>
                <w:rFonts w:ascii="Times New Roman" w:hAnsi="Times New Roman" w:cs="Times New Roman"/>
                <w:sz w:val="28"/>
                <w:szCs w:val="28"/>
              </w:rPr>
            </w:pPr>
          </w:p>
          <w:p w:rsidR="00E17FE1" w:rsidRDefault="00684CFF">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57</w:t>
            </w:r>
          </w:p>
        </w:tc>
      </w:tr>
      <w:tr w:rsidR="00E17FE1">
        <w:trPr>
          <w:trHeight w:val="408"/>
        </w:trPr>
        <w:tc>
          <w:tcPr>
            <w:tcW w:w="1195" w:type="dxa"/>
            <w:shd w:val="clear" w:color="auto" w:fill="auto"/>
          </w:tcPr>
          <w:p w:rsidR="00E17FE1" w:rsidRPr="00684CFF" w:rsidRDefault="00684CFF">
            <w:pPr>
              <w:spacing w:after="0" w:line="240" w:lineRule="auto"/>
              <w:ind w:right="-1"/>
              <w:jc w:val="both"/>
              <w:rPr>
                <w:rFonts w:ascii="Times New Roman" w:hAnsi="Times New Roman" w:cs="Times New Roman"/>
                <w:sz w:val="28"/>
                <w:szCs w:val="28"/>
              </w:rPr>
            </w:pPr>
            <w:r w:rsidRPr="00684CFF">
              <w:rPr>
                <w:rFonts w:ascii="Times New Roman" w:eastAsia="Calibri" w:hAnsi="Times New Roman" w:cs="Times New Roman"/>
                <w:sz w:val="28"/>
                <w:szCs w:val="28"/>
              </w:rPr>
              <w:t>3.1.1.</w:t>
            </w:r>
            <w:r w:rsidR="00BB58D7" w:rsidRPr="00684CFF">
              <w:rPr>
                <w:rFonts w:ascii="Times New Roman" w:eastAsia="Calibri" w:hAnsi="Times New Roman" w:cs="Times New Roman"/>
                <w:sz w:val="28"/>
                <w:szCs w:val="28"/>
              </w:rPr>
              <w:t>4</w:t>
            </w:r>
          </w:p>
        </w:tc>
        <w:tc>
          <w:tcPr>
            <w:tcW w:w="7917" w:type="dxa"/>
            <w:shd w:val="clear" w:color="auto" w:fill="auto"/>
          </w:tcPr>
          <w:p w:rsidR="00E17FE1" w:rsidRDefault="00BB58D7">
            <w:pPr>
              <w:widowControl w:val="0"/>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Экономическая оценка эффективности производственных сред</w:t>
            </w:r>
            <w:r w:rsidR="009E12D9">
              <w:rPr>
                <w:rFonts w:ascii="Times New Roman" w:eastAsia="Calibri" w:hAnsi="Times New Roman" w:cs="Times New Roman"/>
                <w:sz w:val="28"/>
                <w:szCs w:val="28"/>
              </w:rPr>
              <w:t>….</w:t>
            </w:r>
          </w:p>
        </w:tc>
        <w:tc>
          <w:tcPr>
            <w:tcW w:w="635" w:type="dxa"/>
            <w:shd w:val="clear" w:color="auto" w:fill="auto"/>
          </w:tcPr>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59</w:t>
            </w:r>
          </w:p>
        </w:tc>
      </w:tr>
      <w:tr w:rsidR="00E17FE1">
        <w:tc>
          <w:tcPr>
            <w:tcW w:w="1195" w:type="dxa"/>
            <w:shd w:val="clear" w:color="auto" w:fill="auto"/>
          </w:tcPr>
          <w:p w:rsidR="00E17FE1" w:rsidRPr="00684CFF" w:rsidRDefault="00684CFF">
            <w:pPr>
              <w:spacing w:after="0" w:line="240" w:lineRule="auto"/>
              <w:ind w:right="-1"/>
              <w:jc w:val="both"/>
              <w:rPr>
                <w:rFonts w:ascii="Times New Roman" w:eastAsia="Times New Roman" w:hAnsi="Times New Roman" w:cs="Times New Roman"/>
                <w:bCs/>
                <w:sz w:val="28"/>
                <w:szCs w:val="28"/>
                <w:lang w:eastAsia="ru-RU"/>
              </w:rPr>
            </w:pPr>
            <w:r w:rsidRPr="00684CFF">
              <w:rPr>
                <w:rFonts w:ascii="Times New Roman" w:eastAsia="Times New Roman" w:hAnsi="Times New Roman" w:cs="Times New Roman"/>
                <w:sz w:val="28"/>
                <w:szCs w:val="28"/>
                <w:lang w:eastAsia="ru-RU"/>
              </w:rPr>
              <w:t>3.1.</w:t>
            </w:r>
            <w:r w:rsidR="00BB58D7" w:rsidRPr="00684CFF">
              <w:rPr>
                <w:rFonts w:ascii="Times New Roman" w:eastAsia="Times New Roman" w:hAnsi="Times New Roman" w:cs="Times New Roman"/>
                <w:sz w:val="28"/>
                <w:szCs w:val="28"/>
                <w:lang w:eastAsia="ru-RU"/>
              </w:rPr>
              <w:t>2</w:t>
            </w:r>
          </w:p>
        </w:tc>
        <w:tc>
          <w:tcPr>
            <w:tcW w:w="7917" w:type="dxa"/>
            <w:shd w:val="clear" w:color="auto" w:fill="auto"/>
          </w:tcPr>
          <w:p w:rsidR="00E17FE1" w:rsidRPr="00D14370" w:rsidRDefault="00BB58D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Синтез функциональных составляющих композита: </w:t>
            </w:r>
            <w:r>
              <w:rPr>
                <w:rFonts w:ascii="Times New Roman" w:eastAsia="Times New Roman" w:hAnsi="Times New Roman" w:cs="Times New Roman"/>
                <w:sz w:val="28"/>
                <w:szCs w:val="28"/>
                <w:lang w:val="en-US" w:eastAsia="ru-RU"/>
              </w:rPr>
              <w:t>Ti</w:t>
            </w:r>
            <w:r>
              <w:rPr>
                <w:rFonts w:ascii="Times New Roman" w:eastAsia="Times New Roman" w:hAnsi="Times New Roman" w:cs="Times New Roman"/>
                <w:sz w:val="28"/>
                <w:szCs w:val="28"/>
                <w:vertAlign w:val="subscript"/>
                <w:lang w:eastAsia="ru-RU"/>
              </w:rPr>
              <w:t>3</w:t>
            </w:r>
            <w:r>
              <w:rPr>
                <w:rFonts w:ascii="Times New Roman" w:eastAsia="Times New Roman" w:hAnsi="Times New Roman" w:cs="Times New Roman"/>
                <w:sz w:val="28"/>
                <w:szCs w:val="28"/>
                <w:lang w:val="en-US" w:eastAsia="ru-RU"/>
              </w:rPr>
              <w:t>C</w:t>
            </w:r>
            <w:r>
              <w:rPr>
                <w:rFonts w:ascii="Times New Roman" w:eastAsia="Times New Roman" w:hAnsi="Times New Roman" w:cs="Times New Roman"/>
                <w:sz w:val="28"/>
                <w:szCs w:val="28"/>
                <w:vertAlign w:val="subscript"/>
                <w:lang w:eastAsia="ru-RU"/>
              </w:rPr>
              <w:t>2</w:t>
            </w:r>
            <w:r>
              <w:rPr>
                <w:rFonts w:ascii="Times New Roman" w:eastAsia="Times New Roman" w:hAnsi="Times New Roman" w:cs="Times New Roman"/>
                <w:sz w:val="28"/>
                <w:szCs w:val="28"/>
                <w:lang w:val="en-US" w:eastAsia="ru-RU"/>
              </w:rPr>
              <w:t>T</w:t>
            </w:r>
            <w:r w:rsidRPr="00AC0D2B">
              <w:rPr>
                <w:rFonts w:ascii="Times New Roman" w:eastAsia="Times New Roman" w:hAnsi="Times New Roman" w:cs="Times New Roman"/>
                <w:sz w:val="28"/>
                <w:szCs w:val="28"/>
                <w:vertAlign w:val="subscript"/>
                <w:lang w:val="en-US" w:eastAsia="ru-RU"/>
              </w:rPr>
              <w:t>x</w:t>
            </w:r>
            <w:r>
              <w:rPr>
                <w:rFonts w:ascii="Times New Roman" w:eastAsia="Times New Roman" w:hAnsi="Times New Roman" w:cs="Times New Roman"/>
                <w:sz w:val="28"/>
                <w:szCs w:val="28"/>
                <w:lang w:eastAsia="ru-RU"/>
              </w:rPr>
              <w:t>МХ</w:t>
            </w:r>
            <w:r w:rsidR="00AC0D2B">
              <w:rPr>
                <w:rFonts w:ascii="Times New Roman" w:eastAsia="Times New Roman" w:hAnsi="Times New Roman" w:cs="Times New Roman"/>
                <w:sz w:val="28"/>
                <w:szCs w:val="28"/>
                <w:lang w:val="en-US" w:eastAsia="ru-RU"/>
              </w:rPr>
              <w:t>ene</w:t>
            </w:r>
            <w:r>
              <w:rPr>
                <w:rFonts w:ascii="Times New Roman" w:eastAsia="Times New Roman" w:hAnsi="Times New Roman" w:cs="Times New Roman"/>
                <w:sz w:val="28"/>
                <w:szCs w:val="28"/>
                <w:lang w:eastAsia="ru-RU"/>
              </w:rPr>
              <w:t xml:space="preserve"> и ГАП……………………………………………………………….</w:t>
            </w:r>
            <w:r w:rsidR="009E12D9">
              <w:rPr>
                <w:rFonts w:ascii="Times New Roman" w:eastAsia="Times New Roman" w:hAnsi="Times New Roman" w:cs="Times New Roman"/>
                <w:sz w:val="28"/>
                <w:szCs w:val="28"/>
                <w:lang w:eastAsia="ru-RU"/>
              </w:rPr>
              <w:t>......</w:t>
            </w:r>
          </w:p>
        </w:tc>
        <w:tc>
          <w:tcPr>
            <w:tcW w:w="635" w:type="dxa"/>
            <w:shd w:val="clear" w:color="auto" w:fill="auto"/>
          </w:tcPr>
          <w:p w:rsidR="00E17FE1" w:rsidRDefault="00E17FE1">
            <w:pPr>
              <w:tabs>
                <w:tab w:val="left" w:pos="1134"/>
                <w:tab w:val="left" w:pos="9540"/>
              </w:tabs>
              <w:spacing w:after="0" w:line="240" w:lineRule="auto"/>
              <w:ind w:right="-1"/>
              <w:jc w:val="both"/>
              <w:rPr>
                <w:rFonts w:ascii="Times New Roman" w:hAnsi="Times New Roman" w:cs="Times New Roman"/>
                <w:sz w:val="28"/>
                <w:szCs w:val="28"/>
              </w:rPr>
            </w:pPr>
          </w:p>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61</w:t>
            </w:r>
          </w:p>
        </w:tc>
      </w:tr>
      <w:tr w:rsidR="00E17FE1">
        <w:tc>
          <w:tcPr>
            <w:tcW w:w="1195" w:type="dxa"/>
            <w:shd w:val="clear" w:color="auto" w:fill="auto"/>
          </w:tcPr>
          <w:p w:rsidR="00E17FE1" w:rsidRPr="00684CFF" w:rsidRDefault="00BB58D7">
            <w:pPr>
              <w:spacing w:after="0" w:line="240" w:lineRule="auto"/>
              <w:ind w:right="-1"/>
              <w:jc w:val="both"/>
              <w:rPr>
                <w:rFonts w:ascii="Times New Roman" w:eastAsia="Times New Roman" w:hAnsi="Times New Roman" w:cs="Times New Roman"/>
                <w:sz w:val="28"/>
                <w:szCs w:val="28"/>
                <w:lang w:eastAsia="ru-RU"/>
              </w:rPr>
            </w:pPr>
            <w:r w:rsidRPr="00684CFF">
              <w:rPr>
                <w:rFonts w:ascii="Times New Roman" w:eastAsia="Times New Roman" w:hAnsi="Times New Roman" w:cs="Times New Roman"/>
                <w:sz w:val="28"/>
                <w:szCs w:val="28"/>
                <w:lang w:eastAsia="ru-RU"/>
              </w:rPr>
              <w:t>3.1.3</w:t>
            </w:r>
          </w:p>
        </w:tc>
        <w:tc>
          <w:tcPr>
            <w:tcW w:w="7917" w:type="dxa"/>
            <w:shd w:val="clear" w:color="auto" w:fill="auto"/>
          </w:tcPr>
          <w:p w:rsidR="00E17FE1" w:rsidRDefault="00BB58D7">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Получение </w:t>
            </w:r>
            <w:proofErr w:type="gramStart"/>
            <w:r>
              <w:rPr>
                <w:rFonts w:ascii="Times New Roman" w:eastAsia="Times New Roman" w:hAnsi="Times New Roman" w:cs="Times New Roman"/>
                <w:sz w:val="28"/>
                <w:szCs w:val="28"/>
                <w:lang w:eastAsia="ru-RU"/>
              </w:rPr>
              <w:t>комплексного</w:t>
            </w:r>
            <w:proofErr w:type="gramEnd"/>
            <w:r>
              <w:rPr>
                <w:rFonts w:ascii="Times New Roman" w:eastAsia="Times New Roman" w:hAnsi="Times New Roman" w:cs="Times New Roman"/>
                <w:sz w:val="28"/>
                <w:szCs w:val="28"/>
                <w:lang w:eastAsia="ru-RU"/>
              </w:rPr>
              <w:t xml:space="preserve"> наноматериала БЦ/ГАП/MXene……</w:t>
            </w:r>
            <w:r w:rsidR="009E12D9">
              <w:rPr>
                <w:rFonts w:ascii="Times New Roman" w:eastAsia="Times New Roman" w:hAnsi="Times New Roman" w:cs="Times New Roman"/>
                <w:sz w:val="28"/>
                <w:szCs w:val="28"/>
                <w:lang w:eastAsia="ru-RU"/>
              </w:rPr>
              <w:t>…..</w:t>
            </w:r>
          </w:p>
        </w:tc>
        <w:tc>
          <w:tcPr>
            <w:tcW w:w="635" w:type="dxa"/>
            <w:shd w:val="clear" w:color="auto" w:fill="auto"/>
          </w:tcPr>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67</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3.2</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Исследование физическо-химических свойств композитных материалов…………………………………………………………</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E17FE1">
            <w:pPr>
              <w:tabs>
                <w:tab w:val="left" w:pos="1134"/>
                <w:tab w:val="left" w:pos="9540"/>
              </w:tabs>
              <w:spacing w:after="0" w:line="240" w:lineRule="auto"/>
              <w:ind w:right="-1"/>
              <w:jc w:val="both"/>
              <w:rPr>
                <w:rFonts w:ascii="Times New Roman" w:hAnsi="Times New Roman" w:cs="Times New Roman"/>
                <w:sz w:val="28"/>
                <w:szCs w:val="28"/>
              </w:rPr>
            </w:pPr>
          </w:p>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79</w:t>
            </w:r>
          </w:p>
        </w:tc>
      </w:tr>
      <w:tr w:rsidR="00E17FE1">
        <w:tc>
          <w:tcPr>
            <w:tcW w:w="1195" w:type="dxa"/>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eastAsia="Batang" w:hAnsi="Times New Roman" w:cs="Times New Roman"/>
                <w:sz w:val="28"/>
                <w:szCs w:val="28"/>
                <w:lang w:eastAsia="ko-KR"/>
              </w:rPr>
              <w:t>3.2.1</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Структурные особенности  композитных материалов…………</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79</w:t>
            </w:r>
          </w:p>
        </w:tc>
      </w:tr>
      <w:tr w:rsidR="00E17FE1">
        <w:tc>
          <w:tcPr>
            <w:tcW w:w="1195" w:type="dxa"/>
            <w:shd w:val="clear" w:color="auto" w:fill="auto"/>
          </w:tcPr>
          <w:p w:rsidR="00E17FE1" w:rsidRDefault="00BB58D7">
            <w:pPr>
              <w:spacing w:after="0" w:line="240" w:lineRule="auto"/>
              <w:ind w:right="-1"/>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3.2.2</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Морфология и микроструктура  композитных материалов……</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82</w:t>
            </w:r>
          </w:p>
        </w:tc>
      </w:tr>
      <w:tr w:rsidR="00E17FE1">
        <w:tc>
          <w:tcPr>
            <w:tcW w:w="1195" w:type="dxa"/>
            <w:shd w:val="clear" w:color="auto" w:fill="auto"/>
          </w:tcPr>
          <w:p w:rsidR="00E17FE1" w:rsidRDefault="00BB58D7">
            <w:pPr>
              <w:spacing w:after="0" w:line="240" w:lineRule="auto"/>
              <w:ind w:right="-1"/>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3.2.3</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Исследование механических свойств композиционных материалов…………………………………………………………</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E17FE1">
            <w:pPr>
              <w:tabs>
                <w:tab w:val="left" w:pos="1134"/>
                <w:tab w:val="left" w:pos="9540"/>
              </w:tabs>
              <w:spacing w:after="0" w:line="240" w:lineRule="auto"/>
              <w:ind w:right="-1"/>
              <w:jc w:val="both"/>
              <w:rPr>
                <w:rFonts w:ascii="Times New Roman" w:hAnsi="Times New Roman" w:cs="Times New Roman"/>
                <w:sz w:val="28"/>
                <w:szCs w:val="28"/>
              </w:rPr>
            </w:pPr>
          </w:p>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86</w:t>
            </w:r>
          </w:p>
        </w:tc>
      </w:tr>
      <w:tr w:rsidR="00E17FE1">
        <w:tc>
          <w:tcPr>
            <w:tcW w:w="1195" w:type="dxa"/>
            <w:shd w:val="clear" w:color="auto" w:fill="auto"/>
          </w:tcPr>
          <w:p w:rsidR="00E17FE1" w:rsidRDefault="00BB58D7">
            <w:pPr>
              <w:spacing w:after="0" w:line="240" w:lineRule="auto"/>
              <w:ind w:right="-1"/>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3.2.4</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Поверхностные и сорбционные свойства композитных материалов…………………………………………………………</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E17FE1">
            <w:pPr>
              <w:tabs>
                <w:tab w:val="left" w:pos="1134"/>
                <w:tab w:val="left" w:pos="9540"/>
              </w:tabs>
              <w:spacing w:after="0" w:line="240" w:lineRule="auto"/>
              <w:ind w:right="-1"/>
              <w:jc w:val="both"/>
              <w:rPr>
                <w:rFonts w:ascii="Times New Roman" w:hAnsi="Times New Roman" w:cs="Times New Roman"/>
                <w:sz w:val="28"/>
                <w:szCs w:val="28"/>
              </w:rPr>
            </w:pPr>
          </w:p>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88</w:t>
            </w:r>
          </w:p>
        </w:tc>
      </w:tr>
      <w:tr w:rsidR="00E17FE1">
        <w:tc>
          <w:tcPr>
            <w:tcW w:w="1195" w:type="dxa"/>
            <w:shd w:val="clear" w:color="auto" w:fill="auto"/>
          </w:tcPr>
          <w:p w:rsidR="00E17FE1" w:rsidRDefault="00BB58D7">
            <w:pPr>
              <w:spacing w:after="0" w:line="240" w:lineRule="auto"/>
              <w:ind w:right="-1"/>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3.3</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Подбор способа стерилизации для наноструктурированных биоматериалов……………………………………………………</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E17FE1">
            <w:pPr>
              <w:tabs>
                <w:tab w:val="left" w:pos="1134"/>
                <w:tab w:val="left" w:pos="9540"/>
              </w:tabs>
              <w:spacing w:after="0" w:line="240" w:lineRule="auto"/>
              <w:ind w:right="-1"/>
              <w:jc w:val="both"/>
              <w:rPr>
                <w:rFonts w:ascii="Times New Roman" w:hAnsi="Times New Roman" w:cs="Times New Roman"/>
                <w:sz w:val="28"/>
                <w:szCs w:val="28"/>
              </w:rPr>
            </w:pPr>
          </w:p>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91</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3.4</w:t>
            </w:r>
          </w:p>
        </w:tc>
        <w:tc>
          <w:tcPr>
            <w:tcW w:w="7917" w:type="dxa"/>
            <w:shd w:val="clear" w:color="auto" w:fill="auto"/>
          </w:tcPr>
          <w:p w:rsidR="00E17FE1" w:rsidRDefault="00BB58D7">
            <w:pPr>
              <w:widowControl w:val="0"/>
              <w:suppressAutoHyphen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Исследование биологической активности композитных материалов…………………………………………………………</w:t>
            </w:r>
            <w:r w:rsidR="009E12D9">
              <w:rPr>
                <w:rFonts w:ascii="Times New Roman" w:eastAsia="Calibri" w:hAnsi="Times New Roman" w:cs="Times New Roman"/>
                <w:sz w:val="28"/>
                <w:szCs w:val="28"/>
              </w:rPr>
              <w:t>….</w:t>
            </w:r>
          </w:p>
        </w:tc>
        <w:tc>
          <w:tcPr>
            <w:tcW w:w="635" w:type="dxa"/>
            <w:shd w:val="clear" w:color="auto" w:fill="auto"/>
          </w:tcPr>
          <w:p w:rsidR="00E17FE1" w:rsidRDefault="00E17FE1">
            <w:pPr>
              <w:tabs>
                <w:tab w:val="left" w:pos="1134"/>
                <w:tab w:val="left" w:pos="9540"/>
              </w:tabs>
              <w:spacing w:after="0" w:line="240" w:lineRule="auto"/>
              <w:ind w:right="-1"/>
              <w:jc w:val="both"/>
              <w:rPr>
                <w:rFonts w:ascii="Times New Roman" w:hAnsi="Times New Roman" w:cs="Times New Roman"/>
                <w:sz w:val="28"/>
                <w:szCs w:val="28"/>
              </w:rPr>
            </w:pPr>
          </w:p>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98</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bCs/>
                <w:sz w:val="28"/>
                <w:szCs w:val="28"/>
                <w:lang w:eastAsia="ru-RU"/>
              </w:rPr>
            </w:pPr>
            <w:r>
              <w:rPr>
                <w:rFonts w:ascii="Times New Roman" w:eastAsia="Batang" w:hAnsi="Times New Roman" w:cs="Times New Roman"/>
                <w:sz w:val="28"/>
                <w:szCs w:val="28"/>
                <w:lang w:eastAsia="ko-KR"/>
              </w:rPr>
              <w:t>3.4.1</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Антибактериальное действие……………………………………</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98</w:t>
            </w:r>
          </w:p>
        </w:tc>
      </w:tr>
      <w:tr w:rsidR="00E17FE1">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bCs/>
                <w:sz w:val="28"/>
                <w:szCs w:val="28"/>
                <w:lang w:eastAsia="ru-RU"/>
              </w:rPr>
            </w:pPr>
            <w:r>
              <w:rPr>
                <w:rFonts w:ascii="Times New Roman" w:eastAsia="Batang" w:hAnsi="Times New Roman" w:cs="Times New Roman"/>
                <w:sz w:val="28"/>
                <w:szCs w:val="28"/>
                <w:lang w:eastAsia="ko-KR"/>
              </w:rPr>
              <w:t>3.4.2</w:t>
            </w:r>
          </w:p>
        </w:tc>
        <w:tc>
          <w:tcPr>
            <w:tcW w:w="7917" w:type="dxa"/>
            <w:shd w:val="clear" w:color="auto" w:fill="auto"/>
          </w:tcPr>
          <w:p w:rsidR="00E17FE1" w:rsidRDefault="00BB58D7">
            <w:pPr>
              <w:spacing w:after="0" w:line="240" w:lineRule="auto"/>
              <w:jc w:val="both"/>
              <w:rPr>
                <w:rFonts w:ascii="Times New Roman" w:eastAsia="Batang" w:hAnsi="Times New Roman" w:cs="Times New Roman"/>
                <w:sz w:val="28"/>
                <w:szCs w:val="28"/>
                <w:lang w:eastAsia="ko-KR"/>
              </w:rPr>
            </w:pPr>
            <w:r>
              <w:rPr>
                <w:rFonts w:ascii="Times New Roman" w:eastAsia="Batang" w:hAnsi="Times New Roman" w:cs="Times New Roman"/>
                <w:sz w:val="28"/>
                <w:szCs w:val="28"/>
                <w:lang w:eastAsia="ko-KR"/>
              </w:rPr>
              <w:t>Оценка антибиопленочной активности композитных материалов…………………………………………………………</w:t>
            </w:r>
            <w:r w:rsidR="009E12D9">
              <w:rPr>
                <w:rFonts w:ascii="Times New Roman" w:eastAsia="Batang" w:hAnsi="Times New Roman" w:cs="Times New Roman"/>
                <w:sz w:val="28"/>
                <w:szCs w:val="28"/>
                <w:lang w:eastAsia="ko-KR"/>
              </w:rPr>
              <w:t>….</w:t>
            </w:r>
          </w:p>
        </w:tc>
        <w:tc>
          <w:tcPr>
            <w:tcW w:w="635" w:type="dxa"/>
            <w:shd w:val="clear" w:color="auto" w:fill="auto"/>
          </w:tcPr>
          <w:p w:rsidR="00E17FE1" w:rsidRDefault="00E17FE1">
            <w:pPr>
              <w:tabs>
                <w:tab w:val="left" w:pos="1134"/>
                <w:tab w:val="left" w:pos="9540"/>
              </w:tabs>
              <w:spacing w:after="0" w:line="240" w:lineRule="auto"/>
              <w:ind w:right="-1"/>
              <w:jc w:val="both"/>
              <w:rPr>
                <w:rFonts w:ascii="Times New Roman" w:hAnsi="Times New Roman" w:cs="Times New Roman"/>
                <w:sz w:val="28"/>
                <w:szCs w:val="28"/>
              </w:rPr>
            </w:pPr>
          </w:p>
          <w:p w:rsidR="00E17FE1" w:rsidRDefault="00BB58D7" w:rsidP="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06</w:t>
            </w:r>
          </w:p>
        </w:tc>
      </w:tr>
      <w:tr w:rsidR="00E17FE1">
        <w:trPr>
          <w:trHeight w:val="488"/>
        </w:trPr>
        <w:tc>
          <w:tcPr>
            <w:tcW w:w="1195" w:type="dxa"/>
            <w:shd w:val="clear" w:color="auto" w:fill="auto"/>
          </w:tcPr>
          <w:p w:rsidR="00E17FE1" w:rsidRDefault="00BB58D7">
            <w:pPr>
              <w:spacing w:after="0" w:line="240" w:lineRule="auto"/>
              <w:ind w:right="-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3.4.3</w:t>
            </w:r>
          </w:p>
        </w:tc>
        <w:tc>
          <w:tcPr>
            <w:tcW w:w="7917" w:type="dxa"/>
            <w:shd w:val="clear" w:color="auto" w:fill="auto"/>
          </w:tcPr>
          <w:p w:rsidR="00E17FE1" w:rsidRDefault="00BB58D7">
            <w:pPr>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 xml:space="preserve">Исследование биосовместимости и цитотоксичности материалов в условиях </w:t>
            </w:r>
            <w:r>
              <w:rPr>
                <w:rFonts w:ascii="Times New Roman" w:hAnsi="Times New Roman" w:cs="Times New Roman"/>
                <w:i/>
                <w:iCs/>
                <w:sz w:val="28"/>
                <w:szCs w:val="28"/>
              </w:rPr>
              <w:t>in vitro</w:t>
            </w:r>
            <w:r w:rsidRPr="009E12D9">
              <w:rPr>
                <w:rFonts w:ascii="Times New Roman" w:hAnsi="Times New Roman" w:cs="Times New Roman"/>
                <w:iCs/>
                <w:sz w:val="28"/>
                <w:szCs w:val="28"/>
              </w:rPr>
              <w:t>…………………………………………</w:t>
            </w:r>
            <w:r w:rsidR="009E12D9">
              <w:rPr>
                <w:rFonts w:ascii="Times New Roman" w:hAnsi="Times New Roman" w:cs="Times New Roman"/>
                <w:iCs/>
                <w:sz w:val="28"/>
                <w:szCs w:val="28"/>
              </w:rPr>
              <w:t>…………….</w:t>
            </w:r>
          </w:p>
        </w:tc>
        <w:tc>
          <w:tcPr>
            <w:tcW w:w="635" w:type="dxa"/>
            <w:shd w:val="clear" w:color="auto" w:fill="auto"/>
          </w:tcPr>
          <w:p w:rsidR="00E17FE1" w:rsidRDefault="00BB58D7" w:rsidP="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14</w:t>
            </w:r>
          </w:p>
        </w:tc>
      </w:tr>
      <w:tr w:rsidR="00E17FE1">
        <w:tc>
          <w:tcPr>
            <w:tcW w:w="9112" w:type="dxa"/>
            <w:gridSpan w:val="2"/>
            <w:shd w:val="clear" w:color="auto" w:fill="auto"/>
          </w:tcPr>
          <w:p w:rsidR="00E17FE1" w:rsidRDefault="00BB58D7">
            <w:pPr>
              <w:keepNext/>
              <w:keepLines/>
              <w:spacing w:after="0" w:line="240" w:lineRule="auto"/>
              <w:ind w:right="-1"/>
              <w:jc w:val="both"/>
              <w:outlineLvl w:val="0"/>
              <w:rPr>
                <w:rFonts w:ascii="Times New Roman" w:eastAsia="Calibri" w:hAnsi="Times New Roman" w:cs="Times New Roman"/>
                <w:b/>
                <w:bCs/>
                <w:sz w:val="28"/>
                <w:szCs w:val="28"/>
              </w:rPr>
            </w:pPr>
            <w:r>
              <w:rPr>
                <w:rFonts w:ascii="Times New Roman" w:eastAsia="Calibri" w:hAnsi="Times New Roman" w:cs="Times New Roman"/>
                <w:b/>
                <w:bCs/>
                <w:sz w:val="28"/>
                <w:szCs w:val="28"/>
              </w:rPr>
              <w:t>ЗАКЛЮЧЕНИЕ</w:t>
            </w:r>
            <w:r>
              <w:rPr>
                <w:rFonts w:ascii="Times New Roman" w:eastAsia="Calibri" w:hAnsi="Times New Roman" w:cs="Times New Roman"/>
                <w:bCs/>
                <w:sz w:val="28"/>
                <w:szCs w:val="28"/>
              </w:rPr>
              <w:t>………………………………………………………………</w:t>
            </w:r>
            <w:r w:rsidR="009E12D9">
              <w:rPr>
                <w:rFonts w:ascii="Times New Roman" w:eastAsia="Calibri" w:hAnsi="Times New Roman" w:cs="Times New Roman"/>
                <w:bCs/>
                <w:sz w:val="28"/>
                <w:szCs w:val="28"/>
              </w:rPr>
              <w:t>…</w:t>
            </w:r>
            <w:r>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kk-KZ"/>
              </w:rPr>
              <w:t xml:space="preserve">   </w:t>
            </w:r>
            <w:r>
              <w:rPr>
                <w:rFonts w:ascii="Times New Roman" w:eastAsia="Calibri" w:hAnsi="Times New Roman" w:cs="Times New Roman"/>
                <w:b/>
                <w:bCs/>
                <w:sz w:val="28"/>
                <w:szCs w:val="28"/>
              </w:rPr>
              <w:t xml:space="preserve">     </w:t>
            </w:r>
          </w:p>
        </w:tc>
        <w:tc>
          <w:tcPr>
            <w:tcW w:w="635" w:type="dxa"/>
            <w:shd w:val="clear" w:color="auto" w:fill="auto"/>
          </w:tcPr>
          <w:p w:rsidR="00E17FE1" w:rsidRDefault="00BB58D7" w:rsidP="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23</w:t>
            </w:r>
          </w:p>
        </w:tc>
      </w:tr>
      <w:tr w:rsidR="00E17FE1">
        <w:tc>
          <w:tcPr>
            <w:tcW w:w="9112" w:type="dxa"/>
            <w:gridSpan w:val="2"/>
            <w:shd w:val="clear" w:color="auto" w:fill="auto"/>
          </w:tcPr>
          <w:p w:rsidR="00E17FE1" w:rsidRDefault="00BB58D7">
            <w:pPr>
              <w:spacing w:after="0" w:line="240" w:lineRule="auto"/>
              <w:ind w:right="-1"/>
              <w:jc w:val="both"/>
              <w:rPr>
                <w:rFonts w:ascii="Times New Roman" w:hAnsi="Times New Roman" w:cs="Times New Roman"/>
                <w:sz w:val="28"/>
                <w:szCs w:val="28"/>
              </w:rPr>
            </w:pPr>
            <w:r>
              <w:rPr>
                <w:rFonts w:ascii="Times New Roman" w:hAnsi="Times New Roman" w:cs="Times New Roman"/>
                <w:b/>
                <w:sz w:val="28"/>
                <w:szCs w:val="28"/>
              </w:rPr>
              <w:t>СПИСОК ИСПОЛЬЗОВАННЫХ ИСТОЧНИКОВ</w:t>
            </w:r>
            <w:r>
              <w:rPr>
                <w:rFonts w:ascii="Times New Roman" w:hAnsi="Times New Roman" w:cs="Times New Roman"/>
                <w:sz w:val="28"/>
                <w:szCs w:val="28"/>
              </w:rPr>
              <w:t>……………………...</w:t>
            </w:r>
            <w:r w:rsidR="009E12D9" w:rsidRPr="009E12D9">
              <w:rPr>
                <w:rFonts w:ascii="Times New Roman" w:hAnsi="Times New Roman" w:cs="Times New Roman"/>
                <w:sz w:val="28"/>
                <w:szCs w:val="28"/>
              </w:rPr>
              <w:t>...</w:t>
            </w:r>
            <w:r w:rsidRPr="009E12D9">
              <w:rPr>
                <w:rFonts w:ascii="Times New Roman" w:hAnsi="Times New Roman" w:cs="Times New Roman"/>
                <w:sz w:val="28"/>
                <w:szCs w:val="28"/>
              </w:rPr>
              <w:t xml:space="preserve"> </w:t>
            </w:r>
            <w:r>
              <w:rPr>
                <w:rFonts w:ascii="Times New Roman" w:hAnsi="Times New Roman" w:cs="Times New Roman"/>
                <w:b/>
                <w:sz w:val="28"/>
                <w:szCs w:val="28"/>
              </w:rPr>
              <w:t xml:space="preserve">                           </w:t>
            </w:r>
          </w:p>
        </w:tc>
        <w:tc>
          <w:tcPr>
            <w:tcW w:w="635" w:type="dxa"/>
            <w:shd w:val="clear" w:color="auto" w:fill="auto"/>
          </w:tcPr>
          <w:p w:rsidR="00E17FE1" w:rsidRDefault="00BB58D7" w:rsidP="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25</w:t>
            </w:r>
          </w:p>
        </w:tc>
      </w:tr>
      <w:tr w:rsidR="00E17FE1">
        <w:tc>
          <w:tcPr>
            <w:tcW w:w="9112" w:type="dxa"/>
            <w:gridSpan w:val="2"/>
            <w:shd w:val="clear" w:color="auto" w:fill="auto"/>
          </w:tcPr>
          <w:p w:rsidR="00E17FE1" w:rsidRDefault="00BB58D7" w:rsidP="00684CFF">
            <w:pPr>
              <w:spacing w:after="0" w:line="240" w:lineRule="auto"/>
              <w:ind w:right="-1"/>
              <w:jc w:val="both"/>
              <w:rPr>
                <w:rFonts w:ascii="Times New Roman" w:hAnsi="Times New Roman" w:cs="Times New Roman"/>
                <w:sz w:val="28"/>
                <w:szCs w:val="28"/>
              </w:rPr>
            </w:pPr>
            <w:r>
              <w:rPr>
                <w:rFonts w:ascii="Times New Roman" w:hAnsi="Times New Roman" w:cs="Times New Roman"/>
                <w:b/>
                <w:sz w:val="28"/>
                <w:szCs w:val="28"/>
              </w:rPr>
              <w:t>ПРИЛОЖЕНИ</w:t>
            </w:r>
            <w:r w:rsidR="00684CFF">
              <w:rPr>
                <w:rFonts w:ascii="Times New Roman" w:hAnsi="Times New Roman" w:cs="Times New Roman"/>
                <w:b/>
                <w:sz w:val="28"/>
                <w:szCs w:val="28"/>
              </w:rPr>
              <w:t>Е А</w:t>
            </w:r>
            <w:r>
              <w:rPr>
                <w:rFonts w:ascii="Times New Roman" w:hAnsi="Times New Roman" w:cs="Times New Roman"/>
                <w:sz w:val="28"/>
                <w:szCs w:val="28"/>
              </w:rPr>
              <w:t>……………………………………………………………</w:t>
            </w:r>
            <w:r w:rsidR="009E12D9">
              <w:rPr>
                <w:rFonts w:ascii="Times New Roman" w:hAnsi="Times New Roman" w:cs="Times New Roman"/>
                <w:sz w:val="28"/>
                <w:szCs w:val="28"/>
              </w:rPr>
              <w:t>…</w:t>
            </w:r>
            <w:r>
              <w:rPr>
                <w:rFonts w:ascii="Times New Roman" w:hAnsi="Times New Roman" w:cs="Times New Roman"/>
                <w:b/>
                <w:sz w:val="28"/>
                <w:szCs w:val="28"/>
              </w:rPr>
              <w:t xml:space="preserve">                                                                                      </w:t>
            </w:r>
          </w:p>
        </w:tc>
        <w:tc>
          <w:tcPr>
            <w:tcW w:w="635" w:type="dxa"/>
            <w:shd w:val="clear" w:color="auto" w:fill="auto"/>
          </w:tcPr>
          <w:p w:rsidR="00E17FE1" w:rsidRPr="00796FFB" w:rsidRDefault="00796FFB" w:rsidP="00684CFF">
            <w:pPr>
              <w:tabs>
                <w:tab w:val="left" w:pos="1134"/>
                <w:tab w:val="left" w:pos="9540"/>
              </w:tabs>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1</w:t>
            </w:r>
            <w:r w:rsidR="00684CFF">
              <w:rPr>
                <w:rFonts w:ascii="Times New Roman" w:hAnsi="Times New Roman" w:cs="Times New Roman"/>
                <w:sz w:val="28"/>
                <w:szCs w:val="28"/>
              </w:rPr>
              <w:t>48</w:t>
            </w:r>
          </w:p>
        </w:tc>
      </w:tr>
    </w:tbl>
    <w:p w:rsidR="00E17FE1" w:rsidRDefault="00E17FE1">
      <w:pPr>
        <w:keepNext/>
        <w:keepLines/>
        <w:tabs>
          <w:tab w:val="left" w:pos="7088"/>
          <w:tab w:val="left" w:pos="9072"/>
        </w:tabs>
        <w:spacing w:after="0"/>
        <w:ind w:right="-1"/>
        <w:jc w:val="center"/>
        <w:outlineLvl w:val="0"/>
        <w:rPr>
          <w:rFonts w:eastAsia="Times New Roman" w:cs="Times New Roman"/>
          <w:b/>
          <w:bCs/>
          <w:sz w:val="28"/>
          <w:szCs w:val="28"/>
        </w:rPr>
      </w:pPr>
    </w:p>
    <w:p w:rsidR="00E17FE1" w:rsidRDefault="00E17FE1">
      <w:pPr>
        <w:ind w:firstLine="567"/>
        <w:jc w:val="both"/>
        <w:rPr>
          <w:rFonts w:ascii="Times New Roman" w:hAnsi="Times New Roman" w:cs="Times New Roman"/>
          <w:sz w:val="24"/>
          <w:szCs w:val="24"/>
        </w:rPr>
      </w:pPr>
    </w:p>
    <w:p w:rsidR="00E17FE1" w:rsidRDefault="00E17FE1">
      <w:pPr>
        <w:ind w:firstLine="567"/>
        <w:jc w:val="both"/>
        <w:rPr>
          <w:rFonts w:ascii="Times New Roman" w:hAnsi="Times New Roman" w:cs="Times New Roman"/>
          <w:sz w:val="24"/>
          <w:szCs w:val="24"/>
        </w:rPr>
      </w:pPr>
    </w:p>
    <w:p w:rsidR="00E17FE1" w:rsidRDefault="00E17FE1">
      <w:pPr>
        <w:ind w:firstLine="567"/>
        <w:jc w:val="both"/>
        <w:rPr>
          <w:rFonts w:ascii="Times New Roman" w:hAnsi="Times New Roman" w:cs="Times New Roman"/>
          <w:sz w:val="24"/>
          <w:szCs w:val="24"/>
        </w:rPr>
      </w:pPr>
    </w:p>
    <w:p w:rsidR="00E17FE1" w:rsidRDefault="00E17FE1">
      <w:pPr>
        <w:ind w:firstLine="567"/>
        <w:jc w:val="both"/>
        <w:rPr>
          <w:rFonts w:ascii="Times New Roman" w:hAnsi="Times New Roman" w:cs="Times New Roman"/>
          <w:b/>
          <w:sz w:val="24"/>
          <w:szCs w:val="24"/>
        </w:rPr>
      </w:pPr>
    </w:p>
    <w:p w:rsidR="00E17FE1" w:rsidRDefault="00E17FE1">
      <w:pPr>
        <w:ind w:firstLine="567"/>
        <w:jc w:val="both"/>
        <w:rPr>
          <w:rFonts w:ascii="Times New Roman" w:hAnsi="Times New Roman" w:cs="Times New Roman"/>
          <w:sz w:val="24"/>
          <w:szCs w:val="24"/>
        </w:rPr>
      </w:pPr>
    </w:p>
    <w:p w:rsidR="00E17FE1" w:rsidRDefault="00BB58D7">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ОБОЗНАЧЕНИЯ И СОКРАЩЕНИЯ</w:t>
      </w:r>
    </w:p>
    <w:p w:rsidR="00E17FE1" w:rsidRDefault="00E17FE1">
      <w:pPr>
        <w:spacing w:after="0" w:line="240" w:lineRule="auto"/>
        <w:ind w:firstLine="567"/>
        <w:jc w:val="center"/>
        <w:rPr>
          <w:rFonts w:ascii="Times New Roman" w:hAnsi="Times New Roman" w:cs="Times New Roman"/>
          <w:b/>
          <w:sz w:val="28"/>
          <w:szCs w:val="28"/>
        </w:rPr>
      </w:pPr>
    </w:p>
    <w:tbl>
      <w:tblPr>
        <w:tblW w:w="0" w:type="auto"/>
        <w:tblLook w:val="04A0"/>
      </w:tblPr>
      <w:tblGrid>
        <w:gridCol w:w="2141"/>
        <w:gridCol w:w="7430"/>
      </w:tblGrid>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БЦ</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бактериальная целлюлоза</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ГАП</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гидроксиапатит</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БЦ/ГАП</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бактериальная целлюлоза/гидроксиапатит</w:t>
            </w:r>
          </w:p>
        </w:tc>
      </w:tr>
      <w:tr w:rsidR="00E17FE1">
        <w:tc>
          <w:tcPr>
            <w:tcW w:w="2141" w:type="dxa"/>
            <w:shd w:val="clear" w:color="auto" w:fill="auto"/>
          </w:tcPr>
          <w:p w:rsidR="00E17FE1" w:rsidRDefault="00BB58D7">
            <w:pPr>
              <w:spacing w:after="0"/>
              <w:jc w:val="both"/>
              <w:rPr>
                <w:rFonts w:ascii="Times New Roman" w:hAnsi="Times New Roman" w:cs="Times New Roman"/>
                <w:sz w:val="28"/>
                <w:szCs w:val="28"/>
                <w:lang w:val="en-US"/>
              </w:rPr>
            </w:pPr>
            <w:r>
              <w:rPr>
                <w:rFonts w:ascii="Times New Roman" w:hAnsi="Times New Roman" w:cs="Times New Roman"/>
                <w:sz w:val="28"/>
                <w:szCs w:val="28"/>
              </w:rPr>
              <w:t>БЦ/</w:t>
            </w:r>
            <w:r>
              <w:rPr>
                <w:rFonts w:ascii="Times New Roman" w:hAnsi="Times New Roman" w:cs="Times New Roman"/>
                <w:sz w:val="28"/>
                <w:szCs w:val="28"/>
                <w:lang w:val="en-US"/>
              </w:rPr>
              <w:t>M</w:t>
            </w:r>
            <w:proofErr w:type="gramStart"/>
            <w:r>
              <w:rPr>
                <w:rFonts w:ascii="Times New Roman" w:hAnsi="Times New Roman" w:cs="Times New Roman"/>
                <w:sz w:val="28"/>
                <w:szCs w:val="28"/>
              </w:rPr>
              <w:t>Х</w:t>
            </w:r>
            <w:proofErr w:type="gramEnd"/>
            <w:r>
              <w:rPr>
                <w:rFonts w:ascii="Times New Roman" w:hAnsi="Times New Roman" w:cs="Times New Roman"/>
                <w:sz w:val="28"/>
                <w:szCs w:val="28"/>
                <w:lang w:val="en-US"/>
              </w:rPr>
              <w:t>ene</w:t>
            </w:r>
          </w:p>
        </w:tc>
        <w:tc>
          <w:tcPr>
            <w:tcW w:w="7430" w:type="dxa"/>
            <w:shd w:val="clear" w:color="auto" w:fill="auto"/>
          </w:tcPr>
          <w:p w:rsidR="00E17FE1" w:rsidRDefault="00BB58D7">
            <w:pPr>
              <w:spacing w:after="0"/>
              <w:jc w:val="both"/>
              <w:rPr>
                <w:rFonts w:ascii="Times New Roman" w:hAnsi="Times New Roman" w:cs="Times New Roman"/>
                <w:sz w:val="28"/>
                <w:szCs w:val="28"/>
              </w:rPr>
            </w:pPr>
            <w:r>
              <w:rPr>
                <w:rFonts w:ascii="Times New Roman" w:eastAsia="Calibri" w:hAnsi="Times New Roman" w:cs="Times New Roman"/>
                <w:sz w:val="28"/>
                <w:szCs w:val="28"/>
              </w:rPr>
              <w:t>бактериальная целлюлоза/</w:t>
            </w:r>
            <w:r>
              <w:rPr>
                <w:rFonts w:ascii="Times New Roman" w:hAnsi="Times New Roman" w:cs="Times New Roman"/>
                <w:sz w:val="28"/>
                <w:szCs w:val="28"/>
                <w:lang w:val="en-US"/>
              </w:rPr>
              <w:t>M</w:t>
            </w:r>
            <w:proofErr w:type="gramStart"/>
            <w:r>
              <w:rPr>
                <w:rFonts w:ascii="Times New Roman" w:hAnsi="Times New Roman" w:cs="Times New Roman"/>
                <w:sz w:val="28"/>
                <w:szCs w:val="28"/>
              </w:rPr>
              <w:t>Х</w:t>
            </w:r>
            <w:proofErr w:type="gramEnd"/>
            <w:r>
              <w:rPr>
                <w:rFonts w:ascii="Times New Roman" w:hAnsi="Times New Roman" w:cs="Times New Roman"/>
                <w:sz w:val="28"/>
                <w:szCs w:val="28"/>
                <w:lang w:val="en-US"/>
              </w:rPr>
              <w:t>ene</w:t>
            </w:r>
          </w:p>
        </w:tc>
      </w:tr>
      <w:tr w:rsidR="00E17FE1">
        <w:tc>
          <w:tcPr>
            <w:tcW w:w="2141" w:type="dxa"/>
            <w:shd w:val="clear" w:color="auto" w:fill="auto"/>
          </w:tcPr>
          <w:p w:rsidR="00E17FE1" w:rsidRDefault="00BB58D7">
            <w:pPr>
              <w:spacing w:after="0"/>
              <w:jc w:val="both"/>
              <w:rPr>
                <w:rFonts w:ascii="Times New Roman" w:hAnsi="Times New Roman" w:cs="Times New Roman"/>
                <w:sz w:val="28"/>
                <w:szCs w:val="28"/>
              </w:rPr>
            </w:pPr>
            <w:r>
              <w:rPr>
                <w:rFonts w:ascii="Times New Roman" w:hAnsi="Times New Roman" w:cs="Times New Roman"/>
                <w:sz w:val="28"/>
                <w:szCs w:val="28"/>
              </w:rPr>
              <w:t>БЦ/ГАП/</w:t>
            </w:r>
            <w:r>
              <w:rPr>
                <w:rFonts w:ascii="Times New Roman" w:hAnsi="Times New Roman" w:cs="Times New Roman"/>
                <w:sz w:val="28"/>
                <w:szCs w:val="28"/>
                <w:lang w:val="en-US"/>
              </w:rPr>
              <w:t>M</w:t>
            </w:r>
            <w:proofErr w:type="gramStart"/>
            <w:r>
              <w:rPr>
                <w:rFonts w:ascii="Times New Roman" w:hAnsi="Times New Roman" w:cs="Times New Roman"/>
                <w:sz w:val="28"/>
                <w:szCs w:val="28"/>
              </w:rPr>
              <w:t>Х</w:t>
            </w:r>
            <w:proofErr w:type="gramEnd"/>
            <w:r>
              <w:rPr>
                <w:rFonts w:ascii="Times New Roman" w:hAnsi="Times New Roman" w:cs="Times New Roman"/>
                <w:sz w:val="28"/>
                <w:szCs w:val="28"/>
                <w:lang w:val="en-US"/>
              </w:rPr>
              <w:t>ene</w:t>
            </w:r>
          </w:p>
        </w:tc>
        <w:tc>
          <w:tcPr>
            <w:tcW w:w="7430" w:type="dxa"/>
            <w:shd w:val="clear" w:color="auto" w:fill="auto"/>
          </w:tcPr>
          <w:p w:rsidR="00E17FE1" w:rsidRDefault="00BB58D7">
            <w:pPr>
              <w:spacing w:after="0"/>
              <w:jc w:val="both"/>
              <w:rPr>
                <w:rFonts w:ascii="Times New Roman" w:hAnsi="Times New Roman" w:cs="Times New Roman"/>
                <w:sz w:val="28"/>
                <w:szCs w:val="28"/>
              </w:rPr>
            </w:pPr>
            <w:r>
              <w:rPr>
                <w:rFonts w:ascii="Times New Roman" w:eastAsia="Calibri" w:hAnsi="Times New Roman" w:cs="Times New Roman"/>
                <w:sz w:val="28"/>
                <w:szCs w:val="28"/>
              </w:rPr>
              <w:t>бактериальная целлюлоза/гидроксиапатит/</w:t>
            </w:r>
            <w:r>
              <w:rPr>
                <w:rFonts w:ascii="Times New Roman" w:hAnsi="Times New Roman" w:cs="Times New Roman"/>
                <w:sz w:val="28"/>
                <w:szCs w:val="28"/>
                <w:lang w:val="en-US"/>
              </w:rPr>
              <w:t xml:space="preserve"> M</w:t>
            </w:r>
            <w:proofErr w:type="gramStart"/>
            <w:r>
              <w:rPr>
                <w:rFonts w:ascii="Times New Roman" w:hAnsi="Times New Roman" w:cs="Times New Roman"/>
                <w:sz w:val="28"/>
                <w:szCs w:val="28"/>
              </w:rPr>
              <w:t>Х</w:t>
            </w:r>
            <w:proofErr w:type="gramEnd"/>
            <w:r>
              <w:rPr>
                <w:rFonts w:ascii="Times New Roman" w:hAnsi="Times New Roman" w:cs="Times New Roman"/>
                <w:sz w:val="28"/>
                <w:szCs w:val="28"/>
                <w:lang w:val="en-US"/>
              </w:rPr>
              <w:t>ene</w:t>
            </w:r>
          </w:p>
        </w:tc>
      </w:tr>
      <w:tr w:rsidR="00E17FE1">
        <w:tc>
          <w:tcPr>
            <w:tcW w:w="2141" w:type="dxa"/>
            <w:shd w:val="clear" w:color="auto" w:fill="auto"/>
          </w:tcPr>
          <w:p w:rsidR="00E17FE1" w:rsidRDefault="00BB58D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ЦНВ</w:t>
            </w:r>
          </w:p>
        </w:tc>
        <w:tc>
          <w:tcPr>
            <w:tcW w:w="7430" w:type="dxa"/>
            <w:shd w:val="clear" w:color="auto" w:fill="auto"/>
          </w:tcPr>
          <w:p w:rsidR="00E17FE1" w:rsidRDefault="00BB58D7">
            <w:pPr>
              <w:spacing w:after="0"/>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целлюлозные нановолокна</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p>
        </w:tc>
        <w:tc>
          <w:tcPr>
            <w:tcW w:w="7430" w:type="dxa"/>
            <w:shd w:val="clear" w:color="auto" w:fill="auto"/>
          </w:tcPr>
          <w:p w:rsidR="00E17FE1" w:rsidRDefault="00BB58D7">
            <w:pPr>
              <w:widowControl w:val="0"/>
              <w:tabs>
                <w:tab w:val="left" w:pos="1044"/>
              </w:tabs>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w:t>
            </w:r>
            <w:r>
              <w:rPr>
                <w:rFonts w:ascii="Times New Roman" w:eastAsia="Calibri" w:hAnsi="Times New Roman" w:cs="Times New Roman"/>
                <w:sz w:val="28"/>
                <w:szCs w:val="28"/>
              </w:rPr>
              <w:t>итр</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proofErr w:type="gramStart"/>
            <w:r>
              <w:rPr>
                <w:rFonts w:ascii="Times New Roman" w:eastAsia="Calibri" w:hAnsi="Times New Roman" w:cs="Times New Roman"/>
                <w:sz w:val="28"/>
                <w:szCs w:val="28"/>
              </w:rPr>
              <w:t>мкм</w:t>
            </w:r>
            <w:proofErr w:type="gramEnd"/>
            <w:r>
              <w:rPr>
                <w:rFonts w:ascii="Times New Roman" w:eastAsia="Calibri" w:hAnsi="Times New Roman" w:cs="Times New Roman"/>
                <w:sz w:val="28"/>
                <w:szCs w:val="28"/>
              </w:rPr>
              <w:t>, µм</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микрометр</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мл</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миллилитр</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МПа</w:t>
            </w:r>
          </w:p>
        </w:tc>
        <w:tc>
          <w:tcPr>
            <w:tcW w:w="7430" w:type="dxa"/>
            <w:shd w:val="clear" w:color="auto" w:fill="auto"/>
          </w:tcPr>
          <w:p w:rsidR="00E17FE1" w:rsidRDefault="00BB58D7">
            <w:pPr>
              <w:widowControl w:val="0"/>
              <w:tabs>
                <w:tab w:val="left" w:pos="1116"/>
              </w:tabs>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мегапаскаль</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об</w:t>
            </w:r>
            <w:proofErr w:type="gramEnd"/>
            <w:r>
              <w:rPr>
                <w:rFonts w:ascii="Times New Roman" w:eastAsia="Times New Roman" w:hAnsi="Times New Roman" w:cs="Times New Roman"/>
                <w:sz w:val="28"/>
                <w:szCs w:val="28"/>
                <w:lang w:eastAsia="ru-RU"/>
              </w:rPr>
              <w:t>/мин</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оборотов в минуту</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об</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о</w:t>
            </w:r>
            <w:proofErr w:type="gramEnd"/>
            <w:r>
              <w:rPr>
                <w:rFonts w:ascii="Times New Roman" w:eastAsia="Calibri" w:hAnsi="Times New Roman" w:cs="Times New Roman"/>
                <w:sz w:val="28"/>
                <w:szCs w:val="28"/>
              </w:rPr>
              <w:t xml:space="preserve">б.  </w:t>
            </w:r>
            <w:r>
              <w:rPr>
                <w:rFonts w:ascii="Times New Roman" w:hAnsi="Times New Roman" w:cs="Times New Roman"/>
                <w:color w:val="333333"/>
                <w:sz w:val="28"/>
                <w:szCs w:val="28"/>
              </w:rPr>
              <w:t xml:space="preserve">            </w:t>
            </w:r>
          </w:p>
        </w:tc>
        <w:tc>
          <w:tcPr>
            <w:tcW w:w="7430" w:type="dxa"/>
            <w:shd w:val="clear" w:color="auto" w:fill="auto"/>
          </w:tcPr>
          <w:p w:rsidR="00E17FE1" w:rsidRDefault="00BB58D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shd w:val="clear" w:color="auto" w:fill="FFFFFF"/>
              </w:rPr>
              <w:t>объемное процентное содержание компонента по отношению к общему объему</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масс</w:t>
            </w:r>
            <w:proofErr w:type="gramStart"/>
            <w:r>
              <w:rPr>
                <w:rFonts w:ascii="Times New Roman" w:eastAsia="Calibri" w:hAnsi="Times New Roman" w:cs="Times New Roman"/>
                <w:sz w:val="28"/>
                <w:szCs w:val="28"/>
              </w:rPr>
              <w:t>.</w:t>
            </w:r>
            <w:proofErr w:type="gramEnd"/>
            <w:r>
              <w:rPr>
                <w:rFonts w:ascii="Times New Roman" w:eastAsia="Calibri" w:hAnsi="Times New Roman" w:cs="Times New Roman"/>
                <w:sz w:val="28"/>
                <w:szCs w:val="28"/>
              </w:rPr>
              <w:t>/</w:t>
            </w:r>
            <w:proofErr w:type="gramStart"/>
            <w:r>
              <w:rPr>
                <w:rFonts w:ascii="Times New Roman" w:eastAsia="Calibri" w:hAnsi="Times New Roman" w:cs="Times New Roman"/>
                <w:sz w:val="28"/>
                <w:szCs w:val="28"/>
              </w:rPr>
              <w:t>о</w:t>
            </w:r>
            <w:proofErr w:type="gramEnd"/>
            <w:r>
              <w:rPr>
                <w:rFonts w:ascii="Times New Roman" w:eastAsia="Calibri" w:hAnsi="Times New Roman" w:cs="Times New Roman"/>
                <w:sz w:val="28"/>
                <w:szCs w:val="28"/>
              </w:rPr>
              <w:t xml:space="preserve">б.       </w:t>
            </w:r>
          </w:p>
        </w:tc>
        <w:tc>
          <w:tcPr>
            <w:tcW w:w="7430" w:type="dxa"/>
            <w:shd w:val="clear" w:color="auto" w:fill="auto"/>
          </w:tcPr>
          <w:p w:rsidR="00E17FE1" w:rsidRDefault="00BB58D7">
            <w:pPr>
              <w:widowControl w:val="0"/>
              <w:autoSpaceDE w:val="0"/>
              <w:autoSpaceDN w:val="0"/>
              <w:adjustRightInd w:val="0"/>
              <w:spacing w:after="0"/>
              <w:jc w:val="both"/>
              <w:rPr>
                <w:rFonts w:ascii="Times New Roman" w:eastAsia="Times New Roman" w:hAnsi="Times New Roman" w:cs="Times New Roman"/>
                <w:sz w:val="28"/>
                <w:szCs w:val="28"/>
                <w:lang w:eastAsia="ru-RU"/>
              </w:rPr>
            </w:pPr>
            <w:r>
              <w:rPr>
                <w:rFonts w:ascii="Times New Roman" w:hAnsi="Times New Roman" w:cs="Times New Roman"/>
                <w:color w:val="000000"/>
                <w:sz w:val="28"/>
                <w:szCs w:val="28"/>
                <w:shd w:val="clear" w:color="auto" w:fill="FFFFFF"/>
              </w:rPr>
              <w:t>массовое процентное содержание компонента по отношению к общему объему</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см</w:t>
            </w:r>
          </w:p>
        </w:tc>
        <w:tc>
          <w:tcPr>
            <w:tcW w:w="7430" w:type="dxa"/>
            <w:shd w:val="clear" w:color="auto" w:fill="auto"/>
          </w:tcPr>
          <w:p w:rsidR="00E17FE1" w:rsidRDefault="00BB58D7">
            <w:pPr>
              <w:spacing w:after="0"/>
              <w:ind w:right="-1"/>
              <w:rPr>
                <w:rFonts w:ascii="Times New Roman" w:eastAsia="Calibri" w:hAnsi="Times New Roman" w:cs="Times New Roman"/>
                <w:sz w:val="28"/>
                <w:szCs w:val="28"/>
              </w:rPr>
            </w:pPr>
            <w:r>
              <w:rPr>
                <w:rFonts w:ascii="Times New Roman" w:eastAsia="Calibri" w:hAnsi="Times New Roman" w:cs="Times New Roman"/>
                <w:sz w:val="28"/>
                <w:szCs w:val="28"/>
              </w:rPr>
              <w:t>сантиметр</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мм</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миллиметр</w:t>
            </w:r>
          </w:p>
        </w:tc>
      </w:tr>
      <w:tr w:rsidR="00E17FE1">
        <w:trPr>
          <w:trHeight w:val="90"/>
        </w:trPr>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мг</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миллиграмм</w:t>
            </w:r>
          </w:p>
        </w:tc>
      </w:tr>
      <w:tr w:rsidR="00E17FE1">
        <w:trPr>
          <w:trHeight w:val="90"/>
        </w:trPr>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мкг</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микрограмм</w:t>
            </w:r>
          </w:p>
        </w:tc>
      </w:tr>
      <w:tr w:rsidR="00E17FE1">
        <w:tc>
          <w:tcPr>
            <w:tcW w:w="2141" w:type="dxa"/>
            <w:shd w:val="clear" w:color="auto" w:fill="auto"/>
          </w:tcPr>
          <w:p w:rsidR="00E17FE1" w:rsidRDefault="00BB58D7">
            <w:pPr>
              <w:spacing w:after="0"/>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нм</w:t>
            </w:r>
            <w:r>
              <w:rPr>
                <w:rFonts w:ascii="Times New Roman" w:eastAsia="Calibri" w:hAnsi="Times New Roman" w:cs="Times New Roman"/>
                <w:sz w:val="28"/>
                <w:szCs w:val="28"/>
              </w:rPr>
              <w:tab/>
            </w:r>
            <w:r>
              <w:rPr>
                <w:rFonts w:ascii="Times New Roman" w:eastAsia="Calibri" w:hAnsi="Times New Roman" w:cs="Times New Roman"/>
                <w:sz w:val="28"/>
                <w:szCs w:val="28"/>
              </w:rPr>
              <w:tab/>
            </w:r>
          </w:p>
        </w:tc>
        <w:tc>
          <w:tcPr>
            <w:tcW w:w="7430" w:type="dxa"/>
            <w:shd w:val="clear" w:color="auto" w:fill="auto"/>
          </w:tcPr>
          <w:p w:rsidR="00E17FE1" w:rsidRDefault="00BB58D7">
            <w:pPr>
              <w:widowControl w:val="0"/>
              <w:tabs>
                <w:tab w:val="left" w:pos="1116"/>
              </w:tabs>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cs="Times New Roman"/>
                <w:sz w:val="28"/>
                <w:szCs w:val="28"/>
              </w:rPr>
              <w:t>нанометр</w:t>
            </w:r>
          </w:p>
        </w:tc>
      </w:tr>
      <w:tr w:rsidR="00E17FE1">
        <w:tc>
          <w:tcPr>
            <w:tcW w:w="2141" w:type="dxa"/>
            <w:shd w:val="clear" w:color="auto" w:fill="auto"/>
          </w:tcPr>
          <w:p w:rsidR="00E17FE1" w:rsidRDefault="00BB58D7">
            <w:pPr>
              <w:spacing w:after="0"/>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нч</w:t>
            </w:r>
          </w:p>
        </w:tc>
        <w:tc>
          <w:tcPr>
            <w:tcW w:w="7430" w:type="dxa"/>
            <w:shd w:val="clear" w:color="auto" w:fill="auto"/>
          </w:tcPr>
          <w:p w:rsidR="00E17FE1" w:rsidRDefault="00BB58D7">
            <w:pPr>
              <w:widowControl w:val="0"/>
              <w:tabs>
                <w:tab w:val="left" w:pos="1116"/>
              </w:tabs>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cs="Times New Roman"/>
                <w:sz w:val="28"/>
                <w:szCs w:val="28"/>
              </w:rPr>
              <w:t>наночастица</w:t>
            </w:r>
          </w:p>
        </w:tc>
      </w:tr>
      <w:tr w:rsidR="00E17FE1">
        <w:tc>
          <w:tcPr>
            <w:tcW w:w="2141" w:type="dxa"/>
            <w:shd w:val="clear" w:color="auto" w:fill="auto"/>
          </w:tcPr>
          <w:p w:rsidR="00E17FE1" w:rsidRDefault="00BB58D7">
            <w:pPr>
              <w:spacing w:after="0"/>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ПС</w:t>
            </w:r>
          </w:p>
        </w:tc>
        <w:tc>
          <w:tcPr>
            <w:tcW w:w="7430" w:type="dxa"/>
            <w:shd w:val="clear" w:color="auto" w:fill="auto"/>
          </w:tcPr>
          <w:p w:rsidR="00E17FE1" w:rsidRDefault="00BB58D7">
            <w:pPr>
              <w:spacing w:after="0"/>
              <w:ind w:right="-1"/>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п</w:t>
            </w:r>
            <w:r>
              <w:rPr>
                <w:rFonts w:ascii="Times New Roman" w:eastAsia="Calibri" w:hAnsi="Times New Roman" w:cs="Times New Roman"/>
                <w:sz w:val="28"/>
                <w:szCs w:val="28"/>
              </w:rPr>
              <w:t>итательная среда</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АК</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аскорбиновая кислота</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HS</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питательная среда S. Hestrin, М. Schramm</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ЖСА</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питательная среда </w:t>
            </w:r>
            <w:r>
              <w:rPr>
                <w:rFonts w:ascii="Times New Roman" w:hAnsi="Times New Roman" w:cs="Times New Roman"/>
                <w:sz w:val="28"/>
                <w:szCs w:val="28"/>
              </w:rPr>
              <w:t>желточно-солевой агар</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АФК</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cs="Times New Roman"/>
                <w:sz w:val="28"/>
                <w:szCs w:val="28"/>
              </w:rPr>
              <w:t>активные формы кислорода</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ЛПУ</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cs="Times New Roman"/>
                <w:sz w:val="28"/>
                <w:szCs w:val="28"/>
              </w:rPr>
              <w:t>лечебно-профилактическое учереждение</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МЛУ</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cs="Times New Roman"/>
                <w:sz w:val="28"/>
                <w:szCs w:val="28"/>
              </w:rPr>
              <w:t>множественная лекарственная устойчивость</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СЭМ</w:t>
            </w:r>
          </w:p>
        </w:tc>
        <w:tc>
          <w:tcPr>
            <w:tcW w:w="7430"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сканирующая электронная микроскопия</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ПЭМ</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rPr>
            </w:pPr>
            <w:r>
              <w:rPr>
                <w:rFonts w:ascii="Times New Roman" w:hAnsi="Times New Roman" w:cs="Times New Roman"/>
                <w:sz w:val="28"/>
                <w:szCs w:val="28"/>
              </w:rPr>
              <w:t>Просвечивающая электронная микроскопия (ПЭМ)</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ЭДС</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sz w:val="28"/>
                <w:szCs w:val="28"/>
              </w:rPr>
              <w:t>Энергодисперсионная рентгеновская спектроскопия</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РФЭС</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sz w:val="28"/>
                <w:szCs w:val="28"/>
              </w:rPr>
              <w:t>Рентгеновская фотоэлектронная спектроскопия</w:t>
            </w:r>
          </w:p>
        </w:tc>
      </w:tr>
      <w:tr w:rsidR="00E17FE1">
        <w:tc>
          <w:tcPr>
            <w:tcW w:w="2141" w:type="dxa"/>
            <w:shd w:val="clear" w:color="auto" w:fill="auto"/>
          </w:tcPr>
          <w:p w:rsidR="00E17FE1" w:rsidRDefault="00BB58D7">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ФТТ</w:t>
            </w:r>
          </w:p>
        </w:tc>
        <w:tc>
          <w:tcPr>
            <w:tcW w:w="7430" w:type="dxa"/>
            <w:shd w:val="clear" w:color="auto" w:fill="auto"/>
          </w:tcPr>
          <w:p w:rsidR="00E17FE1" w:rsidRDefault="00BB58D7">
            <w:pPr>
              <w:widowControl w:val="0"/>
              <w:autoSpaceDE w:val="0"/>
              <w:autoSpaceDN w:val="0"/>
              <w:adjustRightInd w:val="0"/>
              <w:spacing w:after="0"/>
              <w:rPr>
                <w:rFonts w:ascii="Times New Roman" w:eastAsia="Calibri" w:hAnsi="Times New Roman" w:cs="Times New Roman"/>
                <w:sz w:val="28"/>
                <w:szCs w:val="28"/>
              </w:rPr>
            </w:pPr>
            <w:r>
              <w:rPr>
                <w:rFonts w:ascii="Times New Roman" w:eastAsia="Calibri" w:hAnsi="Times New Roman"/>
                <w:sz w:val="28"/>
                <w:szCs w:val="28"/>
              </w:rPr>
              <w:t xml:space="preserve">Фототермическая терапия </w:t>
            </w:r>
          </w:p>
        </w:tc>
      </w:tr>
      <w:tr w:rsidR="00BC45C9">
        <w:tc>
          <w:tcPr>
            <w:tcW w:w="2141" w:type="dxa"/>
            <w:shd w:val="clear" w:color="auto" w:fill="auto"/>
          </w:tcPr>
          <w:p w:rsidR="00BC45C9" w:rsidRDefault="00BC45C9">
            <w:pPr>
              <w:widowControl w:val="0"/>
              <w:autoSpaceDE w:val="0"/>
              <w:autoSpaceDN w:val="0"/>
              <w:adjustRightInd w:val="0"/>
              <w:spacing w:after="0"/>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УЗ</w:t>
            </w:r>
          </w:p>
        </w:tc>
        <w:tc>
          <w:tcPr>
            <w:tcW w:w="7430" w:type="dxa"/>
            <w:shd w:val="clear" w:color="auto" w:fill="auto"/>
          </w:tcPr>
          <w:p w:rsidR="00BC45C9" w:rsidRDefault="00BC45C9">
            <w:pPr>
              <w:widowControl w:val="0"/>
              <w:autoSpaceDE w:val="0"/>
              <w:autoSpaceDN w:val="0"/>
              <w:adjustRightInd w:val="0"/>
              <w:spacing w:after="0"/>
              <w:rPr>
                <w:rFonts w:ascii="Times New Roman" w:eastAsia="Calibri" w:hAnsi="Times New Roman"/>
                <w:sz w:val="28"/>
                <w:szCs w:val="28"/>
              </w:rPr>
            </w:pPr>
            <w:r>
              <w:rPr>
                <w:rFonts w:ascii="Times New Roman" w:eastAsia="Calibri" w:hAnsi="Times New Roman"/>
                <w:sz w:val="28"/>
                <w:szCs w:val="28"/>
              </w:rPr>
              <w:t>Ультразвук</w:t>
            </w:r>
          </w:p>
        </w:tc>
      </w:tr>
    </w:tbl>
    <w:p w:rsidR="00E17FE1" w:rsidRDefault="00E17FE1">
      <w:pPr>
        <w:spacing w:after="0" w:line="240" w:lineRule="auto"/>
        <w:ind w:firstLine="567"/>
        <w:jc w:val="both"/>
        <w:rPr>
          <w:rFonts w:ascii="Times New Roman" w:hAnsi="Times New Roman" w:cs="Times New Roman"/>
          <w:sz w:val="24"/>
          <w:szCs w:val="24"/>
        </w:rPr>
      </w:pPr>
    </w:p>
    <w:p w:rsidR="00E17FE1" w:rsidRDefault="00E17FE1">
      <w:pPr>
        <w:spacing w:after="0" w:line="240" w:lineRule="auto"/>
        <w:ind w:firstLine="567"/>
        <w:jc w:val="both"/>
        <w:rPr>
          <w:rFonts w:ascii="Times New Roman" w:hAnsi="Times New Roman" w:cs="Times New Roman"/>
          <w:sz w:val="24"/>
          <w:szCs w:val="24"/>
        </w:rPr>
      </w:pPr>
    </w:p>
    <w:p w:rsidR="00E17FE1" w:rsidRDefault="00E17FE1">
      <w:pPr>
        <w:spacing w:after="0" w:line="240" w:lineRule="auto"/>
        <w:ind w:firstLine="567"/>
        <w:jc w:val="both"/>
        <w:rPr>
          <w:rFonts w:ascii="Times New Roman" w:hAnsi="Times New Roman" w:cs="Times New Roman"/>
          <w:sz w:val="24"/>
          <w:szCs w:val="24"/>
        </w:rPr>
      </w:pPr>
    </w:p>
    <w:p w:rsidR="00BC45C9" w:rsidRDefault="00BC45C9">
      <w:pPr>
        <w:spacing w:after="0" w:line="240" w:lineRule="auto"/>
        <w:ind w:firstLine="567"/>
        <w:jc w:val="both"/>
        <w:rPr>
          <w:rFonts w:ascii="Times New Roman" w:hAnsi="Times New Roman" w:cs="Times New Roman"/>
          <w:sz w:val="24"/>
          <w:szCs w:val="24"/>
        </w:rPr>
      </w:pPr>
    </w:p>
    <w:p w:rsidR="00E17FE1" w:rsidRDefault="00BB58D7">
      <w:pPr>
        <w:keepLines/>
        <w:widowControl w:val="0"/>
        <w:spacing w:after="0" w:line="240" w:lineRule="auto"/>
        <w:ind w:firstLine="567"/>
        <w:jc w:val="center"/>
        <w:outlineLvl w:val="3"/>
        <w:rPr>
          <w:rFonts w:ascii="Times New Roman" w:eastAsia="Calibri" w:hAnsi="Times New Roman" w:cs="Times New Roman"/>
          <w:b/>
          <w:bCs/>
          <w:spacing w:val="-2"/>
          <w:sz w:val="28"/>
          <w:szCs w:val="28"/>
          <w:lang w:eastAsia="zh-CN" w:bidi="hi-IN"/>
        </w:rPr>
      </w:pPr>
      <w:r>
        <w:rPr>
          <w:rFonts w:ascii="Times New Roman" w:eastAsia="Calibri" w:hAnsi="Times New Roman" w:cs="Times New Roman"/>
          <w:b/>
          <w:spacing w:val="-2"/>
          <w:sz w:val="28"/>
          <w:szCs w:val="28"/>
          <w:lang w:eastAsia="zh-CN" w:bidi="hi-IN"/>
        </w:rPr>
        <w:lastRenderedPageBreak/>
        <w:t>ВВЕДЕНИЕ</w:t>
      </w:r>
    </w:p>
    <w:p w:rsidR="00E17FE1" w:rsidRDefault="00E17FE1">
      <w:pPr>
        <w:spacing w:after="0" w:line="240" w:lineRule="auto"/>
        <w:ind w:firstLine="567"/>
        <w:jc w:val="both"/>
        <w:rPr>
          <w:rFonts w:ascii="Times New Roman" w:eastAsia="DejaVu Sans" w:hAnsi="Times New Roman" w:cs="Times New Roman"/>
          <w:spacing w:val="-2"/>
          <w:sz w:val="28"/>
          <w:szCs w:val="28"/>
          <w:lang w:eastAsia="zh-CN" w:bidi="hi-IN"/>
        </w:rPr>
      </w:pPr>
    </w:p>
    <w:p w:rsidR="00E17FE1" w:rsidRDefault="00BB58D7">
      <w:pPr>
        <w:spacing w:after="0" w:line="240" w:lineRule="auto"/>
        <w:ind w:firstLine="567"/>
        <w:jc w:val="both"/>
        <w:rPr>
          <w:rFonts w:ascii="Times New Roman" w:eastAsia="DejaVu Sans" w:hAnsi="Times New Roman" w:cs="Times New Roman"/>
          <w:spacing w:val="-2"/>
          <w:sz w:val="28"/>
          <w:szCs w:val="28"/>
          <w:lang w:eastAsia="zh-CN" w:bidi="hi-IN"/>
        </w:rPr>
      </w:pPr>
      <w:r>
        <w:rPr>
          <w:rFonts w:ascii="Times New Roman" w:eastAsia="Calibri" w:hAnsi="Times New Roman" w:cs="Times New Roman"/>
          <w:b/>
          <w:spacing w:val="-2"/>
          <w:sz w:val="28"/>
          <w:szCs w:val="28"/>
          <w:lang w:eastAsia="zh-CN" w:bidi="hi-IN"/>
        </w:rPr>
        <w:t>Общая характеристика диссертационной работы.</w:t>
      </w:r>
    </w:p>
    <w:p w:rsidR="00E17FE1" w:rsidRDefault="00BB58D7">
      <w:pPr>
        <w:spacing w:after="0" w:line="240" w:lineRule="auto"/>
        <w:ind w:firstLine="567"/>
        <w:jc w:val="both"/>
        <w:rPr>
          <w:rFonts w:ascii="Times New Roman" w:eastAsia="Times New Roman" w:hAnsi="Times New Roman" w:cs="Times New Roman"/>
          <w:spacing w:val="-2"/>
          <w:sz w:val="28"/>
          <w:szCs w:val="28"/>
          <w:lang w:eastAsia="ru-RU"/>
        </w:rPr>
      </w:pPr>
      <w:r>
        <w:rPr>
          <w:rFonts w:ascii="Times New Roman" w:eastAsia="Times New Roman" w:hAnsi="Times New Roman"/>
          <w:spacing w:val="-2"/>
          <w:sz w:val="28"/>
          <w:szCs w:val="28"/>
          <w:lang w:eastAsia="ru-RU"/>
        </w:rPr>
        <w:t xml:space="preserve">Работа посвящена экспериментальной разработке метода получения композитных материалов на основе гидрогелевой нанофибриллярной пленки бактериальной целлюлозы (БЦ) с </w:t>
      </w:r>
      <w:proofErr w:type="gramStart"/>
      <w:r>
        <w:rPr>
          <w:rFonts w:ascii="Times New Roman" w:eastAsia="Times New Roman" w:hAnsi="Times New Roman"/>
          <w:spacing w:val="-2"/>
          <w:sz w:val="28"/>
          <w:szCs w:val="28"/>
          <w:lang w:eastAsia="ru-RU"/>
        </w:rPr>
        <w:t>внедренными</w:t>
      </w:r>
      <w:proofErr w:type="gramEnd"/>
      <w:r>
        <w:rPr>
          <w:rFonts w:ascii="Times New Roman" w:eastAsia="Times New Roman" w:hAnsi="Times New Roman"/>
          <w:spacing w:val="-2"/>
          <w:sz w:val="28"/>
          <w:szCs w:val="28"/>
          <w:lang w:eastAsia="ru-RU"/>
        </w:rPr>
        <w:t xml:space="preserve"> наночастицами Ti</w:t>
      </w:r>
      <w:r w:rsidRPr="009E12D9">
        <w:rPr>
          <w:rFonts w:ascii="Times New Roman" w:eastAsia="Times New Roman" w:hAnsi="Times New Roman"/>
          <w:spacing w:val="-2"/>
          <w:sz w:val="28"/>
          <w:szCs w:val="28"/>
          <w:vertAlign w:val="subscript"/>
          <w:lang w:eastAsia="ru-RU"/>
        </w:rPr>
        <w:t>3</w:t>
      </w:r>
      <w:r>
        <w:rPr>
          <w:rFonts w:ascii="Times New Roman" w:eastAsia="Times New Roman" w:hAnsi="Times New Roman"/>
          <w:spacing w:val="-2"/>
          <w:sz w:val="28"/>
          <w:szCs w:val="28"/>
          <w:lang w:eastAsia="ru-RU"/>
        </w:rPr>
        <w:t>C</w:t>
      </w:r>
      <w:r w:rsidRPr="009E12D9">
        <w:rPr>
          <w:rFonts w:ascii="Times New Roman" w:eastAsia="Times New Roman" w:hAnsi="Times New Roman"/>
          <w:spacing w:val="-2"/>
          <w:sz w:val="28"/>
          <w:szCs w:val="28"/>
          <w:vertAlign w:val="subscript"/>
          <w:lang w:eastAsia="ru-RU"/>
        </w:rPr>
        <w:t>2</w:t>
      </w:r>
      <w:r>
        <w:rPr>
          <w:rFonts w:ascii="Times New Roman" w:eastAsia="Times New Roman" w:hAnsi="Times New Roman"/>
          <w:spacing w:val="-2"/>
          <w:sz w:val="28"/>
          <w:szCs w:val="28"/>
          <w:lang w:eastAsia="ru-RU"/>
        </w:rPr>
        <w:t>T</w:t>
      </w:r>
      <w:r w:rsidRPr="009E12D9">
        <w:rPr>
          <w:rFonts w:ascii="Times New Roman" w:eastAsia="Times New Roman" w:hAnsi="Times New Roman"/>
          <w:spacing w:val="-2"/>
          <w:sz w:val="28"/>
          <w:szCs w:val="28"/>
          <w:vertAlign w:val="subscript"/>
          <w:lang w:eastAsia="ru-RU"/>
        </w:rPr>
        <w:t>x</w:t>
      </w:r>
      <w:r>
        <w:rPr>
          <w:rFonts w:ascii="Times New Roman" w:eastAsia="Times New Roman" w:hAnsi="Times New Roman"/>
          <w:spacing w:val="-2"/>
          <w:sz w:val="28"/>
          <w:szCs w:val="28"/>
          <w:lang w:eastAsia="ru-RU"/>
        </w:rPr>
        <w:t xml:space="preserve">MXene и гидроксиапатита (ГАП). Исследуется структурно-фазовое состояние полученных нанокомпозитов, их морфологические характеристики, особенности антибактериального действия и биосовместимость в условиях </w:t>
      </w:r>
      <w:r w:rsidRPr="00F603E2">
        <w:rPr>
          <w:rFonts w:ascii="Times New Roman" w:eastAsia="Times New Roman" w:hAnsi="Times New Roman"/>
          <w:i/>
          <w:spacing w:val="-2"/>
          <w:sz w:val="28"/>
          <w:szCs w:val="28"/>
          <w:lang w:eastAsia="ru-RU"/>
        </w:rPr>
        <w:t>in vitro</w:t>
      </w:r>
      <w:r>
        <w:rPr>
          <w:rFonts w:ascii="Times New Roman" w:eastAsia="Times New Roman" w:hAnsi="Times New Roman"/>
          <w:spacing w:val="-2"/>
          <w:sz w:val="28"/>
          <w:szCs w:val="28"/>
          <w:lang w:eastAsia="ru-RU"/>
        </w:rPr>
        <w:t xml:space="preserve">.  </w:t>
      </w:r>
      <w:r>
        <w:rPr>
          <w:rFonts w:ascii="Times New Roman" w:eastAsia="Times New Roman" w:hAnsi="Times New Roman" w:cs="Times New Roman"/>
          <w:spacing w:val="-2"/>
          <w:sz w:val="28"/>
          <w:szCs w:val="28"/>
          <w:lang w:eastAsia="ru-RU"/>
        </w:rPr>
        <w:t xml:space="preserve">  </w:t>
      </w:r>
    </w:p>
    <w:p w:rsidR="00E17FE1" w:rsidRDefault="00BB58D7">
      <w:pPr>
        <w:spacing w:after="0" w:line="240" w:lineRule="auto"/>
        <w:ind w:firstLine="567"/>
        <w:jc w:val="both"/>
        <w:rPr>
          <w:rFonts w:ascii="Times New Roman" w:eastAsia="Calibri" w:hAnsi="Times New Roman" w:cs="Times New Roman"/>
          <w:b/>
          <w:spacing w:val="-2"/>
          <w:sz w:val="28"/>
          <w:szCs w:val="28"/>
          <w:lang w:eastAsia="zh-CN" w:bidi="hi-IN"/>
        </w:rPr>
      </w:pPr>
      <w:r>
        <w:rPr>
          <w:rFonts w:ascii="Times New Roman" w:eastAsia="Calibri" w:hAnsi="Times New Roman" w:cs="Times New Roman"/>
          <w:b/>
          <w:spacing w:val="-2"/>
          <w:sz w:val="28"/>
          <w:szCs w:val="28"/>
          <w:lang w:eastAsia="zh-CN" w:bidi="hi-IN"/>
        </w:rPr>
        <w:t xml:space="preserve">Актуальность темы исследования.  </w:t>
      </w:r>
    </w:p>
    <w:p w:rsidR="00E17FE1" w:rsidRDefault="00BB58D7">
      <w:pPr>
        <w:spacing w:after="0" w:line="240" w:lineRule="auto"/>
        <w:ind w:firstLine="567"/>
        <w:jc w:val="both"/>
        <w:rPr>
          <w:rFonts w:ascii="Times New Roman" w:eastAsia="Calibri" w:hAnsi="Times New Roman"/>
          <w:bCs/>
          <w:spacing w:val="-2"/>
          <w:sz w:val="28"/>
          <w:szCs w:val="28"/>
          <w:lang w:eastAsia="zh-CN"/>
        </w:rPr>
      </w:pPr>
      <w:r>
        <w:rPr>
          <w:rFonts w:ascii="Times New Roman" w:eastAsia="Calibri" w:hAnsi="Times New Roman"/>
          <w:bCs/>
          <w:spacing w:val="-2"/>
          <w:sz w:val="28"/>
          <w:szCs w:val="28"/>
          <w:lang w:eastAsia="zh-CN"/>
        </w:rPr>
        <w:t>Текущий этап развития наноматериалов и биомедицинской инженерии характеризуется активной разработкой антимикробных конструкций, сочетающих функциональную эффективность и биосовместимость.  Особенно это касается материалов, предназначенных для борьбы с раневыми инфекциями, связанными с антибиотикорезистентными патогенами, образующими биопленки [</w:t>
      </w:r>
      <w:hyperlink r:id="rId8" w:history="1">
        <w:r>
          <w:rPr>
            <w:rStyle w:val="a6"/>
            <w:rFonts w:ascii="Times New Roman" w:eastAsia="Calibri" w:hAnsi="Times New Roman"/>
            <w:bCs/>
            <w:color w:val="auto"/>
            <w:spacing w:val="-2"/>
            <w:sz w:val="28"/>
            <w:szCs w:val="28"/>
            <w:u w:val="none"/>
            <w:lang w:eastAsia="zh-CN"/>
          </w:rPr>
          <w:t>1,</w:t>
        </w:r>
      </w:hyperlink>
      <w:r>
        <w:rPr>
          <w:rFonts w:ascii="Times New Roman" w:eastAsia="Calibri" w:hAnsi="Times New Roman"/>
          <w:bCs/>
          <w:spacing w:val="-2"/>
          <w:sz w:val="28"/>
          <w:szCs w:val="28"/>
          <w:lang w:eastAsia="zh-CN"/>
        </w:rPr>
        <w:t xml:space="preserve"> 2].  </w:t>
      </w:r>
      <w:proofErr w:type="gramStart"/>
      <w:r>
        <w:rPr>
          <w:rFonts w:ascii="Times New Roman" w:eastAsia="Calibri" w:hAnsi="Times New Roman"/>
          <w:bCs/>
          <w:spacing w:val="-2"/>
          <w:sz w:val="28"/>
          <w:szCs w:val="28"/>
          <w:lang w:eastAsia="zh-CN"/>
        </w:rPr>
        <w:t>Инновационный</w:t>
      </w:r>
      <w:proofErr w:type="gramEnd"/>
      <w:r>
        <w:rPr>
          <w:rFonts w:ascii="Times New Roman" w:eastAsia="Calibri" w:hAnsi="Times New Roman"/>
          <w:bCs/>
          <w:spacing w:val="-2"/>
          <w:sz w:val="28"/>
          <w:szCs w:val="28"/>
          <w:lang w:eastAsia="zh-CN"/>
        </w:rPr>
        <w:t xml:space="preserve"> подходом к созданию таких нанокомпозитных материалов, предусматривает применение новых неорганических антисептических компонентов или модификация биоматериалов биоактивными ионами для обеспечения не только антимикробной активности, но и инициирования контролируемой реакции в тканях, способствующей ранозаживлению </w:t>
      </w:r>
      <w:r>
        <w:rPr>
          <w:rFonts w:ascii="Times New Roman" w:eastAsia="Calibri" w:hAnsi="Times New Roman"/>
          <w:bCs/>
          <w:spacing w:val="-2"/>
          <w:sz w:val="28"/>
          <w:szCs w:val="28"/>
          <w:lang w:val="en-US" w:eastAsia="zh-CN"/>
        </w:rPr>
        <w:t>[3]</w:t>
      </w:r>
      <w:r>
        <w:rPr>
          <w:rFonts w:ascii="Times New Roman" w:eastAsia="Calibri" w:hAnsi="Times New Roman"/>
          <w:bCs/>
          <w:spacing w:val="-2"/>
          <w:sz w:val="28"/>
          <w:szCs w:val="28"/>
          <w:lang w:eastAsia="zh-CN"/>
        </w:rPr>
        <w:t>. Предметом многих разработок в этой области стали раневые покрытия на основе гидрогеля из БЦ – биополимера, имеющего сверхтонкую трехмерную наносетчатую структуру [</w:t>
      </w:r>
      <w:r>
        <w:rPr>
          <w:rFonts w:ascii="Times New Roman" w:eastAsia="Times New Roman" w:hAnsi="Times New Roman" w:cs="Times New Roman"/>
          <w:sz w:val="28"/>
          <w:szCs w:val="28"/>
        </w:rPr>
        <w:t>4, 5</w:t>
      </w:r>
      <w:r>
        <w:rPr>
          <w:rFonts w:ascii="Times New Roman" w:eastAsia="Calibri" w:hAnsi="Times New Roman"/>
          <w:bCs/>
          <w:spacing w:val="-2"/>
          <w:sz w:val="28"/>
          <w:szCs w:val="28"/>
          <w:lang w:eastAsia="zh-CN"/>
        </w:rPr>
        <w:t>].  Однако</w:t>
      </w:r>
      <w:proofErr w:type="gramStart"/>
      <w:r>
        <w:rPr>
          <w:rFonts w:ascii="Times New Roman" w:eastAsia="Calibri" w:hAnsi="Times New Roman"/>
          <w:bCs/>
          <w:spacing w:val="-2"/>
          <w:sz w:val="28"/>
          <w:szCs w:val="28"/>
          <w:lang w:eastAsia="zh-CN"/>
        </w:rPr>
        <w:t>,</w:t>
      </w:r>
      <w:proofErr w:type="gramEnd"/>
      <w:r>
        <w:rPr>
          <w:rFonts w:ascii="Times New Roman" w:eastAsia="Calibri" w:hAnsi="Times New Roman"/>
          <w:bCs/>
          <w:spacing w:val="-2"/>
          <w:sz w:val="28"/>
          <w:szCs w:val="28"/>
          <w:lang w:eastAsia="zh-CN"/>
        </w:rPr>
        <w:t xml:space="preserve"> БЦ создает лишь физический барьер для раневой инфекции, поэтому нужна альтернативная стратегия, направленная на разработку бифункциональной платформы, препятствующей образованию и/или распаду биопленок в месте раны, и при этом стимулирующей кожную регенерацию.  </w:t>
      </w:r>
      <w:proofErr w:type="gramStart"/>
      <w:r>
        <w:rPr>
          <w:rFonts w:ascii="Times New Roman" w:eastAsia="Calibri" w:hAnsi="Times New Roman"/>
          <w:bCs/>
          <w:spacing w:val="-2"/>
          <w:sz w:val="28"/>
          <w:szCs w:val="28"/>
          <w:lang w:eastAsia="zh-CN"/>
        </w:rPr>
        <w:t xml:space="preserve">Одним из компонентов такой платформы могут быть MXenes - двухмерные (2D) наноматериалы, относящиеся к семейству карбидов, нитридов и карбо-нитридов переходных металлов </w:t>
      </w:r>
      <w:r>
        <w:rPr>
          <w:rFonts w:ascii="Times New Roman" w:eastAsia="Times New Roman" w:hAnsi="Times New Roman" w:cs="Times New Roman"/>
          <w:sz w:val="28"/>
          <w:szCs w:val="28"/>
        </w:rPr>
        <w:t>[6]</w:t>
      </w:r>
      <w:r>
        <w:rPr>
          <w:rFonts w:ascii="Times New Roman" w:eastAsia="Calibri" w:hAnsi="Times New Roman"/>
          <w:bCs/>
          <w:spacing w:val="-2"/>
          <w:sz w:val="28"/>
          <w:szCs w:val="28"/>
          <w:lang w:eastAsia="zh-CN"/>
        </w:rPr>
        <w:t>.</w:t>
      </w:r>
      <w:proofErr w:type="gramEnd"/>
      <w:r>
        <w:rPr>
          <w:rFonts w:ascii="Times New Roman" w:eastAsia="Calibri" w:hAnsi="Times New Roman"/>
          <w:bCs/>
          <w:spacing w:val="-2"/>
          <w:sz w:val="28"/>
          <w:szCs w:val="28"/>
          <w:lang w:eastAsia="zh-CN"/>
        </w:rPr>
        <w:t xml:space="preserve"> Имеются обнадеживающие сведения о том, что MXenes или материа</w:t>
      </w:r>
      <w:r>
        <w:rPr>
          <w:rFonts w:ascii="Times New Roman" w:eastAsia="Calibri" w:hAnsi="Times New Roman" w:cs="Times New Roman"/>
          <w:bCs/>
          <w:spacing w:val="-2"/>
          <w:sz w:val="28"/>
          <w:szCs w:val="28"/>
          <w:lang w:eastAsia="zh-CN"/>
        </w:rPr>
        <w:t xml:space="preserve">лы с ними препятствуют образованию биопленок и даже способствуют их деструкции </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eastAsia="ru-RU"/>
        </w:rPr>
        <w:t xml:space="preserve">7, </w:t>
      </w:r>
      <w:r>
        <w:rPr>
          <w:rFonts w:ascii="Times New Roman" w:hAnsi="Times New Roman" w:cs="Times New Roman"/>
          <w:sz w:val="28"/>
          <w:szCs w:val="28"/>
        </w:rPr>
        <w:t>8</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rPr>
        <w:t>.</w:t>
      </w:r>
      <w:r>
        <w:rPr>
          <w:rFonts w:ascii="Times New Roman" w:eastAsia="Calibri" w:hAnsi="Times New Roman" w:cs="Times New Roman"/>
          <w:bCs/>
          <w:spacing w:val="-2"/>
          <w:sz w:val="28"/>
          <w:szCs w:val="28"/>
          <w:lang w:eastAsia="zh-CN"/>
        </w:rPr>
        <w:t xml:space="preserve"> </w:t>
      </w:r>
    </w:p>
    <w:p w:rsidR="00E17FE1" w:rsidRDefault="00BB58D7">
      <w:pPr>
        <w:spacing w:after="0" w:line="240" w:lineRule="auto"/>
        <w:ind w:firstLine="567"/>
        <w:jc w:val="both"/>
        <w:rPr>
          <w:rFonts w:ascii="Times New Roman" w:eastAsia="Calibri" w:hAnsi="Times New Roman"/>
          <w:bCs/>
          <w:spacing w:val="-2"/>
          <w:sz w:val="28"/>
          <w:szCs w:val="28"/>
          <w:lang w:eastAsia="zh-CN"/>
        </w:rPr>
      </w:pPr>
      <w:r>
        <w:rPr>
          <w:rFonts w:ascii="Times New Roman" w:eastAsia="Calibri" w:hAnsi="Times New Roman"/>
          <w:bCs/>
          <w:spacing w:val="-2"/>
          <w:sz w:val="28"/>
          <w:szCs w:val="28"/>
          <w:lang w:eastAsia="zh-CN"/>
        </w:rPr>
        <w:t xml:space="preserve">С другой стороны, есть информация, что MXenes могут проявлять цитотоксичность в высоких концентрациях </w:t>
      </w:r>
      <w:r>
        <w:rPr>
          <w:rFonts w:ascii="Times New Roman" w:eastAsia="Times New Roman" w:hAnsi="Times New Roman" w:cs="Times New Roman"/>
          <w:sz w:val="28"/>
          <w:szCs w:val="28"/>
        </w:rPr>
        <w:t>[9]</w:t>
      </w:r>
      <w:r>
        <w:rPr>
          <w:rFonts w:ascii="Times New Roman" w:eastAsia="Calibri" w:hAnsi="Times New Roman"/>
          <w:bCs/>
          <w:spacing w:val="-2"/>
          <w:sz w:val="28"/>
          <w:szCs w:val="28"/>
          <w:lang w:eastAsia="zh-CN"/>
        </w:rPr>
        <w:t xml:space="preserve">, что ограничивает их использование в некоторых медицинских приложениях.  Проблему соблюдения баланса между эффективностью и биосовместимостью может решить добавление в композит ГАП, который может обеспечить снижение цитотоксичности и ускорение заживления ран посредством </w:t>
      </w:r>
      <w:proofErr w:type="gramStart"/>
      <w:r>
        <w:rPr>
          <w:rFonts w:ascii="Times New Roman" w:eastAsia="Calibri" w:hAnsi="Times New Roman"/>
          <w:bCs/>
          <w:spacing w:val="-2"/>
          <w:sz w:val="28"/>
          <w:szCs w:val="28"/>
          <w:lang w:eastAsia="zh-CN"/>
        </w:rPr>
        <w:t>кальций-опосредованной</w:t>
      </w:r>
      <w:proofErr w:type="gramEnd"/>
      <w:r>
        <w:rPr>
          <w:rFonts w:ascii="Times New Roman" w:eastAsia="Calibri" w:hAnsi="Times New Roman"/>
          <w:bCs/>
          <w:spacing w:val="-2"/>
          <w:sz w:val="28"/>
          <w:szCs w:val="28"/>
          <w:lang w:eastAsia="zh-CN"/>
        </w:rPr>
        <w:t xml:space="preserve"> коагуляции, необходимой для регенерации тканей, регулируя инфильтрацию воспалительных клеток, активируя пролиферацию фибробластов и миграцию макрофагов </w:t>
      </w:r>
      <w:r>
        <w:rPr>
          <w:rFonts w:ascii="Times New Roman" w:eastAsia="DejaVu Sans" w:hAnsi="Times New Roman" w:cs="Times New Roman"/>
          <w:sz w:val="28"/>
          <w:szCs w:val="28"/>
          <w:lang w:eastAsia="zh-CN" w:bidi="hi-IN"/>
        </w:rPr>
        <w:t>[10</w:t>
      </w:r>
      <w:r>
        <w:rPr>
          <w:rFonts w:eastAsia="Calibri" w:cs="Times New Roman"/>
          <w:bCs/>
          <w:color w:val="000000"/>
          <w:spacing w:val="-2"/>
          <w:sz w:val="28"/>
          <w:szCs w:val="28"/>
        </w:rPr>
        <w:t>–</w:t>
      </w:r>
      <w:r>
        <w:rPr>
          <w:rFonts w:ascii="Times New Roman" w:eastAsia="DejaVu Sans" w:hAnsi="Times New Roman" w:cs="Times New Roman"/>
          <w:sz w:val="28"/>
          <w:szCs w:val="28"/>
          <w:lang w:eastAsia="zh-CN" w:bidi="hi-IN"/>
        </w:rPr>
        <w:t>13]</w:t>
      </w:r>
      <w:r>
        <w:rPr>
          <w:rFonts w:ascii="Times New Roman" w:eastAsia="Calibri" w:hAnsi="Times New Roman"/>
          <w:bCs/>
          <w:spacing w:val="-2"/>
          <w:sz w:val="28"/>
          <w:szCs w:val="28"/>
          <w:lang w:eastAsia="zh-CN"/>
        </w:rPr>
        <w:t xml:space="preserve">. Представляется, что интеграция MXene и ГАП в каркас БЦ объединит антибактериальное действие MXene с биоактивностью ГАП, формируя многофункциональную платформу. </w:t>
      </w:r>
    </w:p>
    <w:p w:rsidR="00E17FE1" w:rsidRDefault="00BB58D7">
      <w:pPr>
        <w:spacing w:after="0" w:line="240" w:lineRule="auto"/>
        <w:ind w:firstLine="567"/>
        <w:jc w:val="both"/>
        <w:rPr>
          <w:rFonts w:ascii="Times New Roman" w:eastAsia="Calibri" w:hAnsi="Times New Roman"/>
          <w:bCs/>
          <w:spacing w:val="-2"/>
          <w:sz w:val="28"/>
          <w:szCs w:val="28"/>
          <w:lang w:eastAsia="zh-CN"/>
        </w:rPr>
      </w:pPr>
      <w:r>
        <w:rPr>
          <w:rFonts w:ascii="Times New Roman" w:eastAsia="Calibri" w:hAnsi="Times New Roman"/>
          <w:bCs/>
          <w:spacing w:val="-2"/>
          <w:sz w:val="28"/>
          <w:szCs w:val="28"/>
          <w:lang w:eastAsia="zh-CN"/>
        </w:rPr>
        <w:lastRenderedPageBreak/>
        <w:t xml:space="preserve">Несмотря на активные исследования в данной области, информация о композитах, состоящих из БЦ с </w:t>
      </w:r>
      <w:proofErr w:type="gramStart"/>
      <w:r>
        <w:rPr>
          <w:rFonts w:ascii="Times New Roman" w:eastAsia="Calibri" w:hAnsi="Times New Roman"/>
          <w:bCs/>
          <w:spacing w:val="-2"/>
          <w:sz w:val="28"/>
          <w:szCs w:val="28"/>
          <w:lang w:eastAsia="zh-CN"/>
        </w:rPr>
        <w:t>включенными</w:t>
      </w:r>
      <w:proofErr w:type="gramEnd"/>
      <w:r>
        <w:rPr>
          <w:rFonts w:ascii="Times New Roman" w:eastAsia="Calibri" w:hAnsi="Times New Roman"/>
          <w:bCs/>
          <w:spacing w:val="-2"/>
          <w:sz w:val="28"/>
          <w:szCs w:val="28"/>
          <w:lang w:eastAsia="zh-CN"/>
        </w:rPr>
        <w:t xml:space="preserve"> в нее наночастицами  ГАП и MXene, отсутствует. Ранее сообщалось лишь о двукомпонентных системах БЦ/MXene, БЦ/ГАП </w:t>
      </w:r>
      <w:r>
        <w:rPr>
          <w:rFonts w:ascii="Times New Roman" w:eastAsia="Calibri" w:hAnsi="Times New Roman"/>
          <w:bCs/>
          <w:spacing w:val="-2"/>
          <w:sz w:val="28"/>
          <w:szCs w:val="28"/>
          <w:lang w:val="kk-KZ" w:eastAsia="zh-CN"/>
        </w:rPr>
        <w:t xml:space="preserve">и  </w:t>
      </w:r>
      <w:proofErr w:type="gramStart"/>
      <w:r>
        <w:rPr>
          <w:rFonts w:ascii="Times New Roman" w:eastAsia="Calibri" w:hAnsi="Times New Roman"/>
          <w:bCs/>
          <w:spacing w:val="-2"/>
          <w:sz w:val="28"/>
          <w:szCs w:val="28"/>
          <w:lang w:val="kk-KZ" w:eastAsia="zh-CN"/>
        </w:rPr>
        <w:t>и</w:t>
      </w:r>
      <w:proofErr w:type="gramEnd"/>
      <w:r>
        <w:rPr>
          <w:rFonts w:ascii="Times New Roman" w:eastAsia="Calibri" w:hAnsi="Times New Roman"/>
          <w:bCs/>
          <w:spacing w:val="-2"/>
          <w:sz w:val="28"/>
          <w:szCs w:val="28"/>
          <w:lang w:val="kk-KZ" w:eastAsia="zh-CN"/>
        </w:rPr>
        <w:t xml:space="preserve"> ГАП/MXene </w:t>
      </w:r>
      <w:r>
        <w:rPr>
          <w:rFonts w:ascii="Times New Roman" w:eastAsia="Calibri" w:hAnsi="Times New Roman"/>
          <w:bCs/>
          <w:spacing w:val="-2"/>
          <w:sz w:val="28"/>
          <w:szCs w:val="28"/>
          <w:lang w:eastAsia="zh-CN"/>
        </w:rPr>
        <w:t>[14</w:t>
      </w:r>
      <w:r>
        <w:rPr>
          <w:rFonts w:eastAsia="Calibri" w:cs="Times New Roman"/>
          <w:bCs/>
          <w:color w:val="000000"/>
          <w:spacing w:val="-2"/>
          <w:sz w:val="28"/>
          <w:szCs w:val="28"/>
        </w:rPr>
        <w:t>–</w:t>
      </w:r>
      <w:r>
        <w:rPr>
          <w:rFonts w:ascii="Times New Roman" w:eastAsia="Calibri" w:hAnsi="Times New Roman"/>
          <w:bCs/>
          <w:spacing w:val="-2"/>
          <w:sz w:val="28"/>
          <w:szCs w:val="28"/>
          <w:lang w:eastAsia="zh-CN"/>
        </w:rPr>
        <w:t>18].</w:t>
      </w:r>
    </w:p>
    <w:p w:rsidR="00E17FE1" w:rsidRDefault="00BB58D7">
      <w:pPr>
        <w:spacing w:after="0" w:line="240" w:lineRule="auto"/>
        <w:ind w:firstLine="567"/>
        <w:jc w:val="both"/>
        <w:rPr>
          <w:rFonts w:ascii="Times New Roman" w:eastAsia="Calibri" w:hAnsi="Times New Roman" w:cs="Times New Roman"/>
          <w:bCs/>
          <w:spacing w:val="-2"/>
          <w:sz w:val="28"/>
          <w:szCs w:val="28"/>
          <w:lang w:eastAsia="zh-CN" w:bidi="hi-IN"/>
        </w:rPr>
      </w:pPr>
      <w:r>
        <w:rPr>
          <w:rFonts w:ascii="Times New Roman" w:eastAsia="Calibri" w:hAnsi="Times New Roman"/>
          <w:bCs/>
          <w:spacing w:val="-2"/>
          <w:sz w:val="28"/>
          <w:szCs w:val="28"/>
          <w:lang w:eastAsia="zh-CN"/>
        </w:rPr>
        <w:t>В связи с этим необходима разработка способа синтеза гибридного наноматериала БЦ/MXene/ГАП, что требует тщательной оптимизации всех этапов процесса. Особое внимание должно быть уделено выбору условий формирования каждого компонента, их последовательности введения и обеспечению устойчивого взаимодействия между органической матрицей и неорганическими нанофазами. При этом способ получения композита должен предусматривать  сохранение гелевой формы БЦ с её нанофибриллярной структурой, так как именно в этом состоянии материал может проявлять свои характерные физико-химические свойства.</w:t>
      </w:r>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r>
        <w:rPr>
          <w:rFonts w:ascii="Times New Roman" w:eastAsia="Calibri" w:hAnsi="Times New Roman"/>
          <w:b/>
          <w:bCs/>
          <w:spacing w:val="-2"/>
          <w:sz w:val="28"/>
          <w:szCs w:val="28"/>
          <w:lang w:eastAsia="ru-RU"/>
        </w:rPr>
        <w:t xml:space="preserve">Цель работы: </w:t>
      </w:r>
      <w:r>
        <w:rPr>
          <w:rFonts w:ascii="Times New Roman" w:eastAsia="Calibri" w:hAnsi="Times New Roman"/>
          <w:spacing w:val="-2"/>
          <w:sz w:val="28"/>
          <w:szCs w:val="28"/>
          <w:lang w:eastAsia="ru-RU"/>
        </w:rPr>
        <w:t>Разработать и охарактеризовать структурные и антимикробные свойства трехкомпонентного нанокомпозитного материала из бактериальной целлюлозы, M</w:t>
      </w:r>
      <w:proofErr w:type="gramStart"/>
      <w:r>
        <w:rPr>
          <w:rFonts w:ascii="Times New Roman" w:eastAsia="Calibri" w:hAnsi="Times New Roman"/>
          <w:spacing w:val="-2"/>
          <w:sz w:val="28"/>
          <w:szCs w:val="28"/>
          <w:lang w:eastAsia="ru-RU"/>
        </w:rPr>
        <w:t>Х</w:t>
      </w:r>
      <w:proofErr w:type="gramEnd"/>
      <w:r>
        <w:rPr>
          <w:rFonts w:ascii="Times New Roman" w:eastAsia="Calibri" w:hAnsi="Times New Roman"/>
          <w:spacing w:val="-2"/>
          <w:sz w:val="28"/>
          <w:szCs w:val="28"/>
          <w:lang w:eastAsia="ru-RU"/>
        </w:rPr>
        <w:t>ene и гидроксиапатита.</w:t>
      </w:r>
    </w:p>
    <w:p w:rsidR="00E17FE1" w:rsidRDefault="00BB58D7">
      <w:pPr>
        <w:widowControl w:val="0"/>
        <w:spacing w:after="0" w:line="240" w:lineRule="auto"/>
        <w:ind w:firstLine="567"/>
        <w:jc w:val="both"/>
        <w:rPr>
          <w:rFonts w:ascii="Times New Roman" w:eastAsia="Calibri" w:hAnsi="Times New Roman"/>
          <w:b/>
          <w:bCs/>
          <w:spacing w:val="-2"/>
          <w:sz w:val="28"/>
          <w:szCs w:val="28"/>
          <w:lang w:eastAsia="ru-RU"/>
        </w:rPr>
      </w:pPr>
      <w:r>
        <w:rPr>
          <w:rFonts w:ascii="Times New Roman" w:eastAsia="Calibri" w:hAnsi="Times New Roman"/>
          <w:b/>
          <w:bCs/>
          <w:spacing w:val="-2"/>
          <w:sz w:val="28"/>
          <w:szCs w:val="28"/>
          <w:lang w:eastAsia="ru-RU"/>
        </w:rPr>
        <w:t xml:space="preserve">Задачи исследования: </w:t>
      </w:r>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proofErr w:type="gramStart"/>
      <w:r>
        <w:rPr>
          <w:rFonts w:ascii="Times New Roman" w:eastAsia="Calibri" w:hAnsi="Times New Roman"/>
          <w:spacing w:val="-2"/>
          <w:sz w:val="28"/>
          <w:szCs w:val="28"/>
          <w:lang w:eastAsia="ru-RU"/>
        </w:rPr>
        <w:t xml:space="preserve">- провести анализ структурных и механических свойств гель-пленок БЦ,  полученной на питательной среде с мелассой; </w:t>
      </w:r>
      <w:proofErr w:type="gramEnd"/>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r>
        <w:rPr>
          <w:rFonts w:ascii="Times New Roman" w:eastAsia="Calibri" w:hAnsi="Times New Roman"/>
          <w:spacing w:val="-2"/>
          <w:sz w:val="28"/>
          <w:szCs w:val="28"/>
          <w:lang w:eastAsia="ru-RU"/>
        </w:rPr>
        <w:t>- получить композитные материалы на основе БЦ с армирующими компонентами: Mxene и гидроксиапатитом;</w:t>
      </w:r>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r>
        <w:rPr>
          <w:rFonts w:ascii="Times New Roman" w:eastAsia="Calibri" w:hAnsi="Times New Roman"/>
          <w:spacing w:val="-2"/>
          <w:sz w:val="28"/>
          <w:szCs w:val="28"/>
          <w:lang w:eastAsia="ru-RU"/>
        </w:rPr>
        <w:t>- исследовать элементный, фазовый, функциональный составы и морфологию нано-гель-пленки БЦ после интеркаляции в нее нанокомплексов M</w:t>
      </w:r>
      <w:proofErr w:type="gramStart"/>
      <w:r>
        <w:rPr>
          <w:rFonts w:ascii="Times New Roman" w:eastAsia="Calibri" w:hAnsi="Times New Roman"/>
          <w:spacing w:val="-2"/>
          <w:sz w:val="28"/>
          <w:szCs w:val="28"/>
          <w:lang w:eastAsia="ru-RU"/>
        </w:rPr>
        <w:t>Х</w:t>
      </w:r>
      <w:proofErr w:type="gramEnd"/>
      <w:r>
        <w:rPr>
          <w:rFonts w:ascii="Times New Roman" w:eastAsia="Calibri" w:hAnsi="Times New Roman"/>
          <w:spacing w:val="-2"/>
          <w:sz w:val="28"/>
          <w:szCs w:val="28"/>
          <w:lang w:eastAsia="ru-RU"/>
        </w:rPr>
        <w:t xml:space="preserve">ene и гидроксиапатита; </w:t>
      </w:r>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r>
        <w:rPr>
          <w:rFonts w:ascii="Times New Roman" w:eastAsia="Calibri" w:hAnsi="Times New Roman"/>
          <w:spacing w:val="-2"/>
          <w:sz w:val="28"/>
          <w:szCs w:val="28"/>
          <w:lang w:eastAsia="ru-RU"/>
        </w:rPr>
        <w:t>- подобрать способ стерилизации композитного гидрогеля, обеспечивающий сохранение его структурных и функциональных свойств;</w:t>
      </w:r>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r>
        <w:rPr>
          <w:rFonts w:ascii="Times New Roman" w:eastAsia="Calibri" w:hAnsi="Times New Roman"/>
          <w:spacing w:val="-2"/>
          <w:sz w:val="28"/>
          <w:szCs w:val="28"/>
          <w:lang w:eastAsia="ru-RU"/>
        </w:rPr>
        <w:t>- изучить особенности проявления антимикробного и антибиоплёночного действия трёхкомпонентного композитного материала в Time-kill тесте и на модели хронической раневой биоплёнки (LCWB);</w:t>
      </w:r>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r>
        <w:rPr>
          <w:rFonts w:ascii="Times New Roman" w:eastAsia="Calibri" w:hAnsi="Times New Roman"/>
          <w:spacing w:val="-2"/>
          <w:sz w:val="28"/>
          <w:szCs w:val="28"/>
          <w:lang w:eastAsia="ru-RU"/>
        </w:rPr>
        <w:t xml:space="preserve">- определить цитотоксичность и биосовместимость трехкомпонентного композитного материала в условиях </w:t>
      </w:r>
      <w:r w:rsidRPr="00246F71">
        <w:rPr>
          <w:rFonts w:ascii="Times New Roman" w:eastAsia="Calibri" w:hAnsi="Times New Roman"/>
          <w:i/>
          <w:spacing w:val="-2"/>
          <w:sz w:val="28"/>
          <w:szCs w:val="28"/>
          <w:lang w:eastAsia="ru-RU"/>
        </w:rPr>
        <w:t>in vitro</w:t>
      </w:r>
      <w:r>
        <w:rPr>
          <w:rFonts w:ascii="Times New Roman" w:eastAsia="Calibri" w:hAnsi="Times New Roman"/>
          <w:spacing w:val="-2"/>
          <w:sz w:val="28"/>
          <w:szCs w:val="28"/>
          <w:lang w:eastAsia="ru-RU"/>
        </w:rPr>
        <w:t xml:space="preserve">. </w:t>
      </w:r>
    </w:p>
    <w:p w:rsidR="00E17FE1" w:rsidRDefault="00BB58D7">
      <w:pPr>
        <w:widowControl w:val="0"/>
        <w:spacing w:after="0" w:line="240" w:lineRule="auto"/>
        <w:ind w:firstLine="567"/>
        <w:jc w:val="both"/>
        <w:rPr>
          <w:rFonts w:ascii="Times New Roman" w:eastAsia="Calibri" w:hAnsi="Times New Roman"/>
          <w:spacing w:val="-2"/>
          <w:sz w:val="28"/>
          <w:szCs w:val="28"/>
          <w:lang w:eastAsia="ru-RU"/>
        </w:rPr>
      </w:pPr>
      <w:r>
        <w:rPr>
          <w:rFonts w:ascii="Times New Roman" w:eastAsia="Calibri" w:hAnsi="Times New Roman"/>
          <w:b/>
          <w:bCs/>
          <w:spacing w:val="-2"/>
          <w:sz w:val="28"/>
          <w:szCs w:val="28"/>
          <w:lang w:eastAsia="ru-RU"/>
        </w:rPr>
        <w:t>Объекты исследования:</w:t>
      </w:r>
      <w:r>
        <w:rPr>
          <w:rFonts w:ascii="Times New Roman" w:eastAsia="Calibri" w:hAnsi="Times New Roman"/>
          <w:spacing w:val="-2"/>
          <w:sz w:val="28"/>
          <w:szCs w:val="28"/>
          <w:lang w:eastAsia="ru-RU"/>
        </w:rPr>
        <w:t xml:space="preserve"> </w:t>
      </w:r>
      <w:proofErr w:type="gramStart"/>
      <w:r>
        <w:rPr>
          <w:rFonts w:ascii="Times New Roman" w:eastAsia="Calibri" w:hAnsi="Times New Roman"/>
          <w:spacing w:val="-2"/>
          <w:sz w:val="28"/>
          <w:szCs w:val="28"/>
          <w:lang w:eastAsia="ru-RU"/>
        </w:rPr>
        <w:t>Гель-пленки</w:t>
      </w:r>
      <w:proofErr w:type="gramEnd"/>
      <w:r>
        <w:rPr>
          <w:rFonts w:ascii="Times New Roman" w:eastAsia="Calibri" w:hAnsi="Times New Roman"/>
          <w:spacing w:val="-2"/>
          <w:sz w:val="28"/>
          <w:szCs w:val="28"/>
          <w:lang w:eastAsia="ru-RU"/>
        </w:rPr>
        <w:t xml:space="preserve"> БЦ, композиты БЦ/ГАП, БЦ/Mxene и БЦ/ГАП/MXene.</w:t>
      </w:r>
    </w:p>
    <w:p w:rsidR="00E17FE1" w:rsidRDefault="00BB58D7">
      <w:pPr>
        <w:widowControl w:val="0"/>
        <w:spacing w:after="0" w:line="240" w:lineRule="auto"/>
        <w:ind w:firstLine="567"/>
        <w:jc w:val="both"/>
        <w:rPr>
          <w:rFonts w:ascii="Times New Roman" w:eastAsia="DejaVu Sans" w:hAnsi="Times New Roman" w:cs="Times New Roman"/>
          <w:i/>
          <w:spacing w:val="-2"/>
          <w:sz w:val="28"/>
          <w:szCs w:val="28"/>
          <w:lang w:eastAsia="zh-CN" w:bidi="hi-IN"/>
        </w:rPr>
      </w:pPr>
      <w:r>
        <w:rPr>
          <w:rFonts w:ascii="Times New Roman" w:eastAsia="Calibri" w:hAnsi="Times New Roman"/>
          <w:b/>
          <w:bCs/>
          <w:spacing w:val="-2"/>
          <w:sz w:val="28"/>
          <w:szCs w:val="28"/>
          <w:lang w:eastAsia="ru-RU"/>
        </w:rPr>
        <w:t xml:space="preserve">Методы исследования: </w:t>
      </w:r>
      <w:r>
        <w:rPr>
          <w:rFonts w:ascii="Times New Roman" w:eastAsia="Calibri" w:hAnsi="Times New Roman"/>
          <w:spacing w:val="-2"/>
          <w:sz w:val="28"/>
          <w:szCs w:val="28"/>
          <w:lang w:eastAsia="ru-RU"/>
        </w:rPr>
        <w:t>Получение БЦ – поверхностное культивирование; Ti</w:t>
      </w:r>
      <w:r>
        <w:rPr>
          <w:rFonts w:ascii="Times New Roman" w:eastAsia="Calibri" w:hAnsi="Times New Roman"/>
          <w:spacing w:val="-2"/>
          <w:sz w:val="28"/>
          <w:szCs w:val="28"/>
          <w:vertAlign w:val="subscript"/>
          <w:lang w:eastAsia="ru-RU"/>
        </w:rPr>
        <w:t>3</w:t>
      </w:r>
      <w:r>
        <w:rPr>
          <w:rFonts w:ascii="Times New Roman" w:eastAsia="Calibri" w:hAnsi="Times New Roman"/>
          <w:spacing w:val="-2"/>
          <w:sz w:val="28"/>
          <w:szCs w:val="28"/>
          <w:lang w:eastAsia="ru-RU"/>
        </w:rPr>
        <w:t>C</w:t>
      </w:r>
      <w:r>
        <w:rPr>
          <w:rFonts w:ascii="Times New Roman" w:eastAsia="Calibri" w:hAnsi="Times New Roman"/>
          <w:spacing w:val="-2"/>
          <w:sz w:val="28"/>
          <w:szCs w:val="28"/>
          <w:vertAlign w:val="subscript"/>
          <w:lang w:eastAsia="ru-RU"/>
        </w:rPr>
        <w:t>2</w:t>
      </w:r>
      <w:r>
        <w:rPr>
          <w:rFonts w:ascii="Times New Roman" w:eastAsia="Calibri" w:hAnsi="Times New Roman"/>
          <w:spacing w:val="-2"/>
          <w:sz w:val="28"/>
          <w:szCs w:val="28"/>
          <w:lang w:eastAsia="ru-RU"/>
        </w:rPr>
        <w:t>T</w:t>
      </w:r>
      <w:r>
        <w:rPr>
          <w:rFonts w:ascii="Times New Roman" w:eastAsia="Calibri" w:hAnsi="Times New Roman"/>
          <w:spacing w:val="-2"/>
          <w:sz w:val="28"/>
          <w:szCs w:val="28"/>
          <w:vertAlign w:val="subscript"/>
          <w:lang w:eastAsia="ru-RU"/>
        </w:rPr>
        <w:t>x</w:t>
      </w:r>
      <w:r>
        <w:rPr>
          <w:rFonts w:ascii="Times New Roman" w:eastAsia="Calibri" w:hAnsi="Times New Roman"/>
          <w:spacing w:val="-2"/>
          <w:sz w:val="28"/>
          <w:szCs w:val="28"/>
          <w:lang w:eastAsia="ru-RU"/>
        </w:rPr>
        <w:t xml:space="preserve"> – химическое травление; ГАП – химическое осаждение; БЦ/ГАП – in situ и ex situ модификации; ГАП/MXene – физико-химическая гибридизация; Композиты БЦ/ГАП/MXene и  БЦ/MXene – метод погружения (</w:t>
      </w:r>
      <w:r w:rsidRPr="00D14370">
        <w:rPr>
          <w:rFonts w:ascii="Times New Roman" w:eastAsia="Calibri" w:hAnsi="Times New Roman"/>
          <w:i/>
          <w:spacing w:val="-2"/>
          <w:sz w:val="28"/>
          <w:szCs w:val="28"/>
          <w:lang w:eastAsia="ru-RU"/>
        </w:rPr>
        <w:t>ex situ</w:t>
      </w:r>
      <w:r>
        <w:rPr>
          <w:rFonts w:ascii="Times New Roman" w:eastAsia="Calibri" w:hAnsi="Times New Roman"/>
          <w:spacing w:val="-2"/>
          <w:sz w:val="28"/>
          <w:szCs w:val="28"/>
          <w:lang w:eastAsia="ru-RU"/>
        </w:rPr>
        <w:t xml:space="preserve">). </w:t>
      </w:r>
      <w:proofErr w:type="gramStart"/>
      <w:r>
        <w:rPr>
          <w:rFonts w:ascii="Times New Roman" w:eastAsia="Calibri" w:hAnsi="Times New Roman"/>
          <w:spacing w:val="-2"/>
          <w:sz w:val="28"/>
          <w:szCs w:val="28"/>
          <w:lang w:eastAsia="ru-RU"/>
        </w:rPr>
        <w:t xml:space="preserve">Морфология плёнок и композитов – сканирующая электронная микроскопия (JSM-7800F); Структурно-фазовое состояние – просвечивающая электронная микроскопия, рентгеноструктурный анализ; Функциональный состав – ИК-спектроскопия (Bruker Alpha II FTIR); Элементный состав и пространственное распределение – энергодисперсионная рентгеновская спектроскопия (JEOL JED-2300T CENTURIO SDD);  Кристаллическая структура композитов – рентгеновская дифракция (XRD) </w:t>
      </w:r>
      <w:r>
        <w:rPr>
          <w:rFonts w:ascii="Times New Roman" w:eastAsia="Calibri" w:hAnsi="Times New Roman"/>
          <w:spacing w:val="-2"/>
          <w:sz w:val="28"/>
          <w:szCs w:val="28"/>
          <w:lang w:eastAsia="ru-RU"/>
        </w:rPr>
        <w:lastRenderedPageBreak/>
        <w:t>(PANalytical Empyrean (Malvern Panalytical); Химический состав – высокоразрешающая рентгеновская фотоэлектронная спектроскопия (HR-XPS);</w:t>
      </w:r>
      <w:proofErr w:type="gramEnd"/>
      <w:r>
        <w:rPr>
          <w:rFonts w:ascii="Times New Roman" w:eastAsia="Calibri" w:hAnsi="Times New Roman"/>
          <w:spacing w:val="-2"/>
          <w:sz w:val="28"/>
          <w:szCs w:val="28"/>
          <w:lang w:eastAsia="ru-RU"/>
        </w:rPr>
        <w:t xml:space="preserve"> Прочность плёнок – разрывная машина «Instron»; Атибактериальная активность – Time-kill тест; Антибиоплёночная активность – метод микропланшетов, </w:t>
      </w:r>
      <w:r w:rsidRPr="00D14370">
        <w:rPr>
          <w:rFonts w:ascii="Times New Roman" w:eastAsia="Calibri" w:hAnsi="Times New Roman"/>
          <w:i/>
          <w:spacing w:val="-2"/>
          <w:sz w:val="28"/>
          <w:szCs w:val="28"/>
          <w:lang w:eastAsia="ru-RU"/>
        </w:rPr>
        <w:t>in vitro</w:t>
      </w:r>
      <w:r>
        <w:rPr>
          <w:rFonts w:ascii="Times New Roman" w:eastAsia="Calibri" w:hAnsi="Times New Roman"/>
          <w:spacing w:val="-2"/>
          <w:sz w:val="28"/>
          <w:szCs w:val="28"/>
          <w:lang w:eastAsia="ru-RU"/>
        </w:rPr>
        <w:t xml:space="preserve"> модель </w:t>
      </w:r>
      <w:proofErr w:type="gramStart"/>
      <w:r>
        <w:rPr>
          <w:rFonts w:ascii="Times New Roman" w:eastAsia="Calibri" w:hAnsi="Times New Roman"/>
          <w:spacing w:val="-2"/>
          <w:sz w:val="28"/>
          <w:szCs w:val="28"/>
          <w:lang w:eastAsia="ru-RU"/>
        </w:rPr>
        <w:t>хронической</w:t>
      </w:r>
      <w:proofErr w:type="gramEnd"/>
      <w:r>
        <w:rPr>
          <w:rFonts w:ascii="Times New Roman" w:eastAsia="Calibri" w:hAnsi="Times New Roman"/>
          <w:spacing w:val="-2"/>
          <w:sz w:val="28"/>
          <w:szCs w:val="28"/>
          <w:lang w:eastAsia="ru-RU"/>
        </w:rPr>
        <w:t xml:space="preserve"> раневой биоплёнки (LCWB); Биосовместимость – жизнеспособность, адгезивные свойства, метаболическая активность, морфология и пролиферация клеток мышиных фибробластов </w:t>
      </w:r>
      <w:r w:rsidR="00812524">
        <w:rPr>
          <w:rFonts w:ascii="Times New Roman" w:eastAsia="Calibri" w:hAnsi="Times New Roman"/>
          <w:spacing w:val="-2"/>
          <w:sz w:val="28"/>
          <w:szCs w:val="28"/>
          <w:lang w:eastAsia="ru-RU"/>
        </w:rPr>
        <w:t>NIH-3T3</w:t>
      </w:r>
      <w:r>
        <w:rPr>
          <w:rFonts w:ascii="Times New Roman" w:eastAsia="Calibri" w:hAnsi="Times New Roman"/>
          <w:spacing w:val="-2"/>
          <w:sz w:val="28"/>
          <w:szCs w:val="28"/>
          <w:lang w:eastAsia="ru-RU"/>
        </w:rPr>
        <w:t xml:space="preserve">. </w:t>
      </w:r>
      <w:r>
        <w:rPr>
          <w:rFonts w:ascii="Times New Roman" w:eastAsia="Calibri" w:hAnsi="Times New Roman" w:cs="Times New Roman"/>
          <w:spacing w:val="-2"/>
          <w:sz w:val="28"/>
          <w:szCs w:val="28"/>
          <w:lang w:eastAsia="ru-RU"/>
        </w:rPr>
        <w:t xml:space="preserve">    </w:t>
      </w:r>
    </w:p>
    <w:p w:rsidR="00E17FE1" w:rsidRDefault="00BB58D7">
      <w:pPr>
        <w:widowControl w:val="0"/>
        <w:suppressAutoHyphens/>
        <w:spacing w:after="0" w:line="240" w:lineRule="auto"/>
        <w:ind w:firstLine="567"/>
        <w:jc w:val="both"/>
        <w:rPr>
          <w:rFonts w:ascii="Times New Roman" w:eastAsia="Arial Unicode MS" w:hAnsi="Times New Roman"/>
          <w:b/>
          <w:bCs/>
          <w:spacing w:val="-2"/>
          <w:sz w:val="28"/>
          <w:szCs w:val="28"/>
        </w:rPr>
      </w:pPr>
      <w:r>
        <w:rPr>
          <w:rFonts w:ascii="Times New Roman" w:eastAsia="Arial Unicode MS" w:hAnsi="Times New Roman"/>
          <w:b/>
          <w:bCs/>
          <w:spacing w:val="-2"/>
          <w:sz w:val="28"/>
          <w:szCs w:val="28"/>
        </w:rPr>
        <w:t>Научная новизна результатов исследования.</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Получен новый нанокомпозитный материал БЦ/ГАП/MXene, предназначенный для создания многофункционального раневого покрытия, обладающего антисептическим, антибиопленочным и антиоксидантным действием.</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 xml:space="preserve">Впервые показано, что включение комплекса ГАП/Mxene в матрицу БЦ методом ex situ минимизирует окисление двумерного карбида титана и сохраняет нановолокнистую гидрогелевую структуру БЦ.  </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 xml:space="preserve">Впервые предложен и оптимизирован состав экономичной питательной среды на основе мелассы, обеспечивающий сохранение  нанофибриллярной структуры и механической прочности БЦ с  повышенным уровнем  ее биосинтеза. </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b/>
          <w:bCs/>
          <w:spacing w:val="-2"/>
          <w:sz w:val="28"/>
          <w:szCs w:val="28"/>
        </w:rPr>
        <w:t xml:space="preserve">Теоретическая значимость исследований. </w:t>
      </w:r>
      <w:r>
        <w:rPr>
          <w:rFonts w:ascii="Times New Roman" w:eastAsia="Arial Unicode MS" w:hAnsi="Times New Roman"/>
          <w:spacing w:val="-2"/>
          <w:sz w:val="28"/>
          <w:szCs w:val="28"/>
        </w:rPr>
        <w:t xml:space="preserve">Теоретически и экспериментально обоснован выбор состава нанокомпозитного материала, в котором антимикробное и антибиоплёночное действие определяется взаимодействием </w:t>
      </w:r>
      <w:proofErr w:type="gramStart"/>
      <w:r>
        <w:rPr>
          <w:rFonts w:ascii="Times New Roman" w:eastAsia="Arial Unicode MS" w:hAnsi="Times New Roman"/>
          <w:spacing w:val="-2"/>
          <w:sz w:val="28"/>
          <w:szCs w:val="28"/>
        </w:rPr>
        <w:t>функциональных</w:t>
      </w:r>
      <w:proofErr w:type="gramEnd"/>
      <w:r>
        <w:rPr>
          <w:rFonts w:ascii="Times New Roman" w:eastAsia="Arial Unicode MS" w:hAnsi="Times New Roman"/>
          <w:spacing w:val="-2"/>
          <w:sz w:val="28"/>
          <w:szCs w:val="28"/>
        </w:rPr>
        <w:t xml:space="preserve"> нанофаз.</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 xml:space="preserve">Обозначены пути экономически эффективного способа получения БЦ и ее функционализации неорганическими биоактивными компонентами: MXene и ГАП для получения биосовместимого композитного материала с высокой антимикробной активностью, низкой цитотоксичностью и прорегенеративными свойствами. </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 xml:space="preserve">Представлены возможные механизмы антимикробного действия фукциональных компонентов композита, связанные с генерацией MXene-ами активных форм кислорода и опосредованным ГАП ингибированием полимеризации фибрина, разрушающим структуру биопленки. </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b/>
          <w:bCs/>
          <w:spacing w:val="-2"/>
          <w:sz w:val="28"/>
          <w:szCs w:val="28"/>
        </w:rPr>
        <w:t xml:space="preserve">Практическая ценность исследования. </w:t>
      </w:r>
      <w:r>
        <w:rPr>
          <w:rFonts w:ascii="Times New Roman" w:eastAsia="Arial Unicode MS" w:hAnsi="Times New Roman"/>
          <w:spacing w:val="-2"/>
          <w:sz w:val="28"/>
          <w:szCs w:val="28"/>
        </w:rPr>
        <w:t>Синергетическое взаимодействие двумерных наноструктур MXene и наночастиц ГАП, интегрированных в трёхмерный нанофибриллярный БЦ-скаффолд, имитирующий внеклеточный матрикс, формирует перспективный материал нового поколения для лечения хронических ран, инфицированных микроорганизмами с множественной лекарственной устойчивостью.</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 xml:space="preserve">Оптимизированная питательная среда на основе отходов сахарного производства, а также подобранные технологические параметры культивирования штамма-продуцента обеспечивают получение БЦ с воспроизводимой нанофибриллярной структурой и стабильными физико-механическими характеристиками. Она может использоваться при </w:t>
      </w:r>
      <w:r>
        <w:rPr>
          <w:rFonts w:ascii="Times New Roman" w:eastAsia="Arial Unicode MS" w:hAnsi="Times New Roman"/>
          <w:spacing w:val="-2"/>
          <w:sz w:val="28"/>
          <w:szCs w:val="28"/>
        </w:rPr>
        <w:lastRenderedPageBreak/>
        <w:t>масштабируемом промышленном синтезе БЦ как наноструктурированной матрицы для создания функциональных нанокомпозитных материалов.</w:t>
      </w:r>
    </w:p>
    <w:p w:rsidR="00E17FE1" w:rsidRDefault="00BB58D7">
      <w:pPr>
        <w:widowControl w:val="0"/>
        <w:suppressAutoHyphens/>
        <w:spacing w:after="0" w:line="240" w:lineRule="auto"/>
        <w:ind w:firstLine="567"/>
        <w:jc w:val="both"/>
        <w:rPr>
          <w:rFonts w:ascii="Times New Roman" w:eastAsia="Arial Unicode MS" w:hAnsi="Times New Roman"/>
          <w:b/>
          <w:bCs/>
          <w:spacing w:val="-2"/>
          <w:sz w:val="28"/>
          <w:szCs w:val="28"/>
        </w:rPr>
      </w:pPr>
      <w:r>
        <w:rPr>
          <w:rFonts w:ascii="Times New Roman" w:eastAsia="Arial Unicode MS" w:hAnsi="Times New Roman"/>
          <w:b/>
          <w:bCs/>
          <w:spacing w:val="-2"/>
          <w:sz w:val="28"/>
          <w:szCs w:val="28"/>
        </w:rPr>
        <w:t>Основные положения, выносимые на защиту:</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 БЦ, синтезированная на модифицированной питательной среде с добавлением 2% мелассы, характеризуется  иерархически организованной нанофибриллярной архитектурой, представленной трёхмерной сетчатой матрицей из плотно переплетённых целлюлозных фибрилл наноразмерного диаметра, которая  обуславливает пористую структуру материала и его высокую механическую прочность (37,12 ± 0,2 МПа).</w:t>
      </w:r>
    </w:p>
    <w:p w:rsidR="00E17FE1" w:rsidRDefault="00BB58D7">
      <w:pPr>
        <w:widowControl w:val="0"/>
        <w:suppressAutoHyphens/>
        <w:spacing w:after="0" w:line="240" w:lineRule="auto"/>
        <w:ind w:firstLine="567"/>
        <w:jc w:val="both"/>
        <w:rPr>
          <w:rFonts w:ascii="Times New Roman" w:eastAsia="Arial Unicode MS" w:hAnsi="Times New Roman"/>
          <w:spacing w:val="-2"/>
          <w:sz w:val="28"/>
          <w:szCs w:val="28"/>
        </w:rPr>
      </w:pPr>
      <w:r>
        <w:rPr>
          <w:rFonts w:ascii="Times New Roman" w:eastAsia="Arial Unicode MS" w:hAnsi="Times New Roman"/>
          <w:spacing w:val="-2"/>
          <w:sz w:val="28"/>
          <w:szCs w:val="28"/>
        </w:rPr>
        <w:t xml:space="preserve">- формирование наноструктурированного композитного материала с однородным распределением </w:t>
      </w:r>
      <w:proofErr w:type="gramStart"/>
      <w:r>
        <w:rPr>
          <w:rFonts w:ascii="Times New Roman" w:eastAsia="Arial Unicode MS" w:hAnsi="Times New Roman"/>
          <w:spacing w:val="-2"/>
          <w:sz w:val="28"/>
          <w:szCs w:val="28"/>
        </w:rPr>
        <w:t>армирующих</w:t>
      </w:r>
      <w:proofErr w:type="gramEnd"/>
      <w:r>
        <w:rPr>
          <w:rFonts w:ascii="Times New Roman" w:eastAsia="Arial Unicode MS" w:hAnsi="Times New Roman"/>
          <w:spacing w:val="-2"/>
          <w:sz w:val="28"/>
          <w:szCs w:val="28"/>
        </w:rPr>
        <w:t xml:space="preserve"> наночастиц обусловлено включением в матрицу БЦ методом ex situ предварительно сформированного путём физико-химической гибридизации нанокомплекса ГАП/MXene . </w:t>
      </w:r>
    </w:p>
    <w:p w:rsidR="00E17FE1" w:rsidRDefault="00BB58D7">
      <w:pPr>
        <w:widowControl w:val="0"/>
        <w:suppressAutoHyphens/>
        <w:spacing w:after="0" w:line="240" w:lineRule="auto"/>
        <w:ind w:firstLine="567"/>
        <w:jc w:val="both"/>
        <w:rPr>
          <w:rFonts w:ascii="Times New Roman" w:eastAsia="Arial Unicode MS" w:hAnsi="Times New Roman" w:cs="Times New Roman"/>
          <w:spacing w:val="-2"/>
          <w:sz w:val="28"/>
          <w:szCs w:val="28"/>
          <w:lang w:bidi="en-US"/>
        </w:rPr>
      </w:pPr>
      <w:r>
        <w:rPr>
          <w:rFonts w:ascii="Times New Roman" w:eastAsia="Arial Unicode MS" w:hAnsi="Times New Roman"/>
          <w:spacing w:val="-2"/>
          <w:sz w:val="28"/>
          <w:szCs w:val="28"/>
        </w:rPr>
        <w:t xml:space="preserve">-  БЦ, функционализированная Mxene, </w:t>
      </w:r>
      <w:proofErr w:type="gramStart"/>
      <w:r>
        <w:rPr>
          <w:rFonts w:ascii="Times New Roman" w:eastAsia="Arial Unicode MS" w:hAnsi="Times New Roman"/>
          <w:spacing w:val="-2"/>
          <w:sz w:val="28"/>
          <w:szCs w:val="28"/>
        </w:rPr>
        <w:t>генерирующими</w:t>
      </w:r>
      <w:proofErr w:type="gramEnd"/>
      <w:r>
        <w:rPr>
          <w:rFonts w:ascii="Times New Roman" w:eastAsia="Arial Unicode MS" w:hAnsi="Times New Roman"/>
          <w:spacing w:val="-2"/>
          <w:sz w:val="28"/>
          <w:szCs w:val="28"/>
        </w:rPr>
        <w:t xml:space="preserve"> активные формы кислорода, приобретает антимикробное свойства, а опосредованное ГАП ингибирование полимеризации фибрина и Ca</w:t>
      </w:r>
      <w:r>
        <w:rPr>
          <w:rFonts w:ascii="Times New Roman" w:eastAsia="Arial Unicode MS" w:hAnsi="Times New Roman"/>
          <w:spacing w:val="-2"/>
          <w:sz w:val="28"/>
          <w:szCs w:val="28"/>
          <w:vertAlign w:val="superscript"/>
        </w:rPr>
        <w:t>2+</w:t>
      </w:r>
      <w:r>
        <w:rPr>
          <w:rFonts w:ascii="Times New Roman" w:eastAsia="Arial Unicode MS" w:hAnsi="Times New Roman"/>
          <w:spacing w:val="-2"/>
          <w:sz w:val="28"/>
          <w:szCs w:val="28"/>
        </w:rPr>
        <w:t xml:space="preserve"> зависимой инактивации Bap белка ускоряет процесс ранозаживления.</w:t>
      </w:r>
    </w:p>
    <w:p w:rsidR="00E17FE1" w:rsidRDefault="00BB58D7">
      <w:pPr>
        <w:spacing w:after="0" w:line="240" w:lineRule="auto"/>
        <w:ind w:firstLine="567"/>
        <w:jc w:val="both"/>
        <w:rPr>
          <w:rFonts w:ascii="Times New Roman" w:eastAsia="Calibri" w:hAnsi="Times New Roman" w:cs="Times New Roman"/>
          <w:spacing w:val="-2"/>
          <w:sz w:val="28"/>
          <w:szCs w:val="28"/>
          <w:lang w:eastAsia="zh-CN" w:bidi="hi-IN"/>
        </w:rPr>
      </w:pPr>
      <w:r>
        <w:rPr>
          <w:rFonts w:ascii="Times New Roman" w:eastAsia="Calibri" w:hAnsi="Times New Roman" w:cs="Times New Roman"/>
          <w:b/>
          <w:spacing w:val="-2"/>
          <w:sz w:val="28"/>
          <w:szCs w:val="28"/>
          <w:lang w:eastAsia="zh-CN" w:bidi="hi-IN"/>
        </w:rPr>
        <w:t xml:space="preserve">Связь с планом основных научных работ. </w:t>
      </w:r>
      <w:r>
        <w:rPr>
          <w:rFonts w:ascii="Times New Roman" w:eastAsia="Calibri" w:hAnsi="Times New Roman" w:cs="Times New Roman"/>
          <w:spacing w:val="-2"/>
          <w:sz w:val="28"/>
          <w:szCs w:val="28"/>
          <w:lang w:eastAsia="zh-CN" w:bidi="hi-IN"/>
        </w:rPr>
        <w:t>Диссертационная работа была выполнена в рамках проектов: 1) 2679/ГФ</w:t>
      </w:r>
      <w:proofErr w:type="gramStart"/>
      <w:r>
        <w:rPr>
          <w:rFonts w:ascii="Times New Roman" w:eastAsia="Calibri" w:hAnsi="Times New Roman" w:cs="Times New Roman"/>
          <w:spacing w:val="-2"/>
          <w:sz w:val="28"/>
          <w:szCs w:val="28"/>
          <w:lang w:eastAsia="zh-CN" w:bidi="hi-IN"/>
        </w:rPr>
        <w:t>4</w:t>
      </w:r>
      <w:proofErr w:type="gramEnd"/>
      <w:r>
        <w:rPr>
          <w:rFonts w:ascii="Times New Roman" w:eastAsia="Calibri" w:hAnsi="Times New Roman" w:cs="Times New Roman"/>
          <w:spacing w:val="-2"/>
          <w:sz w:val="28"/>
          <w:szCs w:val="28"/>
          <w:lang w:eastAsia="zh-CN" w:bidi="hi-IN"/>
        </w:rPr>
        <w:t xml:space="preserve"> «Разработка биокомпозиционных материалов на основе бактериальной целлюлозы для создания трансдермальных терапевтических систем»; 2) AP23488697 «Стратегия создания гидрогелевой фототермической платформы с усиленными антибактериальными и регенерационными свойствами для лечения инфицированных ран».</w:t>
      </w:r>
    </w:p>
    <w:p w:rsidR="00E17FE1" w:rsidRDefault="00BB58D7">
      <w:pPr>
        <w:spacing w:after="0" w:line="240" w:lineRule="auto"/>
        <w:ind w:firstLine="567"/>
        <w:jc w:val="both"/>
        <w:rPr>
          <w:rFonts w:ascii="Times New Roman" w:eastAsia="Calibri" w:hAnsi="Times New Roman" w:cs="Times New Roman"/>
          <w:spacing w:val="-2"/>
          <w:sz w:val="28"/>
          <w:szCs w:val="28"/>
          <w:lang w:eastAsia="zh-CN" w:bidi="hi-IN"/>
        </w:rPr>
      </w:pPr>
      <w:r>
        <w:rPr>
          <w:rFonts w:ascii="Times New Roman" w:eastAsia="Calibri" w:hAnsi="Times New Roman" w:cs="Times New Roman"/>
          <w:b/>
          <w:spacing w:val="-2"/>
          <w:sz w:val="28"/>
          <w:szCs w:val="28"/>
          <w:lang w:eastAsia="zh-CN" w:bidi="hi-IN"/>
        </w:rPr>
        <w:t xml:space="preserve">Апробация работы. </w:t>
      </w:r>
      <w:r>
        <w:rPr>
          <w:rFonts w:ascii="Times New Roman" w:eastAsia="Calibri" w:hAnsi="Times New Roman" w:cs="Times New Roman"/>
          <w:spacing w:val="-2"/>
          <w:sz w:val="28"/>
          <w:szCs w:val="28"/>
          <w:lang w:eastAsia="zh-CN" w:bidi="hi-IN"/>
        </w:rPr>
        <w:t xml:space="preserve">Материалы диссертационной работы доложены и обсуждены на следующих конференциях: </w:t>
      </w:r>
    </w:p>
    <w:p w:rsidR="00E17FE1" w:rsidRDefault="00BB58D7">
      <w:pPr>
        <w:spacing w:after="0" w:line="240" w:lineRule="auto"/>
        <w:ind w:firstLine="567"/>
        <w:jc w:val="both"/>
        <w:rPr>
          <w:rFonts w:ascii="Times New Roman" w:eastAsia="Calibri" w:hAnsi="Times New Roman" w:cs="Times New Roman"/>
          <w:spacing w:val="-2"/>
          <w:sz w:val="28"/>
          <w:szCs w:val="28"/>
          <w:lang w:eastAsia="zh-CN" w:bidi="hi-IN"/>
        </w:rPr>
      </w:pPr>
      <w:r>
        <w:rPr>
          <w:rFonts w:ascii="Times New Roman" w:eastAsia="Calibri" w:hAnsi="Times New Roman" w:cs="Times New Roman"/>
          <w:spacing w:val="-2"/>
          <w:sz w:val="28"/>
          <w:szCs w:val="28"/>
          <w:lang w:eastAsia="zh-CN" w:bidi="hi-IN"/>
        </w:rPr>
        <w:t>- V Международные фарабиевские чтения. Материалы междунар. науч. конференции студентов и молодых ученых «Фараби әлемі». Алматы. – 10-11 апреля, 2018;</w:t>
      </w:r>
    </w:p>
    <w:p w:rsidR="00E17FE1" w:rsidRDefault="00BB58D7">
      <w:pPr>
        <w:spacing w:after="0" w:line="240" w:lineRule="auto"/>
        <w:ind w:firstLine="567"/>
        <w:jc w:val="both"/>
        <w:rPr>
          <w:rFonts w:ascii="Times New Roman" w:eastAsia="Calibri" w:hAnsi="Times New Roman" w:cs="Times New Roman"/>
          <w:spacing w:val="-2"/>
          <w:sz w:val="28"/>
          <w:szCs w:val="28"/>
          <w:lang w:eastAsia="zh-CN" w:bidi="hi-IN"/>
        </w:rPr>
      </w:pPr>
      <w:r>
        <w:rPr>
          <w:rFonts w:ascii="Times New Roman" w:eastAsia="Calibri" w:hAnsi="Times New Roman" w:cs="Times New Roman"/>
          <w:spacing w:val="-2"/>
          <w:sz w:val="28"/>
          <w:szCs w:val="28"/>
          <w:lang w:eastAsia="zh-CN" w:bidi="hi-IN"/>
        </w:rPr>
        <w:t>- XV Международная научно-практическая экологическая конференция «Биологический вид в структурно-функциональной иерархии биосферы». – Белгород, Россия. – 8–12 октября, 2018;</w:t>
      </w:r>
    </w:p>
    <w:p w:rsidR="00E17FE1" w:rsidRDefault="00BB58D7">
      <w:pPr>
        <w:spacing w:after="0" w:line="240" w:lineRule="auto"/>
        <w:ind w:firstLine="567"/>
        <w:jc w:val="both"/>
        <w:rPr>
          <w:rFonts w:ascii="Times New Roman" w:eastAsia="Calibri" w:hAnsi="Times New Roman" w:cs="Times New Roman"/>
          <w:spacing w:val="-2"/>
          <w:sz w:val="28"/>
          <w:szCs w:val="28"/>
          <w:lang w:val="en-US" w:eastAsia="zh-CN" w:bidi="hi-IN"/>
        </w:rPr>
      </w:pPr>
      <w:r>
        <w:rPr>
          <w:rFonts w:ascii="Times New Roman" w:eastAsia="Calibri" w:hAnsi="Times New Roman" w:cs="Times New Roman"/>
          <w:spacing w:val="-2"/>
          <w:sz w:val="28"/>
          <w:szCs w:val="28"/>
          <w:lang w:eastAsia="zh-CN" w:bidi="hi-IN"/>
        </w:rPr>
        <w:t>- VI Международные фарабиевские чтения. Материалы междунар. науч. конференции студентов и молодых ученых «Фараби әлемі». Алматы</w:t>
      </w:r>
      <w:r>
        <w:rPr>
          <w:rFonts w:ascii="Times New Roman" w:eastAsia="Calibri" w:hAnsi="Times New Roman" w:cs="Times New Roman"/>
          <w:spacing w:val="-2"/>
          <w:sz w:val="28"/>
          <w:szCs w:val="28"/>
          <w:lang w:val="en-US" w:eastAsia="zh-CN" w:bidi="hi-IN"/>
        </w:rPr>
        <w:t xml:space="preserve">. – 2-12 </w:t>
      </w:r>
      <w:r>
        <w:rPr>
          <w:rFonts w:ascii="Times New Roman" w:eastAsia="Calibri" w:hAnsi="Times New Roman" w:cs="Times New Roman"/>
          <w:spacing w:val="-2"/>
          <w:sz w:val="28"/>
          <w:szCs w:val="28"/>
          <w:lang w:eastAsia="zh-CN" w:bidi="hi-IN"/>
        </w:rPr>
        <w:t>апреля</w:t>
      </w:r>
      <w:r>
        <w:rPr>
          <w:rFonts w:ascii="Times New Roman" w:eastAsia="Calibri" w:hAnsi="Times New Roman" w:cs="Times New Roman"/>
          <w:spacing w:val="-2"/>
          <w:sz w:val="28"/>
          <w:szCs w:val="28"/>
          <w:lang w:val="en-US" w:eastAsia="zh-CN" w:bidi="hi-IN"/>
        </w:rPr>
        <w:t>, 2019;</w:t>
      </w:r>
    </w:p>
    <w:p w:rsidR="00E17FE1" w:rsidRDefault="00BB58D7">
      <w:pPr>
        <w:spacing w:after="0" w:line="240" w:lineRule="auto"/>
        <w:ind w:firstLine="567"/>
        <w:jc w:val="both"/>
        <w:rPr>
          <w:rFonts w:ascii="Times New Roman" w:eastAsia="Calibri" w:hAnsi="Times New Roman" w:cs="Times New Roman"/>
          <w:spacing w:val="-2"/>
          <w:sz w:val="28"/>
          <w:szCs w:val="28"/>
          <w:lang w:val="en-US" w:eastAsia="zh-CN" w:bidi="hi-IN"/>
        </w:rPr>
      </w:pPr>
      <w:r>
        <w:rPr>
          <w:rFonts w:ascii="Times New Roman" w:eastAsia="Calibri" w:hAnsi="Times New Roman" w:cs="Times New Roman"/>
          <w:spacing w:val="-2"/>
          <w:sz w:val="28"/>
          <w:szCs w:val="28"/>
          <w:lang w:val="en-US" w:eastAsia="zh-CN" w:bidi="hi-IN"/>
        </w:rPr>
        <w:t xml:space="preserve">- Nanomaterials in Biomedical Application and Biosensors (NAP-2019). </w:t>
      </w:r>
      <w:proofErr w:type="gramStart"/>
      <w:r>
        <w:rPr>
          <w:rFonts w:ascii="Times New Roman" w:eastAsia="Calibri" w:hAnsi="Times New Roman" w:cs="Times New Roman"/>
          <w:spacing w:val="-2"/>
          <w:sz w:val="28"/>
          <w:szCs w:val="28"/>
          <w:lang w:val="en-US" w:eastAsia="zh-CN" w:bidi="hi-IN"/>
        </w:rPr>
        <w:t>Springer Proceedings in Physics, Springer, Singapore.</w:t>
      </w:r>
      <w:proofErr w:type="gramEnd"/>
      <w:r>
        <w:rPr>
          <w:rFonts w:ascii="Times New Roman" w:eastAsia="Calibri" w:hAnsi="Times New Roman" w:cs="Times New Roman"/>
          <w:spacing w:val="-2"/>
          <w:sz w:val="28"/>
          <w:szCs w:val="28"/>
          <w:lang w:val="en-US" w:eastAsia="zh-CN" w:bidi="hi-IN"/>
        </w:rPr>
        <w:t xml:space="preserve"> – 2020;</w:t>
      </w:r>
    </w:p>
    <w:p w:rsidR="00E17FE1" w:rsidRDefault="00BB58D7">
      <w:pPr>
        <w:spacing w:after="0" w:line="240" w:lineRule="auto"/>
        <w:ind w:firstLine="567"/>
        <w:jc w:val="both"/>
        <w:rPr>
          <w:rFonts w:ascii="Times New Roman" w:eastAsia="Calibri" w:hAnsi="Times New Roman" w:cs="Times New Roman"/>
          <w:spacing w:val="-2"/>
          <w:sz w:val="28"/>
          <w:szCs w:val="28"/>
          <w:lang w:val="en-US" w:eastAsia="zh-CN" w:bidi="hi-IN"/>
        </w:rPr>
      </w:pPr>
      <w:r>
        <w:rPr>
          <w:rFonts w:ascii="Times New Roman" w:eastAsia="Calibri" w:hAnsi="Times New Roman" w:cs="Times New Roman"/>
          <w:spacing w:val="-2"/>
          <w:sz w:val="28"/>
          <w:szCs w:val="28"/>
          <w:lang w:val="en-US" w:eastAsia="zh-CN" w:bidi="hi-IN"/>
        </w:rPr>
        <w:t>The IEEE International Conference on «Nanomaterials: Applications &amp; Properties». – 9-10 November 2020, Odesa, Ukraine;</w:t>
      </w:r>
    </w:p>
    <w:p w:rsidR="00E17FE1" w:rsidRDefault="00BB58D7">
      <w:pPr>
        <w:spacing w:after="0" w:line="240" w:lineRule="auto"/>
        <w:ind w:firstLine="567"/>
        <w:jc w:val="both"/>
        <w:rPr>
          <w:rFonts w:ascii="Times New Roman" w:eastAsia="Calibri" w:hAnsi="Times New Roman" w:cs="Times New Roman"/>
          <w:spacing w:val="-2"/>
          <w:sz w:val="28"/>
          <w:szCs w:val="28"/>
          <w:lang w:eastAsia="zh-CN" w:bidi="hi-IN"/>
        </w:rPr>
      </w:pPr>
      <w:r>
        <w:rPr>
          <w:rFonts w:ascii="Times New Roman" w:eastAsia="Calibri" w:hAnsi="Times New Roman" w:cs="Times New Roman"/>
          <w:spacing w:val="-2"/>
          <w:sz w:val="28"/>
          <w:szCs w:val="28"/>
          <w:lang w:eastAsia="zh-CN" w:bidi="hi-IN"/>
        </w:rPr>
        <w:t xml:space="preserve">- </w:t>
      </w:r>
      <w:r>
        <w:rPr>
          <w:rFonts w:ascii="Times New Roman" w:eastAsia="DejaVu Sans" w:hAnsi="Times New Roman" w:cs="Times New Roman"/>
          <w:sz w:val="28"/>
          <w:szCs w:val="28"/>
          <w:lang w:val="en-US" w:eastAsia="zh-CN" w:bidi="hi-IN"/>
        </w:rPr>
        <w:t>X</w:t>
      </w:r>
      <w:r>
        <w:rPr>
          <w:rFonts w:ascii="Times New Roman" w:eastAsia="DejaVu Sans" w:hAnsi="Times New Roman" w:cs="Times New Roman"/>
          <w:sz w:val="28"/>
          <w:szCs w:val="28"/>
          <w:lang w:eastAsia="zh-CN" w:bidi="hi-IN"/>
        </w:rPr>
        <w:t xml:space="preserve"> Международные фарабиевские чтения. Материалы междунар. науч. конференции студентов и молодых ученых «Фараби әлемі». - 6-8 апреля 2023;</w:t>
      </w:r>
    </w:p>
    <w:p w:rsidR="00E17FE1" w:rsidRDefault="00BB58D7">
      <w:pPr>
        <w:spacing w:after="0" w:line="240" w:lineRule="auto"/>
        <w:ind w:firstLine="567"/>
        <w:jc w:val="both"/>
        <w:rPr>
          <w:rFonts w:ascii="Times New Roman" w:eastAsia="Calibri" w:hAnsi="Times New Roman" w:cs="Times New Roman"/>
          <w:spacing w:val="-2"/>
          <w:sz w:val="28"/>
          <w:szCs w:val="28"/>
          <w:lang w:val="en-US" w:eastAsia="zh-CN" w:bidi="hi-IN"/>
        </w:rPr>
      </w:pPr>
      <w:r>
        <w:rPr>
          <w:rFonts w:ascii="Times New Roman" w:eastAsia="Calibri" w:hAnsi="Times New Roman" w:cs="Times New Roman"/>
          <w:spacing w:val="-2"/>
          <w:sz w:val="28"/>
          <w:szCs w:val="28"/>
          <w:lang w:val="en-US" w:eastAsia="zh-CN" w:bidi="hi-IN"/>
        </w:rPr>
        <w:t xml:space="preserve">-The IEEE International Conference «Nanomaterials: Applications and Properties». – 7-12 September 2025, Bratislava, Slovakia. </w:t>
      </w:r>
    </w:p>
    <w:p w:rsidR="00E17FE1" w:rsidRDefault="00BB58D7">
      <w:pPr>
        <w:spacing w:after="0" w:line="240" w:lineRule="auto"/>
        <w:ind w:firstLine="567"/>
        <w:jc w:val="both"/>
        <w:rPr>
          <w:rFonts w:ascii="Times New Roman" w:eastAsia="DejaVu Sans" w:hAnsi="Times New Roman" w:cs="Times New Roman"/>
          <w:spacing w:val="-2"/>
          <w:sz w:val="28"/>
          <w:szCs w:val="28"/>
          <w:lang w:eastAsia="zh-CN" w:bidi="hi-IN"/>
        </w:rPr>
      </w:pPr>
      <w:r>
        <w:rPr>
          <w:rFonts w:ascii="Times New Roman" w:eastAsia="Calibri" w:hAnsi="Times New Roman" w:cs="Times New Roman"/>
          <w:b/>
          <w:spacing w:val="-2"/>
          <w:sz w:val="28"/>
          <w:szCs w:val="28"/>
          <w:lang w:eastAsia="zh-CN" w:bidi="hi-IN"/>
        </w:rPr>
        <w:lastRenderedPageBreak/>
        <w:t xml:space="preserve">Публикации. </w:t>
      </w:r>
      <w:r>
        <w:rPr>
          <w:rFonts w:ascii="Times New Roman" w:eastAsia="DejaVu Sans" w:hAnsi="Times New Roman" w:cs="Times New Roman"/>
          <w:spacing w:val="-2"/>
          <w:sz w:val="28"/>
          <w:szCs w:val="28"/>
          <w:lang w:eastAsia="zh-CN" w:bidi="hi-IN"/>
        </w:rPr>
        <w:t xml:space="preserve">Основное содержание диссертации отражено в 11 печатных работах, включая 4 статьи в журналах, индексируемых  в базах данных </w:t>
      </w:r>
      <w:r>
        <w:rPr>
          <w:rFonts w:ascii="Times New Roman" w:eastAsia="DejaVu Sans" w:hAnsi="Times New Roman" w:cs="Times New Roman"/>
          <w:spacing w:val="-2"/>
          <w:sz w:val="28"/>
          <w:szCs w:val="28"/>
          <w:lang w:val="en-US" w:eastAsia="zh-CN" w:bidi="hi-IN"/>
        </w:rPr>
        <w:t>Web</w:t>
      </w:r>
      <w:r>
        <w:rPr>
          <w:rFonts w:ascii="Times New Roman" w:eastAsia="DejaVu Sans" w:hAnsi="Times New Roman" w:cs="Times New Roman"/>
          <w:spacing w:val="-2"/>
          <w:sz w:val="28"/>
          <w:szCs w:val="28"/>
          <w:lang w:eastAsia="zh-CN" w:bidi="hi-IN"/>
        </w:rPr>
        <w:t xml:space="preserve"> </w:t>
      </w:r>
      <w:r>
        <w:rPr>
          <w:rFonts w:ascii="Times New Roman" w:eastAsia="DejaVu Sans" w:hAnsi="Times New Roman" w:cs="Times New Roman"/>
          <w:spacing w:val="-2"/>
          <w:sz w:val="28"/>
          <w:szCs w:val="28"/>
          <w:lang w:val="en-US" w:eastAsia="zh-CN" w:bidi="hi-IN"/>
        </w:rPr>
        <w:t>of</w:t>
      </w:r>
      <w:r>
        <w:rPr>
          <w:rFonts w:ascii="Times New Roman" w:eastAsia="DejaVu Sans" w:hAnsi="Times New Roman" w:cs="Times New Roman"/>
          <w:spacing w:val="-2"/>
          <w:sz w:val="28"/>
          <w:szCs w:val="28"/>
          <w:lang w:eastAsia="zh-CN" w:bidi="hi-IN"/>
        </w:rPr>
        <w:t xml:space="preserve"> </w:t>
      </w:r>
      <w:r>
        <w:rPr>
          <w:rFonts w:ascii="Times New Roman" w:eastAsia="DejaVu Sans" w:hAnsi="Times New Roman" w:cs="Times New Roman"/>
          <w:spacing w:val="-2"/>
          <w:sz w:val="28"/>
          <w:szCs w:val="28"/>
          <w:lang w:val="en-US" w:eastAsia="zh-CN" w:bidi="hi-IN"/>
        </w:rPr>
        <w:t>Science</w:t>
      </w:r>
      <w:r>
        <w:rPr>
          <w:rFonts w:ascii="Times New Roman" w:eastAsia="DejaVu Sans" w:hAnsi="Times New Roman" w:cs="Times New Roman"/>
          <w:spacing w:val="-2"/>
          <w:sz w:val="28"/>
          <w:szCs w:val="28"/>
          <w:lang w:eastAsia="zh-CN" w:bidi="hi-IN"/>
        </w:rPr>
        <w:t xml:space="preserve"> и </w:t>
      </w:r>
      <w:r>
        <w:rPr>
          <w:rFonts w:ascii="Times New Roman" w:eastAsia="DejaVu Sans" w:hAnsi="Times New Roman" w:cs="Times New Roman"/>
          <w:spacing w:val="-2"/>
          <w:sz w:val="28"/>
          <w:szCs w:val="28"/>
          <w:lang w:val="en-US" w:eastAsia="zh-CN" w:bidi="hi-IN"/>
        </w:rPr>
        <w:t>Scopus</w:t>
      </w:r>
      <w:r>
        <w:rPr>
          <w:rFonts w:ascii="Times New Roman" w:eastAsia="DejaVu Sans" w:hAnsi="Times New Roman" w:cs="Times New Roman"/>
          <w:spacing w:val="-2"/>
          <w:sz w:val="28"/>
          <w:szCs w:val="28"/>
          <w:lang w:eastAsia="zh-CN" w:bidi="hi-IN"/>
        </w:rPr>
        <w:t xml:space="preserve">, 3 статьи в республиканских научных журналах, включенных в перечень КОКСНВО МНВО РК, 4 тезисов в материалах международных конференций. </w:t>
      </w:r>
    </w:p>
    <w:p w:rsidR="00E17FE1" w:rsidRDefault="00BB58D7">
      <w:pPr>
        <w:spacing w:after="0" w:line="240" w:lineRule="auto"/>
        <w:ind w:firstLine="567"/>
        <w:jc w:val="both"/>
        <w:rPr>
          <w:rFonts w:ascii="Times New Roman" w:eastAsia="DejaVu Sans" w:hAnsi="Times New Roman" w:cs="Times New Roman"/>
          <w:spacing w:val="-2"/>
          <w:sz w:val="28"/>
          <w:szCs w:val="28"/>
          <w:lang w:eastAsia="zh-CN" w:bidi="hi-IN"/>
        </w:rPr>
      </w:pPr>
      <w:r>
        <w:rPr>
          <w:rFonts w:ascii="Times New Roman" w:eastAsia="Calibri" w:hAnsi="Times New Roman" w:cs="Times New Roman"/>
          <w:b/>
          <w:bCs/>
          <w:spacing w:val="-2"/>
          <w:sz w:val="28"/>
          <w:szCs w:val="28"/>
          <w:lang w:eastAsia="zh-CN" w:bidi="hi-IN"/>
        </w:rPr>
        <w:t>Личный вклад автора</w:t>
      </w:r>
      <w:r>
        <w:rPr>
          <w:rFonts w:ascii="Times New Roman" w:eastAsia="Calibri" w:hAnsi="Times New Roman" w:cs="Times New Roman"/>
          <w:spacing w:val="-2"/>
          <w:sz w:val="28"/>
          <w:szCs w:val="28"/>
          <w:lang w:eastAsia="zh-CN" w:bidi="hi-IN"/>
        </w:rPr>
        <w:t xml:space="preserve"> заключается в выполнении основного объема теоретических и экспериментальных исследований, анализе, интерпретации и оформлении полученных результатов, подготовке рукописей публикаций.</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Calibri" w:hAnsi="Times New Roman" w:cs="Times New Roman"/>
          <w:b/>
          <w:spacing w:val="-2"/>
          <w:sz w:val="28"/>
          <w:szCs w:val="28"/>
          <w:lang w:eastAsia="zh-CN" w:bidi="hi-IN"/>
        </w:rPr>
        <w:t xml:space="preserve">Объем и структура диссертации. </w:t>
      </w:r>
      <w:r>
        <w:rPr>
          <w:rFonts w:ascii="Times New Roman" w:eastAsia="Calibri" w:hAnsi="Times New Roman" w:cs="Times New Roman"/>
          <w:spacing w:val="-2"/>
          <w:sz w:val="28"/>
          <w:szCs w:val="28"/>
          <w:lang w:eastAsia="zh-CN" w:bidi="hi-IN"/>
        </w:rPr>
        <w:t xml:space="preserve">Диссертационная работа изложена на </w:t>
      </w:r>
      <w:r w:rsidR="00684CFF">
        <w:rPr>
          <w:rFonts w:ascii="Times New Roman" w:eastAsia="Calibri" w:hAnsi="Times New Roman" w:cs="Times New Roman"/>
          <w:spacing w:val="-2"/>
          <w:sz w:val="28"/>
          <w:szCs w:val="28"/>
          <w:lang w:eastAsia="zh-CN" w:bidi="hi-IN"/>
        </w:rPr>
        <w:t>148</w:t>
      </w:r>
      <w:r>
        <w:rPr>
          <w:rFonts w:ascii="Times New Roman" w:eastAsia="Calibri" w:hAnsi="Times New Roman" w:cs="Times New Roman"/>
          <w:spacing w:val="-2"/>
          <w:sz w:val="28"/>
          <w:szCs w:val="28"/>
          <w:lang w:eastAsia="zh-CN" w:bidi="hi-IN"/>
        </w:rPr>
        <w:t xml:space="preserve"> страницах компьютерного текста и состоит из следующих разделов: обозначения и сокращения, введение, обзор литературы, материалы и методы исследования, результаты и их обсуждение, заключение, список использованных источников из </w:t>
      </w:r>
      <w:r w:rsidR="009E12D9">
        <w:rPr>
          <w:rFonts w:ascii="Times New Roman" w:eastAsia="Calibri" w:hAnsi="Times New Roman" w:cs="Times New Roman"/>
          <w:spacing w:val="-2"/>
          <w:sz w:val="28"/>
          <w:szCs w:val="28"/>
          <w:lang w:eastAsia="zh-CN" w:bidi="hi-IN"/>
        </w:rPr>
        <w:t>285</w:t>
      </w:r>
      <w:r>
        <w:rPr>
          <w:rFonts w:ascii="Times New Roman" w:eastAsia="Calibri" w:hAnsi="Times New Roman" w:cs="Times New Roman"/>
          <w:spacing w:val="-2"/>
          <w:sz w:val="28"/>
          <w:szCs w:val="28"/>
          <w:lang w:eastAsia="zh-CN" w:bidi="hi-IN"/>
        </w:rPr>
        <w:t xml:space="preserve"> наименований. Работа включает 11 таблиц, 41 рисунков и 1 приложение.</w:t>
      </w: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E17FE1">
      <w:pPr>
        <w:spacing w:after="0" w:line="240" w:lineRule="auto"/>
        <w:ind w:firstLine="567"/>
        <w:jc w:val="both"/>
        <w:rPr>
          <w:rFonts w:ascii="Times New Roman" w:eastAsia="Calibri" w:hAnsi="Times New Roman" w:cs="Times New Roman"/>
          <w:spacing w:val="-2"/>
          <w:sz w:val="28"/>
          <w:szCs w:val="28"/>
          <w:lang w:eastAsia="zh-CN" w:bidi="hi-IN"/>
        </w:rPr>
      </w:pPr>
    </w:p>
    <w:p w:rsidR="00E17FE1" w:rsidRDefault="00BB58D7">
      <w:pPr>
        <w:tabs>
          <w:tab w:val="left" w:pos="1134"/>
          <w:tab w:val="left" w:pos="1560"/>
        </w:tabs>
        <w:spacing w:after="0"/>
        <w:ind w:firstLine="567"/>
        <w:jc w:val="both"/>
        <w:rPr>
          <w:rFonts w:ascii="Times New Roman" w:eastAsia="Calibri" w:hAnsi="Times New Roman" w:cs="Times New Roman"/>
          <w:b/>
          <w:sz w:val="28"/>
          <w:szCs w:val="28"/>
          <w:lang w:eastAsia="zh-CN" w:bidi="hi-IN"/>
        </w:rPr>
      </w:pPr>
      <w:r>
        <w:rPr>
          <w:rFonts w:ascii="Times New Roman" w:eastAsia="Calibri" w:hAnsi="Times New Roman" w:cs="Times New Roman"/>
          <w:b/>
          <w:sz w:val="28"/>
          <w:szCs w:val="28"/>
          <w:lang w:eastAsia="zh-CN" w:bidi="hi-IN"/>
        </w:rPr>
        <w:lastRenderedPageBreak/>
        <w:t xml:space="preserve">1 ОБЗОР ЛИТЕРАТУРЫ   </w:t>
      </w:r>
    </w:p>
    <w:p w:rsidR="00E17FE1" w:rsidRDefault="00E17FE1">
      <w:pPr>
        <w:tabs>
          <w:tab w:val="left" w:pos="1134"/>
          <w:tab w:val="left" w:pos="1560"/>
        </w:tabs>
        <w:spacing w:after="0"/>
        <w:ind w:firstLine="567"/>
        <w:jc w:val="both"/>
        <w:rPr>
          <w:rFonts w:ascii="Times New Roman" w:eastAsia="Calibri" w:hAnsi="Times New Roman" w:cs="Times New Roman"/>
          <w:b/>
          <w:sz w:val="28"/>
          <w:szCs w:val="28"/>
          <w:lang w:eastAsia="zh-CN" w:bidi="hi-IN"/>
        </w:rPr>
      </w:pPr>
    </w:p>
    <w:p w:rsidR="00E17FE1" w:rsidRDefault="00BB58D7">
      <w:pPr>
        <w:spacing w:after="0" w:line="240" w:lineRule="auto"/>
        <w:ind w:right="-1" w:firstLine="567"/>
        <w:jc w:val="both"/>
        <w:rPr>
          <w:rFonts w:ascii="Times New Roman" w:eastAsia="DejaVu Sans" w:hAnsi="Times New Roman" w:cs="Times New Roman"/>
          <w:b/>
          <w:bCs/>
          <w:sz w:val="28"/>
          <w:szCs w:val="28"/>
          <w:lang w:eastAsia="zh-CN" w:bidi="hi-IN"/>
        </w:rPr>
      </w:pPr>
      <w:r>
        <w:rPr>
          <w:rFonts w:ascii="Times New Roman" w:hAnsi="Times New Roman"/>
          <w:b/>
          <w:bCs/>
          <w:i/>
          <w:iCs/>
          <w:sz w:val="28"/>
          <w:szCs w:val="28"/>
        </w:rPr>
        <w:t xml:space="preserve"> </w:t>
      </w:r>
      <w:r>
        <w:rPr>
          <w:rFonts w:ascii="Times New Roman" w:hAnsi="Times New Roman" w:cs="Times New Roman"/>
          <w:b/>
          <w:bCs/>
          <w:sz w:val="28"/>
          <w:szCs w:val="28"/>
        </w:rPr>
        <w:t xml:space="preserve">1.1 Синтез, свойства и биомедицинское применение нанокомпозитных антисептиков на основе бактериальной целлюлозы, </w:t>
      </w:r>
      <w:r>
        <w:rPr>
          <w:rFonts w:ascii="Times New Roman" w:eastAsia="DejaVu Sans" w:hAnsi="Times New Roman" w:cs="Times New Roman"/>
          <w:b/>
          <w:bCs/>
          <w:sz w:val="28"/>
          <w:szCs w:val="28"/>
          <w:lang w:val="en-US" w:eastAsia="zh-CN" w:bidi="hi-IN"/>
        </w:rPr>
        <w:t>MXene</w:t>
      </w:r>
      <w:r>
        <w:rPr>
          <w:rFonts w:ascii="Times New Roman" w:eastAsia="DejaVu Sans" w:hAnsi="Times New Roman" w:cs="Times New Roman"/>
          <w:b/>
          <w:bCs/>
          <w:sz w:val="28"/>
          <w:szCs w:val="28"/>
          <w:lang w:eastAsia="zh-CN" w:bidi="hi-IN"/>
        </w:rPr>
        <w:t xml:space="preserve"> и гидроксиапатита </w:t>
      </w:r>
    </w:p>
    <w:p w:rsidR="00E17FE1" w:rsidRDefault="00BB58D7">
      <w:pPr>
        <w:spacing w:after="0" w:line="240" w:lineRule="auto"/>
        <w:ind w:firstLine="567"/>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Антисептика — это совокупность методов и средств, направленных на уничтожение или подавление роста микроорганизмов (бактерий, грибов, вирусов) в ранах, на коже, слизистых оболочках и в тканях организма для предупреждения или лечения инфекции. </w:t>
      </w:r>
      <w:r>
        <w:rPr>
          <w:rFonts w:ascii="Times New Roman" w:hAnsi="Times New Roman" w:cs="Times New Roman"/>
          <w:sz w:val="28"/>
          <w:szCs w:val="28"/>
          <w:shd w:val="clear" w:color="auto" w:fill="FFFFFF"/>
        </w:rPr>
        <w:t xml:space="preserve">В современном научном и технологическом пространстве наблюдается активное развитие новых антимикробных материалов, направленных на создание более эффективных и универсальных антисептических решений. Особый интерес вызывают наноструктурированные системы, обладающие многофакторным механизмом действия не только на микроорганизмы, но и организм хозяина. </w:t>
      </w:r>
    </w:p>
    <w:p w:rsidR="00E17FE1" w:rsidRDefault="00BB58D7">
      <w:pPr>
        <w:spacing w:after="0" w:line="24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 связи с этим особый интерес представляет поиск </w:t>
      </w:r>
      <w:proofErr w:type="gramStart"/>
      <w:r>
        <w:rPr>
          <w:rFonts w:ascii="Times New Roman" w:hAnsi="Times New Roman" w:cs="Times New Roman"/>
          <w:sz w:val="28"/>
          <w:szCs w:val="28"/>
        </w:rPr>
        <w:t>альтернативных</w:t>
      </w:r>
      <w:proofErr w:type="gramEnd"/>
      <w:r>
        <w:rPr>
          <w:rFonts w:ascii="Times New Roman" w:hAnsi="Times New Roman" w:cs="Times New Roman"/>
          <w:sz w:val="28"/>
          <w:szCs w:val="28"/>
        </w:rPr>
        <w:t xml:space="preserve"> антимикробных наноматериалов, способных обеспечить высокую эффективность при снижении риска развития резистентности. Одним из таких перспективных кандидатов являются MXene. Как правило, их включают в качестве одного из функциональных агентов в гибридный или композитный материал. </w:t>
      </w: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создания композитных материалов могут применяться как природные и синтетические полимеры, так и ряд неорганических соединений. Такие системы, как правило, состоят из двух ключевых компонентов: матрицы и наполнителя (армирующий элемент). Матрица </w:t>
      </w:r>
      <w:proofErr w:type="gramStart"/>
      <w:r>
        <w:rPr>
          <w:rFonts w:ascii="Times New Roman" w:eastAsia="Times New Roman" w:hAnsi="Times New Roman" w:cs="Times New Roman"/>
          <w:sz w:val="28"/>
          <w:szCs w:val="28"/>
          <w:lang w:eastAsia="ru-RU"/>
        </w:rPr>
        <w:t>выполняет роль</w:t>
      </w:r>
      <w:proofErr w:type="gramEnd"/>
      <w:r>
        <w:rPr>
          <w:rFonts w:ascii="Times New Roman" w:eastAsia="Times New Roman" w:hAnsi="Times New Roman" w:cs="Times New Roman"/>
          <w:sz w:val="28"/>
          <w:szCs w:val="28"/>
          <w:lang w:eastAsia="ru-RU"/>
        </w:rPr>
        <w:t xml:space="preserve"> структурного основания, удерживающего и распределяющего наполнитель, тогда как армирующий элемент вносит вклад в улучшение физико-химических и биологических характеристик всей системы. Благодаря широкому выбору возможных комбинаций матричных и армирующих материалов удаётся получать композиты с заданными свойствами [19]. Важным преимуществом подобных систем является сочетание (синергизм) базовых свойств биополимерной матрицы — таких как гидрофильность, биосовместимость и пролонгированное действие, — с уникальными свойствами функционального наполнителя. </w:t>
      </w:r>
      <w:r>
        <w:rPr>
          <w:rFonts w:ascii="Times New Roman" w:eastAsia="DejaVu Sans" w:hAnsi="Times New Roman" w:cs="Times New Roman"/>
          <w:sz w:val="28"/>
          <w:szCs w:val="28"/>
          <w:lang w:eastAsia="zh-CN" w:bidi="hi-IN"/>
        </w:rPr>
        <w:t xml:space="preserve">В последние десятилетия бактериальная целлюлоза (БЦ), также называемая бактериальной наноцеллюлозой (БНЦ), </w:t>
      </w:r>
      <w:r>
        <w:rPr>
          <w:rFonts w:ascii="Times New Roman" w:hAnsi="Times New Roman" w:cs="Times New Roman"/>
          <w:sz w:val="28"/>
          <w:szCs w:val="28"/>
        </w:rPr>
        <w:t>привлекает внимание как универсальная основа для разработки композитов, где её свойства успешно комбинируются с уникальными характеристиками наноматериалов, включая коллоидное серебро, оксид графена, фуллерены и т.д.</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DejaVu Sans" w:hAnsi="Times New Roman" w:cs="Times New Roman"/>
          <w:sz w:val="28"/>
          <w:szCs w:val="28"/>
          <w:lang w:eastAsia="zh-CN" w:bidi="hi-IN"/>
        </w:rPr>
        <w:t xml:space="preserve">Одним из направлений использования нанокомпозитов в качестве антисептиков   является регенеративная медицина. Она занимается различными типами повреждённых тканей, которые можно разделить </w:t>
      </w:r>
      <w:proofErr w:type="gramStart"/>
      <w:r>
        <w:rPr>
          <w:rFonts w:ascii="Times New Roman" w:eastAsia="DejaVu Sans" w:hAnsi="Times New Roman" w:cs="Times New Roman"/>
          <w:sz w:val="28"/>
          <w:szCs w:val="28"/>
          <w:lang w:eastAsia="zh-CN" w:bidi="hi-IN"/>
        </w:rPr>
        <w:t>на</w:t>
      </w:r>
      <w:proofErr w:type="gramEnd"/>
      <w:r>
        <w:rPr>
          <w:rFonts w:ascii="Times New Roman" w:eastAsia="DejaVu Sans" w:hAnsi="Times New Roman" w:cs="Times New Roman"/>
          <w:sz w:val="28"/>
          <w:szCs w:val="28"/>
          <w:lang w:eastAsia="zh-CN" w:bidi="hi-IN"/>
        </w:rPr>
        <w:t xml:space="preserve"> твёрдые и мягкие. Первую группу представляют кости, тогда как список мягких тканей более обширен и включает кожу, мышцы, нервы. Регенерация кожной ткани долгое время была загадкой в медицинской сфере и до сих пор </w:t>
      </w:r>
      <w:r>
        <w:rPr>
          <w:rFonts w:ascii="Times New Roman" w:eastAsia="DejaVu Sans" w:hAnsi="Times New Roman" w:cs="Times New Roman"/>
          <w:sz w:val="28"/>
          <w:szCs w:val="28"/>
          <w:lang w:eastAsia="zh-CN" w:bidi="hi-IN"/>
        </w:rPr>
        <w:lastRenderedPageBreak/>
        <w:t>привлекает внимание множества ученых и практиков.  Это связано с тем, что кожа является первой линией защиты организма, она должна быть способна реагировать на повреждения различной степени тяжести, чтобы поддерживать постоянное равновесие организма. Однако способность кожи к регенерации ограничена. В таких случаях обычно наблюдаются два сценария: хронические раны и образование рубцовой ткани. Восстановление кожных тканей становится особенно сложной задачей, если у пациента есть хроническое заболевание, которое может нарушить процесс заживления. Такие раны подвержены действию инфекционных агентов, способных образовывать биопленки, которые особенно трудно поддаются лечению. И тут нужны «особые» антисептики</w:t>
      </w:r>
      <w:bookmarkStart w:id="0" w:name="_Hlk212624338"/>
      <w:r>
        <w:rPr>
          <w:rFonts w:ascii="Times New Roman" w:eastAsia="DejaVu Sans" w:hAnsi="Times New Roman" w:cs="Times New Roman"/>
          <w:sz w:val="28"/>
          <w:szCs w:val="28"/>
          <w:lang w:eastAsia="zh-CN" w:bidi="hi-IN"/>
        </w:rPr>
        <w:t xml:space="preserve">. Под этим подразумевается, </w:t>
      </w:r>
      <w:bookmarkEnd w:id="0"/>
      <w:r>
        <w:rPr>
          <w:rFonts w:ascii="Times New Roman" w:eastAsia="DejaVu Sans" w:hAnsi="Times New Roman" w:cs="Times New Roman"/>
          <w:sz w:val="28"/>
          <w:szCs w:val="28"/>
          <w:lang w:eastAsia="zh-CN" w:bidi="hi-IN"/>
        </w:rPr>
        <w:t xml:space="preserve">что современное направление их использования акцентируется на совершенствовании естественного механизма регенерации тканей. Поэтому оно направлено на создание структур, восстанавливающих и улучшающих состояние повреждённых тканей путём стимулирования их способности к регенерации. Этого можно достичь, создав искусственную структуру, называемую скаффолдом, которая содержит антисептические компоненты, служит матрицей для прикрепления и роста клеток, а также для формирования новой ткани. Разработка скаффолда требует тщательного подхода: он должен максимально точно имитировать среду целевой ткани. </w:t>
      </w:r>
      <w:bookmarkStart w:id="1" w:name="_Hlk212025293"/>
      <w:r>
        <w:rPr>
          <w:rFonts w:ascii="Times New Roman" w:eastAsia="DejaVu Sans" w:hAnsi="Times New Roman" w:cs="Times New Roman"/>
          <w:sz w:val="28"/>
          <w:szCs w:val="28"/>
          <w:lang w:eastAsia="zh-CN" w:bidi="hi-IN"/>
        </w:rPr>
        <w:t xml:space="preserve">Материал должен обладать антимикробной активностью, необходимой «жёсткостью» живой ткани-мишени, способствовать взаимодействию между клетками и внеклеточным матриксом, а также способствовать адгезии, пролиферации и дифференцировке клеток. </w:t>
      </w:r>
    </w:p>
    <w:bookmarkEnd w:id="1"/>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DejaVu Sans" w:hAnsi="Times New Roman" w:cs="Times New Roman"/>
          <w:sz w:val="28"/>
          <w:szCs w:val="28"/>
          <w:lang w:eastAsia="zh-CN" w:bidi="hi-IN"/>
        </w:rPr>
        <w:t xml:space="preserve">Ткани человека состоят из биокомпозитов </w:t>
      </w:r>
      <w:r>
        <w:rPr>
          <w:rFonts w:ascii="Times New Roman" w:eastAsia="Times New Roman" w:hAnsi="Times New Roman" w:cs="Times New Roman"/>
          <w:sz w:val="28"/>
          <w:szCs w:val="28"/>
          <w:lang w:eastAsia="ru-RU"/>
        </w:rPr>
        <w:t xml:space="preserve">[20]. Следовательно, </w:t>
      </w:r>
      <w:bookmarkStart w:id="2" w:name="_Hlk212025340"/>
      <w:r>
        <w:rPr>
          <w:rFonts w:ascii="Times New Roman" w:eastAsia="Times New Roman" w:hAnsi="Times New Roman" w:cs="Times New Roman"/>
          <w:bCs/>
          <w:sz w:val="28"/>
          <w:szCs w:val="28"/>
          <w:lang w:eastAsia="ru-RU"/>
        </w:rPr>
        <w:t>композитные материалы, используемые для каркасов, должны быть биосовместимыми, биоактивными, биоразлагаемыми, иметь соответствующие поверхностные характеристики, структурное и механическое сходство и, желательно, иметь доступную технологию производства</w:t>
      </w:r>
      <w:r>
        <w:rPr>
          <w:rFonts w:ascii="Times New Roman" w:eastAsia="Times New Roman" w:hAnsi="Times New Roman" w:cs="Times New Roman"/>
          <w:sz w:val="28"/>
          <w:szCs w:val="28"/>
          <w:lang w:eastAsia="ru-RU"/>
        </w:rPr>
        <w:t xml:space="preserve"> </w:t>
      </w:r>
      <w:bookmarkEnd w:id="2"/>
      <w:r>
        <w:rPr>
          <w:rFonts w:ascii="Times New Roman" w:eastAsia="Times New Roman" w:hAnsi="Times New Roman" w:cs="Times New Roman"/>
          <w:sz w:val="28"/>
          <w:szCs w:val="28"/>
          <w:lang w:eastAsia="ru-RU"/>
        </w:rPr>
        <w:t>[21, 22].  Поскольку они призваны имитировать морфологические, механические и биохимические характеристики тканей, биоматериалы считаются более подходящими для этой цели [23]. Современные биоматериалы не «заменяют» живые ткани, а целенаправленно разрабатываются для стимуляции клеточных реакций на молекулярном уровне, способствуя восстановлению тканей. Целью данного обзора является структурированный анализ последних достижений в области биокомпозитов на основе БЦ, MXene и ГАП, начиная с обсуждения каждого отдельного материала. Затем рассматривается их совокупный потенциал, для восстановительной медицины и тканевой инженерии.</w:t>
      </w:r>
    </w:p>
    <w:p w:rsidR="00E17FE1" w:rsidRDefault="00E17FE1">
      <w:pPr>
        <w:pStyle w:val="af6"/>
        <w:spacing w:after="0" w:line="240" w:lineRule="auto"/>
        <w:ind w:left="927"/>
        <w:jc w:val="both"/>
        <w:rPr>
          <w:rFonts w:ascii="Times New Roman" w:hAnsi="Times New Roman" w:cs="Times New Roman"/>
          <w:b/>
          <w:sz w:val="28"/>
          <w:szCs w:val="28"/>
        </w:rPr>
      </w:pPr>
      <w:bookmarkStart w:id="3" w:name="_Hlk212626841"/>
    </w:p>
    <w:p w:rsidR="00E17FE1" w:rsidRDefault="00BB58D7">
      <w:pPr>
        <w:pStyle w:val="af6"/>
        <w:numPr>
          <w:ilvl w:val="2"/>
          <w:numId w:val="4"/>
        </w:numPr>
        <w:spacing w:after="0" w:line="240" w:lineRule="auto"/>
        <w:ind w:left="0" w:firstLine="567"/>
        <w:jc w:val="both"/>
        <w:rPr>
          <w:rFonts w:ascii="Times New Roman" w:hAnsi="Times New Roman" w:cs="Times New Roman"/>
          <w:b/>
          <w:sz w:val="28"/>
          <w:szCs w:val="28"/>
        </w:rPr>
      </w:pPr>
      <w:proofErr w:type="gramStart"/>
      <w:r>
        <w:rPr>
          <w:rFonts w:ascii="Times New Roman" w:eastAsia="DejaVu Sans" w:hAnsi="Times New Roman" w:cs="Times New Roman"/>
          <w:b/>
          <w:sz w:val="28"/>
          <w:szCs w:val="28"/>
          <w:lang w:eastAsia="zh-CN" w:bidi="hi-IN"/>
        </w:rPr>
        <w:t>Бактериальная</w:t>
      </w:r>
      <w:proofErr w:type="gramEnd"/>
      <w:r>
        <w:rPr>
          <w:rFonts w:ascii="Times New Roman" w:eastAsia="DejaVu Sans" w:hAnsi="Times New Roman" w:cs="Times New Roman"/>
          <w:b/>
          <w:sz w:val="28"/>
          <w:szCs w:val="28"/>
          <w:lang w:eastAsia="zh-CN" w:bidi="hi-IN"/>
        </w:rPr>
        <w:t xml:space="preserve"> наноцеллюлоза - биополимер в биомедицинских приложениях </w:t>
      </w:r>
    </w:p>
    <w:bookmarkEnd w:id="3"/>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 xml:space="preserve">Бактериальная целлюлоза (БЦ) - полисахарид, который синтезируется микроорганизмами. БЦ состоит из β(1,4)-глюкопиранозных цепей, </w:t>
      </w:r>
      <w:r>
        <w:rPr>
          <w:rFonts w:ascii="Times New Roman" w:hAnsi="Times New Roman" w:cs="Times New Roman"/>
          <w:sz w:val="28"/>
          <w:szCs w:val="28"/>
        </w:rPr>
        <w:lastRenderedPageBreak/>
        <w:t>стабилизированных ме</w:t>
      </w:r>
      <w:proofErr w:type="gramStart"/>
      <w:r>
        <w:rPr>
          <w:rFonts w:ascii="Times New Roman" w:hAnsi="Times New Roman" w:cs="Times New Roman"/>
          <w:sz w:val="28"/>
          <w:szCs w:val="28"/>
        </w:rPr>
        <w:t>ж-</w:t>
      </w:r>
      <w:proofErr w:type="gramEnd"/>
      <w:r>
        <w:rPr>
          <w:rFonts w:ascii="Times New Roman" w:hAnsi="Times New Roman" w:cs="Times New Roman"/>
          <w:sz w:val="28"/>
          <w:szCs w:val="28"/>
        </w:rPr>
        <w:t xml:space="preserve"> и внутрицепочечными водородными связями, а также гидрофобными и Ван-дер-Ваальсовскими взаимодействиями, случайным образом распределенными в микрофибриллах. Волокна БЦ примерно в 100 раз тоньше своего растительного аналога, диаметром от 20 до 100 нм и длиной от 100 до 1000 нм [24, 25]. </w:t>
      </w:r>
      <w:r>
        <w:rPr>
          <w:rFonts w:ascii="Times New Roman" w:eastAsia="Times New Roman" w:hAnsi="Times New Roman" w:cs="Times New Roman"/>
          <w:sz w:val="28"/>
          <w:szCs w:val="28"/>
        </w:rPr>
        <w:t>Европейская комиссия и International Organization for Standardization (ISO) относят к наноматериалам вещества, где частицы/структурные элементы имеют хотя бы одно измерение в диапазоне ~1-100 нм (или материал имеет внутреннюю/поверхностную наноструктуру) [</w:t>
      </w:r>
      <w:r>
        <w:rPr>
          <w:rFonts w:ascii="Times New Roman" w:hAnsi="Times New Roman" w:cs="Times New Roman"/>
          <w:sz w:val="28"/>
          <w:szCs w:val="28"/>
        </w:rPr>
        <w:t>26</w:t>
      </w:r>
      <w:r>
        <w:rPr>
          <w:rFonts w:ascii="Times New Roman" w:eastAsia="Times New Roman" w:hAnsi="Times New Roman" w:cs="Times New Roman"/>
          <w:sz w:val="28"/>
          <w:szCs w:val="28"/>
        </w:rPr>
        <w:t>]. Бактериальная целлюлоза (БЦ) как раз удовлетворяет этому критерию [</w:t>
      </w:r>
      <w:r>
        <w:rPr>
          <w:rFonts w:ascii="Times New Roman" w:eastAsia="Times New Roman" w:hAnsi="Times New Roman"/>
          <w:sz w:val="28"/>
          <w:szCs w:val="28"/>
        </w:rPr>
        <w:t>27, 28</w:t>
      </w:r>
      <w:r>
        <w:rPr>
          <w:rFonts w:ascii="Times New Roman" w:eastAsia="Times New Roman" w:hAnsi="Times New Roman" w:cs="Times New Roman"/>
          <w:sz w:val="28"/>
          <w:szCs w:val="28"/>
        </w:rPr>
        <w:t>]. Рецензированные обзоры и экспериментальные работы сообщают, что БЦ формируется бактериями сразу в виде нановолокон (фибрилл) порядка 10-100 нм по диаметру (AFM/SEM/TEM) [</w:t>
      </w:r>
      <w:r>
        <w:rPr>
          <w:rFonts w:ascii="Times New Roman" w:eastAsia="Times New Roman" w:hAnsi="Times New Roman"/>
          <w:sz w:val="28"/>
          <w:szCs w:val="28"/>
        </w:rPr>
        <w:t>29</w:t>
      </w:r>
      <w:r>
        <w:rPr>
          <w:rFonts w:eastAsia="Calibri" w:cs="Times New Roman"/>
          <w:bCs/>
          <w:color w:val="000000"/>
          <w:spacing w:val="-2"/>
          <w:sz w:val="28"/>
          <w:szCs w:val="28"/>
        </w:rPr>
        <w:t>–</w:t>
      </w:r>
      <w:r>
        <w:rPr>
          <w:rFonts w:ascii="Times New Roman" w:eastAsia="Times New Roman" w:hAnsi="Times New Roman"/>
          <w:sz w:val="28"/>
          <w:szCs w:val="28"/>
        </w:rPr>
        <w:t>31</w:t>
      </w:r>
      <w:r>
        <w:rPr>
          <w:rFonts w:ascii="Times New Roman" w:eastAsia="Times New Roman" w:hAnsi="Times New Roman" w:cs="Times New Roman"/>
          <w:sz w:val="28"/>
          <w:szCs w:val="28"/>
        </w:rPr>
        <w:t>]. Это прямое попадание в «нано</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масштаб. Классические и современные обзоры систематически используют термин Bacterial Nanocellulose (БНЦ) применительно к БЦ именно из-за её нанофибриллярной природы и методов получения/применения как наноматериала [</w:t>
      </w:r>
      <w:r>
        <w:rPr>
          <w:rFonts w:ascii="Times New Roman" w:eastAsia="Times New Roman" w:hAnsi="Times New Roman"/>
          <w:sz w:val="28"/>
          <w:szCs w:val="28"/>
        </w:rPr>
        <w:t>32, 33</w:t>
      </w:r>
      <w:r>
        <w:rPr>
          <w:rFonts w:ascii="Times New Roman" w:eastAsia="Times New Roman" w:hAnsi="Times New Roman" w:cs="Times New Roman"/>
          <w:sz w:val="28"/>
          <w:szCs w:val="28"/>
        </w:rPr>
        <w:t>]. Помимо непрерывной наносети, БЦ рутинно переводится в нанокристаллы целлюлозы (НКЦ) кислотным гидролизом и в дисперсии нанофибрилл (НФ) механическими/энзимными методами [</w:t>
      </w:r>
      <w:r>
        <w:rPr>
          <w:rFonts w:ascii="Times New Roman" w:eastAsia="Times New Roman" w:hAnsi="Times New Roman"/>
          <w:sz w:val="28"/>
          <w:szCs w:val="28"/>
        </w:rPr>
        <w:t>34, 35</w:t>
      </w:r>
      <w:r>
        <w:rPr>
          <w:rFonts w:ascii="Times New Roman" w:eastAsia="Times New Roman" w:hAnsi="Times New Roman" w:cs="Times New Roman"/>
          <w:sz w:val="28"/>
          <w:szCs w:val="28"/>
        </w:rPr>
        <w:t>]. Именно наноразмер фибрилл даёт:</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очень высокую удельную поверхность (легкая функционализация, сорбция, интерфейсы) [</w:t>
      </w:r>
      <w:r>
        <w:rPr>
          <w:rFonts w:ascii="Times New Roman" w:eastAsia="Times New Roman" w:hAnsi="Times New Roman"/>
          <w:sz w:val="28"/>
          <w:szCs w:val="28"/>
        </w:rPr>
        <w:t>36, 37</w:t>
      </w:r>
      <w:r>
        <w:rPr>
          <w:rFonts w:ascii="Times New Roman" w:eastAsia="Times New Roman" w:hAnsi="Times New Roman" w:cs="Times New Roman"/>
          <w:sz w:val="28"/>
          <w:szCs w:val="28"/>
        </w:rPr>
        <w:t>];</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высокую кристалличность и жёсткость отдельных элементов (превосходное армирование в композитах/плёнках) [</w:t>
      </w:r>
      <w:r>
        <w:rPr>
          <w:rFonts w:ascii="Times New Roman" w:eastAsia="Times New Roman" w:hAnsi="Times New Roman"/>
          <w:sz w:val="28"/>
          <w:szCs w:val="28"/>
        </w:rPr>
        <w:t>38, 39</w:t>
      </w:r>
      <w:r>
        <w:rPr>
          <w:rFonts w:ascii="Times New Roman" w:eastAsia="Times New Roman" w:hAnsi="Times New Roman" w:cs="Times New Roman"/>
          <w:sz w:val="28"/>
          <w:szCs w:val="28"/>
        </w:rPr>
        <w:t>];</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биосовместимость и биодеградацию, </w:t>
      </w:r>
      <w:proofErr w:type="gramStart"/>
      <w:r>
        <w:rPr>
          <w:rFonts w:ascii="Times New Roman" w:eastAsia="Times New Roman" w:hAnsi="Times New Roman" w:cs="Times New Roman"/>
          <w:sz w:val="28"/>
          <w:szCs w:val="28"/>
        </w:rPr>
        <w:t>важные</w:t>
      </w:r>
      <w:proofErr w:type="gramEnd"/>
      <w:r>
        <w:rPr>
          <w:rFonts w:ascii="Times New Roman" w:eastAsia="Times New Roman" w:hAnsi="Times New Roman" w:cs="Times New Roman"/>
          <w:sz w:val="28"/>
          <w:szCs w:val="28"/>
        </w:rPr>
        <w:t xml:space="preserve"> для биомедицинских применений [</w:t>
      </w:r>
      <w:r>
        <w:rPr>
          <w:rFonts w:ascii="Times New Roman" w:eastAsia="Times New Roman" w:hAnsi="Times New Roman"/>
          <w:sz w:val="28"/>
          <w:szCs w:val="28"/>
        </w:rPr>
        <w:t>40, 41</w:t>
      </w:r>
      <w:r>
        <w:rPr>
          <w:rFonts w:ascii="Times New Roman" w:eastAsia="Times New Roman" w:hAnsi="Times New Roman" w:cs="Times New Roman"/>
          <w:sz w:val="28"/>
          <w:szCs w:val="28"/>
        </w:rPr>
        <w:t>].</w:t>
      </w:r>
    </w:p>
    <w:p w:rsidR="00E17FE1" w:rsidRDefault="00BB58D7">
      <w:pPr>
        <w:spacing w:after="0" w:line="240" w:lineRule="auto"/>
        <w:ind w:firstLine="567"/>
        <w:jc w:val="both"/>
        <w:rPr>
          <w:rFonts w:ascii="Times New Roman" w:eastAsia="Times New Roman" w:hAnsi="Times New Roman" w:cs="Times New Roman"/>
          <w:sz w:val="28"/>
          <w:szCs w:val="28"/>
          <w:highlight w:val="magenta"/>
        </w:rPr>
      </w:pPr>
      <w:r>
        <w:rPr>
          <w:rFonts w:ascii="Times New Roman" w:eastAsia="Times New Roman" w:hAnsi="Times New Roman" w:cs="Times New Roman"/>
          <w:sz w:val="28"/>
          <w:szCs w:val="28"/>
        </w:rPr>
        <w:t>Эти признаки типичны для наноматериалов и систематически подчёркнуты в обзорах по наноцеллюлозе/БЦ [</w:t>
      </w:r>
      <w:r>
        <w:rPr>
          <w:rFonts w:ascii="Times New Roman" w:eastAsia="Times New Roman" w:hAnsi="Times New Roman"/>
          <w:sz w:val="28"/>
          <w:szCs w:val="28"/>
        </w:rPr>
        <w:t>42, 43</w:t>
      </w:r>
      <w:r>
        <w:rPr>
          <w:rFonts w:ascii="Times New Roman" w:eastAsia="Times New Roman" w:hAnsi="Times New Roman" w:cs="Times New Roman"/>
          <w:sz w:val="28"/>
          <w:szCs w:val="28"/>
        </w:rPr>
        <w:t>]. Современные обзоры по биомедицине, электрохимическим устройствам, упаковке и др. рассматривают БЦ именно в парадигме наноматериалов (наносети, нановолокна, композиты с наночастицами), что отражает и её эксплуатационные преимущества, и методики характеризации на наноуровне [</w:t>
      </w:r>
      <w:r>
        <w:rPr>
          <w:rFonts w:ascii="Times New Roman" w:eastAsia="Times New Roman" w:hAnsi="Times New Roman"/>
          <w:sz w:val="28"/>
          <w:szCs w:val="28"/>
        </w:rPr>
        <w:t>44, 45</w:t>
      </w:r>
      <w:r>
        <w:rPr>
          <w:rFonts w:ascii="Times New Roman" w:eastAsia="Times New Roman" w:hAnsi="Times New Roman" w:cs="Times New Roman"/>
          <w:sz w:val="28"/>
          <w:szCs w:val="28"/>
        </w:rPr>
        <w:t>].</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бактериальная целлюлоза является наноматериалом, поскольку синтезируется бактериями сразу в виде нановолокон диаметром ~10-100 нм, широко выделяется в формы нанофибрилл и нанокристаллов, а её наноразмерная архитектура обуславливает высокую удельную поверхность, кристалличность и набор «нано-свойств», подтверждённых в рецензируемой литературе.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практике этот биополимер получают путем ферментации </w:t>
      </w:r>
      <w:r>
        <w:rPr>
          <w:rFonts w:ascii="Times New Roman" w:hAnsi="Times New Roman" w:cs="Times New Roman"/>
          <w:i/>
          <w:sz w:val="28"/>
          <w:szCs w:val="28"/>
        </w:rPr>
        <w:t>Komagataeibacter xylinus</w:t>
      </w:r>
      <w:r>
        <w:rPr>
          <w:rFonts w:ascii="Times New Roman" w:hAnsi="Times New Roman" w:cs="Times New Roman"/>
          <w:sz w:val="28"/>
          <w:szCs w:val="28"/>
        </w:rPr>
        <w:t xml:space="preserve">. Процесс синтеза целлюлозы представляет собой сложный биологический процесс, в ходе которого некоторые штаммы бактерий ферментативно преобразуют простые сахара в целлюлозу. Образование целлюлозы начинается с синтеза микрофибрилл, которые затем </w:t>
      </w:r>
      <w:r>
        <w:rPr>
          <w:rFonts w:ascii="Times New Roman" w:hAnsi="Times New Roman" w:cs="Times New Roman"/>
          <w:sz w:val="28"/>
          <w:szCs w:val="28"/>
        </w:rPr>
        <w:lastRenderedPageBreak/>
        <w:t>собираются в плотную сеть. На конечный продукт и его выход влияет множество факторов, таких как доступность питательных веществ, уровень pH, температура, уровень кислорода, скорость перемешивания и период инкубации. Можно повысить производительность, используя генную инженерию ферментов, участвующих в этом процессе, тем самым увеличивая скорость биосинтеза целлюлозы [</w:t>
      </w:r>
      <w:r>
        <w:rPr>
          <w:rFonts w:ascii="Times New Roman" w:eastAsia="Times New Roman" w:hAnsi="Times New Roman" w:cs="Times New Roman"/>
          <w:sz w:val="28"/>
          <w:szCs w:val="28"/>
        </w:rPr>
        <w:t>46</w:t>
      </w:r>
      <w:r>
        <w:rPr>
          <w:rFonts w:ascii="Times New Roman" w:hAnsi="Times New Roman" w:cs="Times New Roman"/>
          <w:sz w:val="28"/>
          <w:szCs w:val="28"/>
        </w:rPr>
        <w:t xml:space="preserve">]. </w:t>
      </w:r>
      <w:proofErr w:type="gramStart"/>
      <w:r>
        <w:rPr>
          <w:rFonts w:ascii="Times New Roman" w:hAnsi="Times New Roman" w:cs="Times New Roman"/>
          <w:sz w:val="28"/>
          <w:szCs w:val="28"/>
        </w:rPr>
        <w:t>Биосинтез бактериальной целлюлозы осуществляется опероном целлюлозосинтазы, включающем гены, действующие как основной каталитический комплекс, инициируя синтез, используя в качестве субстрата уридиндифосфатглюкозу.</w:t>
      </w:r>
      <w:proofErr w:type="gramEnd"/>
      <w:r>
        <w:rPr>
          <w:rFonts w:ascii="Times New Roman" w:hAnsi="Times New Roman" w:cs="Times New Roman"/>
          <w:sz w:val="28"/>
          <w:szCs w:val="28"/>
        </w:rPr>
        <w:t xml:space="preserve"> В то же время гены БЦ</w:t>
      </w:r>
      <w:proofErr w:type="gramStart"/>
      <w:r>
        <w:rPr>
          <w:rFonts w:ascii="Times New Roman" w:hAnsi="Times New Roman" w:cs="Times New Roman"/>
          <w:sz w:val="28"/>
          <w:szCs w:val="28"/>
        </w:rPr>
        <w:t>sC</w:t>
      </w:r>
      <w:proofErr w:type="gramEnd"/>
      <w:r>
        <w:rPr>
          <w:rFonts w:ascii="Times New Roman" w:hAnsi="Times New Roman" w:cs="Times New Roman"/>
          <w:sz w:val="28"/>
          <w:szCs w:val="28"/>
        </w:rPr>
        <w:t xml:space="preserve"> и БЦsD способствуют экструзии и кристаллизации целлюлозных фибрилл за пределы клеточной мембраны [</w:t>
      </w:r>
      <w:r>
        <w:rPr>
          <w:rFonts w:ascii="Times New Roman" w:eastAsia="Times New Roman" w:hAnsi="Times New Roman" w:cs="Times New Roman"/>
          <w:sz w:val="28"/>
          <w:szCs w:val="28"/>
        </w:rPr>
        <w:t>47</w:t>
      </w:r>
      <w:r>
        <w:rPr>
          <w:rFonts w:ascii="Times New Roman" w:hAnsi="Times New Roman" w:cs="Times New Roman"/>
          <w:sz w:val="28"/>
          <w:szCs w:val="28"/>
        </w:rPr>
        <w:t>]. Манипулируя экспрессией таких генов, можно оптимизировать выход бактериальной целлюлозы.</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Существуют различные протоколы, различающиеся этапами инкубации и последующей обработки. Протокол можно модифицировать, заменив источник углерода более дешёвыми альтернативами, такими как глицерин и фруктоза. Кроме того, важную роль играет способ ферментации (статическая/с перемешиванием): статическая инкубация позволяет получать высокочистые целлюлозные плёнки, тогда как ферментация с перемешиванием способна увеличить производительность и создавать сферические формы целлюлозы [</w:t>
      </w:r>
      <w:r>
        <w:rPr>
          <w:rFonts w:ascii="Times New Roman" w:eastAsia="Times New Roman" w:hAnsi="Times New Roman" w:cs="Times New Roman"/>
          <w:sz w:val="28"/>
          <w:szCs w:val="28"/>
        </w:rPr>
        <w:t>46</w:t>
      </w:r>
      <w:r>
        <w:rPr>
          <w:rFonts w:ascii="Times New Roman" w:hAnsi="Times New Roman" w:cs="Times New Roman"/>
          <w:sz w:val="28"/>
          <w:szCs w:val="28"/>
        </w:rPr>
        <w:t>].</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Бактериальная целлюлоза химически чистый полимер - не содержит лигнина и гемицеллюлозы, что делает ее источником очень чистой целлюлозы. БЦ не требует дополнительных этапов обработки, что снижает трудоемкость и нагрузку на окружающую среду. Хотя структура целлюлозной субъединицы остается неизменной, бактериальная целлюлоза проявляет другие физические и химические свойства, часто считающиеся более совершенными [</w:t>
      </w:r>
      <w:r>
        <w:rPr>
          <w:rFonts w:ascii="Times New Roman" w:eastAsia="Times New Roman" w:hAnsi="Times New Roman" w:cs="Times New Roman"/>
          <w:sz w:val="28"/>
          <w:szCs w:val="28"/>
        </w:rPr>
        <w:t>49</w:t>
      </w:r>
      <w:r>
        <w:rPr>
          <w:rFonts w:ascii="Times New Roman" w:hAnsi="Times New Roman" w:cs="Times New Roman"/>
          <w:sz w:val="28"/>
          <w:szCs w:val="28"/>
        </w:rPr>
        <w:t xml:space="preserve">]. БЦ имеет </w:t>
      </w:r>
      <w:r>
        <w:rPr>
          <w:rFonts w:ascii="Times New Roman" w:eastAsia="Times New Roman" w:hAnsi="Times New Roman" w:cs="Times New Roman"/>
          <w:sz w:val="28"/>
          <w:szCs w:val="28"/>
          <w:lang w:eastAsia="ru-RU"/>
        </w:rPr>
        <w:t>высокий индекс кристалличности</w:t>
      </w:r>
      <w:r>
        <w:rPr>
          <w:rFonts w:ascii="Times New Roman" w:hAnsi="Times New Roman" w:cs="Times New Roman"/>
          <w:sz w:val="28"/>
          <w:szCs w:val="28"/>
        </w:rPr>
        <w:t>, она термостабильна и эластична. Среди отличительных свойств - большая площадь поверхности, пористость и высокая механическая прочность (модуль Юнга 118 ГПа, в аналогичном диапазоне, что и у стали), высокое содержание воды &gt;90% и высокая биосовместимость.</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Можно без преувеличения сказать, что </w:t>
      </w:r>
      <w:proofErr w:type="gramStart"/>
      <w:r>
        <w:rPr>
          <w:rFonts w:ascii="Times New Roman" w:hAnsi="Times New Roman" w:cs="Times New Roman"/>
          <w:sz w:val="28"/>
          <w:szCs w:val="28"/>
        </w:rPr>
        <w:t>контексте</w:t>
      </w:r>
      <w:proofErr w:type="gramEnd"/>
      <w:r>
        <w:rPr>
          <w:rFonts w:ascii="Times New Roman" w:hAnsi="Times New Roman" w:cs="Times New Roman"/>
          <w:sz w:val="28"/>
          <w:szCs w:val="28"/>
        </w:rPr>
        <w:t xml:space="preserve"> биомедицинских применений бактериальная целлюлоза – восходящая звезда среди других видов целлюлозы. Будучи неаллергенной, безопасной (имеет статус </w:t>
      </w:r>
      <w:r>
        <w:rPr>
          <w:rFonts w:ascii="Times New Roman" w:hAnsi="Times New Roman" w:cs="Times New Roman"/>
          <w:sz w:val="28"/>
          <w:szCs w:val="28"/>
          <w:lang w:val="en-US"/>
        </w:rPr>
        <w:t>GRAS</w:t>
      </w:r>
      <w:r>
        <w:rPr>
          <w:rFonts w:ascii="Times New Roman" w:hAnsi="Times New Roman" w:cs="Times New Roman"/>
          <w:sz w:val="28"/>
          <w:szCs w:val="28"/>
        </w:rPr>
        <w:t>) и поддающейся стерилизации, БЦ стала чрезвычайно популярным биоматериалом для медицинского применения, особенно для регенерации ран [</w:t>
      </w:r>
      <w:r>
        <w:rPr>
          <w:rFonts w:ascii="Times New Roman" w:eastAsia="Times New Roman" w:hAnsi="Times New Roman" w:cs="Times New Roman"/>
          <w:sz w:val="28"/>
          <w:szCs w:val="28"/>
        </w:rPr>
        <w:t>50</w:t>
      </w:r>
      <w:r>
        <w:rPr>
          <w:rFonts w:ascii="Times New Roman" w:hAnsi="Times New Roman" w:cs="Times New Roman"/>
          <w:sz w:val="28"/>
          <w:szCs w:val="28"/>
        </w:rPr>
        <w:t>]. Благодаря своей прозрачности и превосходному прилеганию к месту раны, БЦ часто используется в качестве искусственной кожи при лечении обширных ожогов. Процесс заживления ран ускоряется за счет поддержания высокого содержания кислорода и влажной среды в ране, а также поглощения избыточного тканевого экссудата [</w:t>
      </w:r>
      <w:r>
        <w:rPr>
          <w:rFonts w:ascii="Times New Roman" w:eastAsia="Times New Roman" w:hAnsi="Times New Roman" w:cs="Times New Roman"/>
          <w:sz w:val="28"/>
          <w:szCs w:val="28"/>
        </w:rPr>
        <w:t>51</w:t>
      </w:r>
      <w:r>
        <w:rPr>
          <w:rFonts w:ascii="Times New Roman" w:hAnsi="Times New Roman" w:cs="Times New Roman"/>
          <w:sz w:val="28"/>
          <w:szCs w:val="28"/>
        </w:rPr>
        <w:t xml:space="preserve">]. Тем не менее, большинство повязок на основе БЦ для заживления ран просто способствуют лучшей регидратации тканей, но не гарантирует уменьшение инфекций в этой области. </w:t>
      </w: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1.1.2 </w:t>
      </w:r>
      <w:r>
        <w:rPr>
          <w:rFonts w:ascii="Times New Roman" w:hAnsi="Times New Roman" w:cs="Times New Roman"/>
          <w:b/>
          <w:iCs/>
          <w:sz w:val="28"/>
          <w:szCs w:val="28"/>
        </w:rPr>
        <w:t>Гидроксиапатит</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Гидроксиапатит (ГАП) </w:t>
      </w:r>
      <w:r w:rsidR="00F603E2">
        <w:rPr>
          <w:rFonts w:ascii="Times New Roman" w:hAnsi="Times New Roman" w:cs="Times New Roman"/>
          <w:sz w:val="28"/>
          <w:szCs w:val="28"/>
        </w:rPr>
        <w:t>-</w:t>
      </w:r>
      <w:r>
        <w:rPr>
          <w:rFonts w:ascii="Times New Roman" w:hAnsi="Times New Roman" w:cs="Times New Roman"/>
          <w:sz w:val="28"/>
          <w:szCs w:val="28"/>
        </w:rPr>
        <w:t xml:space="preserve"> одна из форм фосфата кальция с формулой Ca</w:t>
      </w:r>
      <w:r>
        <w:rPr>
          <w:rFonts w:ascii="Times New Roman" w:hAnsi="Times New Roman" w:cs="Times New Roman"/>
          <w:sz w:val="28"/>
          <w:szCs w:val="28"/>
          <w:vertAlign w:val="subscript"/>
        </w:rPr>
        <w:t>10</w:t>
      </w:r>
      <w:r>
        <w:rPr>
          <w:rFonts w:ascii="Times New Roman" w:hAnsi="Times New Roman" w:cs="Times New Roman"/>
          <w:sz w:val="28"/>
          <w:szCs w:val="28"/>
        </w:rPr>
        <w:t>(PO</w:t>
      </w:r>
      <w:r>
        <w:rPr>
          <w:rFonts w:ascii="Times New Roman" w:hAnsi="Times New Roman" w:cs="Times New Roman"/>
          <w:sz w:val="28"/>
          <w:szCs w:val="28"/>
          <w:vertAlign w:val="subscript"/>
        </w:rPr>
        <w:t>4</w:t>
      </w:r>
      <w:r>
        <w:rPr>
          <w:rFonts w:ascii="Times New Roman" w:hAnsi="Times New Roman" w:cs="Times New Roman"/>
          <w:sz w:val="28"/>
          <w:szCs w:val="28"/>
        </w:rPr>
        <w:t>)</w:t>
      </w:r>
      <w:r>
        <w:rPr>
          <w:rFonts w:ascii="Times New Roman" w:hAnsi="Times New Roman" w:cs="Times New Roman"/>
          <w:sz w:val="28"/>
          <w:szCs w:val="28"/>
          <w:vertAlign w:val="subscript"/>
        </w:rPr>
        <w:t>6</w:t>
      </w:r>
      <w:r>
        <w:rPr>
          <w:rFonts w:ascii="Times New Roman" w:hAnsi="Times New Roman" w:cs="Times New Roman"/>
          <w:sz w:val="28"/>
          <w:szCs w:val="28"/>
        </w:rPr>
        <w:t>(OH)</w:t>
      </w:r>
      <w:r>
        <w:rPr>
          <w:rFonts w:ascii="Times New Roman" w:hAnsi="Times New Roman" w:cs="Times New Roman"/>
          <w:sz w:val="28"/>
          <w:szCs w:val="28"/>
          <w:vertAlign w:val="subscript"/>
        </w:rPr>
        <w:t>2</w:t>
      </w:r>
      <w:r>
        <w:rPr>
          <w:rFonts w:ascii="Times New Roman" w:hAnsi="Times New Roman" w:cs="Times New Roman"/>
          <w:sz w:val="28"/>
          <w:szCs w:val="28"/>
        </w:rPr>
        <w:t xml:space="preserve"> [</w:t>
      </w:r>
      <w:r>
        <w:rPr>
          <w:rFonts w:ascii="Times New Roman" w:eastAsia="Times New Roman" w:hAnsi="Times New Roman" w:cs="Times New Roman"/>
          <w:sz w:val="28"/>
          <w:szCs w:val="28"/>
        </w:rPr>
        <w:t>52, 53</w:t>
      </w:r>
      <w:r>
        <w:rPr>
          <w:rFonts w:ascii="Times New Roman" w:hAnsi="Times New Roman" w:cs="Times New Roman"/>
          <w:sz w:val="28"/>
          <w:szCs w:val="28"/>
        </w:rPr>
        <w:t>]. Это один из важнейших биоминералов, демонстрирующий, как природные минералы могут интегрироваться в живые ткани. Он имеет структурное сходство с минеральной фазой кости и легко интегрирует в костную ткань [</w:t>
      </w:r>
      <w:r>
        <w:rPr>
          <w:rFonts w:ascii="Times New Roman" w:eastAsia="Times New Roman" w:hAnsi="Times New Roman" w:cs="Times New Roman"/>
          <w:sz w:val="28"/>
          <w:szCs w:val="28"/>
        </w:rPr>
        <w:t>54</w:t>
      </w:r>
      <w:r>
        <w:rPr>
          <w:rFonts w:eastAsia="Calibri" w:cs="Times New Roman"/>
          <w:bCs/>
          <w:color w:val="000000"/>
          <w:spacing w:val="-2"/>
          <w:sz w:val="28"/>
          <w:szCs w:val="28"/>
        </w:rPr>
        <w:t>–</w:t>
      </w:r>
      <w:r>
        <w:rPr>
          <w:rFonts w:ascii="Times New Roman" w:eastAsia="Times New Roman" w:hAnsi="Times New Roman" w:cs="Times New Roman"/>
          <w:sz w:val="28"/>
          <w:szCs w:val="28"/>
        </w:rPr>
        <w:t>56</w:t>
      </w:r>
      <w:r>
        <w:rPr>
          <w:rFonts w:ascii="Times New Roman" w:hAnsi="Times New Roman" w:cs="Times New Roman"/>
          <w:sz w:val="28"/>
          <w:szCs w:val="28"/>
        </w:rPr>
        <w:t>].  Гидроксиапатит обладает превосходной биосовместимостью, биоразлагаемостью и биоактивностью, поэтому он широко применяется в биомедицинской области для реконструкции костей и зубов, создания костных трансплантатов, доставки лекарств [</w:t>
      </w:r>
      <w:r>
        <w:rPr>
          <w:rFonts w:ascii="Times New Roman" w:eastAsia="Times New Roman" w:hAnsi="Times New Roman" w:cs="Times New Roman"/>
          <w:sz w:val="28"/>
          <w:szCs w:val="28"/>
        </w:rPr>
        <w:t>57, 58</w:t>
      </w:r>
      <w:r>
        <w:rPr>
          <w:rFonts w:ascii="Times New Roman" w:hAnsi="Times New Roman" w:cs="Times New Roman"/>
          <w:sz w:val="28"/>
          <w:szCs w:val="28"/>
        </w:rPr>
        <w:t xml:space="preserve">]. </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Гидроксиапатит имеет разнообразные морфологические структуры, включая игольчатые, стержневые и сферические [</w:t>
      </w:r>
      <w:r>
        <w:rPr>
          <w:rFonts w:ascii="Times New Roman" w:eastAsia="Times New Roman" w:hAnsi="Times New Roman" w:cs="Times New Roman"/>
          <w:sz w:val="28"/>
          <w:szCs w:val="28"/>
        </w:rPr>
        <w:t>59</w:t>
      </w:r>
      <w:r>
        <w:rPr>
          <w:rFonts w:ascii="Times New Roman" w:hAnsi="Times New Roman" w:cs="Times New Roman"/>
          <w:sz w:val="28"/>
          <w:szCs w:val="28"/>
        </w:rPr>
        <w:t xml:space="preserve">]. Форма ГАП оказывает существенное влияние на его электростатические свойства. Например, </w:t>
      </w:r>
      <w:proofErr w:type="gramStart"/>
      <w:r>
        <w:rPr>
          <w:rFonts w:ascii="Times New Roman" w:hAnsi="Times New Roman" w:cs="Times New Roman"/>
          <w:sz w:val="28"/>
          <w:szCs w:val="28"/>
        </w:rPr>
        <w:t>игольчатый</w:t>
      </w:r>
      <w:proofErr w:type="gramEnd"/>
      <w:r>
        <w:rPr>
          <w:rFonts w:ascii="Times New Roman" w:hAnsi="Times New Roman" w:cs="Times New Roman"/>
          <w:sz w:val="28"/>
          <w:szCs w:val="28"/>
        </w:rPr>
        <w:t xml:space="preserve"> ГАП имеет положительно заряженные концы и отрицательно заряженную оставшуюся часть [</w:t>
      </w:r>
      <w:r>
        <w:rPr>
          <w:rFonts w:ascii="Times New Roman" w:eastAsia="Times New Roman" w:hAnsi="Times New Roman" w:cs="Times New Roman"/>
          <w:sz w:val="28"/>
          <w:szCs w:val="28"/>
        </w:rPr>
        <w:t>59</w:t>
      </w:r>
      <w:r>
        <w:rPr>
          <w:rFonts w:ascii="Times New Roman" w:hAnsi="Times New Roman" w:cs="Times New Roman"/>
          <w:sz w:val="28"/>
          <w:szCs w:val="28"/>
        </w:rPr>
        <w:t xml:space="preserve">]. Гидроксиапатит обладает кристаллической структурой с весьма специфической упаковкой атомов и междоузлиями. Кристаллическая структура гидроксиапатита соответствует </w:t>
      </w:r>
      <w:proofErr w:type="gramStart"/>
      <w:r>
        <w:rPr>
          <w:rFonts w:ascii="Times New Roman" w:hAnsi="Times New Roman" w:cs="Times New Roman"/>
          <w:sz w:val="28"/>
          <w:szCs w:val="28"/>
        </w:rPr>
        <w:t>гранецентрированной</w:t>
      </w:r>
      <w:proofErr w:type="gramEnd"/>
      <w:r>
        <w:rPr>
          <w:rFonts w:ascii="Times New Roman" w:hAnsi="Times New Roman" w:cs="Times New Roman"/>
          <w:sz w:val="28"/>
          <w:szCs w:val="28"/>
        </w:rPr>
        <w:t xml:space="preserve"> кубической (ГЦК). Этот тип пространственного расположения имеет тетраэдрические и октаэдрические позиции, занятые преимущественно ионами фосфата (PO₄</w:t>
      </w:r>
      <w:r>
        <w:rPr>
          <w:rFonts w:ascii="Times New Roman" w:hAnsi="Times New Roman" w:cs="Times New Roman"/>
          <w:sz w:val="28"/>
          <w:szCs w:val="28"/>
          <w:vertAlign w:val="superscript"/>
        </w:rPr>
        <w:t>3−</w:t>
      </w:r>
      <w:r>
        <w:rPr>
          <w:rFonts w:ascii="Times New Roman" w:hAnsi="Times New Roman" w:cs="Times New Roman"/>
          <w:sz w:val="28"/>
          <w:szCs w:val="28"/>
        </w:rPr>
        <w:t>) и ионы кальция (Ca</w:t>
      </w:r>
      <w:r>
        <w:rPr>
          <w:rFonts w:ascii="Times New Roman" w:hAnsi="Times New Roman" w:cs="Times New Roman"/>
          <w:sz w:val="28"/>
          <w:szCs w:val="28"/>
          <w:vertAlign w:val="superscript"/>
        </w:rPr>
        <w:t>2+</w:t>
      </w:r>
      <w:r>
        <w:rPr>
          <w:rFonts w:ascii="Times New Roman" w:hAnsi="Times New Roman" w:cs="Times New Roman"/>
          <w:sz w:val="28"/>
          <w:szCs w:val="28"/>
        </w:rPr>
        <w:t>) соответственно. Фосфат-ионы (PO₄</w:t>
      </w:r>
      <w:r>
        <w:rPr>
          <w:rFonts w:ascii="Times New Roman" w:hAnsi="Times New Roman" w:cs="Times New Roman"/>
          <w:sz w:val="28"/>
          <w:szCs w:val="28"/>
          <w:vertAlign w:val="superscript"/>
        </w:rPr>
        <w:t>3−</w:t>
      </w:r>
      <w:r>
        <w:rPr>
          <w:rFonts w:ascii="Times New Roman" w:hAnsi="Times New Roman" w:cs="Times New Roman"/>
          <w:sz w:val="28"/>
          <w:szCs w:val="28"/>
        </w:rPr>
        <w:t>) движутся вдоль оси с кристаллической структуры, тогда как ионы кальция (Ca</w:t>
      </w:r>
      <w:r>
        <w:rPr>
          <w:rFonts w:ascii="Times New Roman" w:hAnsi="Times New Roman" w:cs="Times New Roman"/>
          <w:sz w:val="28"/>
          <w:szCs w:val="28"/>
          <w:vertAlign w:val="superscript"/>
        </w:rPr>
        <w:t>2+</w:t>
      </w:r>
      <w:r>
        <w:rPr>
          <w:rFonts w:ascii="Times New Roman" w:hAnsi="Times New Roman" w:cs="Times New Roman"/>
          <w:sz w:val="28"/>
          <w:szCs w:val="28"/>
        </w:rPr>
        <w:t>) занимают два места, поэтому обозначают их как Ca I (расположены при z = 0 и z = 1/2) и Ca II (расположены вдоль оси с, образуя фосфат-ионы (</w:t>
      </w:r>
      <w:proofErr w:type="gramStart"/>
      <w:r>
        <w:rPr>
          <w:rFonts w:ascii="Times New Roman" w:hAnsi="Times New Roman" w:cs="Times New Roman"/>
          <w:sz w:val="28"/>
          <w:szCs w:val="28"/>
        </w:rPr>
        <w:t>OH−) ка</w:t>
      </w:r>
      <w:proofErr w:type="gramEnd"/>
      <w:r>
        <w:rPr>
          <w:rFonts w:ascii="Times New Roman" w:hAnsi="Times New Roman" w:cs="Times New Roman"/>
          <w:sz w:val="28"/>
          <w:szCs w:val="28"/>
        </w:rPr>
        <w:t xml:space="preserve">налы) [) занимают два места, поэтому обозначают их как Ca I (расположены при z = 0 и z = 1/2) и Ca II (расположены вдоль оси с, образуя </w:t>
      </w:r>
      <w:proofErr w:type="gramStart"/>
      <w:r>
        <w:rPr>
          <w:rFonts w:ascii="Times New Roman" w:hAnsi="Times New Roman" w:cs="Times New Roman"/>
          <w:sz w:val="28"/>
          <w:szCs w:val="28"/>
        </w:rPr>
        <w:t>фосфат-ионы</w:t>
      </w:r>
      <w:proofErr w:type="gramEnd"/>
      <w:r>
        <w:rPr>
          <w:rFonts w:ascii="Times New Roman" w:hAnsi="Times New Roman" w:cs="Times New Roman"/>
          <w:sz w:val="28"/>
          <w:szCs w:val="28"/>
        </w:rPr>
        <w:t xml:space="preserve"> (OH−) каналы) [60, 61]. Такое ионное положение критически важно для стабильности и функциональности гидроксиапатита. Имеются подтверждающие данные об эпигенетическом поведении наногидроксиапатита, наблюдаемом по его способности стимулировать остеогенез [</w:t>
      </w:r>
      <w:r>
        <w:rPr>
          <w:rFonts w:ascii="Times New Roman" w:eastAsia="Times New Roman" w:hAnsi="Times New Roman" w:cs="Times New Roman"/>
          <w:sz w:val="28"/>
          <w:szCs w:val="28"/>
        </w:rPr>
        <w:t>62, 63</w:t>
      </w:r>
      <w:r>
        <w:rPr>
          <w:rFonts w:ascii="Times New Roman" w:hAnsi="Times New Roman" w:cs="Times New Roman"/>
          <w:sz w:val="28"/>
          <w:szCs w:val="28"/>
        </w:rPr>
        <w:t xml:space="preserve">]. Кроме того, наногидроксиапатит может быть </w:t>
      </w:r>
      <w:proofErr w:type="gramStart"/>
      <w:r>
        <w:rPr>
          <w:rFonts w:ascii="Times New Roman" w:hAnsi="Times New Roman" w:cs="Times New Roman"/>
          <w:sz w:val="28"/>
          <w:szCs w:val="28"/>
        </w:rPr>
        <w:t>использован</w:t>
      </w:r>
      <w:proofErr w:type="gramEnd"/>
      <w:r>
        <w:rPr>
          <w:rFonts w:ascii="Times New Roman" w:hAnsi="Times New Roman" w:cs="Times New Roman"/>
          <w:sz w:val="28"/>
          <w:szCs w:val="28"/>
        </w:rPr>
        <w:t xml:space="preserve"> для доставки лекарств благодаря его улучшенной площади поверхности [</w:t>
      </w:r>
      <w:r>
        <w:rPr>
          <w:rFonts w:ascii="Times New Roman" w:eastAsia="Times New Roman" w:hAnsi="Times New Roman" w:cs="Times New Roman"/>
          <w:sz w:val="28"/>
          <w:szCs w:val="28"/>
        </w:rPr>
        <w:t>53</w:t>
      </w:r>
      <w:r>
        <w:rPr>
          <w:rFonts w:ascii="Times New Roman" w:hAnsi="Times New Roman" w:cs="Times New Roman"/>
          <w:sz w:val="28"/>
          <w:szCs w:val="28"/>
        </w:rPr>
        <w:t>].</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Гидроксиапатит может быть </w:t>
      </w:r>
      <w:proofErr w:type="gramStart"/>
      <w:r>
        <w:rPr>
          <w:rFonts w:ascii="Times New Roman" w:hAnsi="Times New Roman" w:cs="Times New Roman"/>
          <w:sz w:val="28"/>
          <w:szCs w:val="28"/>
        </w:rPr>
        <w:t>синтезирован</w:t>
      </w:r>
      <w:proofErr w:type="gramEnd"/>
      <w:r>
        <w:rPr>
          <w:rFonts w:ascii="Times New Roman" w:hAnsi="Times New Roman" w:cs="Times New Roman"/>
          <w:sz w:val="28"/>
          <w:szCs w:val="28"/>
        </w:rPr>
        <w:t xml:space="preserve"> химическим методом или экстракцией из нейтральных источников. Соотношение Ca и P, форма кристаллов ГАП и морфологическая структура существенно зависят от метода синтеза [</w:t>
      </w:r>
      <w:r>
        <w:rPr>
          <w:rFonts w:ascii="Times New Roman" w:eastAsia="Times New Roman" w:hAnsi="Times New Roman" w:cs="Times New Roman"/>
          <w:sz w:val="28"/>
          <w:szCs w:val="28"/>
        </w:rPr>
        <w:t>55</w:t>
      </w:r>
      <w:r>
        <w:rPr>
          <w:rFonts w:ascii="Times New Roman" w:hAnsi="Times New Roman" w:cs="Times New Roman"/>
          <w:sz w:val="28"/>
          <w:szCs w:val="28"/>
        </w:rPr>
        <w:t>]. Природными источниками ГАП в основном являются отходы, такие как кости млекопитающих, части водной флоры и фауны, растения, водоросли и минералы, такие как известняк [</w:t>
      </w:r>
      <w:r>
        <w:rPr>
          <w:rFonts w:ascii="Times New Roman" w:eastAsia="Times New Roman" w:hAnsi="Times New Roman" w:cs="Times New Roman"/>
          <w:sz w:val="28"/>
          <w:szCs w:val="28"/>
        </w:rPr>
        <w:t>55</w:t>
      </w:r>
      <w:r>
        <w:rPr>
          <w:rFonts w:ascii="Times New Roman" w:hAnsi="Times New Roman" w:cs="Times New Roman"/>
          <w:sz w:val="28"/>
          <w:szCs w:val="28"/>
        </w:rPr>
        <w:t>]. Из-за замены атомов кальция ГАП, извлеченный из природных источников, содержит следовые количества ионов металлов, таких как Na</w:t>
      </w:r>
      <w:r>
        <w:rPr>
          <w:rFonts w:ascii="Times New Roman" w:hAnsi="Times New Roman" w:cs="Times New Roman"/>
          <w:sz w:val="28"/>
          <w:szCs w:val="28"/>
          <w:vertAlign w:val="superscript"/>
        </w:rPr>
        <w:t>+</w:t>
      </w:r>
      <w:r>
        <w:rPr>
          <w:rFonts w:ascii="Times New Roman" w:hAnsi="Times New Roman" w:cs="Times New Roman"/>
          <w:sz w:val="28"/>
          <w:szCs w:val="28"/>
        </w:rPr>
        <w:t xml:space="preserve"> и Mg</w:t>
      </w:r>
      <w:r>
        <w:rPr>
          <w:rFonts w:ascii="Times New Roman" w:hAnsi="Times New Roman" w:cs="Times New Roman"/>
          <w:sz w:val="28"/>
          <w:szCs w:val="28"/>
          <w:vertAlign w:val="superscript"/>
        </w:rPr>
        <w:t>2+</w:t>
      </w:r>
      <w:r>
        <w:rPr>
          <w:rFonts w:ascii="Times New Roman" w:hAnsi="Times New Roman" w:cs="Times New Roman"/>
          <w:sz w:val="28"/>
          <w:szCs w:val="28"/>
        </w:rPr>
        <w:t>. Нечистый ГАП имитирует минералы человеческой кости; его присутствие влияет на биоактивность и необходимо для регенерации костной ткани [</w:t>
      </w:r>
      <w:r>
        <w:rPr>
          <w:rFonts w:ascii="Times New Roman" w:eastAsia="Times New Roman" w:hAnsi="Times New Roman" w:cs="Times New Roman"/>
          <w:sz w:val="28"/>
          <w:szCs w:val="28"/>
        </w:rPr>
        <w:t>64</w:t>
      </w:r>
      <w:r>
        <w:rPr>
          <w:rFonts w:ascii="Times New Roman" w:hAnsi="Times New Roman" w:cs="Times New Roman"/>
          <w:sz w:val="28"/>
          <w:szCs w:val="28"/>
        </w:rPr>
        <w:t xml:space="preserve">]. Первым этапом экстракции является предварительная очистка материала от грязи, </w:t>
      </w:r>
      <w:r>
        <w:rPr>
          <w:rFonts w:ascii="Times New Roman" w:hAnsi="Times New Roman" w:cs="Times New Roman"/>
          <w:sz w:val="28"/>
          <w:szCs w:val="28"/>
        </w:rPr>
        <w:lastRenderedPageBreak/>
        <w:t>жиров, белков и т. д. Далее следуют процессы прокалки или химической обработки [</w:t>
      </w:r>
      <w:r>
        <w:rPr>
          <w:rFonts w:ascii="Times New Roman" w:eastAsia="Times New Roman" w:hAnsi="Times New Roman" w:cs="Times New Roman"/>
          <w:sz w:val="28"/>
          <w:szCs w:val="28"/>
        </w:rPr>
        <w:t>55</w:t>
      </w:r>
      <w:r>
        <w:rPr>
          <w:rFonts w:ascii="Times New Roman" w:hAnsi="Times New Roman" w:cs="Times New Roman"/>
          <w:sz w:val="28"/>
          <w:szCs w:val="28"/>
        </w:rPr>
        <w:t>]. Из млекопитающих чаще всего используется бычья кость. При прокаливании кость нагревается в печи при температуре до 1400°C, где СО</w:t>
      </w:r>
      <w:proofErr w:type="gramStart"/>
      <w:r>
        <w:rPr>
          <w:rFonts w:ascii="Times New Roman" w:hAnsi="Times New Roman" w:cs="Times New Roman"/>
          <w:sz w:val="28"/>
          <w:szCs w:val="28"/>
          <w:vertAlign w:val="subscript"/>
        </w:rPr>
        <w:t>2</w:t>
      </w:r>
      <w:proofErr w:type="gramEnd"/>
      <w:r>
        <w:rPr>
          <w:rFonts w:ascii="Times New Roman" w:hAnsi="Times New Roman" w:cs="Times New Roman"/>
          <w:sz w:val="28"/>
          <w:szCs w:val="28"/>
        </w:rPr>
        <w:t xml:space="preserve">  и фазы фосфата кальция, золы и гидроксида кальция. С повышением температуры кристалличность ГАП также увеличивается. Щелочная обработка предполагает использование раствора, например, NaOH, для удаления органического вещества из кости, а оставшееся неорганическое вещество подвергается процессам фильтрации и разделения, в результате чего образуются фазы фосфата кальция. Ферментативный гидролиз использует ферменты, обычно протеазы, для гидролиза органических компонентов, после чего ГАП собирают центрифугированием. Однако щелочная обработка и ферментативный гидролиз дают чистый ГАП с более низкой кристалличностью, что сужает область его применения [</w:t>
      </w:r>
      <w:r>
        <w:rPr>
          <w:rFonts w:ascii="Times New Roman" w:eastAsia="Times New Roman" w:hAnsi="Times New Roman" w:cs="Times New Roman"/>
          <w:sz w:val="28"/>
          <w:szCs w:val="28"/>
        </w:rPr>
        <w:t>55</w:t>
      </w:r>
      <w:r>
        <w:rPr>
          <w:rFonts w:ascii="Times New Roman" w:hAnsi="Times New Roman" w:cs="Times New Roman"/>
          <w:sz w:val="28"/>
          <w:szCs w:val="28"/>
        </w:rPr>
        <w:t>].</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Химический синтез ГАП позволяет получить чистый ГАП без следов металлов, что является недостатком в контексте биомедицинских применений. </w:t>
      </w:r>
      <w:proofErr w:type="gramStart"/>
      <w:r>
        <w:rPr>
          <w:rFonts w:ascii="Times New Roman" w:hAnsi="Times New Roman" w:cs="Times New Roman"/>
          <w:sz w:val="28"/>
          <w:szCs w:val="28"/>
        </w:rPr>
        <w:t>Чистый</w:t>
      </w:r>
      <w:proofErr w:type="gramEnd"/>
      <w:r>
        <w:rPr>
          <w:rFonts w:ascii="Times New Roman" w:hAnsi="Times New Roman" w:cs="Times New Roman"/>
          <w:sz w:val="28"/>
          <w:szCs w:val="28"/>
        </w:rPr>
        <w:t xml:space="preserve"> ГАП обладает низкими механическими и химическими свойствами [</w:t>
      </w:r>
      <w:r>
        <w:rPr>
          <w:rFonts w:ascii="Times New Roman" w:eastAsia="Times New Roman" w:hAnsi="Times New Roman" w:cs="Times New Roman"/>
          <w:sz w:val="28"/>
          <w:szCs w:val="28"/>
        </w:rPr>
        <w:t>64</w:t>
      </w:r>
      <w:r>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Sawada</w:t>
      </w:r>
      <w:r>
        <w:rPr>
          <w:rFonts w:ascii="Times New Roman" w:hAnsi="Times New Roman" w:cs="Times New Roman"/>
          <w:sz w:val="28"/>
          <w:szCs w:val="28"/>
        </w:rPr>
        <w:t xml:space="preserve">  и</w:t>
      </w:r>
      <w:proofErr w:type="gramEnd"/>
      <w:r>
        <w:rPr>
          <w:rFonts w:ascii="Times New Roman" w:hAnsi="Times New Roman" w:cs="Times New Roman"/>
          <w:sz w:val="28"/>
          <w:szCs w:val="28"/>
        </w:rPr>
        <w:t xml:space="preserve"> соавторы представили метод синтеза чистого ГАП с использованием коллоида аморфного карбоната кальция (АКК), не требующего стадий очистки, необходимых при синтезе через прекурсоры солей кальция. Для синтеза коллоид ААК подвергали реакции с раствором ортофосфорной кислоты (которая играет роль источника фосфата) в ацетоновой системе при комнатной температуре с последующим прокаливанием. Ацетоновая система ингибирует фосфорилирование ААК, приводящее к образованию кальцита, что в конечном итоге предотвращает образование кристаллического карбоната кальция [</w:t>
      </w:r>
      <w:r>
        <w:rPr>
          <w:rFonts w:ascii="Times New Roman" w:eastAsia="Times New Roman" w:hAnsi="Times New Roman" w:cs="Times New Roman"/>
          <w:sz w:val="28"/>
          <w:szCs w:val="28"/>
        </w:rPr>
        <w:t>52</w:t>
      </w:r>
      <w:r>
        <w:rPr>
          <w:rFonts w:ascii="Times New Roman" w:hAnsi="Times New Roman" w:cs="Times New Roman"/>
          <w:sz w:val="28"/>
          <w:szCs w:val="28"/>
        </w:rPr>
        <w:t>].</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Хотя синтез ГАП в растениях не получил широкого распространения, интерес к потенциалу «зелёного» синтеза ГАП растёт. Среди растений, Моринга </w:t>
      </w:r>
      <w:proofErr w:type="gramStart"/>
      <w:r>
        <w:rPr>
          <w:rFonts w:ascii="Times New Roman" w:hAnsi="Times New Roman" w:cs="Times New Roman"/>
          <w:sz w:val="28"/>
          <w:szCs w:val="28"/>
        </w:rPr>
        <w:t>масличная</w:t>
      </w:r>
      <w:proofErr w:type="gramEnd"/>
      <w:r>
        <w:rPr>
          <w:rFonts w:ascii="Times New Roman" w:hAnsi="Times New Roman" w:cs="Times New Roman"/>
          <w:sz w:val="28"/>
          <w:szCs w:val="28"/>
        </w:rPr>
        <w:t xml:space="preserve"> листья которой представляют потенциал для синтеза ГАП, поскольку содержат большое количество кальция и фосфата, а также других микроэлементов. Различные отходы, такие как картофель, миндаль и т. д., также предлагаются в качестве предшественников ГАП. Синтез из растительных источников осуществляется методом влажного синтеза, что обеспечивает некоторую гибкость в отношении размера и морфологии ГАП. Однако фитотоксины требуют тщательного изучения, поскольку некоторые соединения могут образовывать токсины, например цианиды, посредством гидролиза цианогенных гликозидов [</w:t>
      </w:r>
      <w:r>
        <w:rPr>
          <w:rFonts w:ascii="Times New Roman" w:eastAsia="Times New Roman" w:hAnsi="Times New Roman" w:cs="Times New Roman"/>
          <w:sz w:val="28"/>
          <w:szCs w:val="28"/>
        </w:rPr>
        <w:t>65</w:t>
      </w:r>
      <w:r>
        <w:rPr>
          <w:rFonts w:ascii="Times New Roman" w:hAnsi="Times New Roman" w:cs="Times New Roman"/>
          <w:sz w:val="28"/>
          <w:szCs w:val="28"/>
        </w:rPr>
        <w:t>]. Кроме того, для синтеза, осуществляемого растениями, могут потребоваться дополнительные предшественники кальция и фосфата [</w:t>
      </w:r>
      <w:r>
        <w:rPr>
          <w:rFonts w:ascii="Times New Roman" w:eastAsia="Times New Roman" w:hAnsi="Times New Roman" w:cs="Times New Roman"/>
          <w:sz w:val="28"/>
          <w:szCs w:val="28"/>
        </w:rPr>
        <w:t>55</w:t>
      </w:r>
      <w:r>
        <w:rPr>
          <w:rFonts w:ascii="Times New Roman" w:hAnsi="Times New Roman" w:cs="Times New Roman"/>
          <w:sz w:val="28"/>
          <w:szCs w:val="28"/>
        </w:rPr>
        <w:t>]. Яичная скорлупа также богата CaCO</w:t>
      </w:r>
      <w:r>
        <w:rPr>
          <w:rFonts w:ascii="Times New Roman" w:hAnsi="Times New Roman" w:cs="Times New Roman"/>
          <w:sz w:val="28"/>
          <w:szCs w:val="28"/>
          <w:vertAlign w:val="subscript"/>
        </w:rPr>
        <w:t>3</w:t>
      </w:r>
      <w:r>
        <w:rPr>
          <w:rFonts w:ascii="Times New Roman" w:hAnsi="Times New Roman" w:cs="Times New Roman"/>
          <w:sz w:val="28"/>
          <w:szCs w:val="28"/>
        </w:rPr>
        <w:t>, что делает их потенциальным предшественником для производства ГАП [</w:t>
      </w:r>
      <w:r>
        <w:rPr>
          <w:rFonts w:ascii="Times New Roman" w:eastAsia="Times New Roman" w:hAnsi="Times New Roman" w:cs="Times New Roman"/>
          <w:sz w:val="28"/>
          <w:szCs w:val="28"/>
        </w:rPr>
        <w:t>66</w:t>
      </w:r>
      <w:r>
        <w:rPr>
          <w:rFonts w:ascii="Times New Roman" w:hAnsi="Times New Roman" w:cs="Times New Roman"/>
          <w:sz w:val="28"/>
          <w:szCs w:val="28"/>
        </w:rPr>
        <w:t>]. Они требуют дополнительной очистки отбеливателем с последующим прокаливанием и осаждением [</w:t>
      </w:r>
      <w:r>
        <w:rPr>
          <w:rFonts w:ascii="Times New Roman" w:eastAsia="Times New Roman" w:hAnsi="Times New Roman" w:cs="Times New Roman"/>
          <w:sz w:val="28"/>
          <w:szCs w:val="28"/>
        </w:rPr>
        <w:t>55</w:t>
      </w:r>
      <w:r>
        <w:rPr>
          <w:rFonts w:ascii="Times New Roman" w:hAnsi="Times New Roman" w:cs="Times New Roman"/>
          <w:sz w:val="28"/>
          <w:szCs w:val="28"/>
        </w:rPr>
        <w:t xml:space="preserve">]. </w:t>
      </w:r>
      <w:proofErr w:type="gramStart"/>
      <w:r>
        <w:rPr>
          <w:rFonts w:ascii="Times New Roman" w:hAnsi="Times New Roman" w:cs="Times New Roman"/>
          <w:sz w:val="28"/>
          <w:szCs w:val="28"/>
          <w:lang w:val="en-US"/>
        </w:rPr>
        <w:t>Sultana</w:t>
      </w:r>
      <w:r>
        <w:rPr>
          <w:rFonts w:ascii="Times New Roman" w:hAnsi="Times New Roman" w:cs="Times New Roman"/>
          <w:sz w:val="28"/>
          <w:szCs w:val="28"/>
        </w:rPr>
        <w:t xml:space="preserve"> и соавторы разработали метод твердофазного синтеза с использованием УФ излучения из яичной скорлупы при комнатной температуре.</w:t>
      </w:r>
      <w:proofErr w:type="gramEnd"/>
      <w:r>
        <w:rPr>
          <w:rFonts w:ascii="Times New Roman" w:hAnsi="Times New Roman" w:cs="Times New Roman"/>
          <w:sz w:val="28"/>
          <w:szCs w:val="28"/>
        </w:rPr>
        <w:t xml:space="preserve"> Сначала скорлупу </w:t>
      </w:r>
      <w:r>
        <w:rPr>
          <w:rFonts w:ascii="Times New Roman" w:hAnsi="Times New Roman" w:cs="Times New Roman"/>
          <w:sz w:val="28"/>
          <w:szCs w:val="28"/>
        </w:rPr>
        <w:lastRenderedPageBreak/>
        <w:t xml:space="preserve">обрабатывают в шаровых мельницах, а затем подвергают </w:t>
      </w:r>
      <w:proofErr w:type="gramStart"/>
      <w:r>
        <w:rPr>
          <w:rFonts w:ascii="Times New Roman" w:hAnsi="Times New Roman" w:cs="Times New Roman"/>
          <w:sz w:val="28"/>
          <w:szCs w:val="28"/>
        </w:rPr>
        <w:t>УФ-облучению</w:t>
      </w:r>
      <w:proofErr w:type="gramEnd"/>
      <w:r>
        <w:rPr>
          <w:rFonts w:ascii="Times New Roman" w:hAnsi="Times New Roman" w:cs="Times New Roman"/>
          <w:sz w:val="28"/>
          <w:szCs w:val="28"/>
        </w:rPr>
        <w:t xml:space="preserve"> [</w:t>
      </w:r>
      <w:r>
        <w:rPr>
          <w:rFonts w:ascii="Times New Roman" w:eastAsia="Times New Roman" w:hAnsi="Times New Roman" w:cs="Times New Roman"/>
          <w:sz w:val="28"/>
          <w:szCs w:val="28"/>
        </w:rPr>
        <w:t>54</w:t>
      </w:r>
      <w:r>
        <w:rPr>
          <w:rFonts w:ascii="Times New Roman" w:hAnsi="Times New Roman" w:cs="Times New Roman"/>
          <w:sz w:val="28"/>
          <w:szCs w:val="28"/>
        </w:rPr>
        <w:t>].</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Среди множества материалов, используемых в тканевой инженерии, гидроксиапатит занимает особое место благодаря своим биологическим свойствам, таким как высокая биосовместимость, низкая токсичность, отсутствие иммунной и воспалительной реакции и широким возможностям применения.  Помимо уже традиционного использования ГАП для остеогенеза и регенерации костной ткани, появляется сведения о стимулировании этим минералом процесса ранозаживления. В исследованиях Okabayashi и др. и Ribeiro и др. показано, что ГАП ускоряет заживление ран, реэпителизацию, формирование матрикса, улучшает ангиогенез и активирует клеточную миграцию [10, 11].  Доказано, ГАП привлекает макрофаги и фибробласты в область раны, они в свою очередь выделяют ангиогенные факторы (VEGF, FGF), которые стимулируют формирование новых кровеносных сосудов, </w:t>
      </w:r>
      <w:proofErr w:type="gramStart"/>
      <w:r>
        <w:rPr>
          <w:rFonts w:ascii="Times New Roman" w:hAnsi="Times New Roman" w:cs="Times New Roman"/>
          <w:sz w:val="28"/>
          <w:szCs w:val="28"/>
        </w:rPr>
        <w:t>улучшая</w:t>
      </w:r>
      <w:proofErr w:type="gramEnd"/>
      <w:r>
        <w:rPr>
          <w:rFonts w:ascii="Times New Roman" w:hAnsi="Times New Roman" w:cs="Times New Roman"/>
          <w:sz w:val="28"/>
          <w:szCs w:val="28"/>
        </w:rPr>
        <w:t xml:space="preserve"> таким образом кровоснабжение и обеспечивая тканям необходимое количество кислорода и питательных веществ для заживления [67]. В 2021 году было проведено исследование регенеративных свойств ГАП, в котором было показано, что это вещество обладает способностью не только ускорять заживление ран, улучшать ангиогенез и стимулировать миграцию </w:t>
      </w:r>
      <w:proofErr w:type="gramStart"/>
      <w:r>
        <w:rPr>
          <w:rFonts w:ascii="Times New Roman" w:hAnsi="Times New Roman" w:cs="Times New Roman"/>
          <w:sz w:val="28"/>
          <w:szCs w:val="28"/>
        </w:rPr>
        <w:t>клеток</w:t>
      </w:r>
      <w:proofErr w:type="gramEnd"/>
      <w:r>
        <w:rPr>
          <w:rFonts w:ascii="Times New Roman" w:hAnsi="Times New Roman" w:cs="Times New Roman"/>
          <w:sz w:val="28"/>
          <w:szCs w:val="28"/>
        </w:rPr>
        <w:t xml:space="preserve"> но и подавлять рост бактерий. Бактерицидные свойства наночастиц </w:t>
      </w:r>
      <w:proofErr w:type="gramStart"/>
      <w:r>
        <w:rPr>
          <w:rFonts w:ascii="Times New Roman" w:hAnsi="Times New Roman" w:cs="Times New Roman"/>
          <w:sz w:val="28"/>
          <w:szCs w:val="28"/>
        </w:rPr>
        <w:t>ГАП</w:t>
      </w:r>
      <w:proofErr w:type="gramEnd"/>
      <w:r>
        <w:rPr>
          <w:rFonts w:ascii="Times New Roman" w:hAnsi="Times New Roman" w:cs="Times New Roman"/>
          <w:sz w:val="28"/>
          <w:szCs w:val="28"/>
        </w:rPr>
        <w:t xml:space="preserve"> которые обусловлены образованием высокореактивных форм кислорода, таких как OH-, H</w:t>
      </w:r>
      <w:r>
        <w:rPr>
          <w:rFonts w:ascii="Times New Roman" w:hAnsi="Times New Roman" w:cs="Times New Roman"/>
          <w:sz w:val="28"/>
          <w:szCs w:val="28"/>
          <w:vertAlign w:val="subscript"/>
        </w:rPr>
        <w:t>₂</w:t>
      </w:r>
      <w:r>
        <w:rPr>
          <w:rFonts w:ascii="Times New Roman" w:hAnsi="Times New Roman" w:cs="Times New Roman"/>
          <w:sz w:val="28"/>
          <w:szCs w:val="28"/>
        </w:rPr>
        <w:t>O</w:t>
      </w:r>
      <w:r>
        <w:rPr>
          <w:rFonts w:ascii="Times New Roman" w:hAnsi="Times New Roman" w:cs="Times New Roman"/>
          <w:sz w:val="28"/>
          <w:szCs w:val="28"/>
          <w:vertAlign w:val="subscript"/>
        </w:rPr>
        <w:t>₂</w:t>
      </w:r>
      <w:r>
        <w:rPr>
          <w:rFonts w:ascii="Times New Roman" w:hAnsi="Times New Roman" w:cs="Times New Roman"/>
          <w:sz w:val="28"/>
          <w:szCs w:val="28"/>
        </w:rPr>
        <w:t xml:space="preserve"> и O</w:t>
      </w:r>
      <w:r>
        <w:rPr>
          <w:rFonts w:ascii="Times New Roman" w:hAnsi="Times New Roman" w:cs="Times New Roman"/>
          <w:sz w:val="28"/>
          <w:szCs w:val="28"/>
          <w:vertAlign w:val="subscript"/>
        </w:rPr>
        <w:t>₂</w:t>
      </w:r>
      <w:r>
        <w:rPr>
          <w:rFonts w:ascii="Times New Roman" w:hAnsi="Times New Roman" w:cs="Times New Roman"/>
          <w:sz w:val="28"/>
          <w:szCs w:val="28"/>
          <w:vertAlign w:val="superscript"/>
        </w:rPr>
        <w:t>²</w:t>
      </w:r>
      <w:r>
        <w:rPr>
          <w:rFonts w:ascii="Times New Roman" w:hAnsi="Times New Roman" w:cs="Times New Roman"/>
          <w:sz w:val="28"/>
          <w:szCs w:val="28"/>
        </w:rPr>
        <w:t xml:space="preserve">- [68]. Эта информация свидетельствует о том, что в настоящее время свойства ГАП, способствующие заживлению ран, находятся в активной фазе исследования. </w:t>
      </w:r>
      <w:bookmarkStart w:id="4" w:name="_Hlk212626887"/>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1.1.3 </w:t>
      </w:r>
      <w:r>
        <w:rPr>
          <w:rFonts w:ascii="Times New Roman" w:eastAsia="DejaVu Sans" w:hAnsi="Times New Roman" w:cs="Times New Roman"/>
          <w:b/>
          <w:sz w:val="28"/>
          <w:szCs w:val="28"/>
          <w:lang w:eastAsia="zh-CN" w:bidi="hi-IN"/>
        </w:rPr>
        <w:t>MXene</w:t>
      </w:r>
      <w:r>
        <w:rPr>
          <w:rFonts w:ascii="Times New Roman" w:hAnsi="Times New Roman" w:cs="Times New Roman"/>
          <w:b/>
          <w:sz w:val="28"/>
          <w:szCs w:val="28"/>
        </w:rPr>
        <w:t xml:space="preserve"> – новый класс наноантисептиков</w:t>
      </w:r>
      <w:bookmarkEnd w:id="4"/>
    </w:p>
    <w:p w:rsidR="00E17FE1" w:rsidRDefault="00BB58D7">
      <w:pPr>
        <w:spacing w:after="0" w:line="240" w:lineRule="auto"/>
        <w:ind w:firstLine="567"/>
        <w:jc w:val="both"/>
        <w:rPr>
          <w:rFonts w:ascii="Times New Roman" w:hAnsi="Times New Roman" w:cs="Times New Roman"/>
          <w:b/>
          <w:bCs/>
          <w:sz w:val="28"/>
          <w:szCs w:val="28"/>
        </w:rPr>
      </w:pPr>
      <w:r>
        <w:rPr>
          <w:rFonts w:ascii="Times New Roman" w:hAnsi="Times New Roman" w:cs="Times New Roman"/>
          <w:sz w:val="28"/>
          <w:szCs w:val="28"/>
        </w:rPr>
        <w:t>MXenes - это большой класс переходных металлов - карбидов, карбонитридов и нитридов, которые были открыты в 2011 году [</w:t>
      </w:r>
      <w:r>
        <w:rPr>
          <w:rFonts w:ascii="Times New Roman" w:hAnsi="Times New Roman"/>
          <w:sz w:val="28"/>
          <w:szCs w:val="28"/>
        </w:rPr>
        <w:t>69</w:t>
      </w:r>
      <w:r>
        <w:rPr>
          <w:rFonts w:ascii="Times New Roman" w:hAnsi="Times New Roman" w:cs="Times New Roman"/>
          <w:sz w:val="28"/>
          <w:szCs w:val="28"/>
        </w:rPr>
        <w:t>]. Структурная формула MXene описывается как Mn</w:t>
      </w:r>
      <w:r>
        <w:rPr>
          <w:rFonts w:ascii="Cambria Math" w:hAnsi="Cambria Math" w:cs="Cambria Math"/>
          <w:sz w:val="28"/>
          <w:szCs w:val="28"/>
        </w:rPr>
        <w:t>₊₁</w:t>
      </w:r>
      <w:r>
        <w:rPr>
          <w:rFonts w:ascii="Times New Roman" w:hAnsi="Times New Roman" w:cs="Times New Roman"/>
          <w:sz w:val="28"/>
          <w:szCs w:val="28"/>
        </w:rPr>
        <w:t xml:space="preserve">XnTₓ, где M - переходный металл (чаще всего титан, ванадий или ниобий), X - углерод и/или азот, а Tₓ обозначает функциональные группы, такие как –OH, –F и =O, формирующиеся на поверхности в результате процесса травления [70].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синтезе необходимо учитывать множество факторов, поскольку множественные валентные состояния переходных металлов и обилие поверхностных терминаторов могут привести к определенным нестабильностям, таким как атомные вакансии, поры, </w:t>
      </w:r>
      <w:proofErr w:type="gramStart"/>
      <w:r>
        <w:rPr>
          <w:rFonts w:ascii="Times New Roman" w:hAnsi="Times New Roman" w:cs="Times New Roman"/>
          <w:sz w:val="28"/>
          <w:szCs w:val="28"/>
        </w:rPr>
        <w:t>спонтанная</w:t>
      </w:r>
      <w:proofErr w:type="gramEnd"/>
      <w:r>
        <w:rPr>
          <w:rFonts w:ascii="Times New Roman" w:hAnsi="Times New Roman" w:cs="Times New Roman"/>
          <w:sz w:val="28"/>
          <w:szCs w:val="28"/>
        </w:rPr>
        <w:t xml:space="preserve"> интеркаляция ионов и т. д. [</w:t>
      </w:r>
      <w:r>
        <w:rPr>
          <w:rFonts w:ascii="Times New Roman" w:hAnsi="Times New Roman"/>
          <w:sz w:val="28"/>
          <w:szCs w:val="28"/>
        </w:rPr>
        <w:t>71</w:t>
      </w:r>
      <w:r>
        <w:rPr>
          <w:rFonts w:ascii="Times New Roman" w:hAnsi="Times New Roman" w:cs="Times New Roman"/>
          <w:sz w:val="28"/>
          <w:szCs w:val="28"/>
        </w:rPr>
        <w:t>]. В целом их синтез достаточно вариативен. Идея синтеза «сверху вниз» основана на преобразовании объёмного материала в наночастицы посредством физических, химических или механических процессов. В свою очередь, синтез «снизу вверх» основан на «построении» наночастицы на атомном уровне. Хотя метод синтеза сверху вниз имеет преимущество в популярности [</w:t>
      </w:r>
      <w:r>
        <w:rPr>
          <w:rFonts w:ascii="Times New Roman" w:hAnsi="Times New Roman"/>
          <w:sz w:val="28"/>
          <w:szCs w:val="28"/>
        </w:rPr>
        <w:t>72</w:t>
      </w:r>
      <w:r>
        <w:rPr>
          <w:rFonts w:ascii="Times New Roman" w:hAnsi="Times New Roman" w:cs="Times New Roman"/>
          <w:sz w:val="28"/>
          <w:szCs w:val="28"/>
        </w:rPr>
        <w:t xml:space="preserve">], доступны как методы синтеза «сверху вниз», так и «снизу вверх». В процессе синтеза «сверху вниз» </w:t>
      </w:r>
      <w:r>
        <w:rPr>
          <w:rFonts w:ascii="Times New Roman" w:hAnsi="Times New Roman" w:cs="Times New Roman"/>
          <w:sz w:val="28"/>
          <w:szCs w:val="28"/>
        </w:rPr>
        <w:lastRenderedPageBreak/>
        <w:t>исходная MAX-фаза подвергается расслоению, достигаемому за счёт разрыва ван-дер-ваальсовых связей между слоями в результате химических и электрохимических реакций [</w:t>
      </w:r>
      <w:r>
        <w:rPr>
          <w:rFonts w:ascii="Times New Roman" w:hAnsi="Times New Roman"/>
          <w:sz w:val="28"/>
          <w:szCs w:val="28"/>
        </w:rPr>
        <w:t>73</w:t>
      </w:r>
      <w:r>
        <w:rPr>
          <w:rFonts w:ascii="Times New Roman" w:hAnsi="Times New Roman" w:cs="Times New Roman"/>
          <w:sz w:val="28"/>
          <w:szCs w:val="28"/>
        </w:rPr>
        <w:t xml:space="preserve">]. Синтез MXenes сверху вниз проходит три этапа: синтез MAX-фазы, травление слоя A и расслоение многослойного MXene. </w:t>
      </w:r>
    </w:p>
    <w:p w:rsidR="00E17FE1" w:rsidRDefault="00BB58D7">
      <w:pPr>
        <w:spacing w:after="0" w:line="240" w:lineRule="auto"/>
        <w:ind w:firstLine="567"/>
        <w:jc w:val="both"/>
        <w:rPr>
          <w:rFonts w:ascii="Times New Roman" w:hAnsi="Times New Roman" w:cs="Times New Roman"/>
          <w:sz w:val="28"/>
          <w:szCs w:val="28"/>
          <w:highlight w:val="yellow"/>
        </w:rPr>
      </w:pPr>
      <w:r>
        <w:rPr>
          <w:rFonts w:ascii="Times New Roman" w:hAnsi="Times New Roman" w:cs="Times New Roman"/>
          <w:sz w:val="28"/>
          <w:szCs w:val="28"/>
        </w:rPr>
        <w:t>MAX-фазы представляют собой семейство тройных слоистых соединений с формальной стехиометрией M</w:t>
      </w:r>
      <w:r>
        <w:rPr>
          <w:rFonts w:ascii="Times New Roman" w:hAnsi="Times New Roman" w:cs="Times New Roman"/>
          <w:sz w:val="28"/>
          <w:szCs w:val="28"/>
          <w:vertAlign w:val="subscript"/>
        </w:rPr>
        <w:t>n+1</w:t>
      </w:r>
      <w:r>
        <w:rPr>
          <w:rFonts w:ascii="Times New Roman" w:hAnsi="Times New Roman" w:cs="Times New Roman"/>
          <w:sz w:val="28"/>
          <w:szCs w:val="28"/>
        </w:rPr>
        <w:t>AX</w:t>
      </w:r>
      <w:r>
        <w:rPr>
          <w:rFonts w:ascii="Times New Roman" w:hAnsi="Times New Roman" w:cs="Times New Roman"/>
          <w:sz w:val="28"/>
          <w:szCs w:val="28"/>
          <w:vertAlign w:val="subscript"/>
        </w:rPr>
        <w:t>n</w:t>
      </w:r>
      <w:r>
        <w:rPr>
          <w:rFonts w:ascii="Times New Roman" w:hAnsi="Times New Roman" w:cs="Times New Roman"/>
          <w:sz w:val="28"/>
          <w:szCs w:val="28"/>
        </w:rPr>
        <w:t>, где M - переходный металл, A - группа 13-16 элементов, а X - углерод и/или азот [</w:t>
      </w:r>
      <w:r>
        <w:rPr>
          <w:rFonts w:ascii="Times New Roman" w:hAnsi="Times New Roman"/>
          <w:sz w:val="28"/>
          <w:szCs w:val="28"/>
        </w:rPr>
        <w:t>74</w:t>
      </w:r>
      <w:r>
        <w:rPr>
          <w:rFonts w:ascii="Times New Roman" w:hAnsi="Times New Roman" w:cs="Times New Roman"/>
          <w:sz w:val="28"/>
          <w:szCs w:val="28"/>
        </w:rPr>
        <w:t>]. Например, травлением фторводородной кислотой (HF) карбида Ti</w:t>
      </w:r>
      <w:r>
        <w:rPr>
          <w:rFonts w:cs="Times New Roman"/>
          <w:sz w:val="28"/>
          <w:szCs w:val="28"/>
        </w:rPr>
        <w:t>₃</w:t>
      </w:r>
      <w:r>
        <w:rPr>
          <w:rFonts w:ascii="Times New Roman" w:hAnsi="Times New Roman" w:cs="Times New Roman"/>
          <w:sz w:val="28"/>
          <w:szCs w:val="28"/>
        </w:rPr>
        <w:t>AlC</w:t>
      </w:r>
      <w:r>
        <w:rPr>
          <w:rFonts w:cs="Times New Roman"/>
          <w:sz w:val="28"/>
          <w:szCs w:val="28"/>
        </w:rPr>
        <w:t>₂</w:t>
      </w:r>
      <w:r>
        <w:rPr>
          <w:rFonts w:ascii="Times New Roman" w:hAnsi="Times New Roman" w:cs="Times New Roman"/>
          <w:sz w:val="28"/>
          <w:szCs w:val="28"/>
        </w:rPr>
        <w:t xml:space="preserve"> удаляют алюминий (A-слой), в результате образуется карбид Ti</w:t>
      </w:r>
      <w:r>
        <w:rPr>
          <w:rFonts w:ascii="Cambria Math" w:hAnsi="Cambria Math" w:cs="Cambria Math"/>
          <w:sz w:val="28"/>
          <w:szCs w:val="28"/>
        </w:rPr>
        <w:t>₃</w:t>
      </w:r>
      <w:r>
        <w:rPr>
          <w:rFonts w:ascii="Times New Roman" w:hAnsi="Times New Roman" w:cs="Times New Roman"/>
          <w:sz w:val="28"/>
          <w:szCs w:val="28"/>
        </w:rPr>
        <w:t>C</w:t>
      </w:r>
      <w:r>
        <w:rPr>
          <w:rFonts w:ascii="Cambria Math" w:hAnsi="Cambria Math" w:cs="Cambria Math"/>
          <w:sz w:val="28"/>
          <w:szCs w:val="28"/>
        </w:rPr>
        <w:t>₂</w:t>
      </w:r>
      <w:r>
        <w:rPr>
          <w:rFonts w:ascii="Times New Roman" w:hAnsi="Times New Roman" w:cs="Times New Roman"/>
          <w:sz w:val="28"/>
          <w:szCs w:val="28"/>
        </w:rPr>
        <w:t xml:space="preserve"> с поверхностными группами –OH, =O и –F (обозначаемый Ti</w:t>
      </w:r>
      <w:r>
        <w:rPr>
          <w:rFonts w:cs="Times New Roman"/>
          <w:sz w:val="28"/>
          <w:szCs w:val="28"/>
        </w:rPr>
        <w:t>₃</w:t>
      </w:r>
      <w:r>
        <w:rPr>
          <w:rFonts w:ascii="Times New Roman" w:hAnsi="Times New Roman" w:cs="Times New Roman"/>
          <w:sz w:val="28"/>
          <w:szCs w:val="28"/>
        </w:rPr>
        <w:t>C</w:t>
      </w:r>
      <w:r>
        <w:rPr>
          <w:rFonts w:cs="Times New Roman"/>
          <w:sz w:val="28"/>
          <w:szCs w:val="28"/>
        </w:rPr>
        <w:t>₂</w:t>
      </w:r>
      <w:r>
        <w:rPr>
          <w:rFonts w:ascii="Times New Roman" w:hAnsi="Times New Roman" w:cs="Times New Roman"/>
          <w:sz w:val="28"/>
          <w:szCs w:val="28"/>
        </w:rPr>
        <w:t>Tₓ). Полученный материал имеет структуру многослойного «аккордеона», из которого отдельные атомарно тонкие слои MXene затем эксфолиируют механическим ультразвуковым воздействием или с помощью интеркаляторов. Каждый слой MXene толщиной несколько нанометров состоит из двух слоёв металла М, между которыми находится слой атомов углерода или азота (X); при этом поверхность слоёв покрыта функциональными группами (–OH, –O, –F и др.), возникающими в процессе травления. Такая структура придаёт MXene уникальные свойства: большое отношение поверхности к объёму, высокую электронную проводимость, гидрофильность и химическую активность поверхности.  В этом методе жидкофазное травление предполагает использование опасных, токсичных растворов, содержащих плавиковую кислоту (HF). Травление слоя A достигается благодаря слабым металлическим связям элементов MA по сравнению с ионными связями MX, которые остаются нетронутыми травителем. Для успешного травления наиболее подходят слабые связи MA и особенно сильные связи MX, они также требуют наименьшего количества энергии отслаивания [</w:t>
      </w:r>
      <w:r>
        <w:rPr>
          <w:rFonts w:ascii="Times New Roman" w:hAnsi="Times New Roman"/>
          <w:sz w:val="28"/>
          <w:szCs w:val="28"/>
        </w:rPr>
        <w:t>75</w:t>
      </w:r>
      <w:r>
        <w:rPr>
          <w:rFonts w:ascii="Times New Roman" w:hAnsi="Times New Roman" w:cs="Times New Roman"/>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MAX-фазу обычно получают двумя способами. Во-первых, путём приготовления смеси чистых элементарных порошков. Во-вторых, путём комбинирования карбидных/нитридных порошков (MX и/или AX) с дополнительным чистым элементным порошком. Для травления можно использовать HF, а также заменить её менее токсичной смесью HCl (соляной кислоты) и LiF. Такая замена также позволила получить более качественные продукты с меньшим количеством дефектов. Отшелушивание с помощью LiF-HCl способствует равномерному распределению поверхностных групп [76], улучшить термическую стабильность [77], и обеспечивают более легкое расслаивание [78]. В настоящее время существует около 150 доступных вариаций MAX-фаз, что обеспечивает большую гибкость метода «сверху вниз» [79]. Кроме того, метод синтеза существенно влияет на конечный продукт. Даже если полученные </w:t>
      </w:r>
      <w:r>
        <w:rPr>
          <w:rFonts w:ascii="Times New Roman" w:eastAsia="Times New Roman" w:hAnsi="Times New Roman" w:cs="Times New Roman"/>
          <w:sz w:val="28"/>
          <w:szCs w:val="28"/>
          <w:lang w:val="en-US"/>
        </w:rPr>
        <w:t>Mxenes</w:t>
      </w:r>
      <w:r>
        <w:rPr>
          <w:rFonts w:ascii="Times New Roman" w:eastAsia="Times New Roman" w:hAnsi="Times New Roman" w:cs="Times New Roman"/>
          <w:sz w:val="28"/>
          <w:szCs w:val="28"/>
        </w:rPr>
        <w:t xml:space="preserve"> имеют одинаковый атомный состав, структурные и функциональные свойства будут различаться [80]. Жидкофазное отшелушивание в основном используется из-за своей простоты, эффективности, доступности сырья и возможности масштабирования производства. Метод «снизу вверх» позволяет получать </w:t>
      </w:r>
      <w:r>
        <w:rPr>
          <w:rFonts w:ascii="Times New Roman" w:eastAsia="Times New Roman" w:hAnsi="Times New Roman" w:cs="Times New Roman"/>
          <w:sz w:val="28"/>
          <w:szCs w:val="28"/>
        </w:rPr>
        <w:lastRenderedPageBreak/>
        <w:t>однослойные материалы путем прямого синтеза из нескольких прекурсоров, вызывая химические реакции и инкапсулируя методы синтеза, такие как химическое осаждение из паровой фазы (CVD) и влажный химический синтез [81]. Поскольку в этом методе синтез начинается на атомном уровне, обеспечивается лучший контроль морфологии, структуры и поведения MXene. Однако масштабирование с помощью этого метода может оказаться невозможным, поскольку условия реакции, такие как высокая температура, могут быть не соблюдены, что ещё больше снижает качество продукта и эффективность процесса [79].</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Более полные протоколы синтеза MXene были подробно описаны Ю. Гогоци и др. в своей публикации [</w:t>
      </w:r>
      <w:r>
        <w:rPr>
          <w:rFonts w:ascii="Times New Roman" w:eastAsia="Times New Roman" w:hAnsi="Times New Roman" w:cs="Times New Roman"/>
          <w:sz w:val="28"/>
          <w:szCs w:val="28"/>
          <w:highlight w:val="white"/>
        </w:rPr>
        <w:t>82</w:t>
      </w:r>
      <w:r>
        <w:rPr>
          <w:rFonts w:ascii="Times New Roman" w:hAnsi="Times New Roman" w:cs="Times New Roman"/>
          <w:sz w:val="28"/>
          <w:szCs w:val="28"/>
        </w:rPr>
        <w:t xml:space="preserve">]. К настоящему времени синтезировано свыше 30 </w:t>
      </w:r>
      <w:proofErr w:type="gramStart"/>
      <w:r>
        <w:rPr>
          <w:rFonts w:ascii="Times New Roman" w:hAnsi="Times New Roman" w:cs="Times New Roman"/>
          <w:sz w:val="28"/>
          <w:szCs w:val="28"/>
        </w:rPr>
        <w:t>разных</w:t>
      </w:r>
      <w:proofErr w:type="gramEnd"/>
      <w:r>
        <w:rPr>
          <w:rFonts w:ascii="Times New Roman" w:hAnsi="Times New Roman" w:cs="Times New Roman"/>
          <w:sz w:val="28"/>
          <w:szCs w:val="28"/>
        </w:rPr>
        <w:t xml:space="preserve"> MXene (в том числе на основе Ti, V, Nb, Mo и др.), наиболее изученным является карбид титана Ti₃C₂Tₓ. Наиболее изученной является фаза Ti</w:t>
      </w:r>
      <w:r w:rsidR="009E12D9" w:rsidRPr="009E12D9">
        <w:rPr>
          <w:rFonts w:ascii="Times New Roman" w:hAnsi="Times New Roman" w:cs="Times New Roman"/>
          <w:sz w:val="28"/>
          <w:szCs w:val="28"/>
          <w:vertAlign w:val="subscript"/>
        </w:rPr>
        <w:t>3</w:t>
      </w:r>
      <w:r>
        <w:rPr>
          <w:rFonts w:ascii="Times New Roman" w:hAnsi="Times New Roman" w:cs="Times New Roman"/>
          <w:sz w:val="28"/>
          <w:szCs w:val="28"/>
        </w:rPr>
        <w:t>C</w:t>
      </w:r>
      <w:r w:rsidR="009E12D9" w:rsidRPr="009E12D9">
        <w:rPr>
          <w:rFonts w:ascii="Times New Roman" w:hAnsi="Times New Roman" w:cs="Times New Roman"/>
          <w:sz w:val="28"/>
          <w:szCs w:val="28"/>
          <w:vertAlign w:val="subscript"/>
        </w:rPr>
        <w:t>2</w:t>
      </w:r>
      <w:r>
        <w:rPr>
          <w:rFonts w:ascii="Times New Roman" w:hAnsi="Times New Roman" w:cs="Times New Roman"/>
          <w:sz w:val="28"/>
          <w:szCs w:val="28"/>
        </w:rPr>
        <w:t>Tₓ, получаемая путем селективного травления алюминия из Ti</w:t>
      </w:r>
      <w:r w:rsidR="009E12D9" w:rsidRPr="009E12D9">
        <w:rPr>
          <w:rFonts w:ascii="Times New Roman" w:hAnsi="Times New Roman" w:cs="Times New Roman"/>
          <w:sz w:val="28"/>
          <w:szCs w:val="28"/>
          <w:vertAlign w:val="subscript"/>
        </w:rPr>
        <w:t>3</w:t>
      </w:r>
      <w:r>
        <w:rPr>
          <w:rFonts w:ascii="Times New Roman" w:hAnsi="Times New Roman" w:cs="Times New Roman"/>
          <w:sz w:val="28"/>
          <w:szCs w:val="28"/>
        </w:rPr>
        <w:t>AlC</w:t>
      </w:r>
      <w:r w:rsidR="009E12D9" w:rsidRPr="009E12D9">
        <w:rPr>
          <w:rFonts w:ascii="Times New Roman" w:hAnsi="Times New Roman" w:cs="Times New Roman"/>
          <w:sz w:val="28"/>
          <w:szCs w:val="28"/>
          <w:vertAlign w:val="subscript"/>
        </w:rPr>
        <w:t>2</w:t>
      </w:r>
      <w:r>
        <w:rPr>
          <w:rFonts w:ascii="Times New Roman" w:hAnsi="Times New Roman" w:cs="Times New Roman"/>
          <w:sz w:val="28"/>
          <w:szCs w:val="28"/>
        </w:rPr>
        <w:t xml:space="preserve"> в растворе фторводородной кислоты или с использованием смеси LiF и HCl. Альтернативные щадящие методы модификации, такие как использование аммония фторида, исследуются для снижения токсичности процесса [83].</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Физико-химические свойства MXene делают его привлекательным для биомедицинских применений. Наноматериал обладает высокой удельной поверхностью и адсорбционной способностью, может обмениваться ионами и электронами, </w:t>
      </w:r>
      <w:proofErr w:type="gramStart"/>
      <w:r>
        <w:rPr>
          <w:rFonts w:ascii="Times New Roman" w:hAnsi="Times New Roman" w:cs="Times New Roman"/>
          <w:sz w:val="28"/>
          <w:szCs w:val="28"/>
        </w:rPr>
        <w:t>устойчив</w:t>
      </w:r>
      <w:proofErr w:type="gramEnd"/>
      <w:r>
        <w:rPr>
          <w:rFonts w:ascii="Times New Roman" w:hAnsi="Times New Roman" w:cs="Times New Roman"/>
          <w:sz w:val="28"/>
          <w:szCs w:val="28"/>
        </w:rPr>
        <w:t xml:space="preserve"> в водных средах. В отличие от </w:t>
      </w:r>
      <w:proofErr w:type="gramStart"/>
      <w:r>
        <w:rPr>
          <w:rFonts w:ascii="Times New Roman" w:hAnsi="Times New Roman" w:cs="Times New Roman"/>
          <w:sz w:val="28"/>
          <w:szCs w:val="28"/>
        </w:rPr>
        <w:t>гидрофобного</w:t>
      </w:r>
      <w:proofErr w:type="gramEnd"/>
      <w:r>
        <w:rPr>
          <w:rFonts w:ascii="Times New Roman" w:hAnsi="Times New Roman" w:cs="Times New Roman"/>
          <w:sz w:val="28"/>
          <w:szCs w:val="28"/>
        </w:rPr>
        <w:t xml:space="preserve"> графена, поверхности MXene гидрофильны за счёт полярных групп Tₓ, что облегчает диспергирование в воде и биорастворах. </w:t>
      </w:r>
      <w:r>
        <w:rPr>
          <w:rFonts w:ascii="Times New Roman" w:eastAsia="Times New Roman" w:hAnsi="Times New Roman" w:cs="Times New Roman"/>
          <w:sz w:val="28"/>
          <w:szCs w:val="28"/>
        </w:rPr>
        <w:t xml:space="preserve">Гидрофильный характер MXene определяется соотношением гидрофильных (–O и –OH) и гидрофобных (–F) поверхностных терминаторов. Гидрофильная природа MXenes способствует легкому образованию связей с другими веществами. Так </w:t>
      </w:r>
      <w:r>
        <w:rPr>
          <w:rFonts w:ascii="Times New Roman" w:eastAsia="Times New Roman" w:hAnsi="Times New Roman" w:cs="Times New Roman"/>
          <w:sz w:val="28"/>
          <w:szCs w:val="28"/>
          <w:lang w:val="kk-KZ"/>
        </w:rPr>
        <w:t>же</w:t>
      </w:r>
      <w:r>
        <w:rPr>
          <w:rFonts w:ascii="Times New Roman" w:eastAsia="Times New Roman" w:hAnsi="Times New Roman" w:cs="Times New Roman"/>
          <w:sz w:val="28"/>
          <w:szCs w:val="28"/>
        </w:rPr>
        <w:t xml:space="preserve">, композиты MXenes-полимер могут быть разработаны путем удаления воды и групп </w:t>
      </w:r>
      <w:proofErr w:type="gramStart"/>
      <w:r>
        <w:rPr>
          <w:rFonts w:ascii="Times New Roman" w:eastAsia="Times New Roman" w:hAnsi="Times New Roman" w:cs="Times New Roman"/>
          <w:sz w:val="28"/>
          <w:szCs w:val="28"/>
        </w:rPr>
        <w:t>–О</w:t>
      </w:r>
      <w:proofErr w:type="gramEnd"/>
      <w:r>
        <w:rPr>
          <w:rFonts w:ascii="Times New Roman" w:eastAsia="Times New Roman" w:hAnsi="Times New Roman" w:cs="Times New Roman"/>
          <w:sz w:val="28"/>
          <w:szCs w:val="28"/>
        </w:rPr>
        <w:t xml:space="preserve">Н в случае гидрофобных полимеров [77]. Таким образом, поверхностные свойства наноматериала MXene способны способствовать различным биологическим процессам. </w:t>
      </w:r>
      <w:r>
        <w:rPr>
          <w:rFonts w:ascii="Times New Roman" w:hAnsi="Times New Roman" w:cs="Times New Roman"/>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Однако MXenes проявляют нестабильность в жидких условиях и молекулярном кислороде, что ограничивает область их применения [84]. Для решения проблемы потенциальной переукладки и повторной агломерации все больше исследований направлено на модификацию поверхностных терминаторов, поскольку поведение MXenes в значительной степени зависит от взаимодействий, создаваемых поверхностными терминаторами. Например, функциональная группа –F увеличивает гидрофильность, а поверхностные терминаторы –O улучшают фотокаталитическую активность. Слой T чаще всего концентрируется с функциональными группами –O, –OH, –F и/или –Cl, и их можно модифицировать в процессе синтеза [85]. В процессе синтеза сверху вниз травильный реагент будет определять обилие функциональных групп. Поверхностные терминаторы –O и –F становятся </w:t>
      </w:r>
      <w:proofErr w:type="gramStart"/>
      <w:r>
        <w:rPr>
          <w:rFonts w:ascii="Times New Roman" w:eastAsia="Times New Roman" w:hAnsi="Times New Roman" w:cs="Times New Roman"/>
          <w:sz w:val="28"/>
          <w:szCs w:val="28"/>
        </w:rPr>
        <w:t>более обильными</w:t>
      </w:r>
      <w:proofErr w:type="gramEnd"/>
      <w:r>
        <w:rPr>
          <w:rFonts w:ascii="Times New Roman" w:eastAsia="Times New Roman" w:hAnsi="Times New Roman" w:cs="Times New Roman"/>
          <w:sz w:val="28"/>
          <w:szCs w:val="28"/>
        </w:rPr>
        <w:t xml:space="preserve"> после отшелушивания фторидсодержащим травителем, в </w:t>
      </w:r>
      <w:r>
        <w:rPr>
          <w:rFonts w:ascii="Times New Roman" w:eastAsia="Times New Roman" w:hAnsi="Times New Roman" w:cs="Times New Roman"/>
          <w:sz w:val="28"/>
          <w:szCs w:val="28"/>
        </w:rPr>
        <w:lastRenderedPageBreak/>
        <w:t>то время как газовый гидролиз уменьшает количество функциональных групп –F [85]. Другие параметры, такие как концентрация реагентов, продолжительность реакции и последующая обработка, например, термический отжиг и химические реакции, также будут влиять на слой T [86]. Стабильность MXene также зависит от слоя переходного металла с элементом X, поскольку карбиды начинают реагировать с ним при воздействии кислорода, нарушая структурную целостность [85].</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sz w:val="28"/>
          <w:szCs w:val="28"/>
        </w:rPr>
        <w:t>MXenes проявляют металлическую электропроводность, нетипичное свойство для 2D-материалов [76]. Проводимость – один из факторов, способствующих регенерации ран и тканей. Отсюда и высокая эффективность MXenes. Пластинчатая структура и высокая электропроводность MXene обуславливают его использование в биосенсорах и электроактивных имплантатах</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роводимость демонстрирует потенциал для улучшения заживления острых, хронических и инфицированных ран [87]. Кроме того, </w:t>
      </w:r>
      <w:r>
        <w:rPr>
          <w:rFonts w:ascii="Times New Roman" w:eastAsia="Times New Roman" w:hAnsi="Times New Roman" w:cs="Times New Roman"/>
          <w:sz w:val="28"/>
          <w:szCs w:val="28"/>
          <w:lang w:val="en-US"/>
        </w:rPr>
        <w:t>Li</w:t>
      </w:r>
      <w:r>
        <w:rPr>
          <w:rFonts w:ascii="Times New Roman" w:eastAsia="Times New Roman" w:hAnsi="Times New Roman" w:cs="Times New Roman"/>
          <w:sz w:val="28"/>
          <w:szCs w:val="28"/>
        </w:rPr>
        <w:t xml:space="preserve"> и др. связали проводящую природу MXenes с созреванием нейронных цепей и улучшением производительности и интеграции регенерированных нервных тканей [88].</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MXenes также изучались на предмет их антибактериальной активности. </w:t>
      </w:r>
      <w:proofErr w:type="gramStart"/>
      <w:r>
        <w:rPr>
          <w:rFonts w:ascii="Times New Roman" w:hAnsi="Times New Roman" w:cs="Times New Roman"/>
          <w:sz w:val="28"/>
          <w:szCs w:val="28"/>
          <w:lang w:val="en-US"/>
        </w:rPr>
        <w:t>Rasool</w:t>
      </w:r>
      <w:r>
        <w:rPr>
          <w:rFonts w:ascii="Times New Roman" w:hAnsi="Times New Roman" w:cs="Times New Roman"/>
          <w:sz w:val="28"/>
          <w:szCs w:val="28"/>
        </w:rPr>
        <w:t xml:space="preserve"> и др.</w:t>
      </w:r>
      <w:proofErr w:type="gramEnd"/>
      <w:r>
        <w:rPr>
          <w:rFonts w:ascii="Times New Roman" w:hAnsi="Times New Roman" w:cs="Times New Roman"/>
          <w:sz w:val="28"/>
          <w:szCs w:val="28"/>
        </w:rPr>
        <w:t xml:space="preserve"> провели исследование антибактериальной способности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MXenes против кишечной палочки и </w:t>
      </w:r>
      <w:r>
        <w:rPr>
          <w:rFonts w:ascii="Times New Roman" w:hAnsi="Times New Roman" w:cs="Times New Roman"/>
          <w:i/>
          <w:iCs/>
          <w:sz w:val="28"/>
          <w:szCs w:val="28"/>
        </w:rPr>
        <w:t>B. subtilis</w:t>
      </w:r>
      <w:r>
        <w:rPr>
          <w:rFonts w:ascii="Times New Roman" w:hAnsi="Times New Roman" w:cs="Times New Roman"/>
          <w:sz w:val="28"/>
          <w:szCs w:val="28"/>
        </w:rPr>
        <w:t xml:space="preserve">, которые являются </w:t>
      </w:r>
      <w:proofErr w:type="gramStart"/>
      <w:r>
        <w:rPr>
          <w:rFonts w:ascii="Times New Roman" w:hAnsi="Times New Roman" w:cs="Times New Roman"/>
          <w:sz w:val="28"/>
          <w:szCs w:val="28"/>
        </w:rPr>
        <w:t>грам</w:t>
      </w:r>
      <w:proofErr w:type="gramEnd"/>
      <w:r>
        <w:rPr>
          <w:rFonts w:ascii="Times New Roman" w:hAnsi="Times New Roman" w:cs="Times New Roman"/>
          <w:sz w:val="28"/>
          <w:szCs w:val="28"/>
        </w:rPr>
        <w:t xml:space="preserve"> (−) и грам (+) видами бактерий, соответственно [</w:t>
      </w:r>
      <w:r>
        <w:rPr>
          <w:rFonts w:ascii="Times New Roman" w:hAnsi="Times New Roman"/>
          <w:sz w:val="28"/>
          <w:szCs w:val="28"/>
        </w:rPr>
        <w:t>6</w:t>
      </w:r>
      <w:r>
        <w:rPr>
          <w:rFonts w:ascii="Times New Roman" w:hAnsi="Times New Roman" w:cs="Times New Roman"/>
          <w:sz w:val="28"/>
          <w:szCs w:val="28"/>
        </w:rPr>
        <w:t>]. Они наблюдали зависимость антибактериальной активности от дозы и времени и определили, что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ТхMXenes продемонстрировал 99% эффективность при 0,2 кг/м3. Прогрессирование повреждения клеток наблюдалось при концентрации 0,05 кг/м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концентрация MXene, а также 0,1 кг/м</w:t>
      </w:r>
      <w:r>
        <w:rPr>
          <w:rFonts w:ascii="Times New Roman" w:hAnsi="Times New Roman" w:cs="Times New Roman"/>
          <w:sz w:val="28"/>
          <w:szCs w:val="28"/>
          <w:vertAlign w:val="superscript"/>
        </w:rPr>
        <w:t>3</w:t>
      </w:r>
      <w:r>
        <w:rPr>
          <w:rFonts w:ascii="Times New Roman" w:hAnsi="Times New Roman" w:cs="Times New Roman"/>
          <w:sz w:val="28"/>
          <w:szCs w:val="28"/>
        </w:rPr>
        <w:t>, все виды бактерий подверглись лизису клеток. Гидрофильные свойства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MXenes усиливает адгезию к мембранам бактериальных клеток, повреждая их путем образования агломератов. Высокая восстановительная активность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способствует выработке активных форм кислорода (АФК), тем самым увеличивая окислительный стре</w:t>
      </w:r>
      <w:proofErr w:type="gramStart"/>
      <w:r>
        <w:rPr>
          <w:rFonts w:ascii="Times New Roman" w:hAnsi="Times New Roman" w:cs="Times New Roman"/>
          <w:sz w:val="28"/>
          <w:szCs w:val="28"/>
        </w:rPr>
        <w:t>сс в кл</w:t>
      </w:r>
      <w:proofErr w:type="gramEnd"/>
      <w:r>
        <w:rPr>
          <w:rFonts w:ascii="Times New Roman" w:hAnsi="Times New Roman" w:cs="Times New Roman"/>
          <w:sz w:val="28"/>
          <w:szCs w:val="28"/>
        </w:rPr>
        <w:t>етке [</w:t>
      </w:r>
      <w:r>
        <w:rPr>
          <w:rFonts w:ascii="Times New Roman" w:hAnsi="Times New Roman"/>
          <w:sz w:val="28"/>
          <w:szCs w:val="28"/>
        </w:rPr>
        <w:t>6</w:t>
      </w:r>
      <w:r>
        <w:rPr>
          <w:rFonts w:ascii="Times New Roman" w:hAnsi="Times New Roman" w:cs="Times New Roman"/>
          <w:sz w:val="28"/>
          <w:szCs w:val="28"/>
        </w:rPr>
        <w:t xml:space="preserve">]. Обнаружена антимикробная активность в отношении таких стандартных моделей патогенов как </w:t>
      </w:r>
      <w:r>
        <w:rPr>
          <w:rFonts w:ascii="Times New Roman" w:hAnsi="Times New Roman" w:cs="Times New Roman"/>
          <w:i/>
          <w:sz w:val="28"/>
          <w:szCs w:val="28"/>
        </w:rPr>
        <w:t>Escherichia coli</w:t>
      </w:r>
      <w:r>
        <w:rPr>
          <w:rFonts w:ascii="Times New Roman" w:hAnsi="Times New Roman" w:cs="Times New Roman"/>
          <w:sz w:val="28"/>
          <w:szCs w:val="28"/>
        </w:rPr>
        <w:t xml:space="preserve">, </w:t>
      </w:r>
      <w:r>
        <w:rPr>
          <w:rFonts w:ascii="Times New Roman" w:hAnsi="Times New Roman" w:cs="Times New Roman"/>
          <w:i/>
          <w:sz w:val="28"/>
          <w:szCs w:val="28"/>
        </w:rPr>
        <w:t>Staphylococcus aureus</w:t>
      </w:r>
      <w:r>
        <w:rPr>
          <w:rFonts w:ascii="Times New Roman" w:hAnsi="Times New Roman" w:cs="Times New Roman"/>
          <w:sz w:val="28"/>
          <w:szCs w:val="28"/>
        </w:rPr>
        <w:t xml:space="preserve">, </w:t>
      </w:r>
      <w:r>
        <w:rPr>
          <w:rFonts w:ascii="Times New Roman" w:hAnsi="Times New Roman" w:cs="Times New Roman"/>
          <w:i/>
          <w:sz w:val="28"/>
          <w:szCs w:val="28"/>
        </w:rPr>
        <w:t>Bacillus subtilis</w:t>
      </w:r>
      <w:r>
        <w:rPr>
          <w:rFonts w:ascii="Times New Roman" w:hAnsi="Times New Roman" w:cs="Times New Roman"/>
          <w:sz w:val="28"/>
          <w:szCs w:val="28"/>
        </w:rPr>
        <w:t xml:space="preserve">, </w:t>
      </w:r>
      <w:r>
        <w:rPr>
          <w:rFonts w:ascii="Times New Roman" w:hAnsi="Times New Roman" w:cs="Times New Roman"/>
          <w:i/>
          <w:sz w:val="28"/>
          <w:szCs w:val="28"/>
        </w:rPr>
        <w:t>Pseudomonas aeruginosa</w:t>
      </w:r>
      <w:r>
        <w:rPr>
          <w:rFonts w:ascii="Times New Roman" w:hAnsi="Times New Roman" w:cs="Times New Roman"/>
          <w:sz w:val="28"/>
          <w:szCs w:val="28"/>
        </w:rPr>
        <w:t xml:space="preserve">, </w:t>
      </w:r>
      <w:r>
        <w:rPr>
          <w:rFonts w:ascii="Times New Roman" w:hAnsi="Times New Roman" w:cs="Times New Roman"/>
          <w:i/>
          <w:sz w:val="28"/>
          <w:szCs w:val="28"/>
        </w:rPr>
        <w:t>Klebsiella pneumonia</w:t>
      </w:r>
      <w:r>
        <w:rPr>
          <w:rFonts w:ascii="Times New Roman" w:hAnsi="Times New Roman" w:cs="Times New Roman"/>
          <w:sz w:val="28"/>
          <w:szCs w:val="28"/>
        </w:rPr>
        <w:t xml:space="preserve"> и др. [89-91].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 настоящему времени расшифрованы основные биоцидные механизмы: 1) Нано-нож – способны разрезать клеточную стенку бактерий; 2) Генераторы АФК - вызывают окислительный стресс у микроорганизмов; 3) Нанотермические лезвия - инактивация бактерий за счет генерации тепла при воздействии света  [92]. </w:t>
      </w:r>
    </w:p>
    <w:p w:rsidR="00E17FE1" w:rsidRDefault="00E17FE1">
      <w:pPr>
        <w:pStyle w:val="af6"/>
        <w:spacing w:after="0" w:line="240" w:lineRule="auto"/>
        <w:ind w:left="450"/>
        <w:jc w:val="both"/>
        <w:rPr>
          <w:rFonts w:ascii="Times New Roman" w:hAnsi="Times New Roman" w:cs="Times New Roman"/>
          <w:sz w:val="28"/>
          <w:szCs w:val="28"/>
        </w:rPr>
      </w:pPr>
    </w:p>
    <w:p w:rsidR="00E17FE1" w:rsidRDefault="00E17FE1">
      <w:pPr>
        <w:pStyle w:val="af6"/>
        <w:spacing w:after="0" w:line="240" w:lineRule="auto"/>
        <w:ind w:left="450"/>
        <w:jc w:val="both"/>
        <w:rPr>
          <w:rFonts w:ascii="Times New Roman" w:hAnsi="Times New Roman" w:cs="Times New Roman"/>
          <w:sz w:val="28"/>
          <w:szCs w:val="28"/>
        </w:rPr>
      </w:pPr>
    </w:p>
    <w:p w:rsidR="00E17FE1" w:rsidRDefault="00BB58D7">
      <w:pPr>
        <w:pStyle w:val="af6"/>
        <w:spacing w:after="0" w:line="240" w:lineRule="auto"/>
        <w:ind w:left="450"/>
        <w:jc w:val="center"/>
        <w:rPr>
          <w:rStyle w:val="a7"/>
          <w:rFonts w:ascii="Times New Roman" w:hAnsi="Times New Roman" w:cs="Times New Roman"/>
          <w:b w:val="0"/>
          <w:color w:val="282828"/>
          <w:sz w:val="28"/>
          <w:szCs w:val="28"/>
          <w:shd w:val="clear" w:color="auto" w:fill="FFFFFF"/>
        </w:rPr>
      </w:pPr>
      <w:r>
        <w:rPr>
          <w:rFonts w:ascii="Times New Roman" w:hAnsi="Times New Roman" w:cs="Times New Roman"/>
          <w:bCs/>
          <w:noProof/>
          <w:color w:val="282828"/>
          <w:sz w:val="28"/>
          <w:szCs w:val="28"/>
          <w:shd w:val="clear" w:color="auto" w:fill="FFFFFF"/>
          <w:lang w:eastAsia="ru-RU"/>
        </w:rPr>
        <w:lastRenderedPageBreak/>
        <w:drawing>
          <wp:inline distT="0" distB="0" distL="0" distR="0">
            <wp:extent cx="4071620" cy="2746375"/>
            <wp:effectExtent l="19050" t="0" r="5013" b="0"/>
            <wp:docPr id="1436739040" name="Рисунок 1" descr="C:\Users\sava\Desktop\Диссертация\23.06.2025\10.11\d4tb01904k-f8_hi-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739040" name="Рисунок 1" descr="C:\Users\sava\Desktop\Диссертация\23.06.2025\10.11\d4tb01904k-f8_hi-res.gif"/>
                    <pic:cNvPicPr>
                      <a:picLocks noChangeAspect="1" noChangeArrowheads="1"/>
                    </pic:cNvPicPr>
                  </pic:nvPicPr>
                  <pic:blipFill>
                    <a:blip r:embed="rId9" cstate="print"/>
                    <a:srcRect t="10320"/>
                    <a:stretch>
                      <a:fillRect/>
                    </a:stretch>
                  </pic:blipFill>
                  <pic:spPr>
                    <a:xfrm>
                      <a:off x="0" y="0"/>
                      <a:ext cx="4080020" cy="2752030"/>
                    </a:xfrm>
                    <a:prstGeom prst="rect">
                      <a:avLst/>
                    </a:prstGeom>
                    <a:noFill/>
                    <a:ln w="9525">
                      <a:noFill/>
                      <a:miter lim="800000"/>
                      <a:headEnd/>
                      <a:tailEnd/>
                    </a:ln>
                  </pic:spPr>
                </pic:pic>
              </a:graphicData>
            </a:graphic>
          </wp:inline>
        </w:drawing>
      </w:r>
    </w:p>
    <w:p w:rsidR="00E17FE1" w:rsidRDefault="00E17FE1">
      <w:pPr>
        <w:pStyle w:val="af6"/>
        <w:spacing w:after="0" w:line="240" w:lineRule="auto"/>
        <w:ind w:left="450"/>
        <w:jc w:val="center"/>
        <w:rPr>
          <w:rStyle w:val="a7"/>
          <w:rFonts w:ascii="Times New Roman" w:hAnsi="Times New Roman" w:cs="Times New Roman"/>
          <w:color w:val="282828"/>
          <w:sz w:val="28"/>
          <w:szCs w:val="28"/>
          <w:shd w:val="clear" w:color="auto" w:fill="FFFFFF"/>
        </w:rPr>
      </w:pPr>
    </w:p>
    <w:p w:rsidR="00E17FE1" w:rsidRDefault="00BB58D7">
      <w:pPr>
        <w:pStyle w:val="af6"/>
        <w:spacing w:after="0" w:line="240" w:lineRule="auto"/>
        <w:ind w:left="450"/>
        <w:jc w:val="center"/>
        <w:rPr>
          <w:rStyle w:val="a7"/>
          <w:rFonts w:ascii="Times New Roman" w:hAnsi="Times New Roman" w:cs="Times New Roman"/>
          <w:b w:val="0"/>
          <w:bCs w:val="0"/>
          <w:color w:val="282828"/>
          <w:sz w:val="28"/>
          <w:szCs w:val="28"/>
          <w:shd w:val="clear" w:color="auto" w:fill="FFFFFF"/>
        </w:rPr>
      </w:pPr>
      <w:r>
        <w:rPr>
          <w:rStyle w:val="a7"/>
          <w:rFonts w:ascii="Times New Roman" w:hAnsi="Times New Roman" w:cs="Times New Roman"/>
          <w:b w:val="0"/>
          <w:color w:val="282828"/>
          <w:sz w:val="28"/>
          <w:szCs w:val="28"/>
          <w:shd w:val="clear" w:color="auto" w:fill="FFFFFF"/>
        </w:rPr>
        <w:t xml:space="preserve">Рисунок 1 </w:t>
      </w:r>
      <w:r>
        <w:rPr>
          <w:rFonts w:ascii="Times New Roman" w:hAnsi="Times New Roman"/>
          <w:b/>
          <w:bCs/>
          <w:sz w:val="28"/>
          <w:szCs w:val="28"/>
          <w:lang w:eastAsia="zh-CN"/>
        </w:rPr>
        <w:sym w:font="Symbol" w:char="F02D"/>
      </w:r>
      <w:r>
        <w:rPr>
          <w:rFonts w:ascii="Times New Roman" w:hAnsi="Times New Roman"/>
          <w:b/>
          <w:bCs/>
          <w:sz w:val="28"/>
          <w:szCs w:val="28"/>
          <w:lang w:eastAsia="zh-CN"/>
        </w:rPr>
        <w:t xml:space="preserve"> </w:t>
      </w:r>
      <w:r>
        <w:rPr>
          <w:rStyle w:val="a7"/>
          <w:rFonts w:ascii="Times New Roman" w:hAnsi="Times New Roman" w:cs="Times New Roman"/>
          <w:b w:val="0"/>
          <w:color w:val="282828"/>
          <w:sz w:val="28"/>
          <w:szCs w:val="28"/>
          <w:shd w:val="clear" w:color="auto" w:fill="FFFFFF"/>
        </w:rPr>
        <w:t xml:space="preserve">Основные механизмы антимикробного действия </w:t>
      </w:r>
      <w:r>
        <w:rPr>
          <w:rStyle w:val="a7"/>
          <w:rFonts w:ascii="Times New Roman" w:hAnsi="Times New Roman" w:cs="Times New Roman"/>
          <w:b w:val="0"/>
          <w:color w:val="282828"/>
          <w:sz w:val="28"/>
          <w:szCs w:val="28"/>
          <w:shd w:val="clear" w:color="auto" w:fill="FFFFFF"/>
          <w:lang w:val="en-US"/>
        </w:rPr>
        <w:t>MXene</w:t>
      </w:r>
      <w:r>
        <w:rPr>
          <w:rStyle w:val="a7"/>
          <w:rFonts w:ascii="Times New Roman" w:hAnsi="Times New Roman" w:cs="Times New Roman"/>
          <w:b w:val="0"/>
          <w:color w:val="282828"/>
          <w:sz w:val="28"/>
          <w:szCs w:val="28"/>
          <w:shd w:val="clear" w:color="auto" w:fill="FFFFFF"/>
        </w:rPr>
        <w:t xml:space="preserve"> [</w:t>
      </w:r>
      <w:r>
        <w:rPr>
          <w:rFonts w:ascii="Times New Roman" w:hAnsi="Times New Roman" w:cs="Times New Roman"/>
          <w:bCs/>
          <w:sz w:val="28"/>
          <w:szCs w:val="28"/>
          <w:shd w:val="clear" w:color="auto" w:fill="FFFFFF"/>
        </w:rPr>
        <w:t>93</w:t>
      </w:r>
      <w:r>
        <w:rPr>
          <w:rStyle w:val="a7"/>
          <w:rFonts w:ascii="Times New Roman" w:hAnsi="Times New Roman" w:cs="Times New Roman"/>
          <w:b w:val="0"/>
          <w:color w:val="282828"/>
          <w:sz w:val="28"/>
          <w:szCs w:val="28"/>
          <w:shd w:val="clear" w:color="auto" w:fill="FFFFFF"/>
        </w:rPr>
        <w:t>]</w:t>
      </w:r>
    </w:p>
    <w:p w:rsidR="00E17FE1" w:rsidRDefault="00E17FE1">
      <w:pPr>
        <w:pStyle w:val="af6"/>
        <w:spacing w:after="0" w:line="240" w:lineRule="auto"/>
        <w:ind w:left="450"/>
        <w:jc w:val="both"/>
        <w:rPr>
          <w:rFonts w:ascii="Times New Roman" w:hAnsi="Times New Roman" w:cs="Times New Roman"/>
          <w:sz w:val="28"/>
          <w:szCs w:val="28"/>
        </w:rPr>
      </w:pPr>
    </w:p>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hAnsi="Times New Roman" w:cs="Times New Roman"/>
          <w:i/>
          <w:sz w:val="28"/>
          <w:szCs w:val="28"/>
          <w:lang w:val="kk-KZ"/>
        </w:rPr>
        <w:t>Нано</w:t>
      </w:r>
      <w:r>
        <w:rPr>
          <w:rFonts w:ascii="Times New Roman" w:hAnsi="Times New Roman" w:cs="Times New Roman"/>
          <w:i/>
          <w:sz w:val="28"/>
          <w:szCs w:val="28"/>
        </w:rPr>
        <w:t>-нож</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новаторском исследовании антимикробной активности MXenes </w:t>
      </w:r>
      <w:r>
        <w:rPr>
          <w:rFonts w:ascii="Times New Roman" w:hAnsi="Times New Roman" w:cs="Times New Roman"/>
          <w:sz w:val="28"/>
          <w:szCs w:val="28"/>
          <w:lang w:val="en-US"/>
        </w:rPr>
        <w:t>Rasool</w:t>
      </w:r>
      <w:r>
        <w:rPr>
          <w:rFonts w:ascii="Times New Roman" w:hAnsi="Times New Roman" w:cs="Times New Roman"/>
          <w:sz w:val="28"/>
          <w:szCs w:val="28"/>
        </w:rPr>
        <w:t xml:space="preserve"> и др. [6] предположили, что антибактериальный механизм двумерных нанолистов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обусловлен повреждениями, вызванными их острыми краями, называемыми “нано-ножами”.</w:t>
      </w:r>
      <w:proofErr w:type="gramEnd"/>
      <w:r>
        <w:rPr>
          <w:rFonts w:ascii="Times New Roman" w:hAnsi="Times New Roman" w:cs="Times New Roman"/>
          <w:sz w:val="28"/>
          <w:szCs w:val="28"/>
        </w:rPr>
        <w:t xml:space="preserve"> Прямой контакт между MXene и бактериальными клетками разрушает клеточную мембрану бактерий, что приводит к повреждению клеток и их гибели. Используя сканирующую электронную микроскопию (SEM), просвечивающую электронную микроскопию (TEM) и анализы высвобождения лактатдегидрогеназы (LDH), </w:t>
      </w:r>
      <w:r>
        <w:rPr>
          <w:rFonts w:ascii="Times New Roman" w:hAnsi="Times New Roman" w:cs="Times New Roman"/>
          <w:sz w:val="28"/>
          <w:szCs w:val="28"/>
          <w:lang w:val="en-US"/>
        </w:rPr>
        <w:t>Rasool</w:t>
      </w:r>
      <w:r>
        <w:rPr>
          <w:rFonts w:ascii="Times New Roman" w:hAnsi="Times New Roman" w:cs="Times New Roman"/>
          <w:sz w:val="28"/>
          <w:szCs w:val="28"/>
        </w:rPr>
        <w:t xml:space="preserve"> подтвердил, что прямой контакт с MXenes вызывает повреждение мембран и высвобождение клеточного содержимого [6]. Было обнаружено, что антибактериальная активность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MXene зависит от концентрации, при этом 200 мкг/мл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приводит к потере жизнеспособности бактериальных клеток более чем на 98 % после 4-часового воздействия. При более высоких концентрациях MXene бактерии попадали в ловушку или инкапсулировались в тонкие чешуйки MXene, образуя агрегаты [6]. Shamsabadi и др. [94] провели подробное исследование антибактериального механизма нанолистов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сосредоточив внимание на повреждении клеточных стенок бактерий их острыми краями. Используя анализ серийных разведений, они продемонстрировали, что прямое физическое взаимодействие между острыми краями нанолистов и бактериальной мембраной является ключом к их антибактериальным свойствам. Нанолисты MXene за короткий промежуток времени вызвали значительное повреждение бактериальных клеток, что привело к высвобождению бактериальной ДНК и диспергированию клеток. На антибактериальную активность влияли поперечный размер нанолистов и время воздействия, при этом нанолисты меньшего размера демонстрировали более высокую эффективность против </w:t>
      </w:r>
      <w:r>
        <w:rPr>
          <w:rFonts w:ascii="Times New Roman" w:hAnsi="Times New Roman" w:cs="Times New Roman"/>
          <w:i/>
          <w:sz w:val="28"/>
          <w:szCs w:val="28"/>
        </w:rPr>
        <w:t>E. coli</w:t>
      </w:r>
      <w:r>
        <w:rPr>
          <w:rFonts w:ascii="Times New Roman" w:hAnsi="Times New Roman" w:cs="Times New Roman"/>
          <w:sz w:val="28"/>
          <w:szCs w:val="28"/>
        </w:rPr>
        <w:t xml:space="preserve"> и </w:t>
      </w:r>
      <w:r>
        <w:rPr>
          <w:rFonts w:ascii="Times New Roman" w:hAnsi="Times New Roman" w:cs="Times New Roman"/>
          <w:i/>
          <w:sz w:val="28"/>
          <w:szCs w:val="28"/>
        </w:rPr>
        <w:t>B. subtilis</w:t>
      </w:r>
      <w:r>
        <w:rPr>
          <w:rFonts w:ascii="Times New Roman" w:hAnsi="Times New Roman" w:cs="Times New Roman"/>
          <w:sz w:val="28"/>
          <w:szCs w:val="28"/>
        </w:rPr>
        <w:t xml:space="preserve">. Предполагаемый антибактериальный механизм </w:t>
      </w:r>
      <w:r>
        <w:rPr>
          <w:rFonts w:ascii="Times New Roman" w:hAnsi="Times New Roman" w:cs="Times New Roman"/>
          <w:sz w:val="28"/>
          <w:szCs w:val="28"/>
        </w:rPr>
        <w:lastRenderedPageBreak/>
        <w:t>предполагает, что острые края нанолистов толщиной около 1 нм проникают через бактериальную мембрану, толщина которой составляет около 20-50 нм. Нанолисты меньшего размера могут проникать через прямое физическое взаимодействие или эндоцитоз, что приводит к фрагментации ДНК и гибели клеток. Исследование также показало, что нанолисты MXene вызывают значительное окислительное повреждение грамположительных бактерий (</w:t>
      </w:r>
      <w:r>
        <w:rPr>
          <w:rFonts w:ascii="Times New Roman" w:hAnsi="Times New Roman" w:cs="Times New Roman"/>
          <w:i/>
          <w:sz w:val="28"/>
          <w:szCs w:val="28"/>
        </w:rPr>
        <w:t>B. subtilis</w:t>
      </w:r>
      <w:r>
        <w:rPr>
          <w:rFonts w:ascii="Times New Roman" w:hAnsi="Times New Roman" w:cs="Times New Roman"/>
          <w:sz w:val="28"/>
          <w:szCs w:val="28"/>
        </w:rPr>
        <w:t>), в то время как двухслойная мембрана грамотрицательных бактерий (</w:t>
      </w:r>
      <w:r>
        <w:rPr>
          <w:rFonts w:ascii="Times New Roman" w:hAnsi="Times New Roman" w:cs="Times New Roman"/>
          <w:i/>
          <w:sz w:val="28"/>
          <w:szCs w:val="28"/>
        </w:rPr>
        <w:t>E. coli</w:t>
      </w:r>
      <w:r>
        <w:rPr>
          <w:rFonts w:ascii="Times New Roman" w:hAnsi="Times New Roman" w:cs="Times New Roman"/>
          <w:sz w:val="28"/>
          <w:szCs w:val="28"/>
        </w:rPr>
        <w:t xml:space="preserve">) обеспечивает повышенную устойчивость. </w:t>
      </w:r>
    </w:p>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Наряду с острыми концами, другие элементы также имеют решающее значение для антибактериальной активности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которая включает в себя: 1) высокую гидрофильность и негативную природу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что увеличивает скорость прямого уничтожения бактерий путем их инактивации; 2) Н-связывание между оксигенатными группами Mxene и липополисахаридными внешней мембраны грамотрицательных бактерий, что останавливает питание бактерий.</w:t>
      </w:r>
    </w:p>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hAnsi="Times New Roman" w:cs="Times New Roman"/>
          <w:i/>
          <w:sz w:val="28"/>
          <w:szCs w:val="28"/>
        </w:rPr>
        <w:t>Генераторы АФК</w:t>
      </w:r>
      <w:r>
        <w:rPr>
          <w:rFonts w:ascii="Times New Roman" w:hAnsi="Times New Roman" w:cs="Times New Roman"/>
          <w:sz w:val="28"/>
          <w:szCs w:val="28"/>
        </w:rPr>
        <w:t xml:space="preserve">. Активные формы кислорода (АФК) — это высокореактивные молекулы кислорода с неспаренными электронами, которые могут убивать бактерии [95], вызывают гибель бактерий несколькими путями, включая повреждение ДНК, нарушение обмена веществ и нарушение дыхательной цепи. Ключевые типы АФК включают супероксид-анион-радикалы, пероксид водорода, синглетный кислород и гидроксильные радикалы. MXenes, </w:t>
      </w:r>
      <w:proofErr w:type="gramStart"/>
      <w:r>
        <w:rPr>
          <w:rFonts w:ascii="Times New Roman" w:hAnsi="Times New Roman" w:cs="Times New Roman"/>
          <w:sz w:val="28"/>
          <w:szCs w:val="28"/>
        </w:rPr>
        <w:t>обладающие</w:t>
      </w:r>
      <w:proofErr w:type="gramEnd"/>
      <w:r>
        <w:rPr>
          <w:rFonts w:ascii="Times New Roman" w:hAnsi="Times New Roman" w:cs="Times New Roman"/>
          <w:sz w:val="28"/>
          <w:szCs w:val="28"/>
        </w:rPr>
        <w:t xml:space="preserve"> богатыми электронными свойствами, служат генераторами АФК, способствуя уничтожению бактерий в результате окислительного стресса [</w:t>
      </w:r>
      <w:r>
        <w:rPr>
          <w:rFonts w:ascii="Times New Roman" w:hAnsi="Times New Roman"/>
          <w:sz w:val="28"/>
          <w:szCs w:val="28"/>
        </w:rPr>
        <w:t>96</w:t>
      </w:r>
      <w:r>
        <w:rPr>
          <w:rFonts w:ascii="Times New Roman" w:hAnsi="Times New Roman" w:cs="Times New Roman"/>
          <w:sz w:val="28"/>
          <w:szCs w:val="28"/>
        </w:rPr>
        <w:t>]. Активные центры Ti-O на нанолистах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способствуют образованию электронно-дырочных пар под действием светового излучения. Поверхностные окончания и хорошая проводимость MXenes предотвращают рекомбинацию электронов и дырок, усиливая фотокаталитическую активность и генерацию АФК. Такие факторы, как количество слоев MXene, расположение нанолистов, размер, дефекты и легирование, влияют на генерацию АФК [97]. Свет необходим для эффективного производства АФК, поскольку в темноте генерация ограничена. При рентгеновском облучении нанолисты MXene демонстрируют более </w:t>
      </w:r>
      <w:proofErr w:type="gramStart"/>
      <w:r>
        <w:rPr>
          <w:rFonts w:ascii="Times New Roman" w:hAnsi="Times New Roman" w:cs="Times New Roman"/>
          <w:sz w:val="28"/>
          <w:szCs w:val="28"/>
        </w:rPr>
        <w:t>высокую</w:t>
      </w:r>
      <w:proofErr w:type="gramEnd"/>
      <w:r>
        <w:rPr>
          <w:rFonts w:ascii="Times New Roman" w:hAnsi="Times New Roman" w:cs="Times New Roman"/>
          <w:sz w:val="28"/>
          <w:szCs w:val="28"/>
        </w:rPr>
        <w:t xml:space="preserve"> радиочувствительность по сравнению с оксидом графена (GO), с более высокой внутриклеточной выработкой АФК (MX = 75,2 %, GO = 65,2 %) [98]. Кроме того, тип и дозировка MXenes влияют на уровень АФК. Исследования </w:t>
      </w:r>
      <w:r>
        <w:rPr>
          <w:rFonts w:ascii="Times New Roman" w:hAnsi="Times New Roman" w:cs="Times New Roman"/>
          <w:i/>
          <w:sz w:val="28"/>
          <w:szCs w:val="28"/>
        </w:rPr>
        <w:t>in vitro</w:t>
      </w:r>
      <w:r>
        <w:rPr>
          <w:rFonts w:ascii="Times New Roman" w:hAnsi="Times New Roman" w:cs="Times New Roman"/>
          <w:sz w:val="28"/>
          <w:szCs w:val="28"/>
        </w:rPr>
        <w:t xml:space="preserve"> показали, что нанолисты Nb</w:t>
      </w:r>
      <w:r>
        <w:rPr>
          <w:rFonts w:ascii="Times New Roman" w:hAnsi="Times New Roman" w:cs="Times New Roman"/>
          <w:sz w:val="28"/>
          <w:szCs w:val="28"/>
          <w:vertAlign w:val="subscript"/>
        </w:rPr>
        <w:t>2</w:t>
      </w:r>
      <w:r>
        <w:rPr>
          <w:rFonts w:ascii="Times New Roman" w:hAnsi="Times New Roman" w:cs="Times New Roman"/>
          <w:sz w:val="28"/>
          <w:szCs w:val="28"/>
        </w:rPr>
        <w:t xml:space="preserve">C проявляют эффективную фототермическую антибактериальную активность в ближнем инфракрасном диапазоне (NIR) против </w:t>
      </w:r>
      <w:r>
        <w:rPr>
          <w:rFonts w:ascii="Times New Roman" w:hAnsi="Times New Roman" w:cs="Times New Roman"/>
          <w:i/>
          <w:sz w:val="28"/>
          <w:szCs w:val="28"/>
        </w:rPr>
        <w:t>S. aureus</w:t>
      </w:r>
      <w:r>
        <w:rPr>
          <w:rFonts w:ascii="Times New Roman" w:hAnsi="Times New Roman" w:cs="Times New Roman"/>
          <w:sz w:val="28"/>
          <w:szCs w:val="28"/>
        </w:rPr>
        <w:t xml:space="preserve"> и </w:t>
      </w:r>
      <w:r>
        <w:rPr>
          <w:rFonts w:ascii="Times New Roman" w:hAnsi="Times New Roman" w:cs="Times New Roman"/>
          <w:i/>
          <w:sz w:val="28"/>
          <w:szCs w:val="28"/>
        </w:rPr>
        <w:t>E. coli</w:t>
      </w:r>
      <w:r>
        <w:rPr>
          <w:rFonts w:ascii="Times New Roman" w:hAnsi="Times New Roman" w:cs="Times New Roman"/>
          <w:sz w:val="28"/>
          <w:szCs w:val="28"/>
        </w:rPr>
        <w:t xml:space="preserve">, что объясняется окислительным повреждением мембран бактериальных клеток АФК, </w:t>
      </w:r>
      <w:proofErr w:type="gramStart"/>
      <w:r>
        <w:rPr>
          <w:rFonts w:ascii="Times New Roman" w:hAnsi="Times New Roman" w:cs="Times New Roman"/>
          <w:sz w:val="28"/>
          <w:szCs w:val="28"/>
        </w:rPr>
        <w:t>генерируемыми</w:t>
      </w:r>
      <w:proofErr w:type="gramEnd"/>
      <w:r>
        <w:rPr>
          <w:rFonts w:ascii="Times New Roman" w:hAnsi="Times New Roman" w:cs="Times New Roman"/>
          <w:sz w:val="28"/>
          <w:szCs w:val="28"/>
        </w:rPr>
        <w:t xml:space="preserve"> MXenes [99]. Более того, некоторые MXenes способны разрушать внутриклеточный глутатион (GSH), важнейший антиоксидант, который защищает бактерии от АФК. Истощение запасов GSH еще больше усугубляет окислительный стресс в бактериальных клетках, </w:t>
      </w:r>
      <w:r>
        <w:rPr>
          <w:rFonts w:ascii="Times New Roman" w:hAnsi="Times New Roman" w:cs="Times New Roman"/>
          <w:sz w:val="28"/>
          <w:szCs w:val="28"/>
        </w:rPr>
        <w:lastRenderedPageBreak/>
        <w:t>усиливая повреждения, вызванные АФК, и повышая антибактериальную эффективность [100].</w:t>
      </w:r>
    </w:p>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hAnsi="Times New Roman" w:cs="Times New Roman"/>
          <w:i/>
          <w:sz w:val="28"/>
          <w:szCs w:val="28"/>
        </w:rPr>
        <w:t>Нанотермические лезвия</w:t>
      </w:r>
      <w:r>
        <w:rPr>
          <w:rFonts w:ascii="Times New Roman" w:hAnsi="Times New Roman" w:cs="Times New Roman"/>
          <w:sz w:val="28"/>
          <w:szCs w:val="28"/>
        </w:rPr>
        <w:t>. В связи с высокой способностью MXene к фототермическому преобразованию энергии, была выдвинута гипотеза, что одним из процессов, лежащих в основе их биоцидной активности, является способность убивать бактерии фототермическим путем при воздействии света [101]. Этот антибактериальный механизм в первую очередь обусловлен способностью МХе</w:t>
      </w:r>
      <w:proofErr w:type="gramStart"/>
      <w:r>
        <w:rPr>
          <w:rFonts w:ascii="Times New Roman" w:hAnsi="Times New Roman" w:cs="Times New Roman"/>
          <w:sz w:val="28"/>
          <w:szCs w:val="28"/>
          <w:lang w:val="en-US"/>
        </w:rPr>
        <w:t>nes</w:t>
      </w:r>
      <w:proofErr w:type="gramEnd"/>
      <w:r>
        <w:rPr>
          <w:rFonts w:ascii="Times New Roman" w:hAnsi="Times New Roman" w:cs="Times New Roman"/>
          <w:sz w:val="28"/>
          <w:szCs w:val="28"/>
        </w:rPr>
        <w:t xml:space="preserve"> эффективно поглощать ближний инфракрасный свет (800-1500 нм) и преобразовывать его в тепло посредством поверхностного плазмонного резонанса или межзонных переходов, в зависимости от их металлической или полупроводниковой природы. При облучении ближним инфракрасным светом MXenes с высокой фототермической эффективностью выделяют тепло, нанося серьезный ущерб близлежащим бактериальным клеткам. Клеточная мембрана бактерий, состоящая из липидов, белков и полисахаридов, очень чувствительна к изменениям проницаемости, вызванным нагревом, и нарушениям внутриклеточного гомеостаза. Нагревание также может вызывать денатурацию ДНК и белков, что приводит к инактивации бактерий [102]. В частности, повышенные температуры (≥50-60°C) нарушают текучесть липидного бислоя, денатурируют мембранные белки и вызывают утечку цитоплазматического содержимого. Одновременно внутриклеточные белки и ферменты теряют структурную целостность, а нуклеиновые кислоты подвергаются необратимому повреждению, снижающему жизнеспособность микроорганизмов. Концепция “нанотермических лезвий” описывает двойное антибактериальное действие MXenes, которое заключается как в их острых краях, так и в выделении тепла. Экспериментальное моделирование и молекулярная динамика показали, что </w:t>
      </w:r>
      <w:proofErr w:type="gramStart"/>
      <w:r>
        <w:rPr>
          <w:rFonts w:ascii="Times New Roman" w:hAnsi="Times New Roman" w:cs="Times New Roman"/>
          <w:sz w:val="28"/>
          <w:szCs w:val="28"/>
        </w:rPr>
        <w:t>гидрофильные</w:t>
      </w:r>
      <w:proofErr w:type="gramEnd"/>
      <w:r>
        <w:rPr>
          <w:rFonts w:ascii="Times New Roman" w:hAnsi="Times New Roman" w:cs="Times New Roman"/>
          <w:sz w:val="28"/>
          <w:szCs w:val="28"/>
        </w:rPr>
        <w:t xml:space="preserve"> нанолисты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 xml:space="preserve"> MXenes могут проникать через </w:t>
      </w:r>
      <w:r>
        <w:rPr>
          <w:rFonts w:ascii="Times New Roman" w:hAnsi="Times New Roman" w:cs="Times New Roman"/>
          <w:sz w:val="28"/>
          <w:szCs w:val="28"/>
          <w:shd w:val="clear" w:color="auto" w:fill="FFFFFF" w:themeFill="background1"/>
        </w:rPr>
        <w:t>гидрофобную липидную мембрану бактерий [103]. По сравнению с другими наноматериалами, такими как наночастицы золота, углеродные нанотрубки</w:t>
      </w:r>
      <w:r>
        <w:rPr>
          <w:rFonts w:ascii="Times New Roman" w:hAnsi="Times New Roman" w:cs="Times New Roman"/>
          <w:sz w:val="28"/>
          <w:szCs w:val="28"/>
        </w:rPr>
        <w:t xml:space="preserve"> и графен, MXenes требуется больше энергии для проникновения через клеточную мембрану из-за их более высокой гидрофильности и большей площади контакта. Сильные ван-дер-ваальсовые и водородные связи усиливают адгезию MXene к клеточной мембране, способствуя </w:t>
      </w:r>
      <w:proofErr w:type="gramStart"/>
      <w:r>
        <w:rPr>
          <w:rFonts w:ascii="Times New Roman" w:hAnsi="Times New Roman" w:cs="Times New Roman"/>
          <w:sz w:val="28"/>
          <w:szCs w:val="28"/>
        </w:rPr>
        <w:t>значительному</w:t>
      </w:r>
      <w:proofErr w:type="gramEnd"/>
      <w:r>
        <w:rPr>
          <w:rFonts w:ascii="Times New Roman" w:hAnsi="Times New Roman" w:cs="Times New Roman"/>
          <w:sz w:val="28"/>
          <w:szCs w:val="28"/>
        </w:rPr>
        <w:t xml:space="preserve"> теплопередаче при световом облучении. Такая теплопередача повышает температуру мембраны, </w:t>
      </w:r>
      <w:proofErr w:type="gramStart"/>
      <w:r>
        <w:rPr>
          <w:rFonts w:ascii="Times New Roman" w:hAnsi="Times New Roman" w:cs="Times New Roman"/>
          <w:sz w:val="28"/>
          <w:szCs w:val="28"/>
        </w:rPr>
        <w:t>нарушая ее целостность и приводит</w:t>
      </w:r>
      <w:proofErr w:type="gramEnd"/>
      <w:r>
        <w:rPr>
          <w:rFonts w:ascii="Times New Roman" w:hAnsi="Times New Roman" w:cs="Times New Roman"/>
          <w:sz w:val="28"/>
          <w:szCs w:val="28"/>
        </w:rPr>
        <w:t xml:space="preserve"> к гибели клеток. В некоторых случаях фототермический процесс может также сопровождаться образованием АФК, что еще больше усугубляет повреждение бактерий в результате окислительного стресса [104].</w:t>
      </w:r>
    </w:p>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MXene демонстрирует синергетические антимикробные </w:t>
      </w:r>
      <w:proofErr w:type="gramStart"/>
      <w:r>
        <w:rPr>
          <w:rFonts w:ascii="Times New Roman" w:hAnsi="Times New Roman" w:cs="Times New Roman"/>
          <w:sz w:val="28"/>
          <w:szCs w:val="28"/>
        </w:rPr>
        <w:t>свойства</w:t>
      </w:r>
      <w:proofErr w:type="gramEnd"/>
      <w:r>
        <w:rPr>
          <w:rFonts w:ascii="Times New Roman" w:hAnsi="Times New Roman" w:cs="Times New Roman"/>
          <w:sz w:val="28"/>
          <w:szCs w:val="28"/>
        </w:rPr>
        <w:t xml:space="preserve"> как благодаря химическому, так и физическому воздействию. Острые края нанолистов MXene, которые используются в качестве нано-ножей, обеспечивают прямой физический контакт с микробными мембранами, что приводит к разрыву мембран бактериальных клеток и утечке цитоплазмы. Кроме того, </w:t>
      </w:r>
      <w:proofErr w:type="gramStart"/>
      <w:r>
        <w:rPr>
          <w:rFonts w:ascii="Times New Roman" w:hAnsi="Times New Roman" w:cs="Times New Roman"/>
          <w:sz w:val="28"/>
          <w:szCs w:val="28"/>
        </w:rPr>
        <w:t>химическая</w:t>
      </w:r>
      <w:proofErr w:type="gramEnd"/>
      <w:r>
        <w:rPr>
          <w:rFonts w:ascii="Times New Roman" w:hAnsi="Times New Roman" w:cs="Times New Roman"/>
          <w:sz w:val="28"/>
          <w:szCs w:val="28"/>
        </w:rPr>
        <w:t xml:space="preserve"> инактивация бактерий облегчается фототермическим </w:t>
      </w:r>
      <w:r>
        <w:rPr>
          <w:rFonts w:ascii="Times New Roman" w:hAnsi="Times New Roman" w:cs="Times New Roman"/>
          <w:sz w:val="28"/>
          <w:szCs w:val="28"/>
        </w:rPr>
        <w:lastRenderedPageBreak/>
        <w:t>эффектом MXenes и образованием активных форм кислорода (АФК). В совокупности эти механизмы обеспечивают превосходные бактерицидные свойства нанолистов MXene.</w:t>
      </w:r>
    </w:p>
    <w:p w:rsidR="00E17FE1" w:rsidRDefault="00E17FE1">
      <w:pPr>
        <w:pStyle w:val="af6"/>
        <w:spacing w:after="0" w:line="240" w:lineRule="auto"/>
        <w:ind w:left="0" w:firstLine="567"/>
        <w:jc w:val="both"/>
        <w:rPr>
          <w:rFonts w:ascii="Times New Roman" w:hAnsi="Times New Roman" w:cs="Times New Roman"/>
          <w:sz w:val="28"/>
          <w:szCs w:val="28"/>
        </w:rPr>
      </w:pPr>
    </w:p>
    <w:p w:rsidR="00E17FE1" w:rsidRDefault="00BB58D7">
      <w:pPr>
        <w:pStyle w:val="af6"/>
        <w:spacing w:after="0" w:line="240" w:lineRule="auto"/>
        <w:ind w:left="0" w:firstLine="567"/>
        <w:jc w:val="both"/>
        <w:rPr>
          <w:rFonts w:ascii="Times New Roman" w:hAnsi="Times New Roman" w:cs="Times New Roman"/>
          <w:b/>
          <w:bCs/>
          <w:sz w:val="28"/>
          <w:szCs w:val="28"/>
        </w:rPr>
      </w:pPr>
      <w:bookmarkStart w:id="5" w:name="_Hlk212635459"/>
      <w:r>
        <w:rPr>
          <w:rFonts w:ascii="Times New Roman" w:hAnsi="Times New Roman" w:cs="Times New Roman"/>
          <w:b/>
          <w:bCs/>
          <w:sz w:val="28"/>
          <w:szCs w:val="28"/>
        </w:rPr>
        <w:t>1.2 Биомедицинские применения нанокомпозитов из бактериальной целлюлозы, функционализированной ГАП или MXenes</w:t>
      </w:r>
    </w:p>
    <w:bookmarkEnd w:id="5"/>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Создание передовых материалов для биомедицинских применений в последние годы сосредоточено на исследованиях, направленных на улучшение терапевтических результатов в различных областях медицины. Среди передовых материалов для биомедицинского применения выделяются бактериальная целлюлоза, гидроксиапатит и MXene благодаря своим исключительным свойствам и многофункциональному применению. Нановолокнистая структура и водоудерживающие свойства бактериальной целлюлозы делают её идеальным материалом для регенеративной медицины. Гидроксиапатит функционирует как естественный структурный элемент кости, способствующий остеоинтеграции с биологическими сигналами, в то время как MXene, как новые двумерные материалы, обеспечивают электропроводность и фототермическую эффективность для различных целей. Основная информация об имеющихся разработках таких материалов и их биомедицинском применении суммирована в таблице 1.</w:t>
      </w:r>
    </w:p>
    <w:p w:rsidR="00E17FE1" w:rsidRDefault="00E17FE1">
      <w:pPr>
        <w:spacing w:after="0" w:line="240" w:lineRule="auto"/>
        <w:jc w:val="both"/>
        <w:rPr>
          <w:rFonts w:ascii="Times New Roman" w:hAnsi="Times New Roman" w:cs="Times New Roman"/>
          <w:sz w:val="28"/>
          <w:szCs w:val="28"/>
          <w:highlight w:val="yellow"/>
        </w:rPr>
      </w:pPr>
    </w:p>
    <w:p w:rsidR="00E17FE1" w:rsidRDefault="00BB58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1 </w:t>
      </w:r>
      <w:r>
        <w:rPr>
          <w:rFonts w:ascii="Times New Roman" w:hAnsi="Times New Roman" w:cs="Times New Roman"/>
          <w:sz w:val="28"/>
          <w:szCs w:val="28"/>
        </w:rPr>
        <w:sym w:font="Symbol" w:char="F02D"/>
      </w:r>
      <w:r>
        <w:rPr>
          <w:rFonts w:ascii="Times New Roman" w:hAnsi="Times New Roman" w:cs="Times New Roman"/>
          <w:sz w:val="28"/>
          <w:szCs w:val="28"/>
        </w:rPr>
        <w:t xml:space="preserve"> Композиты на основе БЦ, ГАП и MXene для регенерации ран и костной ткани</w:t>
      </w:r>
    </w:p>
    <w:p w:rsidR="00E17FE1" w:rsidRDefault="00E17FE1">
      <w:pPr>
        <w:pStyle w:val="af6"/>
        <w:spacing w:after="0" w:line="240" w:lineRule="auto"/>
        <w:ind w:left="450" w:firstLine="270"/>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3"/>
        <w:gridCol w:w="2219"/>
        <w:gridCol w:w="1418"/>
        <w:gridCol w:w="1984"/>
        <w:gridCol w:w="1701"/>
        <w:gridCol w:w="865"/>
      </w:tblGrid>
      <w:tr w:rsidR="00E17FE1" w:rsidTr="004764F9">
        <w:tc>
          <w:tcPr>
            <w:tcW w:w="1183" w:type="dxa"/>
            <w:noWrap/>
          </w:tcPr>
          <w:p w:rsidR="00E17FE1" w:rsidRDefault="00BB58D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Композит</w:t>
            </w:r>
          </w:p>
        </w:tc>
        <w:tc>
          <w:tcPr>
            <w:tcW w:w="2219" w:type="dxa"/>
            <w:noWrap/>
          </w:tcPr>
          <w:p w:rsidR="00E17FE1" w:rsidRDefault="00BB58D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Синтез</w:t>
            </w:r>
          </w:p>
        </w:tc>
        <w:tc>
          <w:tcPr>
            <w:tcW w:w="1418" w:type="dxa"/>
            <w:noWrap/>
          </w:tcPr>
          <w:p w:rsidR="00E17FE1" w:rsidRDefault="00BB58D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Применение</w:t>
            </w:r>
          </w:p>
        </w:tc>
        <w:tc>
          <w:tcPr>
            <w:tcW w:w="1984" w:type="dxa"/>
            <w:noWrap/>
          </w:tcPr>
          <w:p w:rsidR="00E17FE1" w:rsidRDefault="00BB58D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Эффект</w:t>
            </w:r>
          </w:p>
        </w:tc>
        <w:tc>
          <w:tcPr>
            <w:tcW w:w="1701" w:type="dxa"/>
            <w:noWrap/>
          </w:tcPr>
          <w:p w:rsidR="00E17FE1" w:rsidRDefault="00BB58D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Характер инновации</w:t>
            </w:r>
          </w:p>
        </w:tc>
        <w:tc>
          <w:tcPr>
            <w:tcW w:w="865" w:type="dxa"/>
            <w:noWrap/>
          </w:tcPr>
          <w:p w:rsidR="00E17FE1" w:rsidRDefault="00BB58D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Источник</w:t>
            </w:r>
          </w:p>
        </w:tc>
      </w:tr>
      <w:tr w:rsidR="00E17FE1" w:rsidTr="004764F9">
        <w:tc>
          <w:tcPr>
            <w:tcW w:w="1183"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AgNP /БЦ/ГАП гидрогель</w:t>
            </w:r>
          </w:p>
        </w:tc>
        <w:tc>
          <w:tcPr>
            <w:tcW w:w="2219"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Композит  получали методом биоминерализации бактериальной целлюлозы с последующей ионной модификацией.</w:t>
            </w:r>
          </w:p>
        </w:tc>
        <w:tc>
          <w:tcPr>
            <w:tcW w:w="1418"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Регенерация кости (GBR)</w:t>
            </w:r>
          </w:p>
        </w:tc>
        <w:tc>
          <w:tcPr>
            <w:tcW w:w="1984"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Эффективное антибактериальное действие, улучшенная прочность на растяжение, костная регенерация</w:t>
            </w:r>
          </w:p>
        </w:tc>
        <w:tc>
          <w:tcPr>
            <w:tcW w:w="1701"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Двойное покрытие AgNP и ГАП в гидрогеле БЦ для регенерации кости и антибактериального эффекта</w:t>
            </w:r>
          </w:p>
        </w:tc>
        <w:tc>
          <w:tcPr>
            <w:tcW w:w="865"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sz w:val="20"/>
                <w:szCs w:val="20"/>
              </w:rPr>
              <w:t>105</w:t>
            </w:r>
            <w:r>
              <w:rPr>
                <w:rFonts w:ascii="Times New Roman" w:hAnsi="Times New Roman" w:cs="Times New Roman"/>
                <w:sz w:val="20"/>
                <w:szCs w:val="20"/>
              </w:rPr>
              <w:t>]</w:t>
            </w:r>
          </w:p>
        </w:tc>
      </w:tr>
      <w:tr w:rsidR="00E17FE1" w:rsidTr="004764F9">
        <w:tc>
          <w:tcPr>
            <w:tcW w:w="1183"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ГАП/MXene/g-C</w:t>
            </w:r>
            <w:r>
              <w:rPr>
                <w:rFonts w:ascii="Cambria Math" w:hAnsi="Cambria Math" w:cs="Times New Roman"/>
                <w:sz w:val="20"/>
                <w:szCs w:val="20"/>
              </w:rPr>
              <w:t>₃</w:t>
            </w:r>
            <w:r>
              <w:rPr>
                <w:rFonts w:ascii="Times New Roman" w:hAnsi="Times New Roman" w:cs="Times New Roman"/>
                <w:sz w:val="20"/>
                <w:szCs w:val="20"/>
              </w:rPr>
              <w:t>N</w:t>
            </w:r>
            <w:r>
              <w:rPr>
                <w:rFonts w:ascii="Cambria Math" w:hAnsi="Cambria Math" w:cs="Times New Roman"/>
                <w:sz w:val="20"/>
                <w:szCs w:val="20"/>
              </w:rPr>
              <w:t>₄</w:t>
            </w:r>
            <w:r>
              <w:rPr>
                <w:rFonts w:ascii="Times New Roman" w:hAnsi="Times New Roman" w:cs="Times New Roman"/>
                <w:sz w:val="20"/>
                <w:szCs w:val="20"/>
              </w:rPr>
              <w:t xml:space="preserve"> каркас</w:t>
            </w:r>
          </w:p>
        </w:tc>
        <w:tc>
          <w:tcPr>
            <w:tcW w:w="2219"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Композиционный материал получали методом гидротермального синтеза ГАП с последующей инфильтрацией хитозан–ГА суспензий в меламиновую пену и кальцинацией, после чего вводили MXene (</w:t>
            </w:r>
            <w:r>
              <w:rPr>
                <w:rFonts w:ascii="Times New Roman" w:hAnsi="Times New Roman" w:cs="Times New Roman"/>
                <w:i/>
                <w:sz w:val="20"/>
                <w:szCs w:val="20"/>
                <w:lang w:val="en-US"/>
              </w:rPr>
              <w:t>ex</w:t>
            </w:r>
            <w:r>
              <w:rPr>
                <w:rFonts w:ascii="Times New Roman" w:hAnsi="Times New Roman" w:cs="Times New Roman"/>
                <w:i/>
                <w:sz w:val="20"/>
                <w:szCs w:val="20"/>
              </w:rPr>
              <w:t xml:space="preserve"> </w:t>
            </w:r>
            <w:r>
              <w:rPr>
                <w:rFonts w:ascii="Times New Roman" w:hAnsi="Times New Roman" w:cs="Times New Roman"/>
                <w:i/>
                <w:sz w:val="20"/>
                <w:szCs w:val="20"/>
                <w:lang w:val="en-US"/>
              </w:rPr>
              <w:t>situ</w:t>
            </w:r>
            <w:r>
              <w:rPr>
                <w:rFonts w:ascii="Times New Roman" w:hAnsi="Times New Roman" w:cs="Times New Roman"/>
                <w:sz w:val="20"/>
                <w:szCs w:val="20"/>
              </w:rPr>
              <w:t>).</w:t>
            </w:r>
          </w:p>
        </w:tc>
        <w:tc>
          <w:tcPr>
            <w:tcW w:w="1418"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Регенерация костей, терапия остеосаркомы</w:t>
            </w:r>
          </w:p>
        </w:tc>
        <w:tc>
          <w:tcPr>
            <w:tcW w:w="1984"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Усиление регенерации кости, ингибирование раковых клеток за счёт </w:t>
            </w:r>
            <w:proofErr w:type="gramStart"/>
            <w:r>
              <w:rPr>
                <w:rFonts w:ascii="Times New Roman" w:hAnsi="Times New Roman" w:cs="Times New Roman"/>
                <w:sz w:val="20"/>
                <w:szCs w:val="20"/>
              </w:rPr>
              <w:t>фото-термической</w:t>
            </w:r>
            <w:proofErr w:type="gramEnd"/>
            <w:r>
              <w:rPr>
                <w:rFonts w:ascii="Times New Roman" w:hAnsi="Times New Roman" w:cs="Times New Roman"/>
                <w:sz w:val="20"/>
                <w:szCs w:val="20"/>
              </w:rPr>
              <w:t>/фото-динамической терапии</w:t>
            </w:r>
          </w:p>
        </w:tc>
        <w:tc>
          <w:tcPr>
            <w:tcW w:w="1701"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Комбинация ГАП, MXene и g-C</w:t>
            </w:r>
            <w:r>
              <w:rPr>
                <w:rFonts w:ascii="Cambria Math" w:hAnsi="Cambria Math" w:cs="Times New Roman"/>
                <w:sz w:val="20"/>
                <w:szCs w:val="20"/>
              </w:rPr>
              <w:t>₃</w:t>
            </w:r>
            <w:r>
              <w:rPr>
                <w:rFonts w:ascii="Times New Roman" w:hAnsi="Times New Roman" w:cs="Times New Roman"/>
                <w:sz w:val="20"/>
                <w:szCs w:val="20"/>
              </w:rPr>
              <w:t>N</w:t>
            </w:r>
            <w:r>
              <w:rPr>
                <w:rFonts w:ascii="Cambria Math" w:hAnsi="Cambria Math" w:cs="Times New Roman"/>
                <w:sz w:val="20"/>
                <w:szCs w:val="20"/>
              </w:rPr>
              <w:t>₄</w:t>
            </w:r>
            <w:r>
              <w:rPr>
                <w:rFonts w:ascii="Times New Roman" w:hAnsi="Times New Roman" w:cs="Times New Roman"/>
                <w:sz w:val="20"/>
                <w:szCs w:val="20"/>
              </w:rPr>
              <w:t xml:space="preserve"> для одновременного восстановления кости и противоопухолевого эффекта</w:t>
            </w:r>
          </w:p>
        </w:tc>
        <w:tc>
          <w:tcPr>
            <w:tcW w:w="865"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sz w:val="20"/>
                <w:szCs w:val="20"/>
              </w:rPr>
              <w:t>106</w:t>
            </w:r>
            <w:r>
              <w:rPr>
                <w:rFonts w:ascii="Times New Roman" w:hAnsi="Times New Roman" w:cs="Times New Roman"/>
                <w:sz w:val="20"/>
                <w:szCs w:val="20"/>
              </w:rPr>
              <w:t>]</w:t>
            </w:r>
          </w:p>
        </w:tc>
      </w:tr>
      <w:tr w:rsidR="00E17FE1" w:rsidTr="004764F9">
        <w:tc>
          <w:tcPr>
            <w:tcW w:w="1183"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ПВА/БЦ/MXene гидрогель</w:t>
            </w:r>
          </w:p>
        </w:tc>
        <w:tc>
          <w:tcPr>
            <w:tcW w:w="2219"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Композитный PBM-гидрогель получали посредством HF-травления MAX-фазы (получение MXene) и последующего </w:t>
            </w:r>
            <w:r>
              <w:rPr>
                <w:rFonts w:ascii="Times New Roman" w:hAnsi="Times New Roman" w:cs="Times New Roman"/>
                <w:sz w:val="20"/>
                <w:szCs w:val="20"/>
              </w:rPr>
              <w:lastRenderedPageBreak/>
              <w:t>формирования борно-сшитой PVA/БЦ/MXene структуры методом циклического замораживания–оттаивания</w:t>
            </w:r>
            <w:proofErr w:type="gramStart"/>
            <w:r>
              <w:rPr>
                <w:rFonts w:ascii="Times New Roman" w:hAnsi="Times New Roman" w:cs="Times New Roman"/>
                <w:sz w:val="20"/>
                <w:szCs w:val="20"/>
              </w:rPr>
              <w:t>..</w:t>
            </w:r>
            <w:proofErr w:type="gramEnd"/>
          </w:p>
        </w:tc>
        <w:tc>
          <w:tcPr>
            <w:tcW w:w="1418"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Эпидермальный сенсор</w:t>
            </w:r>
          </w:p>
        </w:tc>
        <w:tc>
          <w:tcPr>
            <w:tcW w:w="1984"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Высокая чувс</w:t>
            </w:r>
            <w:r w:rsidR="004764F9">
              <w:rPr>
                <w:rFonts w:ascii="Times New Roman" w:hAnsi="Times New Roman" w:cs="Times New Roman"/>
                <w:sz w:val="20"/>
                <w:szCs w:val="20"/>
              </w:rPr>
              <w:t>твительность, самовосстановлени</w:t>
            </w:r>
            <w:r>
              <w:rPr>
                <w:rFonts w:ascii="Times New Roman" w:hAnsi="Times New Roman" w:cs="Times New Roman"/>
                <w:sz w:val="20"/>
                <w:szCs w:val="20"/>
              </w:rPr>
              <w:t>, экологичность</w:t>
            </w:r>
          </w:p>
        </w:tc>
        <w:tc>
          <w:tcPr>
            <w:tcW w:w="1701"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Создание MXene-основанного PBM-гидрогеля с высокой чувствительност</w:t>
            </w:r>
            <w:r>
              <w:rPr>
                <w:rFonts w:ascii="Times New Roman" w:hAnsi="Times New Roman" w:cs="Times New Roman"/>
                <w:sz w:val="20"/>
                <w:szCs w:val="20"/>
              </w:rPr>
              <w:lastRenderedPageBreak/>
              <w:t>ью для сенсорных применений</w:t>
            </w:r>
          </w:p>
        </w:tc>
        <w:tc>
          <w:tcPr>
            <w:tcW w:w="865"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w:t>
            </w:r>
            <w:r>
              <w:rPr>
                <w:rFonts w:ascii="Times New Roman" w:hAnsi="Times New Roman"/>
                <w:sz w:val="20"/>
                <w:szCs w:val="20"/>
              </w:rPr>
              <w:t>107</w:t>
            </w:r>
            <w:r>
              <w:rPr>
                <w:rFonts w:ascii="Times New Roman" w:hAnsi="Times New Roman" w:cs="Times New Roman"/>
                <w:sz w:val="20"/>
                <w:szCs w:val="20"/>
              </w:rPr>
              <w:t>]</w:t>
            </w:r>
          </w:p>
        </w:tc>
      </w:tr>
      <w:tr w:rsidR="00E17FE1" w:rsidTr="004764F9">
        <w:tc>
          <w:tcPr>
            <w:tcW w:w="1183"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БЦ/MXene гидрогели</w:t>
            </w:r>
          </w:p>
        </w:tc>
        <w:tc>
          <w:tcPr>
            <w:tcW w:w="2219"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Регенерированную бактериальную целлюлозу (рБЦ) растворяли с добавлением MXene-наноматериала для улучшения электропроводности и механической прочности.</w:t>
            </w:r>
          </w:p>
        </w:tc>
        <w:tc>
          <w:tcPr>
            <w:tcW w:w="1418"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Регенерация кожи, заживление ран</w:t>
            </w:r>
          </w:p>
        </w:tc>
        <w:tc>
          <w:tcPr>
            <w:tcW w:w="1984" w:type="dxa"/>
            <w:noWrap/>
          </w:tcPr>
          <w:p w:rsidR="00E17FE1" w:rsidRDefault="004764F9">
            <w:pPr>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Повышенная</w:t>
            </w:r>
            <w:proofErr w:type="gramEnd"/>
            <w:r>
              <w:rPr>
                <w:rFonts w:ascii="Times New Roman" w:hAnsi="Times New Roman" w:cs="Times New Roman"/>
                <w:sz w:val="20"/>
                <w:szCs w:val="20"/>
              </w:rPr>
              <w:t xml:space="preserve"> электропроводност</w:t>
            </w:r>
            <w:r w:rsidR="00BB58D7">
              <w:rPr>
                <w:rFonts w:ascii="Times New Roman" w:hAnsi="Times New Roman" w:cs="Times New Roman"/>
                <w:sz w:val="20"/>
                <w:szCs w:val="20"/>
              </w:rPr>
              <w:t>, улучшенное заживление</w:t>
            </w:r>
          </w:p>
        </w:tc>
        <w:tc>
          <w:tcPr>
            <w:tcW w:w="1701"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Интеграция MXene в матрицу БЦ для повышения проводимости и биосовместимости</w:t>
            </w:r>
          </w:p>
        </w:tc>
        <w:tc>
          <w:tcPr>
            <w:tcW w:w="865"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sz w:val="20"/>
                <w:szCs w:val="20"/>
              </w:rPr>
              <w:t>108</w:t>
            </w:r>
            <w:r>
              <w:rPr>
                <w:rFonts w:ascii="Times New Roman" w:hAnsi="Times New Roman" w:cs="Times New Roman"/>
                <w:sz w:val="20"/>
                <w:szCs w:val="20"/>
              </w:rPr>
              <w:t>]</w:t>
            </w:r>
          </w:p>
        </w:tc>
      </w:tr>
      <w:tr w:rsidR="00E17FE1" w:rsidTr="004764F9">
        <w:tc>
          <w:tcPr>
            <w:tcW w:w="1183"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БЦ/ГАП композитный каркас</w:t>
            </w:r>
          </w:p>
        </w:tc>
        <w:tc>
          <w:tcPr>
            <w:tcW w:w="2219"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Гидрогели БЦ/ГАП получали методом биомиметической минерализации с последующей лиофилизацией</w:t>
            </w:r>
          </w:p>
        </w:tc>
        <w:tc>
          <w:tcPr>
            <w:tcW w:w="1418"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Регенерация костной ткани </w:t>
            </w:r>
          </w:p>
        </w:tc>
        <w:tc>
          <w:tcPr>
            <w:tcW w:w="1984"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Имитация природной костной ткани, усиленная биоминерализаци, улучшенная адгезия, пролиферация и дифференцировка клеток</w:t>
            </w:r>
          </w:p>
        </w:tc>
        <w:tc>
          <w:tcPr>
            <w:tcW w:w="1701"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Функционализация материала для улучшения взаимодействия с клетками и гемосовместимости</w:t>
            </w:r>
          </w:p>
        </w:tc>
        <w:tc>
          <w:tcPr>
            <w:tcW w:w="865" w:type="dxa"/>
            <w:noWrap/>
          </w:tcPr>
          <w:p w:rsidR="00E17FE1" w:rsidRDefault="00BB58D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Pr>
                <w:rFonts w:ascii="Times New Roman" w:eastAsia="Times New Roman" w:hAnsi="Times New Roman" w:cs="Times New Roman"/>
                <w:sz w:val="24"/>
                <w:szCs w:val="24"/>
              </w:rPr>
              <w:t>109</w:t>
            </w:r>
            <w:r>
              <w:rPr>
                <w:rFonts w:ascii="Times New Roman" w:hAnsi="Times New Roman" w:cs="Times New Roman"/>
                <w:sz w:val="20"/>
                <w:szCs w:val="20"/>
              </w:rPr>
              <w:t>]</w:t>
            </w:r>
          </w:p>
        </w:tc>
      </w:tr>
    </w:tbl>
    <w:p w:rsidR="00E17FE1" w:rsidRDefault="00E17FE1">
      <w:pPr>
        <w:pStyle w:val="af6"/>
        <w:spacing w:after="0" w:line="240" w:lineRule="auto"/>
        <w:ind w:left="0" w:firstLine="567"/>
        <w:jc w:val="both"/>
        <w:rPr>
          <w:rFonts w:ascii="Times New Roman" w:hAnsi="Times New Roman" w:cs="Times New Roman"/>
          <w:sz w:val="28"/>
          <w:szCs w:val="28"/>
        </w:rPr>
      </w:pPr>
    </w:p>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 этом разделе рассматриваются пять ключевых биомедицинских областей, в том числе проводящие гидрогели для реабилитации мягких тканей, пьезоэлектрические каркасы, воспроизводящие электромеханические среды тканей, системы доставки лека</w:t>
      </w:r>
      <w:proofErr w:type="gramStart"/>
      <w:r>
        <w:rPr>
          <w:rFonts w:ascii="Times New Roman" w:hAnsi="Times New Roman" w:cs="Times New Roman"/>
          <w:sz w:val="28"/>
          <w:szCs w:val="28"/>
        </w:rPr>
        <w:t>рств с пр</w:t>
      </w:r>
      <w:proofErr w:type="gramEnd"/>
      <w:r>
        <w:rPr>
          <w:rFonts w:ascii="Times New Roman" w:hAnsi="Times New Roman" w:cs="Times New Roman"/>
          <w:sz w:val="28"/>
          <w:szCs w:val="28"/>
        </w:rPr>
        <w:t xml:space="preserve">остранственно-временным контролем, стратегии нейтрализации активных форм кислорода (ROS) против окислительного стресса при хронических заболеваниях и методы фототермической терапии для неинвазивного разрушения опухолей. </w:t>
      </w:r>
    </w:p>
    <w:p w:rsidR="00E17FE1" w:rsidRDefault="00E17FE1">
      <w:pPr>
        <w:spacing w:after="0" w:line="240" w:lineRule="auto"/>
        <w:jc w:val="both"/>
        <w:rPr>
          <w:rFonts w:ascii="Times New Roman" w:hAnsi="Times New Roman" w:cs="Times New Roman"/>
          <w:sz w:val="28"/>
          <w:szCs w:val="28"/>
        </w:rPr>
      </w:pPr>
    </w:p>
    <w:p w:rsidR="00E17FE1" w:rsidRDefault="00BB58D7">
      <w:pPr>
        <w:pStyle w:val="af6"/>
        <w:spacing w:after="0" w:line="240" w:lineRule="auto"/>
        <w:ind w:left="0" w:firstLine="567"/>
        <w:jc w:val="both"/>
        <w:rPr>
          <w:rFonts w:ascii="Times New Roman" w:hAnsi="Times New Roman" w:cs="Times New Roman"/>
          <w:b/>
          <w:bCs/>
          <w:sz w:val="28"/>
          <w:szCs w:val="28"/>
        </w:rPr>
      </w:pPr>
      <w:r>
        <w:rPr>
          <w:rFonts w:ascii="Times New Roman" w:hAnsi="Times New Roman" w:cs="Times New Roman"/>
          <w:b/>
          <w:bCs/>
          <w:sz w:val="28"/>
          <w:szCs w:val="28"/>
        </w:rPr>
        <w:t>1.</w:t>
      </w:r>
      <w:r w:rsidRPr="00BB58D7">
        <w:rPr>
          <w:rFonts w:ascii="Times New Roman" w:hAnsi="Times New Roman" w:cs="Times New Roman"/>
          <w:b/>
          <w:bCs/>
          <w:sz w:val="28"/>
          <w:szCs w:val="28"/>
        </w:rPr>
        <w:t>2.1</w:t>
      </w:r>
      <w:r>
        <w:rPr>
          <w:rFonts w:ascii="Times New Roman" w:hAnsi="Times New Roman" w:cs="Times New Roman"/>
          <w:b/>
          <w:bCs/>
          <w:sz w:val="28"/>
          <w:szCs w:val="28"/>
        </w:rPr>
        <w:t xml:space="preserve"> Проводящие гидрогели</w:t>
      </w:r>
    </w:p>
    <w:p w:rsidR="00E17FE1" w:rsidRDefault="00BB58D7">
      <w:pPr>
        <w:spacing w:after="0" w:line="240" w:lineRule="auto"/>
        <w:ind w:firstLine="567"/>
        <w:jc w:val="both"/>
        <w:rPr>
          <w:rFonts w:ascii="Times New Roman" w:hAnsi="Times New Roman" w:cs="Times New Roman"/>
          <w:sz w:val="28"/>
          <w:szCs w:val="28"/>
          <w:highlight w:val="yellow"/>
        </w:rPr>
      </w:pPr>
      <w:r>
        <w:rPr>
          <w:rFonts w:ascii="Times New Roman" w:eastAsia="Times New Roman" w:hAnsi="Times New Roman" w:cs="Times New Roman"/>
          <w:sz w:val="28"/>
          <w:szCs w:val="28"/>
        </w:rPr>
        <w:t xml:space="preserve">Естественная проводимость кожной ткани нарушается после её повреждения. В результате эндогенное электрическое поле меняет своё направление от краев раны к её центру, управляя миграцией клеток. В частности, оно влияет на фибробласты и кератиноциты, которые обладают электровозбудимостью и играют важную роль в регенерации раны [110]. Эти клетки мигрируют из-за сильного однонаправленного электростатического притяжения к центру раны. Некоторые бактериальные виды также могут подвергаться воздействию этой силы, поэтому дезинфекция ран имеет </w:t>
      </w:r>
      <w:proofErr w:type="gramStart"/>
      <w:r>
        <w:rPr>
          <w:rFonts w:ascii="Times New Roman" w:eastAsia="Times New Roman" w:hAnsi="Times New Roman" w:cs="Times New Roman"/>
          <w:sz w:val="28"/>
          <w:szCs w:val="28"/>
        </w:rPr>
        <w:t>важное значение</w:t>
      </w:r>
      <w:proofErr w:type="gramEnd"/>
      <w:r>
        <w:rPr>
          <w:rFonts w:ascii="Times New Roman" w:eastAsia="Times New Roman" w:hAnsi="Times New Roman" w:cs="Times New Roman"/>
          <w:sz w:val="28"/>
          <w:szCs w:val="28"/>
        </w:rPr>
        <w:t xml:space="preserve"> [111]. Изменённое эндогенное электрическое поле создаётся взаимодействием положительного заряда раны и отрицательного заряда вокруг кожи. Проще говоря, это происходит из-за утечки ионов из поврежденной клетки. В целом изменение электрического поля играет важную роль в процессе заживления ран [112]. Отсюда следует, что использование электрического поля позволяет управлять процессом заживления. Можно ускорить процесс заживления ран с помощью электростимуляции, что делает </w:t>
      </w:r>
      <w:r>
        <w:rPr>
          <w:rFonts w:ascii="Times New Roman" w:eastAsia="Times New Roman" w:hAnsi="Times New Roman" w:cs="Times New Roman"/>
          <w:sz w:val="28"/>
          <w:szCs w:val="28"/>
          <w:lang w:val="en-US"/>
        </w:rPr>
        <w:t>Mxenes</w:t>
      </w:r>
      <w:r>
        <w:rPr>
          <w:rFonts w:ascii="Times New Roman" w:eastAsia="Times New Roman" w:hAnsi="Times New Roman" w:cs="Times New Roman"/>
          <w:sz w:val="28"/>
          <w:szCs w:val="28"/>
        </w:rPr>
        <w:t xml:space="preserve"> подходящими для этой роли </w:t>
      </w:r>
      <w:r>
        <w:rPr>
          <w:rFonts w:ascii="Times New Roman" w:eastAsia="Times New Roman" w:hAnsi="Times New Roman" w:cs="Times New Roman"/>
          <w:sz w:val="28"/>
          <w:szCs w:val="28"/>
        </w:rPr>
        <w:lastRenderedPageBreak/>
        <w:t>благодаря их проводящим свойствам [113, 114].</w:t>
      </w:r>
      <w:r>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Электрический ток, генерируемый </w:t>
      </w:r>
      <w:r w:rsidRPr="00BB58D7">
        <w:rPr>
          <w:rFonts w:ascii="Times New Roman" w:eastAsia="Times New Roman" w:hAnsi="Times New Roman" w:cs="Times New Roman"/>
          <w:sz w:val="28"/>
          <w:szCs w:val="28"/>
        </w:rPr>
        <w:t>электростимуляцией,</w:t>
      </w:r>
      <w:r>
        <w:rPr>
          <w:rFonts w:ascii="Times New Roman" w:eastAsia="Times New Roman" w:hAnsi="Times New Roman" w:cs="Times New Roman"/>
          <w:sz w:val="28"/>
          <w:szCs w:val="28"/>
        </w:rPr>
        <w:t xml:space="preserve"> приводит к высвобождению внутриклеточных ионов кальция, которые, в свою очередь, стимулируют </w:t>
      </w:r>
      <w:r w:rsidRPr="00BB58D7">
        <w:rPr>
          <w:rFonts w:ascii="Times New Roman" w:eastAsia="Times New Roman" w:hAnsi="Times New Roman" w:cs="Times New Roman"/>
          <w:sz w:val="28"/>
          <w:szCs w:val="28"/>
        </w:rPr>
        <w:t>цитоскелетный кальмодулин.</w:t>
      </w:r>
      <w:r>
        <w:rPr>
          <w:rFonts w:ascii="Times New Roman" w:eastAsia="Times New Roman" w:hAnsi="Times New Roman" w:cs="Times New Roman"/>
          <w:sz w:val="28"/>
          <w:szCs w:val="28"/>
        </w:rPr>
        <w:t xml:space="preserve"> Он участвует в пролиферации клеток, экспрессии генов </w:t>
      </w:r>
      <w:r w:rsidRPr="00114D54">
        <w:rPr>
          <w:rFonts w:ascii="Times New Roman" w:eastAsia="Times New Roman" w:hAnsi="Times New Roman" w:cs="Times New Roman"/>
          <w:sz w:val="28"/>
          <w:szCs w:val="28"/>
        </w:rPr>
        <w:t>фактора роста эндотелия сосудов (VEGF) и трансформирующего фактора роста (TGF) [115]. Раны заживают лучше во влажной среде, поскольку она способствует</w:t>
      </w:r>
      <w:r>
        <w:rPr>
          <w:rFonts w:ascii="Times New Roman" w:eastAsia="Times New Roman" w:hAnsi="Times New Roman" w:cs="Times New Roman"/>
          <w:sz w:val="28"/>
          <w:szCs w:val="28"/>
        </w:rPr>
        <w:t xml:space="preserve"> оттоку избытка экссудата, межклеточному взаимодействию и миграции кератиноцитов. При использовании влажных повязок наблюдалось уменьшение боли и рубцевания, а также предотвращалось усиление воспаления [116]. Соответственно, раневые повязки на основе гидрогеля обладают множеством преимуществ, поскольку они создают влажную среду вокруг раны, способствуют адгезии клеток, имитируют естественный внеклеточный матрикс и обладают высокой проницаемостью для кислорода. Некоторые опасения, связанные с проводящими гидрогелями, связаны с механической жёсткостью, способностью к набуханию и пористостью. Важно создать повязку, которая будет достаточно пористой и гибкой для лучшей функциональности и износостойкости [111]. Трехмерные структуры, такие как гидрогели, обладают необходимыми структурными качествами (пористостью, гидрофильностью) для улучшения регенерации тканей [113].</w:t>
      </w:r>
    </w:p>
    <w:p w:rsidR="00E17FE1" w:rsidRDefault="00BB58D7">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Матрица биоматериала должна быть похожа </w:t>
      </w:r>
      <w:proofErr w:type="gramStart"/>
      <w:r>
        <w:rPr>
          <w:rFonts w:ascii="Times New Roman" w:eastAsia="Times New Roman" w:hAnsi="Times New Roman" w:cs="Times New Roman"/>
          <w:color w:val="000000"/>
          <w:sz w:val="28"/>
          <w:szCs w:val="28"/>
        </w:rPr>
        <w:t>на</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внеклеточный</w:t>
      </w:r>
      <w:proofErr w:type="gramEnd"/>
      <w:r>
        <w:rPr>
          <w:rFonts w:ascii="Times New Roman" w:eastAsia="Times New Roman" w:hAnsi="Times New Roman" w:cs="Times New Roman"/>
          <w:color w:val="000000"/>
          <w:sz w:val="28"/>
          <w:szCs w:val="28"/>
        </w:rPr>
        <w:t xml:space="preserve"> матрикс: чем выше биосовместимость, тем лучше восстановление. В связи с этим при создании проводящих биоматериалов </w:t>
      </w:r>
      <w:proofErr w:type="gramStart"/>
      <w:r>
        <w:rPr>
          <w:rFonts w:ascii="Times New Roman" w:eastAsia="Times New Roman" w:hAnsi="Times New Roman" w:cs="Times New Roman"/>
          <w:color w:val="000000"/>
          <w:sz w:val="28"/>
          <w:szCs w:val="28"/>
        </w:rPr>
        <w:t>следующими</w:t>
      </w:r>
      <w:proofErr w:type="gramEnd"/>
      <w:r>
        <w:rPr>
          <w:rFonts w:ascii="Times New Roman" w:eastAsia="Times New Roman" w:hAnsi="Times New Roman" w:cs="Times New Roman"/>
          <w:color w:val="000000"/>
          <w:sz w:val="28"/>
          <w:szCs w:val="28"/>
        </w:rPr>
        <w:t xml:space="preserve"> три соображения. Во-первых, матрица раневой повязки должна обладать соответствующей биосовместимостью, биоразлагаемостью и биоактивностью. Поэтому к выбору между натуральными и синтетическими полимерами следует подходить со всей тщательностью. Во-вторых, структурная морфология биоматериала должна обеспечивать способность к регенерации ран и тканей. И наконец, выбор проводящего материала. В биомедицинских целях выбор проводящего материала также зависит от других свойств, таких как </w:t>
      </w:r>
      <w:proofErr w:type="gramStart"/>
      <w:r>
        <w:rPr>
          <w:rFonts w:ascii="Times New Roman" w:eastAsia="Times New Roman" w:hAnsi="Times New Roman" w:cs="Times New Roman"/>
          <w:color w:val="000000"/>
          <w:sz w:val="28"/>
          <w:szCs w:val="28"/>
        </w:rPr>
        <w:t>антибактериальные</w:t>
      </w:r>
      <w:proofErr w:type="gramEnd"/>
      <w:r>
        <w:rPr>
          <w:rFonts w:ascii="Times New Roman" w:eastAsia="Times New Roman" w:hAnsi="Times New Roman" w:cs="Times New Roman"/>
          <w:color w:val="000000"/>
          <w:sz w:val="28"/>
          <w:szCs w:val="28"/>
        </w:rPr>
        <w:t>, оптические, термические и т. д. [</w:t>
      </w:r>
      <w:r>
        <w:rPr>
          <w:rFonts w:ascii="Times New Roman" w:eastAsia="Times New Roman" w:hAnsi="Times New Roman" w:cs="Times New Roman"/>
          <w:sz w:val="28"/>
          <w:szCs w:val="28"/>
        </w:rPr>
        <w:t>113</w:t>
      </w:r>
      <w:r>
        <w:rPr>
          <w:rFonts w:ascii="Times New Roman" w:eastAsia="Times New Roman" w:hAnsi="Times New Roman" w:cs="Times New Roman"/>
          <w:color w:val="000000"/>
          <w:sz w:val="28"/>
          <w:szCs w:val="28"/>
        </w:rPr>
        <w:t>].</w:t>
      </w:r>
    </w:p>
    <w:p w:rsidR="00E17FE1" w:rsidRDefault="00BB58D7">
      <w:pPr>
        <w:pStyle w:val="af6"/>
        <w:spacing w:after="0" w:line="240" w:lineRule="auto"/>
        <w:ind w:left="0" w:firstLine="567"/>
        <w:jc w:val="both"/>
        <w:rPr>
          <w:rFonts w:ascii="Times New Roman" w:hAnsi="Times New Roman" w:cs="Times New Roman"/>
          <w:sz w:val="28"/>
          <w:szCs w:val="28"/>
        </w:rPr>
      </w:pPr>
      <w:r>
        <w:rPr>
          <w:rFonts w:ascii="Times New Roman" w:eastAsia="Times New Roman" w:hAnsi="Times New Roman" w:cs="Times New Roman"/>
          <w:color w:val="000000"/>
          <w:sz w:val="28"/>
          <w:szCs w:val="28"/>
        </w:rPr>
        <w:t>Реакция проводящих биоматериалов на электрическую стимуляцию повышает их потенциал в реагирующих каркасах [</w:t>
      </w:r>
      <w:r>
        <w:rPr>
          <w:rFonts w:ascii="Times New Roman" w:eastAsia="Times New Roman" w:hAnsi="Times New Roman" w:cs="Times New Roman"/>
          <w:sz w:val="28"/>
          <w:szCs w:val="28"/>
        </w:rPr>
        <w:t>112</w:t>
      </w:r>
      <w:r>
        <w:rPr>
          <w:rFonts w:ascii="Times New Roman" w:eastAsia="Times New Roman" w:hAnsi="Times New Roman" w:cs="Times New Roman"/>
          <w:color w:val="000000"/>
          <w:sz w:val="28"/>
          <w:szCs w:val="28"/>
        </w:rPr>
        <w:t>]. Эти скаффолды активируются при восприятии определённых стимулов, таких как pH, электрическое поле, колебания температуры, свет, активные формы кислорода (ROS) и ферменты. Проводящие биоматериалы, чувствительные к электричеству, подходят для создания систем доставки лекарств, стимулируемых электротоком. Биоактивные молекулы часто рассматриваются для заживления ран и тканей. Системы доставки лекарств обеспечивают локализованное, точное и контролируемое высвобождение лекарств, тем самым повышая эффективность и уменьшая побочные эффекты [</w:t>
      </w:r>
      <w:r>
        <w:rPr>
          <w:rFonts w:ascii="Times New Roman" w:eastAsia="Times New Roman" w:hAnsi="Times New Roman" w:cs="Times New Roman"/>
          <w:sz w:val="28"/>
          <w:szCs w:val="28"/>
        </w:rPr>
        <w:t>117</w:t>
      </w:r>
      <w:r>
        <w:rPr>
          <w:rFonts w:ascii="Times New Roman" w:eastAsia="Times New Roman" w:hAnsi="Times New Roman" w:cs="Times New Roman"/>
          <w:color w:val="000000"/>
          <w:sz w:val="28"/>
          <w:szCs w:val="28"/>
        </w:rPr>
        <w:t>].</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Биоматериалы могут быть использованы в качестве наноносителей лекарственных сре</w:t>
      </w:r>
      <w:proofErr w:type="gramStart"/>
      <w:r>
        <w:rPr>
          <w:rFonts w:ascii="Times New Roman" w:eastAsia="Times New Roman" w:hAnsi="Times New Roman" w:cs="Times New Roman"/>
          <w:sz w:val="28"/>
          <w:szCs w:val="28"/>
        </w:rPr>
        <w:t>дств дл</w:t>
      </w:r>
      <w:proofErr w:type="gramEnd"/>
      <w:r>
        <w:rPr>
          <w:rFonts w:ascii="Times New Roman" w:eastAsia="Times New Roman" w:hAnsi="Times New Roman" w:cs="Times New Roman"/>
          <w:sz w:val="28"/>
          <w:szCs w:val="28"/>
        </w:rPr>
        <w:t xml:space="preserve">я поддержки регенерации тканей. Высвобождение </w:t>
      </w:r>
      <w:r>
        <w:rPr>
          <w:rFonts w:ascii="Times New Roman" w:eastAsia="Times New Roman" w:hAnsi="Times New Roman" w:cs="Times New Roman"/>
          <w:sz w:val="28"/>
          <w:szCs w:val="28"/>
        </w:rPr>
        <w:lastRenderedPageBreak/>
        <w:t>лекарств под действием электрической стимуляции также является интересной областью исследований. Восстановление высвобождает отрицательно заряженные лекарства, а окисление — положительно заряженные [112].</w:t>
      </w:r>
      <w:r>
        <w:rPr>
          <w:rFonts w:ascii="Times New Roman" w:eastAsia="Times New Roman" w:hAnsi="Times New Roman" w:cs="Times New Roman"/>
          <w:sz w:val="28"/>
          <w:szCs w:val="28"/>
        </w:rPr>
        <w:tab/>
        <w:t xml:space="preserve">Эффективность гидрогелей для заживления ран может быть значительно улучшена путем добавления БЦ из-за его высокопористой структуры [118], биосовместимости, гибкости, гидрофильных свойств и механической прочности [119]. Например, </w:t>
      </w:r>
      <w:r>
        <w:rPr>
          <w:rFonts w:ascii="Times New Roman" w:hAnsi="Times New Roman"/>
          <w:sz w:val="28"/>
          <w:szCs w:val="28"/>
        </w:rPr>
        <w:t>Yang</w:t>
      </w:r>
      <w:r>
        <w:rPr>
          <w:rFonts w:ascii="Times New Roman" w:eastAsia="Times New Roman" w:hAnsi="Times New Roman" w:cs="Times New Roman"/>
          <w:sz w:val="28"/>
          <w:szCs w:val="28"/>
        </w:rPr>
        <w:t xml:space="preserve"> и др. разработали гидрогель, чувствительный к pH, для лечения инфицированных или хронических ран [120]. Целлюлозные нановолокна (ЦНВ) были вплетены в сетку поливинилового спирта (ПС) для устранения механических ограничений. Перед синтезом гидрогеля к целлюлозе было привито природное соединение ресвератрол (РСВ) для интеграции антиоксидантных и антибактериальных свойств. Механические испытания показали увеличение прочности гидрогеля, армированного РСВ. Примечательно, что гидрогель продемонстрировал кумулятивное высвобождение РСВ при pH 5,4, что в 2,33 раза выше, чем при pH 7,4. Такое поведение связано с кислой микросредой инфицированных ран. Гидрогель продемонстрировал сильный антибактериальный эффект против </w:t>
      </w:r>
      <w:r>
        <w:rPr>
          <w:rFonts w:ascii="Times New Roman" w:eastAsia="Times New Roman" w:hAnsi="Times New Roman" w:cs="Times New Roman"/>
          <w:i/>
          <w:iCs/>
          <w:sz w:val="28"/>
          <w:szCs w:val="28"/>
        </w:rPr>
        <w:t>S. aureus</w:t>
      </w:r>
      <w:r>
        <w:rPr>
          <w:rFonts w:ascii="Times New Roman" w:eastAsia="Times New Roman" w:hAnsi="Times New Roman" w:cs="Times New Roman"/>
          <w:sz w:val="28"/>
          <w:szCs w:val="28"/>
        </w:rPr>
        <w:t xml:space="preserve"> и ускоренное заживление ран за счет стимуляции отложения коллагена, ангиогенеза и реэпителизации. Кроме того, было продемонстрировано, что гидрогель БЦ/акриловой кислоты (АА) может одновременно выполнять функцию носителя клеток и защитного покрытия для ран [121]. </w:t>
      </w:r>
      <w:proofErr w:type="gramStart"/>
      <w:r>
        <w:rPr>
          <w:rFonts w:ascii="Times New Roman" w:eastAsia="Times New Roman" w:hAnsi="Times New Roman" w:cs="Times New Roman"/>
          <w:sz w:val="28"/>
          <w:szCs w:val="28"/>
          <w:lang w:val="en-US"/>
        </w:rPr>
        <w:t>Loh</w:t>
      </w:r>
      <w:r>
        <w:rPr>
          <w:rFonts w:ascii="Times New Roman" w:eastAsia="Times New Roman" w:hAnsi="Times New Roman" w:cs="Times New Roman"/>
          <w:sz w:val="28"/>
          <w:szCs w:val="28"/>
        </w:rPr>
        <w:t xml:space="preserve"> и соавторы исследовали способность такого композита на основе BC переносить человеческие эпидермальные кератиноциты (EK) и дермальные фибробласты (DF) для заживления ран на всю толщину [121].</w:t>
      </w:r>
      <w:proofErr w:type="gramEnd"/>
      <w:r>
        <w:rPr>
          <w:rFonts w:ascii="Times New Roman" w:eastAsia="Times New Roman" w:hAnsi="Times New Roman" w:cs="Times New Roman"/>
          <w:sz w:val="28"/>
          <w:szCs w:val="28"/>
        </w:rPr>
        <w:t xml:space="preserve"> Показано, что более 80% клеток прикрепились через 4 часа после посева. Следовательно, это было оптимальное время экспозиции гидрогеля на ране. Композит </w:t>
      </w:r>
      <w:r>
        <w:rPr>
          <w:rFonts w:ascii="Times New Roman" w:eastAsia="Times New Roman" w:hAnsi="Times New Roman" w:cs="Times New Roman"/>
          <w:sz w:val="28"/>
          <w:szCs w:val="28"/>
          <w:lang w:val="kk-KZ"/>
        </w:rPr>
        <w:t>БЦ</w:t>
      </w:r>
      <w:r>
        <w:rPr>
          <w:rFonts w:ascii="Times New Roman" w:eastAsia="Times New Roman" w:hAnsi="Times New Roman" w:cs="Times New Roman"/>
          <w:sz w:val="28"/>
          <w:szCs w:val="28"/>
        </w:rPr>
        <w:t xml:space="preserve">/AA поддерживал жизнеспособность EK и DF до семи дней, но не способствовал активной пролиферации. Это поведение согласуется с его предназначением как временного носителя клеток. Исследования </w:t>
      </w:r>
      <w:r>
        <w:rPr>
          <w:rFonts w:ascii="Times New Roman" w:eastAsia="Times New Roman" w:hAnsi="Times New Roman" w:cs="Times New Roman"/>
          <w:i/>
          <w:iCs/>
          <w:sz w:val="28"/>
          <w:szCs w:val="28"/>
        </w:rPr>
        <w:t>in vivo</w:t>
      </w:r>
      <w:r>
        <w:rPr>
          <w:rFonts w:ascii="Times New Roman" w:eastAsia="Times New Roman" w:hAnsi="Times New Roman" w:cs="Times New Roman"/>
          <w:sz w:val="28"/>
          <w:szCs w:val="28"/>
        </w:rPr>
        <w:t xml:space="preserve"> продемонстрировали ускоренное заживление обработанных ран, как с предварительно засеянными клетками, так и без них. </w:t>
      </w:r>
      <w:proofErr w:type="gramStart"/>
      <w:r>
        <w:rPr>
          <w:rFonts w:ascii="Times New Roman" w:eastAsia="Times New Roman" w:hAnsi="Times New Roman" w:cs="Times New Roman"/>
          <w:sz w:val="28"/>
          <w:szCs w:val="28"/>
        </w:rPr>
        <w:t>Гистологический</w:t>
      </w:r>
      <w:proofErr w:type="gramEnd"/>
      <w:r>
        <w:rPr>
          <w:rFonts w:ascii="Times New Roman" w:eastAsia="Times New Roman" w:hAnsi="Times New Roman" w:cs="Times New Roman"/>
          <w:sz w:val="28"/>
          <w:szCs w:val="28"/>
        </w:rPr>
        <w:t xml:space="preserve"> и иммуногистохимический анализы подтвердили усиление реэпителизации и формирование грануляционной ткани в обеих группах, хотя гидрогели с клеточной нагрузкой продемонстрировали незначительное улучшение организации коллагена и эпидермальной стратификации. Эти результаты позволяют считать гидрогель </w:t>
      </w:r>
      <w:r>
        <w:rPr>
          <w:rFonts w:ascii="Times New Roman" w:eastAsia="Times New Roman" w:hAnsi="Times New Roman" w:cs="Times New Roman"/>
          <w:sz w:val="28"/>
          <w:szCs w:val="28"/>
          <w:lang w:val="kk-KZ"/>
        </w:rPr>
        <w:t>БЦ</w:t>
      </w:r>
      <w:r>
        <w:rPr>
          <w:rFonts w:ascii="Times New Roman" w:eastAsia="Times New Roman" w:hAnsi="Times New Roman" w:cs="Times New Roman"/>
          <w:sz w:val="28"/>
          <w:szCs w:val="28"/>
        </w:rPr>
        <w:t>/AA практически пригодным для лечения острых и хронических ран, обеспечивая баланс между жизнеспособностью клеток и контролируемой кинетикой доставки.</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Включение гидроксиапатита в гидрогель может быть ограничено его керамической природой, которая делает его изначально жёстким и хрупким, что противоречит требуемым эластичным свойствам. Однако эту проблему можно решить, используя высокогибкие </w:t>
      </w:r>
      <w:proofErr w:type="gramStart"/>
      <w:r>
        <w:rPr>
          <w:rFonts w:ascii="Times New Roman" w:eastAsia="Times New Roman" w:hAnsi="Times New Roman" w:cs="Times New Roman"/>
          <w:sz w:val="28"/>
          <w:szCs w:val="28"/>
        </w:rPr>
        <w:t>сверхдлинные</w:t>
      </w:r>
      <w:proofErr w:type="gramEnd"/>
      <w:r>
        <w:rPr>
          <w:rFonts w:ascii="Times New Roman" w:eastAsia="Times New Roman" w:hAnsi="Times New Roman" w:cs="Times New Roman"/>
          <w:sz w:val="28"/>
          <w:szCs w:val="28"/>
        </w:rPr>
        <w:t xml:space="preserve"> гидроксиапатитовые нанопроволоки (UHANW) с переплетённой структурой. Следуя этой идее, </w:t>
      </w:r>
      <w:r w:rsidR="00246F71" w:rsidRPr="00F644EE">
        <w:rPr>
          <w:rFonts w:ascii="Times New Roman" w:hAnsi="Times New Roman" w:cs="Times New Roman"/>
          <w:sz w:val="28"/>
          <w:szCs w:val="28"/>
          <w:lang w:val="en-US"/>
        </w:rPr>
        <w:lastRenderedPageBreak/>
        <w:t>Zhu</w:t>
      </w:r>
      <w:r>
        <w:rPr>
          <w:rFonts w:ascii="Times New Roman" w:eastAsia="Times New Roman" w:hAnsi="Times New Roman" w:cs="Times New Roman"/>
          <w:sz w:val="28"/>
          <w:szCs w:val="28"/>
        </w:rPr>
        <w:t xml:space="preserve"> и соавторы синтезировали гибридную раневую повязку, сочетающую биобумагу на основе сверхдлинных гидроксиапатитовых нанопроволок и гидрогель альгината кальция (HAP-Alg) для лечения острых ран [122]. Гибкая сеть гидроксиапатитовых нанопроволок отвечала за улучшенные механические и защитные характеристики. Функция альгинатной матрицы заключалась в поддержании влажной среды, благоприятствующей регенерации кожи. Такая структура продемонстрировала надежные антибактериальные свойства и механическую стабильность с минимальным отеком или усадкой в физиологических условиях. Гидрогель HAP-Alg увеличивал внутриклеточный приток кальция и способствовал миграции фибробластов и пролиферации клеток. Заживление ран, отложение коллагена и неоваскуляризация были улучшены по сравнению с контрольными группами. Эти результаты свидетельствуют о том, что интеграция структурных преимуществ гибких сверхдлинных гидроксиапатитовых нанопроволок с биоактивными преимуществами кальциевой сигнализации позволила минимизировать механическую хрупкость и пассивную функциональность.</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Кроме того, Нао и др. продемонстрировали возможность использования гиалуроновой кислоты в регенерации костной ткани [123]. Сверхдлинные нанопроволоки гидроксиапатита были включены в различных концентрациях в дипептидные гидрогелевые каркасы для повышения механической прочности и биоактивности. Анализ синтезированных композитов показал значительное увеличение модуля упругости (G') по сравнению с исходным дипептидным каркасом, что указывает на улучшение механических характеристик. Кроме того, клетки C</w:t>
      </w:r>
      <w:r>
        <w:rPr>
          <w:rFonts w:ascii="Times New Roman" w:eastAsia="Times New Roman" w:hAnsi="Times New Roman" w:cs="Times New Roman"/>
          <w:sz w:val="28"/>
          <w:szCs w:val="28"/>
          <w:vertAlign w:val="subscript"/>
        </w:rPr>
        <w:t>2</w:t>
      </w:r>
      <w:r>
        <w:rPr>
          <w:rFonts w:ascii="Times New Roman" w:eastAsia="Times New Roman" w:hAnsi="Times New Roman" w:cs="Times New Roman"/>
          <w:sz w:val="28"/>
          <w:szCs w:val="28"/>
        </w:rPr>
        <w:t>C</w:t>
      </w:r>
      <w:r>
        <w:rPr>
          <w:rFonts w:ascii="Times New Roman" w:eastAsia="Times New Roman" w:hAnsi="Times New Roman" w:cs="Times New Roman"/>
          <w:sz w:val="28"/>
          <w:szCs w:val="28"/>
          <w:vertAlign w:val="subscript"/>
        </w:rPr>
        <w:t>12</w:t>
      </w:r>
      <w:r>
        <w:rPr>
          <w:rFonts w:ascii="Times New Roman" w:eastAsia="Times New Roman" w:hAnsi="Times New Roman" w:cs="Times New Roman"/>
          <w:sz w:val="28"/>
          <w:szCs w:val="28"/>
        </w:rPr>
        <w:t>, выращенные на гидрогелевых каркасах с плотностью отлично пролифелировали. Анализ результатов имплантации гибридных гидрогелей в дефекты свода черепа крыс показал, что регенеративный потенциал гибридных гидрогелей значительно возрос по сравнению как с нелечеными дефектами, так и с дефектами, обработанными чистыми дипептидными гидрогелями. Таким образом, полученные данные свидетельствуют о том, что гидроксиапатит стимулирует клеточную пролиферацию и обладает остеокондуктивным и остеоиндуктивным эффектами.</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Комбинированная повязка V-Os, разработанная </w:t>
      </w:r>
      <w:r>
        <w:rPr>
          <w:rFonts w:ascii="Times New Roman" w:eastAsia="Times New Roman" w:hAnsi="Times New Roman" w:cs="Times New Roman"/>
          <w:sz w:val="28"/>
          <w:szCs w:val="28"/>
          <w:lang w:val="en-US"/>
        </w:rPr>
        <w:t>Ren</w:t>
      </w:r>
      <w:r>
        <w:rPr>
          <w:rFonts w:ascii="Times New Roman" w:eastAsia="Times New Roman" w:hAnsi="Times New Roman" w:cs="Times New Roman"/>
          <w:sz w:val="28"/>
          <w:szCs w:val="28"/>
        </w:rPr>
        <w:t xml:space="preserve"> и соавторами, содержит метакрилированный желатин (GelMA), </w:t>
      </w:r>
      <w:r w:rsidR="00AC0D2B">
        <w:rPr>
          <w:rFonts w:ascii="Times New Roman" w:hAnsi="Times New Roman" w:cs="Times New Roman"/>
          <w:sz w:val="28"/>
          <w:szCs w:val="28"/>
        </w:rPr>
        <w:t>Ti</w:t>
      </w:r>
      <w:r w:rsidR="00AC0D2B" w:rsidRPr="00AC0D2B">
        <w:rPr>
          <w:rFonts w:ascii="Times New Roman" w:hAnsi="Times New Roman" w:cs="Times New Roman"/>
          <w:sz w:val="28"/>
          <w:szCs w:val="28"/>
          <w:vertAlign w:val="subscript"/>
        </w:rPr>
        <w:t>3</w:t>
      </w:r>
      <w:r w:rsidR="00AC0D2B">
        <w:rPr>
          <w:rFonts w:ascii="Times New Roman" w:hAnsi="Times New Roman" w:cs="Times New Roman"/>
          <w:sz w:val="28"/>
          <w:szCs w:val="28"/>
        </w:rPr>
        <w:t>С</w:t>
      </w:r>
      <w:r w:rsidR="00AC0D2B" w:rsidRPr="00AC0D2B">
        <w:rPr>
          <w:rFonts w:ascii="Times New Roman" w:hAnsi="Times New Roman" w:cs="Times New Roman"/>
          <w:sz w:val="28"/>
          <w:szCs w:val="28"/>
          <w:vertAlign w:val="subscript"/>
        </w:rPr>
        <w:t>2</w:t>
      </w:r>
      <w:r w:rsidR="00AC0D2B">
        <w:rPr>
          <w:rFonts w:ascii="Times New Roman" w:hAnsi="Times New Roman" w:cs="Times New Roman"/>
          <w:sz w:val="28"/>
          <w:szCs w:val="28"/>
        </w:rPr>
        <w:t>Т</w:t>
      </w:r>
      <w:r w:rsidR="00AC0D2B" w:rsidRPr="00AC0D2B">
        <w:rPr>
          <w:rFonts w:ascii="Times New Roman" w:hAnsi="Times New Roman" w:cs="Times New Roman"/>
          <w:sz w:val="28"/>
          <w:szCs w:val="28"/>
          <w:vertAlign w:val="subscript"/>
        </w:rPr>
        <w:t>х</w:t>
      </w:r>
      <w:r w:rsidR="00AC0D2B">
        <w:rPr>
          <w:rFonts w:ascii="Times New Roman" w:hAnsi="Times New Roman" w:cs="Times New Roman"/>
          <w:sz w:val="28"/>
          <w:szCs w:val="28"/>
        </w:rPr>
        <w:t>MXene</w:t>
      </w:r>
      <w:r>
        <w:rPr>
          <w:rFonts w:ascii="Times New Roman" w:eastAsia="Times New Roman" w:hAnsi="Times New Roman" w:cs="Times New Roman"/>
          <w:sz w:val="28"/>
          <w:szCs w:val="28"/>
        </w:rPr>
        <w:t xml:space="preserve"> и рекомбинантный антимикробный пептид (V-Os) [115].</w:t>
      </w:r>
      <w:r>
        <w:rPr>
          <w:rFonts w:ascii="Times New Roman" w:hAnsi="Times New Roman" w:cs="Times New Roman"/>
          <w:sz w:val="28"/>
          <w:szCs w:val="28"/>
        </w:rPr>
        <w:t xml:space="preserve"> Они сообщили о присутствии MXene аггломерации на поверхности гидрогеля, предположительно служащие местом адгезии клеток. Гидрогели GelMA и GelMA/V-Os сами по себе не обладали электропроводностью, что свидетельствует о проводящих свойствах MXenes. В числе наблюдений авторы оценили Ti</w:t>
      </w:r>
      <w:r w:rsidRPr="00AC0D2B">
        <w:rPr>
          <w:rFonts w:ascii="Times New Roman" w:hAnsi="Times New Roman" w:cs="Times New Roman"/>
          <w:sz w:val="28"/>
          <w:szCs w:val="28"/>
          <w:vertAlign w:val="subscript"/>
        </w:rPr>
        <w:t>3</w:t>
      </w:r>
      <w:r>
        <w:rPr>
          <w:rFonts w:ascii="Times New Roman" w:hAnsi="Times New Roman" w:cs="Times New Roman"/>
          <w:sz w:val="28"/>
          <w:szCs w:val="28"/>
        </w:rPr>
        <w:t>С</w:t>
      </w:r>
      <w:r w:rsidRPr="00AC0D2B">
        <w:rPr>
          <w:rFonts w:ascii="Times New Roman" w:hAnsi="Times New Roman" w:cs="Times New Roman"/>
          <w:sz w:val="28"/>
          <w:szCs w:val="28"/>
          <w:vertAlign w:val="subscript"/>
        </w:rPr>
        <w:t>2</w:t>
      </w:r>
      <w:r>
        <w:rPr>
          <w:rFonts w:ascii="Times New Roman" w:hAnsi="Times New Roman" w:cs="Times New Roman"/>
          <w:sz w:val="28"/>
          <w:szCs w:val="28"/>
        </w:rPr>
        <w:t>Т</w:t>
      </w:r>
      <w:r w:rsidRPr="00AC0D2B">
        <w:rPr>
          <w:rFonts w:ascii="Times New Roman" w:hAnsi="Times New Roman" w:cs="Times New Roman"/>
          <w:sz w:val="28"/>
          <w:szCs w:val="28"/>
          <w:vertAlign w:val="subscript"/>
        </w:rPr>
        <w:t>х</w:t>
      </w:r>
      <w:r>
        <w:rPr>
          <w:rFonts w:ascii="Times New Roman" w:hAnsi="Times New Roman" w:cs="Times New Roman"/>
          <w:sz w:val="28"/>
          <w:szCs w:val="28"/>
        </w:rPr>
        <w:t xml:space="preserve">MXene антибактериальный эффект, цитотоксичность, биосовместимость и проводимость MXenes. В этом исследовании они продемонстрировали определённый бактерицидный эффект, предположительно, за счёт разрушения клеточной стенки бактерий. </w:t>
      </w:r>
      <w:r>
        <w:rPr>
          <w:rFonts w:ascii="Times New Roman" w:hAnsi="Times New Roman" w:cs="Times New Roman"/>
          <w:sz w:val="28"/>
          <w:szCs w:val="28"/>
        </w:rPr>
        <w:lastRenderedPageBreak/>
        <w:t>Предполагается, что разрушение происходит из-за нарушения поступления питательных веществ, вызванного TiO</w:t>
      </w:r>
      <w:r>
        <w:rPr>
          <w:rFonts w:ascii="Times New Roman" w:hAnsi="Times New Roman" w:cs="Times New Roman"/>
          <w:sz w:val="28"/>
          <w:szCs w:val="28"/>
          <w:vertAlign w:val="subscript"/>
        </w:rPr>
        <w:t>2</w:t>
      </w:r>
      <w:r>
        <w:rPr>
          <w:rFonts w:ascii="Times New Roman" w:hAnsi="Times New Roman" w:cs="Times New Roman"/>
          <w:sz w:val="28"/>
          <w:szCs w:val="28"/>
        </w:rPr>
        <w:t>. Они образуются в результате окисления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lang w:val="en-US"/>
        </w:rPr>
        <w:t>T</w:t>
      </w:r>
      <w:r>
        <w:rPr>
          <w:rFonts w:ascii="Times New Roman" w:hAnsi="Times New Roman" w:cs="Times New Roman"/>
          <w:sz w:val="28"/>
          <w:szCs w:val="28"/>
          <w:vertAlign w:val="subscript"/>
          <w:lang w:val="en-US"/>
        </w:rPr>
        <w:t>x</w:t>
      </w:r>
      <w:r>
        <w:rPr>
          <w:rFonts w:ascii="Times New Roman" w:hAnsi="Times New Roman" w:cs="Times New Roman"/>
          <w:sz w:val="28"/>
          <w:szCs w:val="28"/>
        </w:rPr>
        <w:t xml:space="preserve">MXene. Очень важно, что не было выявлено значительной токсичности для небактериальных клеток, даже наблюдалось улучшение пролиферации клеток под действием электростимуляции. Значительное увеличение пролиферации клеток с помощью </w:t>
      </w:r>
      <w:proofErr w:type="gramStart"/>
      <w:r>
        <w:rPr>
          <w:rFonts w:ascii="Times New Roman" w:hAnsi="Times New Roman" w:cs="Times New Roman"/>
          <w:sz w:val="28"/>
          <w:szCs w:val="28"/>
        </w:rPr>
        <w:t>гидрогелей, содержащих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MXene</w:t>
      </w:r>
      <w:r w:rsidR="00AC0D2B" w:rsidRPr="00AC0D2B">
        <w:rPr>
          <w:rFonts w:ascii="Times New Roman" w:hAnsi="Times New Roman" w:cs="Times New Roman"/>
          <w:sz w:val="28"/>
          <w:szCs w:val="28"/>
        </w:rPr>
        <w:t xml:space="preserve"> </w:t>
      </w:r>
      <w:r>
        <w:rPr>
          <w:rFonts w:ascii="Times New Roman" w:hAnsi="Times New Roman" w:cs="Times New Roman"/>
          <w:sz w:val="28"/>
          <w:szCs w:val="28"/>
        </w:rPr>
        <w:t>привело</w:t>
      </w:r>
      <w:proofErr w:type="gramEnd"/>
      <w:r>
        <w:rPr>
          <w:rFonts w:ascii="Times New Roman" w:hAnsi="Times New Roman" w:cs="Times New Roman"/>
          <w:sz w:val="28"/>
          <w:szCs w:val="28"/>
        </w:rPr>
        <w:t xml:space="preserve"> к убеждению, что MXenes создают среду, которая способствует пролиферации клеток и экспрессии гена VEGF, а также уменьшает воспаление</w:t>
      </w:r>
      <w:r>
        <w:rPr>
          <w:rFonts w:ascii="Times New Roman" w:hAnsi="Times New Roman"/>
          <w:sz w:val="28"/>
          <w:szCs w:val="28"/>
        </w:rPr>
        <w:t xml:space="preserve"> [115].</w:t>
      </w:r>
    </w:p>
    <w:p w:rsidR="00E17FE1" w:rsidRDefault="00BB58D7">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lang w:val="en-US"/>
        </w:rPr>
        <w:t>Zhou</w:t>
      </w:r>
      <w:r>
        <w:rPr>
          <w:rFonts w:ascii="Times New Roman" w:hAnsi="Times New Roman" w:cs="Times New Roman"/>
          <w:sz w:val="28"/>
          <w:szCs w:val="28"/>
        </w:rPr>
        <w:t xml:space="preserve"> и др.</w:t>
      </w:r>
      <w:proofErr w:type="gramEnd"/>
      <w:r>
        <w:rPr>
          <w:rFonts w:ascii="Times New Roman" w:hAnsi="Times New Roman" w:cs="Times New Roman"/>
          <w:sz w:val="28"/>
          <w:szCs w:val="28"/>
        </w:rPr>
        <w:t xml:space="preserve"> использовали проводящую способность MXenes в качестве </w:t>
      </w:r>
      <w:bookmarkStart w:id="6" w:name="_Hlk212639308"/>
      <w:r>
        <w:rPr>
          <w:rFonts w:ascii="Times New Roman" w:hAnsi="Times New Roman" w:cs="Times New Roman"/>
          <w:sz w:val="28"/>
          <w:szCs w:val="28"/>
        </w:rPr>
        <w:t xml:space="preserve">неантибиотической контрмеры против метициллин-резистентных золотистых стафилококков </w:t>
      </w:r>
      <w:bookmarkStart w:id="7" w:name="_Hlk212639423"/>
      <w:r>
        <w:rPr>
          <w:rFonts w:ascii="Times New Roman" w:hAnsi="Times New Roman" w:cs="Times New Roman"/>
          <w:sz w:val="28"/>
          <w:szCs w:val="28"/>
        </w:rPr>
        <w:t>(</w:t>
      </w:r>
      <w:bookmarkEnd w:id="6"/>
      <w:r>
        <w:rPr>
          <w:rFonts w:ascii="Times New Roman" w:hAnsi="Times New Roman" w:cs="Times New Roman"/>
          <w:sz w:val="28"/>
          <w:szCs w:val="28"/>
        </w:rPr>
        <w:t xml:space="preserve">MRSA) </w:t>
      </w:r>
      <w:bookmarkEnd w:id="7"/>
      <w:r>
        <w:rPr>
          <w:rFonts w:ascii="Times New Roman" w:eastAsia="Times New Roman" w:hAnsi="Times New Roman" w:cs="Times New Roman"/>
          <w:sz w:val="28"/>
          <w:szCs w:val="28"/>
        </w:rPr>
        <w:t>[124]</w:t>
      </w:r>
      <w:r>
        <w:rPr>
          <w:rFonts w:ascii="Times New Roman" w:hAnsi="Times New Roman" w:cs="Times New Roman"/>
          <w:sz w:val="28"/>
          <w:szCs w:val="28"/>
        </w:rPr>
        <w:t xml:space="preserve">. Функционально основной компонент гидрогеля, нанолисты MXene, обеспечивали скаффолду антибактериальную активность, электропроводность, термостабильность и адгезивные свойства к тканям. Скаффолд обладал бактерицидным действием в отношении кишечной палочки и </w:t>
      </w:r>
      <w:r>
        <w:rPr>
          <w:rFonts w:ascii="Times New Roman" w:hAnsi="Times New Roman" w:cs="Times New Roman"/>
          <w:i/>
          <w:iCs/>
          <w:sz w:val="28"/>
          <w:szCs w:val="28"/>
        </w:rPr>
        <w:t>S. aureus</w:t>
      </w:r>
      <w:r>
        <w:rPr>
          <w:rFonts w:ascii="Times New Roman" w:hAnsi="Times New Roman" w:cs="Times New Roman"/>
          <w:sz w:val="28"/>
          <w:szCs w:val="28"/>
        </w:rPr>
        <w:t xml:space="preserve"> - 98,0% и 99,9% соответственно. Наиболее важным является их антибактериальный эффект против MRSA (99,03%), сопоставимый с действием антибиотика ванкомицина (98,9%), и значительно более высокая эффективность, чем у ампициллина (44,8%). Предполагается, что антибактериальный механизм действия MXene/PDA реализуется за счет разрушения бактериальной клеточной мембраны, вызванного более высокой концентрацией белка (разрушение клеточной мембраны приводит к утечке содержимого клетки, включая белки). </w:t>
      </w:r>
      <w:proofErr w:type="gramStart"/>
      <w:r>
        <w:rPr>
          <w:rFonts w:ascii="Times New Roman" w:hAnsi="Times New Roman" w:cs="Times New Roman"/>
          <w:sz w:val="28"/>
          <w:szCs w:val="28"/>
        </w:rPr>
        <w:t>Многофункциональные</w:t>
      </w:r>
      <w:proofErr w:type="gramEnd"/>
      <w:r>
        <w:rPr>
          <w:rFonts w:ascii="Times New Roman" w:hAnsi="Times New Roman" w:cs="Times New Roman"/>
          <w:sz w:val="28"/>
          <w:szCs w:val="28"/>
        </w:rPr>
        <w:t xml:space="preserve"> скаффолды продемонстрировали превосходную биосовместимость и биоразлагаемость при гистологических, </w:t>
      </w:r>
      <w:r>
        <w:rPr>
          <w:rFonts w:ascii="Times New Roman" w:hAnsi="Times New Roman" w:cs="Times New Roman"/>
          <w:i/>
          <w:iCs/>
          <w:sz w:val="28"/>
          <w:szCs w:val="28"/>
        </w:rPr>
        <w:t>in vitro</w:t>
      </w:r>
      <w:r>
        <w:rPr>
          <w:rFonts w:ascii="Times New Roman" w:hAnsi="Times New Roman" w:cs="Times New Roman"/>
          <w:sz w:val="28"/>
          <w:szCs w:val="28"/>
        </w:rPr>
        <w:t xml:space="preserve"> и </w:t>
      </w:r>
      <w:r>
        <w:rPr>
          <w:rFonts w:ascii="Times New Roman" w:hAnsi="Times New Roman" w:cs="Times New Roman"/>
          <w:i/>
          <w:iCs/>
          <w:sz w:val="28"/>
          <w:szCs w:val="28"/>
        </w:rPr>
        <w:t>in vivo</w:t>
      </w:r>
      <w:r>
        <w:rPr>
          <w:rFonts w:ascii="Times New Roman" w:hAnsi="Times New Roman" w:cs="Times New Roman"/>
          <w:sz w:val="28"/>
          <w:szCs w:val="28"/>
        </w:rPr>
        <w:t xml:space="preserve"> исследованиях. </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1.4 Утилизация активных форм кислорода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Воспаление - одна из основных защитных реакций организма, направленных на нейтрализацию патогенов и обеспечивающих восстановление тканей. Тем не менее, нарушение регуляции или длительная стимуляция воспалительных путей может нанести вред организму, приводя к аутоиммунным заболеваниям, раку и сепсису. В связи с этим сигнальные молекулы, регулирующие воспалительные процессы, стали важными мишенями для лекарственной терапии. Активные формы кислорода (АФК), такие как </w:t>
      </w:r>
      <w:r w:rsidRPr="00F55A66">
        <w:rPr>
          <w:rFonts w:ascii="Times New Roman" w:hAnsi="Times New Roman" w:cs="Times New Roman"/>
          <w:sz w:val="28"/>
          <w:szCs w:val="28"/>
        </w:rPr>
        <w:t>анионы (O</w:t>
      </w:r>
      <w:r w:rsidRPr="00F55A66">
        <w:rPr>
          <w:rFonts w:cs="Times New Roman"/>
          <w:sz w:val="28"/>
          <w:szCs w:val="28"/>
        </w:rPr>
        <w:t>₂</w:t>
      </w:r>
      <w:r w:rsidRPr="00F55A66">
        <w:rPr>
          <w:rFonts w:ascii="Times New Roman" w:hAnsi="Times New Roman" w:cs="Times New Roman"/>
          <w:sz w:val="28"/>
          <w:szCs w:val="28"/>
        </w:rPr>
        <w:t>−),</w:t>
      </w:r>
      <w:r>
        <w:rPr>
          <w:rFonts w:ascii="Times New Roman" w:hAnsi="Times New Roman" w:cs="Times New Roman"/>
          <w:sz w:val="28"/>
          <w:szCs w:val="28"/>
        </w:rPr>
        <w:t xml:space="preserve"> перекись водорода (H</w:t>
      </w:r>
      <w:r>
        <w:rPr>
          <w:rFonts w:ascii="Times New Roman" w:hAnsi="Times New Roman" w:cs="Times New Roman"/>
          <w:sz w:val="28"/>
          <w:szCs w:val="28"/>
          <w:vertAlign w:val="subscript"/>
        </w:rPr>
        <w:t>2</w:t>
      </w:r>
      <w:r>
        <w:rPr>
          <w:rFonts w:ascii="Times New Roman" w:hAnsi="Times New Roman" w:cs="Times New Roman"/>
          <w:sz w:val="28"/>
          <w:szCs w:val="28"/>
        </w:rPr>
        <w:t>О</w:t>
      </w:r>
      <w:r>
        <w:rPr>
          <w:rFonts w:ascii="Times New Roman" w:hAnsi="Times New Roman" w:cs="Times New Roman"/>
          <w:sz w:val="28"/>
          <w:szCs w:val="28"/>
          <w:vertAlign w:val="subscript"/>
        </w:rPr>
        <w:t>2</w:t>
      </w:r>
      <w:r>
        <w:rPr>
          <w:rFonts w:ascii="Times New Roman" w:hAnsi="Times New Roman" w:cs="Times New Roman"/>
          <w:sz w:val="28"/>
          <w:szCs w:val="28"/>
        </w:rPr>
        <w:t>) и гидроксильные радикалы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ОН) – это молекулы, образующиеся в результате неполного восстановления кислорода [</w:t>
      </w:r>
      <w:r>
        <w:rPr>
          <w:rFonts w:ascii="Times New Roman" w:eastAsia="Times New Roman" w:hAnsi="Times New Roman" w:cs="Times New Roman"/>
          <w:sz w:val="28"/>
          <w:szCs w:val="28"/>
        </w:rPr>
        <w:t>125</w:t>
      </w:r>
      <w:r>
        <w:rPr>
          <w:rFonts w:ascii="Times New Roman" w:hAnsi="Times New Roman" w:cs="Times New Roman"/>
          <w:sz w:val="28"/>
          <w:szCs w:val="28"/>
        </w:rPr>
        <w:t>]. Продукция АФК приводит к окислительному повреждению мембран и белков, вызывает дисфункцию клеток и усугубляет воспаление. В ответ на это разрабатываются и совершенствуются биоматериалы, нейтрализующие АФК, для уменьшения воспаления и защиты тканей от окислительного повреждения при нарушении регуляции иммунного ответа [</w:t>
      </w:r>
      <w:r>
        <w:rPr>
          <w:rFonts w:ascii="Times New Roman" w:eastAsia="Times New Roman" w:hAnsi="Times New Roman" w:cs="Times New Roman"/>
          <w:sz w:val="28"/>
          <w:szCs w:val="28"/>
        </w:rPr>
        <w:t>126</w:t>
      </w:r>
      <w:r>
        <w:rPr>
          <w:rFonts w:ascii="Times New Roman" w:hAnsi="Times New Roman" w:cs="Times New Roman"/>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Известно, что </w:t>
      </w:r>
      <w:r>
        <w:rPr>
          <w:rFonts w:ascii="Times New Roman" w:hAnsi="Times New Roman" w:cs="Times New Roman"/>
          <w:sz w:val="28"/>
          <w:szCs w:val="28"/>
          <w:lang w:val="en-US"/>
        </w:rPr>
        <w:t>MXene</w:t>
      </w:r>
      <w:r>
        <w:rPr>
          <w:rFonts w:ascii="Times New Roman" w:hAnsi="Times New Roman" w:cs="Times New Roman"/>
          <w:sz w:val="28"/>
          <w:szCs w:val="28"/>
        </w:rPr>
        <w:t xml:space="preserve"> обладают способностью генерировать АФК как один из механизмов антибактериального действия. Композиты, содержащие </w:t>
      </w:r>
      <w:r>
        <w:rPr>
          <w:rFonts w:ascii="Times New Roman" w:hAnsi="Times New Roman" w:cs="Times New Roman"/>
          <w:sz w:val="28"/>
          <w:szCs w:val="28"/>
        </w:rPr>
        <w:lastRenderedPageBreak/>
        <w:t xml:space="preserve">MXenes, обладают потенциалом для реализации локальной, стимулирующей АФК антимикробной активности, за счёт усиления окислительного стресса в данной области.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 другой стороны, помимо способности генерировать АФК, </w:t>
      </w:r>
      <w:r>
        <w:rPr>
          <w:rFonts w:ascii="Times New Roman" w:hAnsi="Times New Roman" w:cs="Times New Roman"/>
          <w:sz w:val="28"/>
          <w:szCs w:val="28"/>
          <w:lang w:val="en-US"/>
        </w:rPr>
        <w:t>MXene</w:t>
      </w:r>
      <w:r>
        <w:rPr>
          <w:rFonts w:ascii="Times New Roman" w:hAnsi="Times New Roman" w:cs="Times New Roman"/>
          <w:sz w:val="28"/>
          <w:szCs w:val="28"/>
        </w:rPr>
        <w:t xml:space="preserve"> также продемонстрировали способность нейтрализовать эти формы. Хотя наличие АФК может быть полезным для раневой поверхности, предотвращая инфицирование и стимулируя экспрессию коллагеназы и эластазы, было показано, что их чрезмерное количество нарушает регенерацию тканей из-за окислительного стресса, который не является избирательным. Поэтому технологии нейтрализации АФК также широко исследуются, что открывает возможности для </w:t>
      </w:r>
      <w:r>
        <w:rPr>
          <w:rFonts w:ascii="Times New Roman" w:hAnsi="Times New Roman" w:cs="Times New Roman"/>
          <w:sz w:val="28"/>
          <w:szCs w:val="28"/>
          <w:lang w:val="en-US"/>
        </w:rPr>
        <w:t>MXene</w:t>
      </w:r>
      <w:r>
        <w:rPr>
          <w:rFonts w:ascii="Times New Roman" w:hAnsi="Times New Roman" w:cs="Times New Roman"/>
          <w:sz w:val="28"/>
          <w:szCs w:val="28"/>
        </w:rPr>
        <w:t xml:space="preserve"> в этой потенциальной роли [</w:t>
      </w:r>
      <w:r>
        <w:rPr>
          <w:rFonts w:ascii="Times New Roman" w:eastAsia="Times New Roman" w:hAnsi="Times New Roman" w:cs="Times New Roman"/>
          <w:sz w:val="28"/>
          <w:szCs w:val="28"/>
        </w:rPr>
        <w:t>114</w:t>
      </w:r>
      <w:r>
        <w:rPr>
          <w:rFonts w:ascii="Times New Roman" w:hAnsi="Times New Roman" w:cs="Times New Roman"/>
          <w:sz w:val="28"/>
          <w:szCs w:val="28"/>
        </w:rPr>
        <w:t xml:space="preserve">]. Способность MXenes </w:t>
      </w:r>
      <w:proofErr w:type="gramStart"/>
      <w:r>
        <w:rPr>
          <w:rFonts w:ascii="Times New Roman" w:hAnsi="Times New Roman" w:cs="Times New Roman"/>
          <w:sz w:val="28"/>
          <w:szCs w:val="28"/>
        </w:rPr>
        <w:t>поглощать АФК можно объяснить</w:t>
      </w:r>
      <w:proofErr w:type="gramEnd"/>
      <w:r>
        <w:rPr>
          <w:rFonts w:ascii="Times New Roman" w:hAnsi="Times New Roman" w:cs="Times New Roman"/>
          <w:sz w:val="28"/>
          <w:szCs w:val="28"/>
        </w:rPr>
        <w:t xml:space="preserve"> большой площадью поверхности, что является общей характеристикой для всех 2D-наноматериалов, изменяющейся валентностью переходных металлов, проводимостью, поверхностными терминаторами и т. д. MXenes имеют дефектные участки на краях, которые действуют как центры восстановительной реакции для свободных радикалов, которые захватывают атомы водорода с поверхностных терминаторов [</w:t>
      </w:r>
      <w:r>
        <w:rPr>
          <w:rFonts w:ascii="Times New Roman" w:eastAsia="Times New Roman" w:hAnsi="Times New Roman" w:cs="Times New Roman"/>
          <w:sz w:val="28"/>
          <w:szCs w:val="28"/>
        </w:rPr>
        <w:t>127</w:t>
      </w:r>
      <w:r>
        <w:rPr>
          <w:rFonts w:ascii="Times New Roman" w:hAnsi="Times New Roman" w:cs="Times New Roman"/>
          <w:sz w:val="28"/>
          <w:szCs w:val="28"/>
        </w:rPr>
        <w:t xml:space="preserve">]. Исследование </w:t>
      </w:r>
      <w:r>
        <w:rPr>
          <w:rFonts w:ascii="Times New Roman" w:hAnsi="Times New Roman" w:cs="Times New Roman"/>
          <w:sz w:val="28"/>
          <w:szCs w:val="28"/>
          <w:lang w:val="en-US"/>
        </w:rPr>
        <w:t>Hou</w:t>
      </w:r>
      <w:r>
        <w:rPr>
          <w:rFonts w:ascii="Times New Roman" w:hAnsi="Times New Roman" w:cs="Times New Roman"/>
          <w:sz w:val="28"/>
          <w:szCs w:val="28"/>
        </w:rPr>
        <w:t xml:space="preserve"> и др. показало, что нанолисты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 xml:space="preserve">MXene </w:t>
      </w:r>
      <w:proofErr w:type="gramStart"/>
      <w:r>
        <w:rPr>
          <w:rFonts w:ascii="Times New Roman" w:hAnsi="Times New Roman" w:cs="Times New Roman"/>
          <w:sz w:val="28"/>
          <w:szCs w:val="28"/>
        </w:rPr>
        <w:t>способны</w:t>
      </w:r>
      <w:proofErr w:type="gramEnd"/>
      <w:r>
        <w:rPr>
          <w:rFonts w:ascii="Times New Roman" w:hAnsi="Times New Roman" w:cs="Times New Roman"/>
          <w:sz w:val="28"/>
          <w:szCs w:val="28"/>
        </w:rPr>
        <w:t xml:space="preserve"> снимать окислительный стресс, вызванный чрезмерным количеством АФК при воспалительных заболеваниях кишечника [</w:t>
      </w:r>
      <w:r>
        <w:rPr>
          <w:rFonts w:ascii="Times New Roman" w:eastAsia="Times New Roman" w:hAnsi="Times New Roman" w:cs="Times New Roman"/>
          <w:sz w:val="28"/>
          <w:szCs w:val="28"/>
        </w:rPr>
        <w:t>128</w:t>
      </w:r>
      <w:r>
        <w:rPr>
          <w:rFonts w:ascii="Times New Roman" w:hAnsi="Times New Roman" w:cs="Times New Roman"/>
          <w:sz w:val="28"/>
          <w:szCs w:val="28"/>
        </w:rPr>
        <w:t xml:space="preserve">]. Они успешно намеревались применять их в качестве пероральных препаратов и подтвердили стабильность и антиоксидантную активность MXene. В другом исследовании </w:t>
      </w:r>
      <w:r>
        <w:rPr>
          <w:rFonts w:ascii="Times New Roman" w:hAnsi="Times New Roman" w:cs="Times New Roman"/>
          <w:sz w:val="28"/>
          <w:szCs w:val="28"/>
          <w:lang w:val="en-US"/>
        </w:rPr>
        <w:t>Lui</w:t>
      </w:r>
      <w:r>
        <w:rPr>
          <w:rFonts w:ascii="Times New Roman" w:hAnsi="Times New Roman" w:cs="Times New Roman"/>
          <w:sz w:val="28"/>
          <w:szCs w:val="28"/>
        </w:rPr>
        <w:t xml:space="preserve"> и соавторы исследовали способность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s поглощать АФК в клетках печени мыши [</w:t>
      </w:r>
      <w:r>
        <w:rPr>
          <w:rFonts w:ascii="Times New Roman" w:eastAsia="Times New Roman" w:hAnsi="Times New Roman" w:cs="Times New Roman"/>
          <w:sz w:val="28"/>
          <w:szCs w:val="28"/>
        </w:rPr>
        <w:t>127</w:t>
      </w:r>
      <w:r>
        <w:rPr>
          <w:rFonts w:ascii="Times New Roman" w:hAnsi="Times New Roman" w:cs="Times New Roman"/>
          <w:sz w:val="28"/>
          <w:szCs w:val="28"/>
        </w:rPr>
        <w:t>]. Они сообщили о высокой реактивности между H</w:t>
      </w:r>
      <w:r>
        <w:rPr>
          <w:rFonts w:ascii="Times New Roman" w:hAnsi="Times New Roman" w:cs="Times New Roman"/>
          <w:sz w:val="28"/>
          <w:szCs w:val="28"/>
          <w:vertAlign w:val="subscript"/>
        </w:rPr>
        <w:t>2</w:t>
      </w:r>
      <w:r>
        <w:rPr>
          <w:rFonts w:ascii="Times New Roman" w:hAnsi="Times New Roman" w:cs="Times New Roman"/>
          <w:sz w:val="28"/>
          <w:szCs w:val="28"/>
        </w:rPr>
        <w:t>О</w:t>
      </w:r>
      <w:r>
        <w:rPr>
          <w:rFonts w:ascii="Times New Roman" w:hAnsi="Times New Roman" w:cs="Times New Roman"/>
          <w:sz w:val="28"/>
          <w:szCs w:val="28"/>
          <w:vertAlign w:val="subscript"/>
        </w:rPr>
        <w:t xml:space="preserve">2 </w:t>
      </w:r>
      <w:r>
        <w:rPr>
          <w:rFonts w:ascii="Times New Roman" w:hAnsi="Times New Roman" w:cs="Times New Roman"/>
          <w:sz w:val="28"/>
          <w:szCs w:val="28"/>
        </w:rPr>
        <w:t>и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 xml:space="preserve">s: наблюдалось изменение цвета раствора с чёрного на </w:t>
      </w:r>
      <w:proofErr w:type="gramStart"/>
      <w:r>
        <w:rPr>
          <w:rFonts w:ascii="Times New Roman" w:hAnsi="Times New Roman" w:cs="Times New Roman"/>
          <w:sz w:val="28"/>
          <w:szCs w:val="28"/>
        </w:rPr>
        <w:t>ярко-жёлтый</w:t>
      </w:r>
      <w:proofErr w:type="gramEnd"/>
      <w:r>
        <w:rPr>
          <w:rFonts w:ascii="Times New Roman" w:hAnsi="Times New Roman" w:cs="Times New Roman"/>
          <w:sz w:val="28"/>
          <w:szCs w:val="28"/>
        </w:rPr>
        <w:t xml:space="preserve"> под воздействием MXenes. Это изменение происходило при комнатной температуре с выделением газа и тепла. Полученные реагенты были идентифицированы как, возможно, пероксид титана (который и обеспечивал ярко-жёлтый цвет), оксид графита, вода, газообразный кислород, оксид углерода и диоксид углерода. Интересно, что эта реакционная связь наблюдалась исключительно с H</w:t>
      </w:r>
      <w:r>
        <w:rPr>
          <w:rFonts w:ascii="Times New Roman" w:hAnsi="Times New Roman" w:cs="Times New Roman"/>
          <w:sz w:val="28"/>
          <w:szCs w:val="28"/>
          <w:vertAlign w:val="subscript"/>
        </w:rPr>
        <w:t>2</w:t>
      </w:r>
      <w:r>
        <w:rPr>
          <w:rFonts w:ascii="Times New Roman" w:hAnsi="Times New Roman" w:cs="Times New Roman"/>
          <w:sz w:val="28"/>
          <w:szCs w:val="28"/>
        </w:rPr>
        <w:t>О</w:t>
      </w:r>
      <w:r>
        <w:rPr>
          <w:rFonts w:ascii="Times New Roman" w:hAnsi="Times New Roman" w:cs="Times New Roman"/>
          <w:sz w:val="28"/>
          <w:szCs w:val="28"/>
          <w:vertAlign w:val="subscript"/>
        </w:rPr>
        <w:t xml:space="preserve">2. </w:t>
      </w:r>
      <w:r>
        <w:rPr>
          <w:rFonts w:ascii="Times New Roman" w:hAnsi="Times New Roman" w:cs="Times New Roman"/>
          <w:sz w:val="28"/>
          <w:szCs w:val="28"/>
        </w:rPr>
        <w:t xml:space="preserve">Поэтому </w:t>
      </w:r>
      <w:r>
        <w:rPr>
          <w:rFonts w:ascii="Times New Roman" w:hAnsi="Times New Roman" w:cs="Times New Roman"/>
          <w:sz w:val="28"/>
          <w:szCs w:val="28"/>
          <w:lang w:val="en-US"/>
        </w:rPr>
        <w:t>Lui</w:t>
      </w:r>
      <w:r>
        <w:rPr>
          <w:rFonts w:ascii="Times New Roman" w:hAnsi="Times New Roman" w:cs="Times New Roman"/>
          <w:sz w:val="28"/>
          <w:szCs w:val="28"/>
        </w:rPr>
        <w:t xml:space="preserve"> и др. предположили, что эта реакция изменения цвета может быть использована для обнаружения перекиси водорода благодаря её чувствительности и достаточности. Более того, </w:t>
      </w:r>
      <w:r>
        <w:rPr>
          <w:rFonts w:ascii="Times New Roman" w:hAnsi="Times New Roman" w:cs="Times New Roman"/>
          <w:sz w:val="28"/>
          <w:szCs w:val="28"/>
          <w:lang w:val="en-US"/>
        </w:rPr>
        <w:t>Lui</w:t>
      </w:r>
      <w:r>
        <w:rPr>
          <w:rFonts w:ascii="Times New Roman" w:hAnsi="Times New Roman" w:cs="Times New Roman"/>
          <w:sz w:val="28"/>
          <w:szCs w:val="28"/>
        </w:rPr>
        <w:t xml:space="preserve"> и его коллеги подтвердили способность MXene нейтрализовать свободные радикалы. Механизм действия был объяснен обилием электронов на MXene, что приводит к образованию пар неспаренных электронов свободных радикалов [</w:t>
      </w:r>
      <w:r>
        <w:rPr>
          <w:rFonts w:ascii="Times New Roman" w:eastAsia="Times New Roman" w:hAnsi="Times New Roman" w:cs="Times New Roman"/>
          <w:sz w:val="28"/>
          <w:szCs w:val="28"/>
        </w:rPr>
        <w:t>127</w:t>
      </w:r>
      <w:r>
        <w:rPr>
          <w:rFonts w:ascii="Times New Roman" w:hAnsi="Times New Roman" w:cs="Times New Roman"/>
          <w:sz w:val="28"/>
          <w:szCs w:val="28"/>
        </w:rPr>
        <w:t xml:space="preserve">]. Избыток АФК также связывают с нарушением процесса заживления ран у пациентов с диабетом. </w:t>
      </w:r>
      <w:proofErr w:type="gramStart"/>
      <w:r>
        <w:rPr>
          <w:rFonts w:ascii="Times New Roman" w:hAnsi="Times New Roman" w:cs="Times New Roman"/>
          <w:sz w:val="28"/>
          <w:szCs w:val="28"/>
          <w:lang w:val="en-US"/>
        </w:rPr>
        <w:t>Li</w:t>
      </w:r>
      <w:r>
        <w:rPr>
          <w:rFonts w:ascii="Times New Roman" w:hAnsi="Times New Roman" w:cs="Times New Roman"/>
          <w:sz w:val="28"/>
          <w:szCs w:val="28"/>
        </w:rPr>
        <w:t xml:space="preserve"> и соавторы разработали композитный инъекционный гидрогель, состоящий из гиалуроновой кислоты-дофамин (HA-DA) и покрытый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s-полидофамином (MXene/PDA) [</w:t>
      </w:r>
      <w:r>
        <w:rPr>
          <w:rFonts w:ascii="Times New Roman" w:hAnsi="Times New Roman"/>
          <w:sz w:val="28"/>
          <w:szCs w:val="28"/>
        </w:rPr>
        <w:t>130</w:t>
      </w:r>
      <w:r>
        <w:rPr>
          <w:rFonts w:ascii="Times New Roman" w:hAnsi="Times New Roman" w:cs="Times New Roman"/>
          <w:sz w:val="28"/>
          <w:szCs w:val="28"/>
        </w:rPr>
        <w:t>].</w:t>
      </w:r>
      <w:proofErr w:type="gramEnd"/>
      <w:r>
        <w:rPr>
          <w:rFonts w:ascii="Times New Roman" w:hAnsi="Times New Roman" w:cs="Times New Roman"/>
          <w:sz w:val="28"/>
          <w:szCs w:val="28"/>
        </w:rPr>
        <w:t xml:space="preserve"> Гидрогели на основе MXene были специально изучены на предмет их способности </w:t>
      </w:r>
      <w:proofErr w:type="gramStart"/>
      <w:r>
        <w:rPr>
          <w:rFonts w:ascii="Times New Roman" w:hAnsi="Times New Roman" w:cs="Times New Roman"/>
          <w:sz w:val="28"/>
          <w:szCs w:val="28"/>
        </w:rPr>
        <w:t>поглощать</w:t>
      </w:r>
      <w:proofErr w:type="gramEnd"/>
      <w:r>
        <w:rPr>
          <w:rFonts w:ascii="Times New Roman" w:hAnsi="Times New Roman" w:cs="Times New Roman"/>
          <w:sz w:val="28"/>
          <w:szCs w:val="28"/>
        </w:rPr>
        <w:t xml:space="preserve"> свободные радикалы, а также их общей пригодности для заживления ран. Было отмечено, что как MXene, так </w:t>
      </w:r>
      <w:r>
        <w:rPr>
          <w:rFonts w:ascii="Times New Roman" w:hAnsi="Times New Roman" w:cs="Times New Roman"/>
          <w:sz w:val="28"/>
          <w:szCs w:val="28"/>
        </w:rPr>
        <w:lastRenderedPageBreak/>
        <w:t xml:space="preserve">и MXene/PDA обладают лучшей способностью поглощать свободные радикалы по сравнению с обычным антиоксидантом Н-ацетилцистеином. Они подчеркнули превосходные антиоксидантные свойства нанолистов MXene, </w:t>
      </w:r>
      <w:proofErr w:type="gramStart"/>
      <w:r>
        <w:rPr>
          <w:rFonts w:ascii="Times New Roman" w:hAnsi="Times New Roman" w:cs="Times New Roman"/>
          <w:sz w:val="28"/>
          <w:szCs w:val="28"/>
        </w:rPr>
        <w:t>покрытых</w:t>
      </w:r>
      <w:proofErr w:type="gramEnd"/>
      <w:r>
        <w:rPr>
          <w:rFonts w:ascii="Times New Roman" w:hAnsi="Times New Roman" w:cs="Times New Roman"/>
          <w:sz w:val="28"/>
          <w:szCs w:val="28"/>
        </w:rPr>
        <w:t xml:space="preserve"> PDA, обусловленные совокупным эффектом PDA и нанолистов MXene. Другое исследование, проведенное </w:t>
      </w:r>
      <w:r>
        <w:rPr>
          <w:rFonts w:ascii="Times New Roman" w:hAnsi="Times New Roman" w:cs="Times New Roman"/>
          <w:sz w:val="28"/>
          <w:szCs w:val="28"/>
          <w:lang w:val="en-US"/>
        </w:rPr>
        <w:t>Geng</w:t>
      </w:r>
      <w:r>
        <w:rPr>
          <w:rFonts w:ascii="Times New Roman" w:hAnsi="Times New Roman" w:cs="Times New Roman"/>
          <w:sz w:val="28"/>
          <w:szCs w:val="28"/>
        </w:rPr>
        <w:t xml:space="preserve"> и соавторами, было посвящено потенциалу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s в снятии окислительного стресса. [</w:t>
      </w:r>
      <w:r>
        <w:rPr>
          <w:rFonts w:ascii="Times New Roman" w:eastAsia="Times New Roman" w:hAnsi="Times New Roman" w:cs="Times New Roman"/>
          <w:sz w:val="28"/>
          <w:szCs w:val="28"/>
        </w:rPr>
        <w:t>130</w:t>
      </w:r>
      <w:r>
        <w:rPr>
          <w:rFonts w:ascii="Times New Roman" w:hAnsi="Times New Roman" w:cs="Times New Roman"/>
          <w:sz w:val="28"/>
          <w:szCs w:val="28"/>
        </w:rPr>
        <w:t>]. Они пришли к выводу, что нанолисты обладают более мощной и широкой антиоксидантной активностью, чем традиционные антиоксиданты, такие как аскорбиновая кислота и витамин Е. Было показано, что их активность в отношении свободных радикалов зависит от концентрации, что означает, что степень очистки также увеличивается при более высокой дозировке нанолистов MXene. Структурные изменения в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s были обнаружены при наблюдении за их антиоксидантной активностью. Утановлено, что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s подвергается градиентному окислению, это изменяет его восстановительную способность после очищающей активности [</w:t>
      </w:r>
      <w:r>
        <w:rPr>
          <w:rFonts w:ascii="Times New Roman" w:eastAsia="Times New Roman" w:hAnsi="Times New Roman" w:cs="Times New Roman"/>
          <w:sz w:val="28"/>
          <w:szCs w:val="28"/>
        </w:rPr>
        <w:t>130</w:t>
      </w:r>
      <w:r>
        <w:rPr>
          <w:rFonts w:ascii="Times New Roman" w:hAnsi="Times New Roman" w:cs="Times New Roman"/>
          <w:sz w:val="28"/>
          <w:szCs w:val="28"/>
        </w:rPr>
        <w:t xml:space="preserve">]. Группа под руководством </w:t>
      </w:r>
      <w:r>
        <w:rPr>
          <w:rFonts w:ascii="Times New Roman" w:hAnsi="Times New Roman" w:cs="Times New Roman"/>
          <w:sz w:val="28"/>
          <w:szCs w:val="28"/>
          <w:lang w:val="en-US"/>
        </w:rPr>
        <w:t>Geng</w:t>
      </w:r>
      <w:r>
        <w:rPr>
          <w:rFonts w:ascii="Times New Roman" w:hAnsi="Times New Roman" w:cs="Times New Roman"/>
          <w:sz w:val="28"/>
          <w:szCs w:val="28"/>
        </w:rPr>
        <w:t xml:space="preserve"> решила проблему структурной нестабильности MXene, модифицировав его биосовместимой молекулой -  полиэтиленгликоль. </w:t>
      </w:r>
      <w:proofErr w:type="gramStart"/>
      <w:r>
        <w:rPr>
          <w:rFonts w:ascii="Times New Roman" w:hAnsi="Times New Roman" w:cs="Times New Roman"/>
          <w:sz w:val="28"/>
          <w:szCs w:val="28"/>
        </w:rPr>
        <w:t>Новые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 xml:space="preserve">s/ПЭГ нанолисты продемонстрировали превосходную биосовместимость в исследовании с клетками </w:t>
      </w:r>
      <w:r w:rsidR="00812524">
        <w:rPr>
          <w:rFonts w:ascii="Times New Roman" w:hAnsi="Times New Roman" w:cs="Times New Roman"/>
          <w:sz w:val="28"/>
          <w:szCs w:val="28"/>
        </w:rPr>
        <w:t>NIH-3T3</w:t>
      </w:r>
      <w:r>
        <w:rPr>
          <w:rFonts w:ascii="Times New Roman" w:hAnsi="Times New Roman" w:cs="Times New Roman"/>
          <w:sz w:val="28"/>
          <w:szCs w:val="28"/>
        </w:rPr>
        <w:t>, но они отметили снижение антиоксидантной активности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sidR="00AC0D2B">
        <w:rPr>
          <w:rFonts w:ascii="Times New Roman" w:hAnsi="Times New Roman" w:cs="Times New Roman"/>
          <w:sz w:val="28"/>
          <w:szCs w:val="28"/>
        </w:rPr>
        <w:t>-</w:t>
      </w:r>
      <w:r>
        <w:rPr>
          <w:rFonts w:ascii="Times New Roman" w:hAnsi="Times New Roman" w:cs="Times New Roman"/>
          <w:sz w:val="28"/>
          <w:szCs w:val="28"/>
        </w:rPr>
        <w:t xml:space="preserve">ПЭГ нанолистов ПЭГ в сравнении с </w:t>
      </w:r>
      <w:r w:rsidR="00C16F4C">
        <w:rPr>
          <w:rFonts w:ascii="Times New Roman" w:hAnsi="Times New Roman" w:cs="Times New Roman"/>
          <w:sz w:val="28"/>
          <w:szCs w:val="28"/>
        </w:rPr>
        <w:t>Ti</w:t>
      </w:r>
      <w:r w:rsidR="00C16F4C">
        <w:rPr>
          <w:rFonts w:ascii="Times New Roman" w:hAnsi="Times New Roman" w:cs="Times New Roman"/>
          <w:sz w:val="28"/>
          <w:szCs w:val="28"/>
          <w:vertAlign w:val="subscript"/>
        </w:rPr>
        <w:t>3</w:t>
      </w:r>
      <w:r w:rsidR="00C16F4C">
        <w:rPr>
          <w:rFonts w:ascii="Times New Roman" w:hAnsi="Times New Roman" w:cs="Times New Roman"/>
          <w:sz w:val="28"/>
          <w:szCs w:val="28"/>
        </w:rPr>
        <w:t>С</w:t>
      </w:r>
      <w:r w:rsidR="00C16F4C">
        <w:rPr>
          <w:rFonts w:ascii="Times New Roman" w:hAnsi="Times New Roman" w:cs="Times New Roman"/>
          <w:sz w:val="28"/>
          <w:szCs w:val="28"/>
          <w:vertAlign w:val="subscript"/>
        </w:rPr>
        <w:t>2</w:t>
      </w:r>
      <w:r w:rsidR="00C16F4C">
        <w:rPr>
          <w:rFonts w:ascii="Times New Roman" w:hAnsi="Times New Roman" w:cs="Times New Roman"/>
          <w:sz w:val="28"/>
          <w:szCs w:val="28"/>
        </w:rPr>
        <w:t>Т</w:t>
      </w:r>
      <w:r w:rsidR="00C16F4C">
        <w:rPr>
          <w:rFonts w:ascii="Times New Roman" w:hAnsi="Times New Roman" w:cs="Times New Roman"/>
          <w:sz w:val="28"/>
          <w:szCs w:val="28"/>
          <w:vertAlign w:val="subscript"/>
        </w:rPr>
        <w:t>х</w:t>
      </w:r>
      <w:r>
        <w:rPr>
          <w:rFonts w:ascii="Times New Roman" w:hAnsi="Times New Roman" w:cs="Times New Roman"/>
          <w:sz w:val="28"/>
          <w:szCs w:val="28"/>
        </w:rPr>
        <w:t>MXene</w:t>
      </w:r>
      <w:r w:rsidR="00246F71" w:rsidRPr="00246F71">
        <w:rPr>
          <w:rFonts w:ascii="Times New Roman" w:hAnsi="Times New Roman" w:cs="Times New Roman"/>
          <w:sz w:val="28"/>
          <w:szCs w:val="28"/>
        </w:rPr>
        <w:t xml:space="preserve"> </w:t>
      </w:r>
      <w:r>
        <w:rPr>
          <w:rFonts w:ascii="Times New Roman" w:hAnsi="Times New Roman" w:cs="Times New Roman"/>
          <w:sz w:val="28"/>
          <w:szCs w:val="28"/>
        </w:rPr>
        <w:t>нанолистами, сохраняя при этом эффективную и широкую поглощающую активность [</w:t>
      </w:r>
      <w:r>
        <w:rPr>
          <w:rFonts w:ascii="Times New Roman" w:eastAsia="Times New Roman" w:hAnsi="Times New Roman" w:cs="Times New Roman"/>
          <w:sz w:val="28"/>
          <w:szCs w:val="28"/>
        </w:rPr>
        <w:t>130</w:t>
      </w:r>
      <w:r>
        <w:rPr>
          <w:rFonts w:ascii="Times New Roman" w:hAnsi="Times New Roman" w:cs="Times New Roman"/>
          <w:sz w:val="28"/>
          <w:szCs w:val="28"/>
        </w:rPr>
        <w:t>].</w:t>
      </w:r>
      <w:proofErr w:type="gramEnd"/>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Бактериальная целлюлоза обладает дополнительными преимуществами при лечении ран, такими как механическая прочность, взаимодействие с полимерами и эффективная биодеградация. В отличие от MXe</w:t>
      </w:r>
      <w:r>
        <w:rPr>
          <w:rFonts w:ascii="Times New Roman" w:hAnsi="Times New Roman" w:cs="Times New Roman"/>
          <w:sz w:val="28"/>
          <w:szCs w:val="28"/>
          <w:lang w:val="en-US"/>
        </w:rPr>
        <w:t>ne</w:t>
      </w:r>
      <w:r>
        <w:rPr>
          <w:rFonts w:ascii="Times New Roman" w:hAnsi="Times New Roman" w:cs="Times New Roman"/>
          <w:sz w:val="28"/>
          <w:szCs w:val="28"/>
        </w:rPr>
        <w:t>s, сама бактериальная целлюлоза не обладает свойствами, связывающими АФК и антимикробными свойствами [</w:t>
      </w:r>
      <w:r>
        <w:rPr>
          <w:rFonts w:ascii="Times New Roman" w:eastAsia="Times New Roman" w:hAnsi="Times New Roman" w:cs="Times New Roman"/>
          <w:sz w:val="28"/>
          <w:szCs w:val="28"/>
        </w:rPr>
        <w:t>131</w:t>
      </w:r>
      <w:r>
        <w:rPr>
          <w:rFonts w:ascii="Times New Roman" w:hAnsi="Times New Roman" w:cs="Times New Roman"/>
          <w:sz w:val="28"/>
          <w:szCs w:val="28"/>
        </w:rPr>
        <w:t>]. Тем не менее, она является исключительным каркасом для регенерации тканей благодаря своей высокой биосовместимости, пористости и способности удерживать влагу в раневой среде. Недавние исследования предлагают комбинировать БЦ с антиоксидантами или антимикробными агентами для создания многофункциональных повязок. Например, включенные в БЦ фенольные соединения и ферменты продемонстрировали повышенную способность нейтрализовать АФК и осуществлять дополнительную структурную поддержку пролиферации клеток [</w:t>
      </w:r>
      <w:r>
        <w:rPr>
          <w:rFonts w:ascii="Times New Roman" w:eastAsia="Times New Roman" w:hAnsi="Times New Roman" w:cs="Times New Roman"/>
          <w:sz w:val="28"/>
          <w:szCs w:val="28"/>
        </w:rPr>
        <w:t>132</w:t>
      </w:r>
      <w:r>
        <w:rPr>
          <w:rFonts w:ascii="Times New Roman" w:hAnsi="Times New Roman" w:cs="Times New Roman"/>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bookmarkStart w:id="8" w:name="_Hlk212641626"/>
      <w:r>
        <w:rPr>
          <w:rFonts w:ascii="Times New Roman" w:hAnsi="Times New Roman" w:cs="Times New Roman"/>
          <w:sz w:val="28"/>
          <w:szCs w:val="28"/>
        </w:rPr>
        <w:t xml:space="preserve">Роль БЦ в поддержании антиоксидантной активности супероксиддисмутазы (СОД) была описана </w:t>
      </w:r>
      <w:r>
        <w:rPr>
          <w:rFonts w:ascii="Times New Roman" w:hAnsi="Times New Roman" w:cs="Times New Roman"/>
          <w:sz w:val="28"/>
          <w:szCs w:val="28"/>
          <w:lang w:val="en-US"/>
        </w:rPr>
        <w:t>Pinmani</w:t>
      </w:r>
      <w:r>
        <w:rPr>
          <w:rFonts w:ascii="Times New Roman" w:hAnsi="Times New Roman" w:cs="Times New Roman"/>
          <w:sz w:val="28"/>
          <w:szCs w:val="28"/>
        </w:rPr>
        <w:t xml:space="preserve"> и соавторами [</w:t>
      </w:r>
      <w:r>
        <w:rPr>
          <w:rFonts w:ascii="Times New Roman" w:eastAsia="Times New Roman" w:hAnsi="Times New Roman" w:cs="Times New Roman"/>
          <w:sz w:val="28"/>
          <w:szCs w:val="28"/>
        </w:rPr>
        <w:t>133</w:t>
      </w:r>
      <w:r>
        <w:rPr>
          <w:rFonts w:ascii="Times New Roman" w:hAnsi="Times New Roman" w:cs="Times New Roman"/>
          <w:sz w:val="28"/>
          <w:szCs w:val="28"/>
        </w:rPr>
        <w:t xml:space="preserve">]. СОД – это антиоксидантный фермент, синтезируемый из </w:t>
      </w:r>
      <w:r>
        <w:rPr>
          <w:rFonts w:ascii="Times New Roman" w:hAnsi="Times New Roman" w:cs="Times New Roman"/>
          <w:i/>
          <w:iCs/>
          <w:sz w:val="28"/>
          <w:szCs w:val="28"/>
        </w:rPr>
        <w:t>Saccharomyces cerevisiae</w:t>
      </w:r>
      <w:r>
        <w:rPr>
          <w:rFonts w:ascii="Times New Roman" w:hAnsi="Times New Roman" w:cs="Times New Roman"/>
          <w:sz w:val="28"/>
          <w:szCs w:val="28"/>
        </w:rPr>
        <w:t xml:space="preserve"> TBRC657, который нейтрализует супероксидные радикалы, но страдает от нестабильности при физиологическом стрессе. </w:t>
      </w:r>
      <w:proofErr w:type="gramStart"/>
      <w:r>
        <w:rPr>
          <w:rFonts w:ascii="Times New Roman" w:hAnsi="Times New Roman" w:cs="Times New Roman"/>
          <w:sz w:val="28"/>
          <w:szCs w:val="28"/>
        </w:rPr>
        <w:t>Иммобилизация СОД на БЦ повысила ее стабильность на 40% при высоких pH и температуре по сравнению со свободной СОД, которая быстро разлагалась.</w:t>
      </w:r>
      <w:proofErr w:type="gramEnd"/>
      <w:r>
        <w:rPr>
          <w:rFonts w:ascii="Times New Roman" w:hAnsi="Times New Roman" w:cs="Times New Roman"/>
          <w:sz w:val="28"/>
          <w:szCs w:val="28"/>
        </w:rPr>
        <w:t xml:space="preserve"> Пористая структура БЦ сохраняла каталитическую активность СОД, одновременно </w:t>
      </w:r>
      <w:r>
        <w:rPr>
          <w:rFonts w:ascii="Times New Roman" w:hAnsi="Times New Roman" w:cs="Times New Roman"/>
          <w:sz w:val="28"/>
          <w:szCs w:val="28"/>
        </w:rPr>
        <w:lastRenderedPageBreak/>
        <w:t>защищая её от денатурации. В анализах окислительного стресса жизнеспособность фибробластов достигала 78,46% при предварительной обработке БЦ/СОД перед H</w:t>
      </w:r>
      <w:r w:rsidR="009E12D9" w:rsidRPr="009E12D9">
        <w:rPr>
          <w:rFonts w:ascii="Times New Roman" w:hAnsi="Times New Roman" w:cs="Times New Roman"/>
          <w:sz w:val="28"/>
          <w:szCs w:val="28"/>
          <w:vertAlign w:val="subscript"/>
        </w:rPr>
        <w:t>2</w:t>
      </w:r>
      <w:r>
        <w:rPr>
          <w:rFonts w:ascii="Times New Roman" w:hAnsi="Times New Roman" w:cs="Times New Roman"/>
          <w:sz w:val="28"/>
          <w:szCs w:val="28"/>
        </w:rPr>
        <w:t>О</w:t>
      </w:r>
      <w:r w:rsidR="009E12D9" w:rsidRPr="009E12D9">
        <w:rPr>
          <w:rFonts w:ascii="Times New Roman" w:hAnsi="Times New Roman" w:cs="Times New Roman"/>
          <w:sz w:val="28"/>
          <w:szCs w:val="28"/>
          <w:vertAlign w:val="subscript"/>
        </w:rPr>
        <w:t>2</w:t>
      </w:r>
      <w:r>
        <w:rPr>
          <w:rFonts w:ascii="Times New Roman" w:hAnsi="Times New Roman" w:cs="Times New Roman"/>
          <w:sz w:val="28"/>
          <w:szCs w:val="28"/>
        </w:rPr>
        <w:t xml:space="preserve"> воздействием, которое превосходило воздействие свободной SOD и чистой БЦ. Это улучшение было подкреплено способностью бактериальной целлюлозы </w:t>
      </w:r>
      <w:proofErr w:type="gramStart"/>
      <w:r>
        <w:rPr>
          <w:rFonts w:ascii="Times New Roman" w:hAnsi="Times New Roman" w:cs="Times New Roman"/>
          <w:sz w:val="28"/>
          <w:szCs w:val="28"/>
        </w:rPr>
        <w:t>локализовать</w:t>
      </w:r>
      <w:proofErr w:type="gramEnd"/>
      <w:r>
        <w:rPr>
          <w:rFonts w:ascii="Times New Roman" w:hAnsi="Times New Roman" w:cs="Times New Roman"/>
          <w:sz w:val="28"/>
          <w:szCs w:val="28"/>
        </w:rPr>
        <w:t xml:space="preserve"> СОД в месте повреждения, обеспечивая устойчивую очистку от </w:t>
      </w:r>
      <w:r>
        <w:rPr>
          <w:rFonts w:ascii="Times New Roman" w:hAnsi="Times New Roman" w:cs="Times New Roman"/>
        </w:rPr>
        <w:t>O</w:t>
      </w:r>
      <w:r>
        <w:rPr>
          <w:rFonts w:cs="Times New Roman"/>
        </w:rPr>
        <w:t>₂</w:t>
      </w:r>
      <w:r>
        <w:rPr>
          <w:rFonts w:ascii="Times New Roman" w:hAnsi="Times New Roman" w:cs="Times New Roman"/>
        </w:rPr>
        <w:t>−.</w:t>
      </w:r>
      <w:r>
        <w:rPr>
          <w:rFonts w:ascii="Times New Roman" w:hAnsi="Times New Roman" w:cs="Times New Roman"/>
          <w:sz w:val="28"/>
          <w:szCs w:val="28"/>
        </w:rPr>
        <w:t xml:space="preserve"> Такое предотвращение нарушения окислительно-восстановительной сигнализации, критически важно для заживления. Эта селективность делает БЦ/SOD индивидуальным решением для лечения хронических ран, характеризующихся преимущественно </w:t>
      </w:r>
      <w:proofErr w:type="gramStart"/>
      <w:r>
        <w:rPr>
          <w:rFonts w:ascii="Times New Roman" w:hAnsi="Times New Roman" w:cs="Times New Roman"/>
          <w:sz w:val="28"/>
          <w:szCs w:val="28"/>
        </w:rPr>
        <w:t>супероксид-зависимым</w:t>
      </w:r>
      <w:proofErr w:type="gramEnd"/>
      <w:r>
        <w:rPr>
          <w:rFonts w:ascii="Times New Roman" w:hAnsi="Times New Roman" w:cs="Times New Roman"/>
          <w:sz w:val="28"/>
          <w:szCs w:val="28"/>
        </w:rPr>
        <w:t xml:space="preserve"> воспалением. </w:t>
      </w:r>
    </w:p>
    <w:bookmarkEnd w:id="8"/>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ГАП также продемонстрировал потенциал в лечении окислительного стресса при заживлении ран, связанных с костной тканью. Несмотря на то, что гидроксиапатит не обладает выраженной способностью поглощать АФК, он широко используется в качестве компонента биоматериалов для подобных целей </w:t>
      </w:r>
      <w:proofErr w:type="gramStart"/>
      <w:r>
        <w:rPr>
          <w:rFonts w:ascii="Times New Roman" w:hAnsi="Times New Roman" w:cs="Times New Roman"/>
          <w:sz w:val="28"/>
          <w:szCs w:val="28"/>
        </w:rPr>
        <w:t>благодаря</w:t>
      </w:r>
      <w:proofErr w:type="gramEnd"/>
      <w:r>
        <w:rPr>
          <w:rFonts w:ascii="Times New Roman" w:hAnsi="Times New Roman" w:cs="Times New Roman"/>
          <w:sz w:val="28"/>
          <w:szCs w:val="28"/>
        </w:rPr>
        <w:t xml:space="preserve"> своей остеопроводимости и биосовместимости [</w:t>
      </w:r>
      <w:r>
        <w:rPr>
          <w:rFonts w:ascii="Times New Roman" w:eastAsia="Times New Roman" w:hAnsi="Times New Roman" w:cs="Times New Roman"/>
          <w:sz w:val="28"/>
          <w:szCs w:val="28"/>
        </w:rPr>
        <w:t>134</w:t>
      </w:r>
      <w:r>
        <w:rPr>
          <w:rFonts w:ascii="Times New Roman" w:hAnsi="Times New Roman" w:cs="Times New Roman"/>
          <w:sz w:val="28"/>
          <w:szCs w:val="28"/>
        </w:rPr>
        <w:t>]. ГАП можно комбинировать с различными материалами, такими как оксид графена или антиоксидантные соединения (дубильная кислота, витамин</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 чёрное рисовое вино), для создания композитов с улучшенной способностью нейтрализовать АФК. </w:t>
      </w:r>
      <w:proofErr w:type="gramStart"/>
      <w:r>
        <w:rPr>
          <w:rFonts w:ascii="Times New Roman" w:hAnsi="Times New Roman" w:cs="Times New Roman"/>
          <w:sz w:val="28"/>
          <w:szCs w:val="28"/>
          <w:lang w:val="en-US"/>
        </w:rPr>
        <w:t>Yu</w:t>
      </w:r>
      <w:r>
        <w:rPr>
          <w:rFonts w:ascii="Times New Roman" w:hAnsi="Times New Roman" w:cs="Times New Roman"/>
          <w:sz w:val="28"/>
          <w:szCs w:val="28"/>
        </w:rPr>
        <w:t xml:space="preserve"> и соавторы предприняли попытку улучшить адгезию и остеоинтеграцию путём покрытия поверхности титановых имплантатов наночастицами полидофамина, функционализированными гидроксиапатитом (ГА/nPDA) [</w:t>
      </w:r>
      <w:r>
        <w:rPr>
          <w:rFonts w:ascii="Times New Roman" w:eastAsia="Times New Roman" w:hAnsi="Times New Roman" w:cs="Times New Roman"/>
          <w:sz w:val="28"/>
          <w:szCs w:val="28"/>
        </w:rPr>
        <w:t>135</w:t>
      </w:r>
      <w:r>
        <w:rPr>
          <w:rFonts w:ascii="Times New Roman" w:hAnsi="Times New Roman" w:cs="Times New Roman"/>
          <w:sz w:val="28"/>
          <w:szCs w:val="28"/>
        </w:rPr>
        <w:t>].</w:t>
      </w:r>
      <w:proofErr w:type="gramEnd"/>
      <w:r>
        <w:rPr>
          <w:rFonts w:ascii="Times New Roman" w:hAnsi="Times New Roman" w:cs="Times New Roman"/>
          <w:sz w:val="28"/>
          <w:szCs w:val="28"/>
        </w:rPr>
        <w:t xml:space="preserve"> Использовалась технология </w:t>
      </w:r>
      <w:proofErr w:type="gramStart"/>
      <w:r>
        <w:rPr>
          <w:rFonts w:ascii="Times New Roman" w:hAnsi="Times New Roman" w:cs="Times New Roman"/>
          <w:sz w:val="28"/>
          <w:szCs w:val="28"/>
        </w:rPr>
        <w:t>одностадийного</w:t>
      </w:r>
      <w:proofErr w:type="gramEnd"/>
      <w:r>
        <w:rPr>
          <w:rFonts w:ascii="Times New Roman" w:hAnsi="Times New Roman" w:cs="Times New Roman"/>
          <w:sz w:val="28"/>
          <w:szCs w:val="28"/>
        </w:rPr>
        <w:t xml:space="preserve"> соосаждения с дофамином. Для создания композита HA/nPDA наночастицы PDA замачивали в растворе, имитирующем биологическую жидкость (SBF). Результаты показали, что покрытия nPDA и HA/nPDA нейтрализовали около 40% свободных радикалов. Полученные значения скорости поглощения АФК находились на оптимальном уровне, что свидетельствует о балансе между устранением </w:t>
      </w:r>
      <w:proofErr w:type="gramStart"/>
      <w:r>
        <w:rPr>
          <w:rFonts w:ascii="Times New Roman" w:hAnsi="Times New Roman" w:cs="Times New Roman"/>
          <w:sz w:val="28"/>
          <w:szCs w:val="28"/>
        </w:rPr>
        <w:t>избыточных</w:t>
      </w:r>
      <w:proofErr w:type="gramEnd"/>
      <w:r>
        <w:rPr>
          <w:rFonts w:ascii="Times New Roman" w:hAnsi="Times New Roman" w:cs="Times New Roman"/>
          <w:sz w:val="28"/>
          <w:szCs w:val="28"/>
        </w:rPr>
        <w:t xml:space="preserve"> АФК после операции и поддержанием необходимого уровня АФК для клеточной защиты и сигнализации. Таким образом, покрытия воздействовали только на вредный окислительный стресс, не нарушая полезные физиологические процессы. </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1.2.3 Доставка лекарств</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На рану часто наносят средства, способствующие восстановлению кожной ткани. Они часто содержат антибиотики, факторы роста, противовоспалительные препараты и т. д. Проблема, возникающая при добавлении этих препаратов, заключается в их возможной нестабильности, низкой абсорбции и потенциальных побочных эффектах. Эту проблему можно решить, включив эти препараты в биоматериалы, которые будут обеспечивать контролируемое высвобождение этих молекул [136]. Большая площадь поверхности MXenes делает их перспективными для производства систем доставки лека</w:t>
      </w:r>
      <w:proofErr w:type="gramStart"/>
      <w:r>
        <w:rPr>
          <w:rFonts w:ascii="Times New Roman" w:eastAsia="Times New Roman" w:hAnsi="Times New Roman" w:cs="Times New Roman"/>
          <w:sz w:val="28"/>
          <w:szCs w:val="28"/>
        </w:rPr>
        <w:t>рств с к</w:t>
      </w:r>
      <w:proofErr w:type="gramEnd"/>
      <w:r>
        <w:rPr>
          <w:rFonts w:ascii="Times New Roman" w:eastAsia="Times New Roman" w:hAnsi="Times New Roman" w:cs="Times New Roman"/>
          <w:sz w:val="28"/>
          <w:szCs w:val="28"/>
        </w:rPr>
        <w:t>онтролируемым высвобождением [137].</w:t>
      </w:r>
      <w:r>
        <w:rPr>
          <w:rFonts w:ascii="Times New Roman" w:hAnsi="Times New Roman" w:cs="Times New Roman"/>
          <w:sz w:val="28"/>
          <w:szCs w:val="28"/>
        </w:rPr>
        <w:t xml:space="preserve"> </w:t>
      </w:r>
      <w:r>
        <w:rPr>
          <w:rFonts w:ascii="Times New Roman" w:hAnsi="Times New Roman"/>
          <w:sz w:val="28"/>
          <w:szCs w:val="28"/>
        </w:rPr>
        <w:t>Zhang</w:t>
      </w:r>
      <w:r>
        <w:rPr>
          <w:rFonts w:ascii="Times New Roman" w:hAnsi="Times New Roman" w:cs="Times New Roman"/>
          <w:sz w:val="28"/>
          <w:szCs w:val="28"/>
        </w:rPr>
        <w:t xml:space="preserve"> и др. создали нанолисты MXene-Se-DOX, </w:t>
      </w:r>
      <w:proofErr w:type="gramStart"/>
      <w:r>
        <w:rPr>
          <w:rFonts w:ascii="Times New Roman" w:hAnsi="Times New Roman" w:cs="Times New Roman"/>
          <w:sz w:val="28"/>
          <w:szCs w:val="28"/>
        </w:rPr>
        <w:t>состоящие</w:t>
      </w:r>
      <w:proofErr w:type="gramEnd"/>
      <w:r>
        <w:rPr>
          <w:rFonts w:ascii="Times New Roman" w:hAnsi="Times New Roman" w:cs="Times New Roman"/>
          <w:sz w:val="28"/>
          <w:szCs w:val="28"/>
        </w:rPr>
        <w:t xml:space="preserve"> из нанолистов Mxene, химиотерапевтического препарата DOX (доксорубицин) [</w:t>
      </w:r>
      <w:r>
        <w:rPr>
          <w:rFonts w:ascii="Times New Roman" w:eastAsia="Times New Roman" w:hAnsi="Times New Roman" w:cs="Times New Roman"/>
          <w:sz w:val="28"/>
          <w:szCs w:val="28"/>
        </w:rPr>
        <w:t>137</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Такие </w:t>
      </w:r>
      <w:r>
        <w:rPr>
          <w:rFonts w:ascii="Times New Roman" w:hAnsi="Times New Roman" w:cs="Times New Roman"/>
          <w:sz w:val="28"/>
          <w:szCs w:val="28"/>
        </w:rPr>
        <w:lastRenderedPageBreak/>
        <w:t>наноносители лекарственных средств на основе MXene обладают множеством преимуществ, таких как предотвращение непредвиденного высвобождения DOX и контролируемое высвобождение препарата под воздействием стимулов, в частности АФК и pH, а также присущая MXene антибактериальная активность.</w:t>
      </w:r>
      <w:proofErr w:type="gramEnd"/>
      <w:r>
        <w:rPr>
          <w:rFonts w:ascii="Times New Roman" w:hAnsi="Times New Roman" w:cs="Times New Roman"/>
          <w:sz w:val="28"/>
          <w:szCs w:val="28"/>
        </w:rPr>
        <w:t xml:space="preserve"> Система MXene-Se-DOX продемонстрировала превосходную антибактериальную активность против </w:t>
      </w:r>
      <w:r>
        <w:rPr>
          <w:rFonts w:ascii="Times New Roman" w:hAnsi="Times New Roman" w:cs="Times New Roman"/>
          <w:i/>
          <w:sz w:val="28"/>
          <w:szCs w:val="28"/>
        </w:rPr>
        <w:t>E. coli</w:t>
      </w:r>
      <w:r>
        <w:rPr>
          <w:rFonts w:ascii="Times New Roman" w:hAnsi="Times New Roman" w:cs="Times New Roman"/>
          <w:sz w:val="28"/>
          <w:szCs w:val="28"/>
        </w:rPr>
        <w:t xml:space="preserve"> и </w:t>
      </w:r>
      <w:r>
        <w:rPr>
          <w:rFonts w:ascii="Times New Roman" w:hAnsi="Times New Roman" w:cs="Times New Roman"/>
          <w:i/>
          <w:iCs/>
          <w:sz w:val="28"/>
          <w:szCs w:val="28"/>
        </w:rPr>
        <w:t xml:space="preserve">B. </w:t>
      </w:r>
      <w:r>
        <w:rPr>
          <w:rFonts w:ascii="Times New Roman" w:hAnsi="Times New Roman" w:cs="Times New Roman"/>
          <w:i/>
          <w:iCs/>
          <w:sz w:val="28"/>
          <w:szCs w:val="28"/>
          <w:lang w:val="en-US"/>
        </w:rPr>
        <w:t>s</w:t>
      </w:r>
      <w:r>
        <w:rPr>
          <w:rFonts w:ascii="Times New Roman" w:hAnsi="Times New Roman" w:cs="Times New Roman"/>
          <w:i/>
          <w:iCs/>
          <w:sz w:val="28"/>
          <w:szCs w:val="28"/>
        </w:rPr>
        <w:t>ubtilis</w:t>
      </w:r>
      <w:r>
        <w:rPr>
          <w:rFonts w:ascii="Times New Roman" w:hAnsi="Times New Roman" w:cs="Times New Roman"/>
          <w:sz w:val="28"/>
          <w:szCs w:val="28"/>
        </w:rPr>
        <w:t xml:space="preserve">. </w:t>
      </w:r>
      <w:r>
        <w:rPr>
          <w:rFonts w:ascii="Times New Roman" w:eastAsia="Times New Roman" w:hAnsi="Times New Roman" w:cs="Times New Roman"/>
          <w:sz w:val="28"/>
          <w:szCs w:val="28"/>
        </w:rPr>
        <w:t>MXenes как наноносители не инкапсулируют лекарственное средство, а просто образуют химические связи. Их большая площадь поверхности в данном случае является преимуществом. Однако это также делает их непригодными для использования в больших дозах лекарственных средств и может привести к трудностям с высвобождением препарата (образованную связь может быть сложнее разорвать/контролировать степень разрыва, что может привести к неконтролируемому высвобождению препарата) [138].</w:t>
      </w:r>
      <w:r>
        <w:rPr>
          <w:rFonts w:ascii="Times New Roman" w:hAnsi="Times New Roman" w:cs="Times New Roman"/>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БЦ обладает большим потенциалом для доставки лекарств. Её нанопористая структура позволяет загружать лекарственные средства и использовать их в качестве системы доставки. Кроме того, БЦ может быть </w:t>
      </w:r>
      <w:proofErr w:type="gramStart"/>
      <w:r>
        <w:rPr>
          <w:rFonts w:ascii="Times New Roman" w:eastAsia="Times New Roman" w:hAnsi="Times New Roman" w:cs="Times New Roman"/>
          <w:sz w:val="28"/>
          <w:szCs w:val="28"/>
        </w:rPr>
        <w:t>модифицированный</w:t>
      </w:r>
      <w:proofErr w:type="gramEnd"/>
      <w:r>
        <w:rPr>
          <w:rFonts w:ascii="Times New Roman" w:eastAsia="Times New Roman" w:hAnsi="Times New Roman" w:cs="Times New Roman"/>
          <w:sz w:val="28"/>
          <w:szCs w:val="28"/>
        </w:rPr>
        <w:t>, чтобы быть подходящим для конкретного типа препарата [116]. Это биосовместимый материал с выдающимися механическими свойствами, обеспечивающими стабильность и длительное высвобождение лекарственных средств. Более того, гибкость модификаций биополимера позволяет получить адаптируемые свойства, выгодные для конкретных случаев высвобождения лекарственных средств [37].</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Гидроксиапатит также считается наноносителем лекарственных препаратов. Хотя наногидроксиапатит (</w:t>
      </w:r>
      <w:proofErr w:type="gramStart"/>
      <w:r>
        <w:rPr>
          <w:rFonts w:ascii="Times New Roman" w:hAnsi="Times New Roman" w:cs="Times New Roman"/>
          <w:sz w:val="28"/>
          <w:szCs w:val="28"/>
        </w:rPr>
        <w:t>n</w:t>
      </w:r>
      <w:proofErr w:type="gramEnd"/>
      <w:r>
        <w:rPr>
          <w:rFonts w:ascii="Times New Roman" w:hAnsi="Times New Roman" w:cs="Times New Roman"/>
          <w:sz w:val="28"/>
          <w:szCs w:val="28"/>
        </w:rPr>
        <w:t xml:space="preserve">ГАП) является превосходным биоматериалом, обладающим необходимой биосовместимостью, биоактивностью и структурным сходством с костными минералами, он также обладает такими недостатками, как быстрое высвобождение препарата, низкая механическая прочность и ограниченная способность к таргетированию. </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1.2.4 Фототермическая терапия</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Фототермическая терапия (ФТТ) является распространенным вариантом лечения рака, основанным на выработке тепла посредством процесса фототермического преобразования [</w:t>
      </w:r>
      <w:r>
        <w:rPr>
          <w:rFonts w:ascii="Times New Roman" w:eastAsia="Times New Roman" w:hAnsi="Times New Roman" w:cs="Times New Roman"/>
          <w:sz w:val="28"/>
          <w:szCs w:val="28"/>
        </w:rPr>
        <w:t>139</w:t>
      </w:r>
      <w:r>
        <w:rPr>
          <w:rFonts w:ascii="Times New Roman" w:hAnsi="Times New Roman" w:cs="Times New Roman"/>
          <w:sz w:val="28"/>
          <w:szCs w:val="28"/>
        </w:rPr>
        <w:t>]. В нём используется ближний инфракрасный (БИК) свет, который поглощается фототермическими материалами с последующим выделением тепла. ФТТ — это эффективный, но малоинвазивный метод, который наносит минимальный вред окружающим здоровым тканям [</w:t>
      </w:r>
      <w:r>
        <w:rPr>
          <w:rFonts w:ascii="Times New Roman" w:eastAsia="Times New Roman" w:hAnsi="Times New Roman" w:cs="Times New Roman"/>
          <w:sz w:val="28"/>
          <w:szCs w:val="28"/>
        </w:rPr>
        <w:t>140</w:t>
      </w:r>
      <w:r>
        <w:rPr>
          <w:rFonts w:ascii="Times New Roman" w:hAnsi="Times New Roman" w:cs="Times New Roman"/>
          <w:sz w:val="28"/>
          <w:szCs w:val="28"/>
        </w:rPr>
        <w:t xml:space="preserve">]. Фототермические агенты могут быть токсичными и вести себя нестабильно. Поэтому требуется тщательный выбор таких материалов. MXenes являются отличными кандидатами в качестве фототермических агентов. </w:t>
      </w:r>
      <w:r>
        <w:rPr>
          <w:rFonts w:ascii="Times New Roman" w:hAnsi="Times New Roman"/>
          <w:sz w:val="28"/>
          <w:szCs w:val="28"/>
        </w:rPr>
        <w:t>Szuplewska</w:t>
      </w:r>
      <w:r>
        <w:rPr>
          <w:rFonts w:ascii="Times New Roman" w:hAnsi="Times New Roman" w:cs="Times New Roman"/>
          <w:sz w:val="28"/>
          <w:szCs w:val="28"/>
        </w:rPr>
        <w:t xml:space="preserve"> и др. изучали потенциал композитов MXene/PEG для применения в ФТТ против раковых клеток [</w:t>
      </w:r>
      <w:r>
        <w:rPr>
          <w:rFonts w:ascii="Times New Roman" w:eastAsia="Times New Roman" w:hAnsi="Times New Roman" w:cs="Times New Roman"/>
          <w:sz w:val="28"/>
          <w:szCs w:val="28"/>
        </w:rPr>
        <w:t>141</w:t>
      </w:r>
      <w:r>
        <w:rPr>
          <w:rFonts w:ascii="Times New Roman" w:hAnsi="Times New Roman" w:cs="Times New Roman"/>
          <w:sz w:val="28"/>
          <w:szCs w:val="28"/>
        </w:rPr>
        <w:t xml:space="preserve">]. Подчеркивается селективность MXenes в отношении злокачественных </w:t>
      </w:r>
      <w:r>
        <w:rPr>
          <w:rFonts w:ascii="Times New Roman" w:hAnsi="Times New Roman" w:cs="Times New Roman"/>
          <w:sz w:val="28"/>
          <w:szCs w:val="28"/>
        </w:rPr>
        <w:lastRenderedPageBreak/>
        <w:t>клеток, поскольку они локализуются на поверхности клеток. Их применимость в качестве фототермических агентов была оценена с помощью облучения ближнего инфракрасного лазера после 24-часового воздействия на клетки. Материал MXene/PEG успешно продемонстрировал свою пригодность в качестве фототермических агентов и селективный эффект в отношении злокачественных клеток во время лечения ФТТ [</w:t>
      </w:r>
      <w:r>
        <w:rPr>
          <w:rFonts w:ascii="Times New Roman" w:eastAsia="Times New Roman" w:hAnsi="Times New Roman" w:cs="Times New Roman"/>
          <w:sz w:val="28"/>
          <w:szCs w:val="28"/>
        </w:rPr>
        <w:t>141</w:t>
      </w:r>
      <w:r>
        <w:rPr>
          <w:rFonts w:ascii="Times New Roman" w:hAnsi="Times New Roman" w:cs="Times New Roman"/>
          <w:sz w:val="28"/>
          <w:szCs w:val="28"/>
        </w:rPr>
        <w:t>].</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аналогичном исследовании </w:t>
      </w:r>
      <w:r>
        <w:rPr>
          <w:rFonts w:ascii="Times New Roman" w:hAnsi="Times New Roman"/>
          <w:sz w:val="28"/>
          <w:szCs w:val="28"/>
        </w:rPr>
        <w:t>Kyrylenko</w:t>
      </w:r>
      <w:r>
        <w:rPr>
          <w:rFonts w:ascii="Times New Roman" w:hAnsi="Times New Roman" w:cs="Times New Roman"/>
          <w:sz w:val="28"/>
          <w:szCs w:val="28"/>
        </w:rPr>
        <w:t xml:space="preserve"> и др.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 xml:space="preserve"> обрабатывали клеточные линий для исследования фототермических эффектов облучения импульсным лазером ближнего инфракрасного диапазона в окне NIR-II (1064 нм) [</w:t>
      </w:r>
      <w:r>
        <w:rPr>
          <w:rFonts w:ascii="Times New Roman" w:eastAsia="Times New Roman" w:hAnsi="Times New Roman" w:cs="Times New Roman"/>
          <w:sz w:val="28"/>
          <w:szCs w:val="28"/>
        </w:rPr>
        <w:t>142</w:t>
      </w:r>
      <w:r>
        <w:rPr>
          <w:rFonts w:ascii="Times New Roman" w:hAnsi="Times New Roman" w:cs="Times New Roman"/>
          <w:sz w:val="28"/>
          <w:szCs w:val="28"/>
        </w:rPr>
        <w:t>]. Они сравнивалась активность двух типов клеток с различными концентрациями MXene и продолжительностью абляции. Диапазон концентраций MXene, по-видимому, оказывает цитотоксическое действие за счет затемненного состояния клеток и снижения популяции клеток.</w:t>
      </w:r>
    </w:p>
    <w:p w:rsidR="00E17FE1" w:rsidRDefault="00BB58D7">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lang w:val="en-US"/>
        </w:rPr>
        <w:t>Du</w:t>
      </w:r>
      <w:r>
        <w:rPr>
          <w:rFonts w:ascii="Times New Roman" w:hAnsi="Times New Roman" w:cs="Times New Roman"/>
          <w:sz w:val="28"/>
          <w:szCs w:val="28"/>
        </w:rPr>
        <w:t xml:space="preserve"> и др.</w:t>
      </w:r>
      <w:proofErr w:type="gramEnd"/>
      <w:r>
        <w:rPr>
          <w:rFonts w:ascii="Times New Roman" w:hAnsi="Times New Roman" w:cs="Times New Roman"/>
          <w:sz w:val="28"/>
          <w:szCs w:val="28"/>
        </w:rPr>
        <w:t xml:space="preserve"> изучали потенциальные антибактериальные, фототермические и остеоиндуктивные эффекты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 xml:space="preserve"> путем покрытия имплантатов из сульфированного углеродного волокна, армированного полиэфирэфиркетоном (ПЭЭК) [</w:t>
      </w:r>
      <w:r>
        <w:rPr>
          <w:rFonts w:ascii="Times New Roman" w:eastAsia="Times New Roman" w:hAnsi="Times New Roman" w:cs="Times New Roman"/>
          <w:sz w:val="28"/>
          <w:szCs w:val="28"/>
        </w:rPr>
        <w:t>143</w:t>
      </w:r>
      <w:r>
        <w:rPr>
          <w:rFonts w:ascii="Times New Roman" w:hAnsi="Times New Roman" w:cs="Times New Roman"/>
          <w:sz w:val="28"/>
          <w:szCs w:val="28"/>
        </w:rPr>
        <w:t>].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x</w:t>
      </w:r>
      <w:r>
        <w:rPr>
          <w:rFonts w:ascii="Times New Roman" w:hAnsi="Times New Roman" w:cs="Times New Roman"/>
          <w:sz w:val="28"/>
          <w:szCs w:val="28"/>
        </w:rPr>
        <w:t>MXene был стабилизирован полидофомином (PDA). С помощью ЭДС было подтверждено, что слой находится на поверхности имплантируемого материала. Дальнейшие исследования подтвердили его положительный эффект, повышая гидрофильность и биосовместимость. За счет высокой степени связывания Ca</w:t>
      </w:r>
      <w:r>
        <w:rPr>
          <w:rFonts w:ascii="Times New Roman" w:hAnsi="Times New Roman" w:cs="Times New Roman"/>
          <w:sz w:val="28"/>
          <w:szCs w:val="28"/>
          <w:vertAlign w:val="superscript"/>
        </w:rPr>
        <w:t>2+</w:t>
      </w:r>
      <w:r>
        <w:rPr>
          <w:rFonts w:ascii="Times New Roman" w:hAnsi="Times New Roman" w:cs="Times New Roman"/>
          <w:sz w:val="28"/>
          <w:szCs w:val="28"/>
        </w:rPr>
        <w:t xml:space="preserve">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 Эффективность имплантируемого материала как фототермического агента также улучшилась благодаря PDA/ Ti</w:t>
      </w:r>
      <w:r>
        <w:rPr>
          <w:rFonts w:ascii="Times New Roman" w:hAnsi="Times New Roman" w:cs="Times New Roman"/>
          <w:sz w:val="28"/>
          <w:szCs w:val="28"/>
          <w:vertAlign w:val="subscript"/>
        </w:rPr>
        <w:t>3</w:t>
      </w:r>
      <w:r>
        <w:rPr>
          <w:rFonts w:ascii="Times New Roman" w:hAnsi="Times New Roman" w:cs="Times New Roman"/>
          <w:sz w:val="28"/>
          <w:szCs w:val="28"/>
        </w:rPr>
        <w:t>С</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х</w:t>
      </w:r>
      <w:r>
        <w:rPr>
          <w:rFonts w:ascii="Times New Roman" w:hAnsi="Times New Roman" w:cs="Times New Roman"/>
          <w:sz w:val="28"/>
          <w:szCs w:val="28"/>
        </w:rPr>
        <w:t>MXe</w:t>
      </w:r>
      <w:r>
        <w:rPr>
          <w:rFonts w:ascii="Times New Roman" w:hAnsi="Times New Roman" w:cs="Times New Roman"/>
          <w:sz w:val="28"/>
          <w:szCs w:val="28"/>
          <w:lang w:val="en-US"/>
        </w:rPr>
        <w:t>ne</w:t>
      </w:r>
      <w:r>
        <w:rPr>
          <w:rFonts w:ascii="Times New Roman" w:hAnsi="Times New Roman" w:cs="Times New Roman"/>
          <w:sz w:val="28"/>
          <w:szCs w:val="28"/>
        </w:rPr>
        <w:t xml:space="preserve">.  Абляция ближнего инфракрасного лазера также улучшила антибактериальный эффект, достигнув 100% уровня стерилизации против </w:t>
      </w:r>
      <w:r>
        <w:rPr>
          <w:rFonts w:ascii="Times New Roman" w:hAnsi="Times New Roman" w:cs="Times New Roman"/>
          <w:i/>
          <w:sz w:val="28"/>
          <w:szCs w:val="28"/>
        </w:rPr>
        <w:t>E. coli</w:t>
      </w:r>
      <w:r>
        <w:rPr>
          <w:rFonts w:ascii="Times New Roman" w:hAnsi="Times New Roman" w:cs="Times New Roman"/>
          <w:sz w:val="28"/>
          <w:szCs w:val="28"/>
        </w:rPr>
        <w:t xml:space="preserve"> и </w:t>
      </w:r>
      <w:r>
        <w:rPr>
          <w:rFonts w:ascii="Times New Roman" w:hAnsi="Times New Roman" w:cs="Times New Roman"/>
          <w:i/>
          <w:iCs/>
          <w:sz w:val="28"/>
          <w:szCs w:val="28"/>
        </w:rPr>
        <w:t xml:space="preserve">S. aureus </w:t>
      </w:r>
      <w:r>
        <w:rPr>
          <w:rFonts w:ascii="Times New Roman" w:hAnsi="Times New Roman" w:cs="Times New Roman"/>
          <w:sz w:val="28"/>
          <w:szCs w:val="28"/>
        </w:rPr>
        <w:t>при концентрации 0,0025 кг/м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Другим фототераностическим биоматериалом, подходящим для ФТТ, является ГАП, особенно в его наноструктурированной форме. В исследовании </w:t>
      </w:r>
      <w:r>
        <w:rPr>
          <w:rFonts w:ascii="Times New Roman" w:hAnsi="Times New Roman" w:cs="Times New Roman"/>
          <w:sz w:val="28"/>
          <w:szCs w:val="28"/>
          <w:lang w:val="en-US"/>
        </w:rPr>
        <w:t>Chang</w:t>
      </w:r>
      <w:r>
        <w:rPr>
          <w:rFonts w:ascii="Times New Roman" w:hAnsi="Times New Roman" w:cs="Times New Roman"/>
          <w:sz w:val="28"/>
          <w:szCs w:val="28"/>
        </w:rPr>
        <w:t xml:space="preserve"> и соавторов [</w:t>
      </w:r>
      <w:r>
        <w:rPr>
          <w:rFonts w:ascii="Times New Roman" w:eastAsia="Times New Roman" w:hAnsi="Times New Roman" w:cs="Times New Roman"/>
          <w:sz w:val="28"/>
          <w:szCs w:val="28"/>
        </w:rPr>
        <w:t>144</w:t>
      </w:r>
      <w:r>
        <w:rPr>
          <w:rFonts w:ascii="Times New Roman" w:hAnsi="Times New Roman" w:cs="Times New Roman"/>
          <w:sz w:val="28"/>
          <w:szCs w:val="28"/>
        </w:rPr>
        <w:t>], был обнаружен эффект наностержней ГАП. Композит ГАП/IR-780 показал высокую эффективность фототермического преобразования, около 69,3%. В частности, деградация IR-780 под действием непрерывного облучения ближнего ИК-лазера (длина волны 808 нм, плотность мощности 2 Вт/см</w:t>
      </w:r>
      <w:proofErr w:type="gramStart"/>
      <w:r>
        <w:rPr>
          <w:rFonts w:ascii="Times New Roman" w:hAnsi="Times New Roman" w:cs="Times New Roman"/>
          <w:sz w:val="28"/>
          <w:szCs w:val="28"/>
          <w:vertAlign w:val="superscript"/>
        </w:rPr>
        <w:t>2</w:t>
      </w:r>
      <w:proofErr w:type="gramEnd"/>
      <w:r>
        <w:rPr>
          <w:rFonts w:ascii="Times New Roman" w:hAnsi="Times New Roman" w:cs="Times New Roman"/>
          <w:sz w:val="28"/>
          <w:szCs w:val="28"/>
        </w:rPr>
        <w:t xml:space="preserve">) наблюдалось только после 10 циклов в присутствии ГАП, по сравнению с 4 циклами с использованием только чистого IR-780. Повышенная генерация АФК в клетках MCF-7 во время </w:t>
      </w:r>
      <w:proofErr w:type="gramStart"/>
      <w:r>
        <w:rPr>
          <w:rFonts w:ascii="Times New Roman" w:hAnsi="Times New Roman" w:cs="Times New Roman"/>
          <w:sz w:val="28"/>
          <w:szCs w:val="28"/>
        </w:rPr>
        <w:t>ближнего</w:t>
      </w:r>
      <w:proofErr w:type="gramEnd"/>
      <w:r>
        <w:rPr>
          <w:rFonts w:ascii="Times New Roman" w:hAnsi="Times New Roman" w:cs="Times New Roman"/>
          <w:sz w:val="28"/>
          <w:szCs w:val="28"/>
        </w:rPr>
        <w:t xml:space="preserve"> ИК-облучения, указывали на оксигенацию внутри опухоли, что в конечном итоге приводило к гибели таких клеток. Этот эффект был подтвержден в ходе экспериментов </w:t>
      </w:r>
      <w:r>
        <w:rPr>
          <w:rFonts w:ascii="Times New Roman" w:hAnsi="Times New Roman" w:cs="Times New Roman"/>
          <w:i/>
          <w:iCs/>
          <w:sz w:val="28"/>
          <w:szCs w:val="28"/>
        </w:rPr>
        <w:t>in vivo</w:t>
      </w:r>
      <w:r>
        <w:rPr>
          <w:rFonts w:ascii="Times New Roman" w:hAnsi="Times New Roman" w:cs="Times New Roman"/>
          <w:sz w:val="28"/>
          <w:szCs w:val="28"/>
        </w:rPr>
        <w:t xml:space="preserve"> у мышей. Кроме того, была также тщательно изучена возможность применения ГАП в форме наночастиц для целенаправленного фототермического лечения рака. Для этого флуоресцентные в </w:t>
      </w:r>
      <w:proofErr w:type="gramStart"/>
      <w:r>
        <w:rPr>
          <w:rFonts w:ascii="Times New Roman" w:hAnsi="Times New Roman" w:cs="Times New Roman"/>
          <w:sz w:val="28"/>
          <w:szCs w:val="28"/>
        </w:rPr>
        <w:t>ближнем</w:t>
      </w:r>
      <w:proofErr w:type="gramEnd"/>
      <w:r>
        <w:rPr>
          <w:rFonts w:ascii="Times New Roman" w:hAnsi="Times New Roman" w:cs="Times New Roman"/>
          <w:sz w:val="28"/>
          <w:szCs w:val="28"/>
        </w:rPr>
        <w:t xml:space="preserve"> ИК-диапазоне наночастицы ГАП были функционализированы ближним ИК-флуорофором P800SO3, специфичным для костной ткани, и покрыты биосовместимым полиэтиленгликолем </w:t>
      </w:r>
      <w:r>
        <w:rPr>
          <w:rFonts w:ascii="Times New Roman" w:hAnsi="Times New Roman" w:cs="Times New Roman"/>
          <w:sz w:val="28"/>
          <w:szCs w:val="28"/>
        </w:rPr>
        <w:lastRenderedPageBreak/>
        <w:t>(ГАП800-PEG [</w:t>
      </w:r>
      <w:r>
        <w:rPr>
          <w:rFonts w:ascii="Times New Roman" w:eastAsia="Times New Roman" w:hAnsi="Times New Roman" w:cs="Times New Roman"/>
          <w:sz w:val="28"/>
          <w:szCs w:val="28"/>
        </w:rPr>
        <w:t>145</w:t>
      </w:r>
      <w:r>
        <w:rPr>
          <w:rFonts w:ascii="Times New Roman" w:hAnsi="Times New Roman" w:cs="Times New Roman"/>
          <w:sz w:val="28"/>
          <w:szCs w:val="28"/>
        </w:rPr>
        <w:t xml:space="preserve">]) или бычьим сывороточным альбумином для воздействия на опухоль. Примечательно, что предложенный процесс синтеза не содержал токсичных химических веществ. Этот композит на основе ГАП продемонстрировал наиболее сильное подавление прогрессирования опухоли, что подтверждает его потенциал в качестве эффективной терапевтической стратегии.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Несмотря на </w:t>
      </w:r>
      <w:proofErr w:type="gramStart"/>
      <w:r>
        <w:rPr>
          <w:rFonts w:ascii="Times New Roman" w:hAnsi="Times New Roman" w:cs="Times New Roman"/>
          <w:sz w:val="28"/>
          <w:szCs w:val="28"/>
        </w:rPr>
        <w:t>исключительную</w:t>
      </w:r>
      <w:proofErr w:type="gramEnd"/>
      <w:r>
        <w:rPr>
          <w:rFonts w:ascii="Times New Roman" w:hAnsi="Times New Roman" w:cs="Times New Roman"/>
          <w:sz w:val="28"/>
          <w:szCs w:val="28"/>
        </w:rPr>
        <w:t xml:space="preserve"> биосовместимость с биологическими системами и уникальные свойства, БЦ до сих пор не получила широкого распространения в фототермической терапии рака. Однако </w:t>
      </w:r>
      <w:r>
        <w:rPr>
          <w:rFonts w:ascii="Times New Roman" w:hAnsi="Times New Roman" w:cs="Times New Roman"/>
          <w:sz w:val="28"/>
          <w:szCs w:val="28"/>
          <w:lang w:val="en-US"/>
        </w:rPr>
        <w:t>Hong</w:t>
      </w:r>
      <w:r>
        <w:rPr>
          <w:rFonts w:ascii="Times New Roman" w:hAnsi="Times New Roman" w:cs="Times New Roman"/>
          <w:sz w:val="28"/>
          <w:szCs w:val="28"/>
        </w:rPr>
        <w:t xml:space="preserve"> и соавторы предложили новый биосовместимый и воспроизводимый препарат для ФТТ на основе БЦ. Это </w:t>
      </w:r>
      <w:proofErr w:type="gramStart"/>
      <w:r>
        <w:rPr>
          <w:rFonts w:ascii="Times New Roman" w:hAnsi="Times New Roman" w:cs="Times New Roman"/>
          <w:sz w:val="28"/>
          <w:szCs w:val="28"/>
        </w:rPr>
        <w:t>инъекционный</w:t>
      </w:r>
      <w:proofErr w:type="gramEnd"/>
      <w:r>
        <w:rPr>
          <w:rFonts w:ascii="Times New Roman" w:hAnsi="Times New Roman" w:cs="Times New Roman"/>
          <w:sz w:val="28"/>
          <w:szCs w:val="28"/>
        </w:rPr>
        <w:t xml:space="preserve"> нанокомпозит, сочетающий БЦ и наночастицы берлинской лазури (IБЦ-PB) [</w:t>
      </w:r>
      <w:r>
        <w:rPr>
          <w:rFonts w:ascii="Times New Roman" w:eastAsia="Times New Roman" w:hAnsi="Times New Roman" w:cs="Times New Roman"/>
          <w:sz w:val="28"/>
          <w:szCs w:val="28"/>
        </w:rPr>
        <w:t>146</w:t>
      </w:r>
      <w:r>
        <w:rPr>
          <w:rFonts w:ascii="Times New Roman" w:hAnsi="Times New Roman" w:cs="Times New Roman"/>
          <w:sz w:val="28"/>
          <w:szCs w:val="28"/>
        </w:rPr>
        <w:t>]. Композит продемонстрировал мощный фототермический эффект, уничтожив более 82% раковых клеток и подавив рост опухолей на 71,5% за 18 дней. В отличие от традиционных наночастиц берлинской лазури, I</w:t>
      </w:r>
      <w:proofErr w:type="gramStart"/>
      <w:r>
        <w:rPr>
          <w:rFonts w:ascii="Times New Roman" w:hAnsi="Times New Roman" w:cs="Times New Roman"/>
          <w:sz w:val="28"/>
          <w:szCs w:val="28"/>
        </w:rPr>
        <w:t>БЦ</w:t>
      </w:r>
      <w:proofErr w:type="gramEnd"/>
      <w:r>
        <w:rPr>
          <w:rFonts w:ascii="Times New Roman" w:hAnsi="Times New Roman" w:cs="Times New Roman"/>
          <w:sz w:val="28"/>
          <w:szCs w:val="28"/>
        </w:rPr>
        <w:t>-PB сохранял локализацию до семи дней после инъекции, что позволяло проводить повторные лазерные процедуры. Более того, композиты продемонстрировали в 34 раза более широкое окно безопасности и в 26,5 раз более высокий терапевтический индекс. Таким образом, включение бактериальной целлюлозы приводит к созданию более безопасного и эффективного агента ФТТ, демонстрируя его многообещающий потенциал для лечения рака.</w:t>
      </w:r>
    </w:p>
    <w:p w:rsidR="00E17FE1" w:rsidRDefault="00BB58D7">
      <w:pPr>
        <w:spacing w:after="0" w:line="240" w:lineRule="auto"/>
        <w:ind w:firstLine="567"/>
        <w:jc w:val="both"/>
        <w:rPr>
          <w:rFonts w:ascii="Times New Roman" w:hAnsi="Times New Roman" w:cs="Times New Roman"/>
          <w:b/>
          <w:bCs/>
          <w:sz w:val="28"/>
          <w:szCs w:val="28"/>
        </w:rPr>
      </w:pPr>
      <w:r>
        <w:rPr>
          <w:rFonts w:ascii="Times New Roman" w:hAnsi="Times New Roman" w:cs="Times New Roman"/>
          <w:sz w:val="28"/>
          <w:szCs w:val="28"/>
        </w:rPr>
        <w:t xml:space="preserve">Приведенная в обзоре информация позволяет заключить, что в настоящее время отсутствуют исследования трёхкомпонентного композита БЦ/ГАП/ MXene. Однако имеются успешные свидетельства эффективности отдельных и гибридных материалов на основе этих компонентов, а также экспериментальные данные, подтверждающие антисептическую эффективность их собственных свойств и стимулирования регенерации кожи и костной ткани. Существующие различные гибридные материалы подтверждают их совместимость, что подтверждает возможность успешной интеграции в единый многофункциональный композит. </w:t>
      </w:r>
      <w:proofErr w:type="gramStart"/>
      <w:r>
        <w:rPr>
          <w:rFonts w:ascii="Times New Roman" w:hAnsi="Times New Roman" w:cs="Times New Roman"/>
          <w:bCs/>
          <w:sz w:val="28"/>
          <w:szCs w:val="28"/>
          <w:lang w:val="en-US"/>
        </w:rPr>
        <w:t>C</w:t>
      </w:r>
      <w:r>
        <w:rPr>
          <w:rFonts w:ascii="Times New Roman" w:hAnsi="Times New Roman" w:cs="Times New Roman"/>
          <w:bCs/>
          <w:sz w:val="28"/>
          <w:szCs w:val="28"/>
        </w:rPr>
        <w:t>тратегии получения композита БЦ/ГАП/MXene требуют тщательной оптимизация процесса.</w:t>
      </w:r>
      <w:proofErr w:type="gramEnd"/>
      <w:r>
        <w:rPr>
          <w:rFonts w:ascii="Times New Roman" w:hAnsi="Times New Roman" w:cs="Times New Roman"/>
          <w:b/>
          <w:bCs/>
          <w:sz w:val="28"/>
          <w:szCs w:val="28"/>
        </w:rPr>
        <w:t xml:space="preserve"> </w:t>
      </w:r>
      <w:r>
        <w:rPr>
          <w:rFonts w:ascii="Times New Roman" w:hAnsi="Times New Roman" w:cs="Times New Roman"/>
          <w:bCs/>
          <w:sz w:val="28"/>
          <w:szCs w:val="28"/>
        </w:rPr>
        <w:t xml:space="preserve">Гибридизация этих трехкомпонентов, может быть, в первую очередь обусловлена обильным количеством гидроксильных (–OH) групп на БЦ, образованием водородных связей и возможными электростатическими взаимодействиями с отрицательно заряженными поверхностями MXene и кальциевыми центрами в ГАП. </w:t>
      </w:r>
      <w:r>
        <w:rPr>
          <w:rFonts w:ascii="Times New Roman" w:hAnsi="Times New Roman" w:cs="Times New Roman"/>
          <w:sz w:val="28"/>
          <w:szCs w:val="28"/>
        </w:rPr>
        <w:t>Поверхностные функциональные группы MXene (–O, –OH) способны вступать во взаимодействие как с БЦ, так и с ГАП, тем самым повышая межфазную совместимость в составе композита.</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Имеющиеся данные подтверждают потенциал таких композитов для биомедицинского применения. Однако данных клинических испытаний недостаточно, что упоминается большинством авторов, предлагающих свои биоматериалы [147]. Этот пробел в исследованиях особенно заметен в случае MXenes, по которым на данный момент отсутствуют данные о клинической оценке из-за общей новизны этого наноматериала [147]. Однако </w:t>
      </w:r>
      <w:r>
        <w:rPr>
          <w:rFonts w:ascii="Times New Roman" w:eastAsia="Times New Roman" w:hAnsi="Times New Roman" w:cs="Times New Roman"/>
          <w:sz w:val="28"/>
          <w:szCs w:val="28"/>
        </w:rPr>
        <w:lastRenderedPageBreak/>
        <w:t>наноматериалы постоянно демонстрируют подходящую биосовместимость, антибактериальную активность, улучшенные электрические и оптические свойства, а также другие качества, способствующие пролиферации и дифференциации клеток (включая композитные материалы) [148].</w:t>
      </w:r>
    </w:p>
    <w:p w:rsidR="00E17FE1" w:rsidRDefault="00E17FE1">
      <w:pPr>
        <w:spacing w:after="0" w:line="240" w:lineRule="auto"/>
        <w:ind w:firstLine="567"/>
        <w:jc w:val="both"/>
        <w:rPr>
          <w:rFonts w:ascii="Times New Roman" w:hAnsi="Times New Roman" w:cs="Times New Roman"/>
          <w:sz w:val="28"/>
          <w:szCs w:val="28"/>
        </w:rPr>
      </w:pPr>
    </w:p>
    <w:p w:rsidR="00E17FE1" w:rsidRDefault="00E17FE1">
      <w:pPr>
        <w:spacing w:after="0" w:line="240" w:lineRule="auto"/>
        <w:ind w:firstLine="720"/>
        <w:rPr>
          <w:rFonts w:ascii="Times New Roman" w:hAnsi="Times New Roman" w:cs="Times New Roman"/>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Pr="00AC0D2B" w:rsidRDefault="00E17FE1">
      <w:pPr>
        <w:spacing w:after="0" w:line="240" w:lineRule="auto"/>
        <w:ind w:firstLine="567"/>
        <w:rPr>
          <w:rFonts w:ascii="Times New Roman" w:hAnsi="Times New Roman" w:cs="Times New Roman"/>
          <w:b/>
          <w:sz w:val="28"/>
          <w:szCs w:val="28"/>
        </w:rPr>
      </w:pPr>
    </w:p>
    <w:p w:rsidR="004764F9" w:rsidRPr="00AC0D2B" w:rsidRDefault="004764F9">
      <w:pPr>
        <w:spacing w:after="0" w:line="240" w:lineRule="auto"/>
        <w:ind w:firstLine="567"/>
        <w:rPr>
          <w:rFonts w:ascii="Times New Roman" w:hAnsi="Times New Roman" w:cs="Times New Roman"/>
          <w:b/>
          <w:sz w:val="28"/>
          <w:szCs w:val="28"/>
        </w:rPr>
      </w:pPr>
    </w:p>
    <w:p w:rsidR="004764F9" w:rsidRPr="00AC0D2B" w:rsidRDefault="004764F9">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BB58D7">
      <w:pPr>
        <w:spacing w:after="0" w:line="240" w:lineRule="auto"/>
        <w:ind w:firstLine="567"/>
        <w:rPr>
          <w:rFonts w:ascii="Times New Roman" w:hAnsi="Times New Roman" w:cs="Times New Roman"/>
          <w:b/>
          <w:sz w:val="28"/>
          <w:szCs w:val="28"/>
        </w:rPr>
      </w:pPr>
      <w:r>
        <w:rPr>
          <w:rFonts w:ascii="Times New Roman" w:hAnsi="Times New Roman" w:cs="Times New Roman"/>
          <w:b/>
          <w:sz w:val="28"/>
          <w:szCs w:val="28"/>
        </w:rPr>
        <w:lastRenderedPageBreak/>
        <w:t>2 ОБЪЕКТЫ, МАТЕРИАЛЫ И МЕТОДЫ ИССЛЕДОВАНИЯ</w:t>
      </w:r>
    </w:p>
    <w:p w:rsidR="00E17FE1" w:rsidRDefault="00E17FE1">
      <w:pPr>
        <w:spacing w:after="0" w:line="240" w:lineRule="auto"/>
        <w:ind w:firstLine="567"/>
        <w:rPr>
          <w:rFonts w:ascii="Times New Roman" w:hAnsi="Times New Roman" w:cs="Times New Roman"/>
          <w:b/>
          <w:sz w:val="28"/>
          <w:szCs w:val="28"/>
        </w:rPr>
      </w:pPr>
    </w:p>
    <w:p w:rsidR="00E17FE1" w:rsidRDefault="00BB58D7">
      <w:pPr>
        <w:spacing w:after="0" w:line="240" w:lineRule="auto"/>
        <w:ind w:firstLine="567"/>
        <w:rPr>
          <w:rFonts w:ascii="Times New Roman" w:hAnsi="Times New Roman" w:cs="Times New Roman"/>
          <w:b/>
          <w:sz w:val="28"/>
          <w:szCs w:val="28"/>
        </w:rPr>
      </w:pPr>
      <w:r>
        <w:rPr>
          <w:rFonts w:ascii="Times New Roman" w:hAnsi="Times New Roman" w:cs="Times New Roman"/>
          <w:b/>
          <w:sz w:val="28"/>
          <w:szCs w:val="28"/>
        </w:rPr>
        <w:t>2.1 Объекты и материалы исследования</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Штамм </w:t>
      </w:r>
      <w:r>
        <w:rPr>
          <w:rFonts w:ascii="Times New Roman" w:hAnsi="Times New Roman" w:cs="Times New Roman"/>
          <w:i/>
          <w:sz w:val="28"/>
          <w:szCs w:val="28"/>
        </w:rPr>
        <w:t>Komagataeibacter xylinus</w:t>
      </w:r>
      <w:r>
        <w:rPr>
          <w:rFonts w:ascii="Times New Roman" w:hAnsi="Times New Roman" w:cs="Times New Roman"/>
          <w:sz w:val="28"/>
          <w:szCs w:val="28"/>
        </w:rPr>
        <w:t xml:space="preserve"> С-3 – продуцент БЦ;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 Гель-пленка БЦ;</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Двумерный материал </w:t>
      </w:r>
      <w:r>
        <w:rPr>
          <w:rFonts w:ascii="Times New Roman" w:hAnsi="Times New Roman" w:cs="Times New Roman"/>
          <w:sz w:val="28"/>
          <w:szCs w:val="28"/>
          <w:lang w:val="en-US"/>
        </w:rPr>
        <w:t>Ti</w:t>
      </w:r>
      <w:r>
        <w:rPr>
          <w:rFonts w:ascii="Times New Roman" w:hAnsi="Times New Roman" w:cs="Times New Roman"/>
          <w:sz w:val="28"/>
          <w:szCs w:val="28"/>
          <w:vertAlign w:val="subscript"/>
        </w:rPr>
        <w:t>3</w:t>
      </w:r>
      <w:r>
        <w:rPr>
          <w:rFonts w:ascii="Times New Roman" w:hAnsi="Times New Roman" w:cs="Times New Roman"/>
          <w:sz w:val="28"/>
          <w:szCs w:val="28"/>
          <w:lang w:val="en-US"/>
        </w:rPr>
        <w:t>C</w:t>
      </w:r>
      <w:r>
        <w:rPr>
          <w:rFonts w:ascii="Times New Roman" w:hAnsi="Times New Roman" w:cs="Times New Roman"/>
          <w:sz w:val="28"/>
          <w:szCs w:val="28"/>
          <w:vertAlign w:val="subscript"/>
        </w:rPr>
        <w:t>2</w:t>
      </w:r>
      <w:r>
        <w:rPr>
          <w:rFonts w:ascii="Times New Roman" w:hAnsi="Times New Roman" w:cs="Times New Roman"/>
          <w:sz w:val="28"/>
          <w:szCs w:val="28"/>
          <w:lang w:val="en-US"/>
        </w:rPr>
        <w:t>T</w:t>
      </w:r>
      <w:r>
        <w:rPr>
          <w:rFonts w:ascii="Times New Roman" w:hAnsi="Times New Roman" w:cs="Times New Roman"/>
          <w:sz w:val="28"/>
          <w:szCs w:val="28"/>
          <w:vertAlign w:val="subscript"/>
          <w:lang w:val="en-US"/>
        </w:rPr>
        <w:t>x</w:t>
      </w:r>
      <w:r>
        <w:rPr>
          <w:rFonts w:ascii="Times New Roman" w:hAnsi="Times New Roman" w:cs="Times New Roman"/>
          <w:sz w:val="28"/>
          <w:szCs w:val="28"/>
          <w:lang w:val="en-US"/>
        </w:rPr>
        <w:t>Mxene</w:t>
      </w:r>
      <w:r>
        <w:rPr>
          <w:rFonts w:ascii="Times New Roman" w:hAnsi="Times New Roman" w:cs="Times New Roman"/>
          <w:sz w:val="28"/>
          <w:szCs w:val="28"/>
        </w:rPr>
        <w:t>;</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 Гидроксиапатит (ГАП);</w:t>
      </w:r>
    </w:p>
    <w:p w:rsidR="00E17FE1" w:rsidRDefault="00BB58D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rPr>
        <w:t xml:space="preserve">4. </w:t>
      </w:r>
      <w:r>
        <w:rPr>
          <w:rFonts w:ascii="Times New Roman" w:hAnsi="Times New Roman" w:cs="Times New Roman"/>
          <w:sz w:val="28"/>
          <w:szCs w:val="28"/>
          <w:lang w:val="kk-KZ"/>
        </w:rPr>
        <w:t>К</w:t>
      </w:r>
      <w:r>
        <w:rPr>
          <w:rFonts w:ascii="Times New Roman" w:hAnsi="Times New Roman" w:cs="Times New Roman"/>
          <w:sz w:val="28"/>
          <w:szCs w:val="28"/>
        </w:rPr>
        <w:t>омпозитные материалы БЦ/</w:t>
      </w:r>
      <w:r>
        <w:rPr>
          <w:rFonts w:ascii="Times New Roman" w:hAnsi="Times New Roman" w:cs="Times New Roman"/>
          <w:sz w:val="28"/>
          <w:szCs w:val="28"/>
          <w:lang w:val="en-US"/>
        </w:rPr>
        <w:t>M</w:t>
      </w:r>
      <w:r>
        <w:rPr>
          <w:rFonts w:ascii="Times New Roman" w:hAnsi="Times New Roman" w:cs="Times New Roman"/>
          <w:sz w:val="28"/>
          <w:szCs w:val="28"/>
        </w:rPr>
        <w:t>Х</w:t>
      </w:r>
      <w:r>
        <w:rPr>
          <w:rFonts w:ascii="Times New Roman" w:hAnsi="Times New Roman" w:cs="Times New Roman"/>
          <w:sz w:val="28"/>
          <w:szCs w:val="28"/>
          <w:lang w:val="en-US"/>
        </w:rPr>
        <w:t>ene</w:t>
      </w:r>
      <w:r>
        <w:rPr>
          <w:rFonts w:ascii="Times New Roman" w:hAnsi="Times New Roman" w:cs="Times New Roman"/>
          <w:sz w:val="28"/>
          <w:szCs w:val="28"/>
        </w:rPr>
        <w:t>, БЦ/</w:t>
      </w:r>
      <w:r>
        <w:rPr>
          <w:rFonts w:ascii="Times New Roman" w:hAnsi="Times New Roman" w:cs="Times New Roman"/>
          <w:sz w:val="28"/>
          <w:szCs w:val="28"/>
          <w:lang w:val="kk-KZ"/>
        </w:rPr>
        <w:t>ГАП</w:t>
      </w:r>
      <w:r>
        <w:rPr>
          <w:rFonts w:ascii="Times New Roman" w:hAnsi="Times New Roman" w:cs="Times New Roman"/>
          <w:sz w:val="28"/>
          <w:szCs w:val="28"/>
        </w:rPr>
        <w:t>, БЦ/</w:t>
      </w:r>
      <w:r>
        <w:rPr>
          <w:rFonts w:ascii="Times New Roman" w:hAnsi="Times New Roman" w:cs="Times New Roman"/>
          <w:sz w:val="28"/>
          <w:szCs w:val="28"/>
          <w:lang w:val="kk-KZ"/>
        </w:rPr>
        <w:t>ГАП/</w:t>
      </w:r>
      <w:r>
        <w:rPr>
          <w:rFonts w:ascii="Times New Roman" w:hAnsi="Times New Roman" w:cs="Times New Roman"/>
          <w:sz w:val="28"/>
          <w:szCs w:val="28"/>
          <w:lang w:val="en-US"/>
        </w:rPr>
        <w:t>Mxene</w:t>
      </w:r>
      <w:r>
        <w:rPr>
          <w:rFonts w:ascii="Times New Roman" w:hAnsi="Times New Roman" w:cs="Times New Roman"/>
          <w:sz w:val="28"/>
          <w:szCs w:val="28"/>
        </w:rPr>
        <w:t>;</w:t>
      </w:r>
    </w:p>
    <w:p w:rsidR="00E17FE1" w:rsidRDefault="00BB58D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5. 2 штамма тест-организмов (</w:t>
      </w:r>
      <w:r>
        <w:rPr>
          <w:rFonts w:ascii="Times New Roman" w:hAnsi="Times New Roman" w:cs="Times New Roman"/>
          <w:i/>
          <w:sz w:val="28"/>
          <w:szCs w:val="28"/>
          <w:lang w:val="kk-KZ"/>
        </w:rPr>
        <w:t>Pseudomonas aeruginosa</w:t>
      </w:r>
      <w:r>
        <w:rPr>
          <w:rFonts w:ascii="Times New Roman" w:hAnsi="Times New Roman" w:cs="Times New Roman"/>
          <w:sz w:val="28"/>
          <w:szCs w:val="28"/>
          <w:lang w:val="kk-KZ"/>
        </w:rPr>
        <w:t xml:space="preserve"> </w:t>
      </w:r>
      <w:r>
        <w:rPr>
          <w:rFonts w:ascii="Times New Roman" w:eastAsia="DejaVu Sans" w:hAnsi="Times New Roman" w:cs="Times New Roman"/>
          <w:sz w:val="28"/>
          <w:szCs w:val="28"/>
          <w:lang w:val="kk-KZ" w:eastAsia="zh-CN" w:bidi="hi-IN"/>
        </w:rPr>
        <w:t>FQRPA</w:t>
      </w:r>
      <w:r>
        <w:rPr>
          <w:rFonts w:ascii="Times New Roman" w:hAnsi="Times New Roman" w:cs="Times New Roman"/>
          <w:sz w:val="28"/>
          <w:szCs w:val="28"/>
          <w:lang w:val="kk-KZ"/>
        </w:rPr>
        <w:t xml:space="preserve"> и </w:t>
      </w:r>
      <w:r>
        <w:rPr>
          <w:rFonts w:ascii="Times New Roman" w:hAnsi="Times New Roman" w:cs="Times New Roman"/>
          <w:i/>
          <w:sz w:val="28"/>
          <w:szCs w:val="28"/>
          <w:lang w:val="kk-KZ"/>
        </w:rPr>
        <w:t>Staphylococcus aureus</w:t>
      </w:r>
      <w:r>
        <w:rPr>
          <w:rFonts w:ascii="Times New Roman" w:eastAsia="DejaVu Sans" w:hAnsi="Times New Roman" w:cs="Times New Roman"/>
          <w:sz w:val="28"/>
          <w:szCs w:val="28"/>
          <w:lang w:val="kk-KZ" w:eastAsia="zh-CN" w:bidi="hi-IN"/>
        </w:rPr>
        <w:t xml:space="preserve"> MRSA</w:t>
      </w:r>
      <w:r>
        <w:rPr>
          <w:rFonts w:ascii="Times New Roman" w:hAnsi="Times New Roman" w:cs="Times New Roman"/>
          <w:sz w:val="28"/>
          <w:szCs w:val="28"/>
          <w:lang w:val="kk-KZ"/>
        </w:rPr>
        <w:t>), выделенных из ожоговых ран.</w:t>
      </w:r>
    </w:p>
    <w:p w:rsidR="00E17FE1" w:rsidRDefault="00E17FE1">
      <w:pPr>
        <w:spacing w:after="0" w:line="240" w:lineRule="auto"/>
        <w:ind w:firstLine="567"/>
        <w:jc w:val="both"/>
        <w:rPr>
          <w:rFonts w:ascii="Times New Roman" w:hAnsi="Times New Roman" w:cs="Times New Roman"/>
          <w:sz w:val="28"/>
          <w:szCs w:val="28"/>
          <w:lang w:val="kk-KZ"/>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2.2 Методы исследований</w:t>
      </w: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2.2.1 Получение БЦ в поверхностных условиях культивирования</w:t>
      </w:r>
    </w:p>
    <w:p w:rsidR="00E17FE1" w:rsidRPr="00D14370" w:rsidRDefault="00BB58D7" w:rsidP="00837BE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Продуцент бактериальной целлюлозы </w:t>
      </w:r>
      <w:r>
        <w:rPr>
          <w:rFonts w:ascii="Times New Roman" w:hAnsi="Times New Roman" w:cs="Times New Roman"/>
          <w:i/>
          <w:sz w:val="28"/>
          <w:szCs w:val="28"/>
        </w:rPr>
        <w:t>Komagataeibacter xylinus</w:t>
      </w:r>
      <w:r>
        <w:rPr>
          <w:rFonts w:ascii="Times New Roman" w:hAnsi="Times New Roman" w:cs="Times New Roman"/>
          <w:sz w:val="28"/>
          <w:szCs w:val="28"/>
        </w:rPr>
        <w:t xml:space="preserve"> C-3 культивировали при статических условиях на среде Хестрина–Шрамма (HS) (2% глюкозы, 0,5% дрожжевого экстракта, 0,5% пептона, 0,27% Na</w:t>
      </w:r>
      <w:r w:rsidRPr="00837BEA">
        <w:rPr>
          <w:rFonts w:ascii="Times New Roman" w:hAnsi="Times New Roman" w:cs="Times New Roman"/>
          <w:sz w:val="28"/>
          <w:szCs w:val="28"/>
          <w:vertAlign w:val="subscript"/>
        </w:rPr>
        <w:t>2</w:t>
      </w:r>
      <w:r>
        <w:rPr>
          <w:rFonts w:ascii="Times New Roman" w:hAnsi="Times New Roman" w:cs="Times New Roman"/>
          <w:sz w:val="28"/>
          <w:szCs w:val="28"/>
        </w:rPr>
        <w:t>HPO</w:t>
      </w:r>
      <w:r w:rsidRPr="00837BEA">
        <w:rPr>
          <w:rFonts w:ascii="Times New Roman" w:hAnsi="Times New Roman" w:cs="Times New Roman"/>
          <w:sz w:val="28"/>
          <w:szCs w:val="28"/>
          <w:vertAlign w:val="subscript"/>
        </w:rPr>
        <w:t>4</w:t>
      </w:r>
      <w:r>
        <w:rPr>
          <w:rFonts w:ascii="Times New Roman" w:hAnsi="Times New Roman" w:cs="Times New Roman"/>
          <w:sz w:val="28"/>
          <w:szCs w:val="28"/>
        </w:rPr>
        <w:t xml:space="preserve"> и 1,5% лимонной кислоты) [149] 3–7 дней при 29–30</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r w:rsidRPr="00D14370">
        <w:rPr>
          <w:rFonts w:ascii="Times New Roman" w:hAnsi="Times New Roman" w:cs="Times New Roman"/>
          <w:sz w:val="28"/>
          <w:szCs w:val="28"/>
        </w:rPr>
        <w:t xml:space="preserve">[48]. </w:t>
      </w:r>
      <w:r w:rsidR="00837BEA" w:rsidRPr="00D14370">
        <w:rPr>
          <w:rFonts w:ascii="Times New Roman" w:hAnsi="Times New Roman" w:cs="Times New Roman"/>
          <w:sz w:val="28"/>
          <w:szCs w:val="28"/>
        </w:rPr>
        <w:t>Полученные плёнки бактериальной целлюлозы предварительно промывали деионизированной водой для удаления остатков компонентов питательной среды, затем обрабатывали 5%-ным раствором NaHCO</w:t>
      </w:r>
      <w:r w:rsidR="00837BEA" w:rsidRPr="00D14370">
        <w:rPr>
          <w:rFonts w:ascii="Cambria Math" w:hAnsi="Cambria Math" w:cs="Cambria Math"/>
          <w:sz w:val="28"/>
          <w:szCs w:val="28"/>
        </w:rPr>
        <w:t>₃</w:t>
      </w:r>
      <w:r w:rsidR="00837BEA" w:rsidRPr="00D14370">
        <w:rPr>
          <w:rFonts w:ascii="Times New Roman" w:hAnsi="Times New Roman" w:cs="Times New Roman"/>
          <w:sz w:val="28"/>
          <w:szCs w:val="28"/>
        </w:rPr>
        <w:t xml:space="preserve"> в течение 3 суток, проводя процесс в четыре последовательных этапа с чередованием щелочной обработки и промывки деионизированной водой </w:t>
      </w:r>
      <w:r w:rsidRPr="00D14370">
        <w:rPr>
          <w:rFonts w:ascii="Times New Roman" w:hAnsi="Times New Roman" w:cs="Times New Roman"/>
          <w:sz w:val="28"/>
          <w:szCs w:val="28"/>
        </w:rPr>
        <w:t>для удаления примесей, включая эндотоксины продуцента</w:t>
      </w:r>
      <w:r w:rsidR="00837BEA" w:rsidRPr="00D14370">
        <w:rPr>
          <w:rFonts w:ascii="Times New Roman" w:hAnsi="Times New Roman" w:cs="Times New Roman"/>
          <w:sz w:val="28"/>
          <w:szCs w:val="28"/>
        </w:rPr>
        <w:t xml:space="preserve"> </w:t>
      </w:r>
      <w:r w:rsidRPr="00D14370">
        <w:rPr>
          <w:rFonts w:ascii="Times New Roman" w:hAnsi="Times New Roman" w:cs="Times New Roman"/>
          <w:sz w:val="28"/>
          <w:szCs w:val="28"/>
        </w:rPr>
        <w:t>[150].</w:t>
      </w:r>
    </w:p>
    <w:p w:rsidR="00E17FE1" w:rsidRDefault="00BB58D7">
      <w:pPr>
        <w:tabs>
          <w:tab w:val="left" w:pos="0"/>
          <w:tab w:val="left" w:pos="280"/>
        </w:tabs>
        <w:spacing w:after="0" w:line="240" w:lineRule="auto"/>
        <w:ind w:firstLine="567"/>
        <w:jc w:val="both"/>
        <w:rPr>
          <w:rFonts w:ascii="Times New Roman" w:eastAsia="Arial Unicode MS" w:hAnsi="Times New Roman" w:cs="Times New Roman"/>
          <w:i/>
          <w:sz w:val="28"/>
          <w:szCs w:val="28"/>
          <w:lang w:eastAsia="zh-CN" w:bidi="en-US"/>
        </w:rPr>
      </w:pPr>
      <w:r w:rsidRPr="00D14370">
        <w:rPr>
          <w:rFonts w:ascii="Times New Roman" w:eastAsia="Times New Roman" w:hAnsi="Times New Roman" w:cs="Times New Roman"/>
          <w:i/>
          <w:sz w:val="28"/>
          <w:szCs w:val="28"/>
          <w:lang w:eastAsia="ko-KR" w:bidi="hi-IN"/>
        </w:rPr>
        <w:t>Предварительная обработка сырой мелассы</w:t>
      </w:r>
    </w:p>
    <w:p w:rsidR="00E17FE1" w:rsidRDefault="00BB58D7">
      <w:pPr>
        <w:tabs>
          <w:tab w:val="left" w:pos="0"/>
          <w:tab w:val="left" w:pos="280"/>
        </w:tabs>
        <w:spacing w:after="0" w:line="240" w:lineRule="auto"/>
        <w:ind w:firstLine="567"/>
        <w:jc w:val="both"/>
        <w:rPr>
          <w:rFonts w:ascii="Times New Roman" w:eastAsia="Arial Unicode MS" w:hAnsi="Times New Roman" w:cs="Times New Roman"/>
          <w:color w:val="000000"/>
          <w:sz w:val="28"/>
          <w:szCs w:val="28"/>
          <w:lang w:eastAsia="zh-CN" w:bidi="en-US"/>
        </w:rPr>
      </w:pPr>
      <w:r>
        <w:rPr>
          <w:rFonts w:ascii="Times New Roman" w:eastAsia="Times New Roman" w:hAnsi="Times New Roman" w:cs="Times New Roman"/>
          <w:sz w:val="28"/>
          <w:szCs w:val="28"/>
          <w:lang w:eastAsia="ko-KR" w:bidi="hi-IN"/>
        </w:rPr>
        <w:t>Мелассу разбавляли водой в количестве 1:10 и удаляли взвешенные вещества с помощью центрифугирования при 6000 об/мин в течение 20 мин; выдерживали в течение 24 ч в 1N растворе H</w:t>
      </w:r>
      <w:r>
        <w:rPr>
          <w:rFonts w:ascii="Times New Roman" w:eastAsia="Times New Roman" w:hAnsi="Times New Roman" w:cs="Times New Roman"/>
          <w:sz w:val="28"/>
          <w:szCs w:val="28"/>
          <w:vertAlign w:val="subscript"/>
          <w:lang w:eastAsia="ko-KR" w:bidi="hi-IN"/>
        </w:rPr>
        <w:t>2</w:t>
      </w:r>
      <w:r>
        <w:rPr>
          <w:rFonts w:ascii="Times New Roman" w:eastAsia="Times New Roman" w:hAnsi="Times New Roman" w:cs="Times New Roman"/>
          <w:sz w:val="28"/>
          <w:szCs w:val="28"/>
          <w:lang w:eastAsia="ko-KR" w:bidi="hi-IN"/>
        </w:rPr>
        <w:t>SO</w:t>
      </w:r>
      <w:r>
        <w:rPr>
          <w:rFonts w:ascii="Times New Roman" w:eastAsia="Times New Roman" w:hAnsi="Times New Roman" w:cs="Times New Roman"/>
          <w:sz w:val="28"/>
          <w:szCs w:val="28"/>
          <w:vertAlign w:val="subscript"/>
          <w:lang w:eastAsia="ko-KR" w:bidi="hi-IN"/>
        </w:rPr>
        <w:t>4</w:t>
      </w:r>
      <w:r>
        <w:rPr>
          <w:rFonts w:ascii="Times New Roman" w:eastAsia="Times New Roman" w:hAnsi="Times New Roman" w:cs="Times New Roman"/>
          <w:sz w:val="28"/>
          <w:szCs w:val="28"/>
          <w:lang w:eastAsia="ko-KR" w:bidi="hi-IN"/>
        </w:rPr>
        <w:t xml:space="preserve">, снова центрифугировали при 6000 </w:t>
      </w:r>
      <w:proofErr w:type="gramStart"/>
      <w:r>
        <w:rPr>
          <w:rFonts w:ascii="Times New Roman" w:eastAsia="Times New Roman" w:hAnsi="Times New Roman" w:cs="Times New Roman"/>
          <w:sz w:val="28"/>
          <w:szCs w:val="28"/>
          <w:lang w:eastAsia="ko-KR" w:bidi="hi-IN"/>
        </w:rPr>
        <w:t>об</w:t>
      </w:r>
      <w:proofErr w:type="gramEnd"/>
      <w:r>
        <w:rPr>
          <w:rFonts w:ascii="Times New Roman" w:eastAsia="Times New Roman" w:hAnsi="Times New Roman" w:cs="Times New Roman"/>
          <w:sz w:val="28"/>
          <w:szCs w:val="28"/>
          <w:lang w:eastAsia="ko-KR" w:bidi="hi-IN"/>
        </w:rPr>
        <w:t>/мин в течение 20 мин; и обрабатывали 1% раствором Ca</w:t>
      </w:r>
      <w:r>
        <w:rPr>
          <w:rFonts w:ascii="Times New Roman" w:eastAsia="Times New Roman" w:hAnsi="Times New Roman" w:cs="Times New Roman"/>
          <w:sz w:val="28"/>
          <w:szCs w:val="28"/>
          <w:vertAlign w:val="subscript"/>
          <w:lang w:eastAsia="ko-KR" w:bidi="hi-IN"/>
        </w:rPr>
        <w:t>3</w:t>
      </w:r>
      <w:r>
        <w:rPr>
          <w:rFonts w:ascii="Times New Roman" w:eastAsia="Times New Roman" w:hAnsi="Times New Roman" w:cs="Times New Roman"/>
          <w:sz w:val="28"/>
          <w:szCs w:val="28"/>
          <w:lang w:eastAsia="ko-KR" w:bidi="hi-IN"/>
        </w:rPr>
        <w:t>(PO</w:t>
      </w:r>
      <w:r>
        <w:rPr>
          <w:rFonts w:ascii="Times New Roman" w:eastAsia="Times New Roman" w:hAnsi="Times New Roman" w:cs="Times New Roman"/>
          <w:sz w:val="28"/>
          <w:szCs w:val="28"/>
          <w:vertAlign w:val="subscript"/>
          <w:lang w:eastAsia="ko-KR" w:bidi="hi-IN"/>
        </w:rPr>
        <w:t>4</w:t>
      </w:r>
      <w:r>
        <w:rPr>
          <w:rFonts w:ascii="Times New Roman" w:eastAsia="Times New Roman" w:hAnsi="Times New Roman" w:cs="Times New Roman"/>
          <w:sz w:val="28"/>
          <w:szCs w:val="28"/>
          <w:lang w:eastAsia="ko-KR" w:bidi="hi-IN"/>
        </w:rPr>
        <w:t>)</w:t>
      </w:r>
      <w:r>
        <w:rPr>
          <w:rFonts w:ascii="Times New Roman" w:eastAsia="Times New Roman" w:hAnsi="Times New Roman" w:cs="Times New Roman"/>
          <w:sz w:val="28"/>
          <w:szCs w:val="28"/>
          <w:vertAlign w:val="subscript"/>
          <w:lang w:eastAsia="ko-KR" w:bidi="hi-IN"/>
        </w:rPr>
        <w:t xml:space="preserve">2 </w:t>
      </w:r>
      <w:r>
        <w:rPr>
          <w:rFonts w:ascii="Times New Roman" w:eastAsia="Calibri" w:hAnsi="Times New Roman" w:cs="Times New Roman"/>
          <w:sz w:val="28"/>
          <w:szCs w:val="28"/>
          <w:lang w:eastAsia="zh-CN" w:bidi="hi-IN"/>
        </w:rPr>
        <w:t>[</w:t>
      </w:r>
      <w:r>
        <w:rPr>
          <w:rFonts w:ascii="Times New Roman" w:hAnsi="Times New Roman" w:cs="Times New Roman"/>
          <w:sz w:val="28"/>
          <w:szCs w:val="28"/>
        </w:rPr>
        <w:t>151</w:t>
      </w:r>
      <w:r>
        <w:rPr>
          <w:rFonts w:ascii="Times New Roman" w:eastAsia="Calibri" w:hAnsi="Times New Roman" w:cs="Times New Roman"/>
          <w:sz w:val="28"/>
          <w:szCs w:val="28"/>
          <w:lang w:eastAsia="zh-CN" w:bidi="hi-IN"/>
        </w:rPr>
        <w:t>].</w:t>
      </w:r>
    </w:p>
    <w:p w:rsidR="00E17FE1" w:rsidRDefault="00BB58D7">
      <w:pPr>
        <w:widowControl w:val="0"/>
        <w:tabs>
          <w:tab w:val="left" w:pos="0"/>
        </w:tabs>
        <w:suppressAutoHyphens/>
        <w:spacing w:after="0" w:line="240" w:lineRule="auto"/>
        <w:ind w:firstLine="567"/>
        <w:jc w:val="both"/>
        <w:rPr>
          <w:rFonts w:ascii="Times New Roman" w:eastAsia="Calibri" w:hAnsi="Times New Roman" w:cs="Times New Roman"/>
          <w:i/>
          <w:sz w:val="28"/>
          <w:szCs w:val="28"/>
          <w:lang w:eastAsia="zh-CN" w:bidi="hi-IN"/>
        </w:rPr>
      </w:pPr>
      <w:r>
        <w:rPr>
          <w:rFonts w:ascii="Times New Roman" w:eastAsia="Calibri" w:hAnsi="Times New Roman" w:cs="Times New Roman"/>
          <w:i/>
          <w:sz w:val="28"/>
          <w:szCs w:val="28"/>
          <w:lang w:eastAsia="zh-CN" w:bidi="hi-IN"/>
        </w:rPr>
        <w:t>Питательные среды</w:t>
      </w:r>
      <w:r>
        <w:rPr>
          <w:rFonts w:ascii="Times New Roman" w:eastAsia="Arial Unicode MS" w:hAnsi="Times New Roman" w:cs="Times New Roman"/>
          <w:bCs/>
          <w:i/>
          <w:color w:val="000000"/>
          <w:spacing w:val="4"/>
          <w:sz w:val="28"/>
          <w:szCs w:val="28"/>
          <w:lang w:val="kk-KZ" w:eastAsia="zh-CN" w:bidi="en-US"/>
        </w:rPr>
        <w:t xml:space="preserve"> на основе промышленных отходов </w:t>
      </w:r>
      <w:r>
        <w:rPr>
          <w:rFonts w:ascii="Times New Roman" w:eastAsia="Calibri" w:hAnsi="Times New Roman" w:cs="Times New Roman"/>
          <w:i/>
          <w:sz w:val="28"/>
          <w:szCs w:val="28"/>
          <w:lang w:eastAsia="zh-CN" w:bidi="hi-IN"/>
        </w:rPr>
        <w:t>для выращивания штамма-продуцента бактериальной целлюлозы:</w:t>
      </w:r>
      <w:r>
        <w:rPr>
          <w:rFonts w:ascii="Times New Roman" w:eastAsia="Calibri" w:hAnsi="Times New Roman" w:cs="Times New Roman"/>
          <w:i/>
          <w:sz w:val="28"/>
          <w:szCs w:val="28"/>
          <w:lang w:eastAsia="zh-CN" w:bidi="hi-IN"/>
        </w:rPr>
        <w:tab/>
      </w:r>
      <w:r>
        <w:rPr>
          <w:rFonts w:ascii="Times New Roman" w:eastAsia="Calibri" w:hAnsi="Times New Roman" w:cs="Times New Roman"/>
          <w:i/>
          <w:sz w:val="28"/>
          <w:szCs w:val="28"/>
          <w:lang w:eastAsia="zh-CN" w:bidi="hi-IN"/>
        </w:rPr>
        <w:tab/>
      </w:r>
    </w:p>
    <w:p w:rsidR="00E17FE1" w:rsidRDefault="00BB58D7">
      <w:pPr>
        <w:widowControl w:val="0"/>
        <w:tabs>
          <w:tab w:val="left" w:pos="0"/>
        </w:tabs>
        <w:suppressAutoHyphens/>
        <w:spacing w:after="0" w:line="240" w:lineRule="auto"/>
        <w:ind w:firstLine="567"/>
        <w:jc w:val="both"/>
        <w:rPr>
          <w:rFonts w:ascii="Times New Roman" w:eastAsia="Calibri" w:hAnsi="Times New Roman" w:cs="Times New Roman"/>
          <w:sz w:val="28"/>
          <w:szCs w:val="28"/>
          <w:lang w:eastAsia="zh-CN" w:bidi="hi-IN"/>
        </w:rPr>
      </w:pPr>
      <w:r>
        <w:rPr>
          <w:rFonts w:ascii="Times New Roman" w:eastAsia="Calibri" w:hAnsi="Times New Roman" w:cs="Times New Roman"/>
          <w:sz w:val="28"/>
          <w:szCs w:val="28"/>
          <w:lang w:eastAsia="zh-CN" w:bidi="hi-IN"/>
        </w:rPr>
        <w:t>ПС-1 (г/л): молочная сыворотка – 20, гидрофосфат натрия – 2,7, пептон – 5, дрожжевой экстракт – 5, лимонная кислота – 1,15, этанол – 10;</w:t>
      </w:r>
    </w:p>
    <w:p w:rsidR="00E17FE1" w:rsidRDefault="00BB58D7">
      <w:pPr>
        <w:widowControl w:val="0"/>
        <w:tabs>
          <w:tab w:val="left" w:pos="0"/>
        </w:tabs>
        <w:suppressAutoHyphens/>
        <w:spacing w:after="0" w:line="240" w:lineRule="auto"/>
        <w:ind w:firstLine="567"/>
        <w:jc w:val="both"/>
        <w:rPr>
          <w:rFonts w:ascii="Times New Roman" w:eastAsia="Calibri" w:hAnsi="Times New Roman" w:cs="Times New Roman"/>
          <w:sz w:val="28"/>
          <w:szCs w:val="28"/>
          <w:lang w:eastAsia="zh-CN" w:bidi="hi-IN"/>
        </w:rPr>
      </w:pPr>
      <w:r>
        <w:rPr>
          <w:rFonts w:ascii="Times New Roman" w:eastAsia="Calibri" w:hAnsi="Times New Roman" w:cs="Times New Roman"/>
          <w:sz w:val="28"/>
          <w:szCs w:val="28"/>
          <w:lang w:eastAsia="zh-CN" w:bidi="hi-IN"/>
        </w:rPr>
        <w:t>ПС-2 (г/л): меласса – 20, гидрофосфат натрия – 2,7, пептон – 5, дрожжевой экстракт – 5, лимонная кислота – 1,15, этанол – 10;</w:t>
      </w:r>
    </w:p>
    <w:p w:rsidR="00E17FE1" w:rsidRDefault="00BB58D7">
      <w:pPr>
        <w:widowControl w:val="0"/>
        <w:tabs>
          <w:tab w:val="left" w:pos="0"/>
        </w:tabs>
        <w:suppressAutoHyphens/>
        <w:spacing w:after="0" w:line="240" w:lineRule="auto"/>
        <w:ind w:firstLine="567"/>
        <w:jc w:val="both"/>
        <w:rPr>
          <w:rFonts w:ascii="Times New Roman" w:eastAsia="Calibri" w:hAnsi="Times New Roman" w:cs="Times New Roman"/>
          <w:sz w:val="28"/>
          <w:szCs w:val="28"/>
          <w:lang w:eastAsia="zh-CN" w:bidi="hi-IN"/>
        </w:rPr>
      </w:pPr>
      <w:r>
        <w:rPr>
          <w:rFonts w:ascii="Times New Roman" w:eastAsia="Calibri" w:hAnsi="Times New Roman" w:cs="Times New Roman"/>
          <w:sz w:val="28"/>
          <w:szCs w:val="28"/>
          <w:lang w:eastAsia="zh-CN" w:bidi="hi-IN"/>
        </w:rPr>
        <w:t>ПС-3 (г/л): гидролизаты отходов переработки злаковых культур – 20, гидрофосфат натрия – 2,7, пептон – 5, дрожжевой экстракт – 5, лимонная кислота – 1,15, этанол – 10;</w:t>
      </w:r>
    </w:p>
    <w:p w:rsidR="00E17FE1" w:rsidRDefault="00BB58D7">
      <w:pPr>
        <w:widowControl w:val="0"/>
        <w:tabs>
          <w:tab w:val="left" w:pos="0"/>
        </w:tabs>
        <w:suppressAutoHyphens/>
        <w:spacing w:after="0" w:line="240" w:lineRule="auto"/>
        <w:ind w:firstLine="567"/>
        <w:jc w:val="both"/>
        <w:rPr>
          <w:rFonts w:ascii="Times New Roman" w:eastAsia="Calibri" w:hAnsi="Times New Roman" w:cs="Times New Roman"/>
          <w:sz w:val="28"/>
          <w:szCs w:val="28"/>
          <w:lang w:eastAsia="zh-CN" w:bidi="hi-IN"/>
        </w:rPr>
      </w:pPr>
      <w:r>
        <w:rPr>
          <w:rFonts w:ascii="Times New Roman" w:eastAsia="Calibri" w:hAnsi="Times New Roman" w:cs="Times New Roman"/>
          <w:sz w:val="28"/>
          <w:szCs w:val="28"/>
          <w:lang w:eastAsia="zh-CN" w:bidi="hi-IN"/>
        </w:rPr>
        <w:t>ПС-4 (г/л): глицерин – 20, пептон – 5, дрожжевой экстракт – 5, лимонная кислота – 1,15, этанол – 10.</w:t>
      </w:r>
    </w:p>
    <w:p w:rsidR="00E17FE1" w:rsidRDefault="00BB58D7">
      <w:pPr>
        <w:widowControl w:val="0"/>
        <w:tabs>
          <w:tab w:val="left" w:pos="0"/>
        </w:tabs>
        <w:suppressAutoHyphens/>
        <w:spacing w:after="0" w:line="240" w:lineRule="auto"/>
        <w:ind w:firstLine="567"/>
        <w:jc w:val="both"/>
        <w:rPr>
          <w:rFonts w:ascii="Times New Roman" w:eastAsia="Calibri" w:hAnsi="Times New Roman" w:cs="Times New Roman"/>
          <w:sz w:val="28"/>
          <w:szCs w:val="28"/>
          <w:lang w:eastAsia="zh-CN" w:bidi="hi-IN"/>
        </w:rPr>
      </w:pPr>
      <w:r>
        <w:rPr>
          <w:rFonts w:ascii="Times New Roman" w:eastAsia="Calibri" w:hAnsi="Times New Roman" w:cs="Times New Roman"/>
          <w:sz w:val="28"/>
          <w:szCs w:val="28"/>
          <w:lang w:eastAsia="zh-CN" w:bidi="hi-IN"/>
        </w:rPr>
        <w:t>Промышленные отходы служили источником углерода и азота в среде. В качестве восполнителя дефицита азота в среду вносили пептон, в качестве источника витаминов – дрожжевой экстракт.</w:t>
      </w:r>
    </w:p>
    <w:p w:rsidR="00E17FE1" w:rsidRDefault="00BB58D7">
      <w:pPr>
        <w:widowControl w:val="0"/>
        <w:tabs>
          <w:tab w:val="left" w:pos="0"/>
        </w:tabs>
        <w:suppressAutoHyphens/>
        <w:spacing w:after="0" w:line="240" w:lineRule="auto"/>
        <w:ind w:firstLine="567"/>
        <w:jc w:val="both"/>
        <w:rPr>
          <w:rFonts w:ascii="Times New Roman" w:eastAsia="Calibri" w:hAnsi="Times New Roman" w:cs="Times New Roman"/>
          <w:sz w:val="28"/>
          <w:szCs w:val="28"/>
          <w:lang w:eastAsia="zh-CN" w:bidi="hi-IN"/>
        </w:rPr>
      </w:pPr>
      <w:r>
        <w:rPr>
          <w:rFonts w:ascii="Times New Roman" w:eastAsia="Calibri" w:hAnsi="Times New Roman" w:cs="Times New Roman"/>
          <w:sz w:val="28"/>
          <w:szCs w:val="28"/>
          <w:lang w:eastAsia="zh-CN" w:bidi="hi-IN"/>
        </w:rPr>
        <w:t>Среды доводили до рН 6,5-7,0 ледяной уксусной кислотой и 6H</w:t>
      </w:r>
      <w:r w:rsidR="00F603E2" w:rsidRPr="00F603E2">
        <w:rPr>
          <w:rFonts w:ascii="Times New Roman" w:eastAsia="Calibri" w:hAnsi="Times New Roman" w:cs="Times New Roman"/>
          <w:sz w:val="28"/>
          <w:szCs w:val="28"/>
          <w:lang w:eastAsia="zh-CN" w:bidi="hi-IN"/>
        </w:rPr>
        <w:t xml:space="preserve"> </w:t>
      </w:r>
      <w:r>
        <w:rPr>
          <w:rFonts w:ascii="Times New Roman" w:eastAsia="Calibri" w:hAnsi="Times New Roman" w:cs="Times New Roman"/>
          <w:sz w:val="28"/>
          <w:szCs w:val="28"/>
          <w:lang w:eastAsia="zh-CN" w:bidi="hi-IN"/>
        </w:rPr>
        <w:t xml:space="preserve">NaOH. </w:t>
      </w:r>
      <w:r>
        <w:rPr>
          <w:rFonts w:ascii="Times New Roman" w:eastAsia="Calibri" w:hAnsi="Times New Roman" w:cs="Times New Roman"/>
          <w:sz w:val="28"/>
          <w:szCs w:val="28"/>
          <w:lang w:eastAsia="zh-CN" w:bidi="hi-IN"/>
        </w:rPr>
        <w:lastRenderedPageBreak/>
        <w:t>Стерилизацию проводили автоклавиронием при 110</w:t>
      </w:r>
      <w:proofErr w:type="gramStart"/>
      <w:r>
        <w:rPr>
          <w:rFonts w:ascii="Times New Roman" w:eastAsia="Calibri" w:hAnsi="Times New Roman" w:cs="Times New Roman"/>
          <w:sz w:val="28"/>
          <w:szCs w:val="28"/>
          <w:lang w:eastAsia="zh-CN" w:bidi="hi-IN"/>
        </w:rPr>
        <w:t xml:space="preserve"> °С</w:t>
      </w:r>
      <w:proofErr w:type="gramEnd"/>
      <w:r>
        <w:rPr>
          <w:rFonts w:ascii="Times New Roman" w:eastAsia="Calibri" w:hAnsi="Times New Roman" w:cs="Times New Roman"/>
          <w:sz w:val="28"/>
          <w:szCs w:val="28"/>
          <w:lang w:eastAsia="zh-CN" w:bidi="hi-IN"/>
        </w:rPr>
        <w:t xml:space="preserve"> в течение 20 мин.</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2.2.2 Синтез Ti</w:t>
      </w:r>
      <w:r>
        <w:rPr>
          <w:rFonts w:cs="Times New Roman"/>
          <w:b/>
          <w:sz w:val="28"/>
          <w:szCs w:val="28"/>
        </w:rPr>
        <w:t>₃</w:t>
      </w:r>
      <w:r>
        <w:rPr>
          <w:rFonts w:ascii="Times New Roman" w:hAnsi="Times New Roman" w:cs="Times New Roman"/>
          <w:b/>
          <w:sz w:val="28"/>
          <w:szCs w:val="28"/>
        </w:rPr>
        <w:t>C</w:t>
      </w:r>
      <w:r>
        <w:rPr>
          <w:rFonts w:cs="Times New Roman"/>
          <w:b/>
          <w:sz w:val="28"/>
          <w:szCs w:val="28"/>
        </w:rPr>
        <w:t>₂</w:t>
      </w:r>
      <w:r>
        <w:rPr>
          <w:rFonts w:ascii="Times New Roman" w:hAnsi="Times New Roman" w:cs="Times New Roman"/>
          <w:b/>
          <w:sz w:val="28"/>
          <w:szCs w:val="28"/>
        </w:rPr>
        <w:t>T</w:t>
      </w:r>
      <w:r w:rsidRPr="009E12D9">
        <w:rPr>
          <w:rFonts w:ascii="Times New Roman" w:hAnsi="Times New Roman" w:cs="Times New Roman"/>
          <w:b/>
          <w:sz w:val="28"/>
          <w:szCs w:val="28"/>
          <w:vertAlign w:val="subscript"/>
        </w:rPr>
        <w:t>x</w:t>
      </w:r>
      <w:r>
        <w:rPr>
          <w:rFonts w:ascii="Times New Roman" w:hAnsi="Times New Roman" w:cs="Times New Roman"/>
          <w:b/>
          <w:sz w:val="28"/>
          <w:szCs w:val="28"/>
        </w:rPr>
        <w:t>Mxene</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MXene (</w:t>
      </w:r>
      <w:r w:rsidRPr="00C16F4C">
        <w:rPr>
          <w:rFonts w:ascii="Times New Roman" w:hAnsi="Times New Roman" w:cs="Times New Roman"/>
          <w:sz w:val="28"/>
          <w:szCs w:val="28"/>
        </w:rPr>
        <w:t>Ti</w:t>
      </w:r>
      <w:r w:rsidRPr="00C16F4C">
        <w:rPr>
          <w:rFonts w:ascii="Cambria Math" w:hAnsi="Cambria Math" w:cs="Times New Roman"/>
          <w:sz w:val="28"/>
          <w:szCs w:val="28"/>
        </w:rPr>
        <w:t>₃</w:t>
      </w:r>
      <w:r w:rsidRPr="00C16F4C">
        <w:rPr>
          <w:rFonts w:ascii="Times New Roman" w:hAnsi="Times New Roman" w:cs="Times New Roman"/>
          <w:sz w:val="28"/>
          <w:szCs w:val="28"/>
        </w:rPr>
        <w:t>C</w:t>
      </w:r>
      <w:r w:rsidRPr="00C16F4C">
        <w:rPr>
          <w:rFonts w:ascii="Cambria Math" w:hAnsi="Cambria Math" w:cs="Times New Roman"/>
          <w:sz w:val="28"/>
          <w:szCs w:val="28"/>
        </w:rPr>
        <w:t>₂</w:t>
      </w:r>
      <w:r w:rsidRPr="00C16F4C">
        <w:rPr>
          <w:rFonts w:ascii="Times New Roman" w:hAnsi="Times New Roman" w:cs="Times New Roman"/>
          <w:sz w:val="28"/>
          <w:szCs w:val="28"/>
        </w:rPr>
        <w:t>T</w:t>
      </w:r>
      <w:r w:rsidRPr="00AC0D2B">
        <w:rPr>
          <w:rFonts w:ascii="Times New Roman" w:hAnsi="Times New Roman" w:cs="Times New Roman"/>
          <w:sz w:val="28"/>
          <w:szCs w:val="28"/>
          <w:vertAlign w:val="subscript"/>
        </w:rPr>
        <w:t>x</w:t>
      </w:r>
      <w:r>
        <w:rPr>
          <w:rFonts w:ascii="Times New Roman" w:hAnsi="Times New Roman" w:cs="Times New Roman"/>
          <w:sz w:val="28"/>
          <w:szCs w:val="28"/>
        </w:rPr>
        <w:t>) получали из предшественника MAX-фазы (Ti</w:t>
      </w:r>
      <w:r>
        <w:rPr>
          <w:rFonts w:ascii="Cambria Math" w:hAnsi="Cambria Math" w:cs="Cambria Math"/>
          <w:sz w:val="28"/>
          <w:szCs w:val="28"/>
        </w:rPr>
        <w:t>₃</w:t>
      </w:r>
      <w:r>
        <w:rPr>
          <w:rFonts w:ascii="Times New Roman" w:hAnsi="Times New Roman" w:cs="Times New Roman"/>
          <w:sz w:val="28"/>
          <w:szCs w:val="28"/>
        </w:rPr>
        <w:t>AlC</w:t>
      </w:r>
      <w:r>
        <w:rPr>
          <w:rFonts w:ascii="Cambria Math" w:hAnsi="Cambria Math" w:cs="Cambria Math"/>
          <w:sz w:val="28"/>
          <w:szCs w:val="28"/>
        </w:rPr>
        <w:t>₂</w:t>
      </w:r>
      <w:r>
        <w:rPr>
          <w:rFonts w:ascii="Times New Roman" w:hAnsi="Times New Roman" w:cs="Times New Roman"/>
          <w:sz w:val="28"/>
          <w:szCs w:val="28"/>
        </w:rPr>
        <w:t>, Carbon-Ukraine Ltd.) методом селективного травления алюминия [152]. Для этого 1 г Ti</w:t>
      </w:r>
      <w:r>
        <w:rPr>
          <w:rFonts w:ascii="Cambria Math" w:hAnsi="Cambria Math" w:cs="Cambria Math"/>
          <w:sz w:val="28"/>
          <w:szCs w:val="28"/>
        </w:rPr>
        <w:t>₃</w:t>
      </w:r>
      <w:r>
        <w:rPr>
          <w:rFonts w:ascii="Times New Roman" w:hAnsi="Times New Roman" w:cs="Times New Roman"/>
          <w:sz w:val="28"/>
          <w:szCs w:val="28"/>
        </w:rPr>
        <w:t>AlC</w:t>
      </w:r>
      <w:r>
        <w:rPr>
          <w:rFonts w:ascii="Cambria Math" w:hAnsi="Cambria Math" w:cs="Cambria Math"/>
          <w:sz w:val="28"/>
          <w:szCs w:val="28"/>
        </w:rPr>
        <w:t>₂</w:t>
      </w:r>
      <w:r>
        <w:rPr>
          <w:rFonts w:ascii="Times New Roman" w:hAnsi="Times New Roman" w:cs="Times New Roman"/>
          <w:sz w:val="28"/>
          <w:szCs w:val="28"/>
        </w:rPr>
        <w:t xml:space="preserve"> постепенно добавляли в 20 мл 32% раствора HCl, содержащего 1,6 г LiF, и инкубировали при 42°C в течение 48 ч с постоянным перемешиванием. Полученный продукт центрифугировали при 3500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/мин и многократно промывали деионизированной водой до pH 5,0–5,5. Расслоение хлопьев Ti</w:t>
      </w:r>
      <w:r>
        <w:rPr>
          <w:rFonts w:ascii="Cambria Math" w:hAnsi="Cambria Math" w:cs="Cambria Math"/>
          <w:sz w:val="28"/>
          <w:szCs w:val="28"/>
        </w:rPr>
        <w:t>₃</w:t>
      </w:r>
      <w:r>
        <w:rPr>
          <w:rFonts w:ascii="Times New Roman" w:hAnsi="Times New Roman" w:cs="Times New Roman"/>
          <w:sz w:val="28"/>
          <w:szCs w:val="28"/>
        </w:rPr>
        <w:t>C</w:t>
      </w:r>
      <w:r>
        <w:rPr>
          <w:rFonts w:ascii="Cambria Math" w:hAnsi="Cambria Math" w:cs="Cambria Math"/>
          <w:sz w:val="28"/>
          <w:szCs w:val="28"/>
        </w:rPr>
        <w:t>₂</w:t>
      </w:r>
      <w:r>
        <w:rPr>
          <w:rFonts w:ascii="Times New Roman" w:hAnsi="Times New Roman" w:cs="Times New Roman"/>
          <w:sz w:val="28"/>
          <w:szCs w:val="28"/>
        </w:rPr>
        <w:t xml:space="preserve">Tx проводили ультразвуковой обработкой (5 мин, 900 Вт). Суспензию центрифугировали при 5000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/мин в течение 5 мин для отделения расслоенных нанолистов от остаточного осадка [153]. Концентрацию Ti</w:t>
      </w:r>
      <w:r>
        <w:rPr>
          <w:rFonts w:ascii="Cambria Math" w:hAnsi="Cambria Math" w:cs="Cambria Math"/>
          <w:sz w:val="28"/>
          <w:szCs w:val="28"/>
        </w:rPr>
        <w:t>₃</w:t>
      </w:r>
      <w:r>
        <w:rPr>
          <w:rFonts w:ascii="Times New Roman" w:hAnsi="Times New Roman" w:cs="Times New Roman"/>
          <w:sz w:val="28"/>
          <w:szCs w:val="28"/>
        </w:rPr>
        <w:t>C</w:t>
      </w:r>
      <w:r>
        <w:rPr>
          <w:rFonts w:ascii="Cambria Math" w:hAnsi="Cambria Math" w:cs="Cambria Math"/>
          <w:sz w:val="28"/>
          <w:szCs w:val="28"/>
        </w:rPr>
        <w:t>₂</w:t>
      </w:r>
      <w:r>
        <w:rPr>
          <w:rFonts w:ascii="Times New Roman" w:hAnsi="Times New Roman" w:cs="Times New Roman"/>
          <w:sz w:val="28"/>
          <w:szCs w:val="28"/>
        </w:rPr>
        <w:t>Tx в коллоидном растворе определяли методом вакуумной фильтрации через мембрану PVdF (0,45 мкм) с последующей сушкой при 110°C в течение 12 ч. Концентрация составила 11,5 мг/мл.</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2.2.3 Получение </w:t>
      </w:r>
      <w:r>
        <w:rPr>
          <w:rFonts w:ascii="Times New Roman" w:hAnsi="Times New Roman" w:cs="Times New Roman"/>
          <w:b/>
          <w:bCs/>
          <w:sz w:val="28"/>
          <w:szCs w:val="28"/>
        </w:rPr>
        <w:t>наночастиц ГАП</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ГАП был получен из яичной скорлупы: 4 г яичной скорлупы отжигали при температуре 950 °C в течение 2-ух часов с образованием оксида кальция (CaO). Затем 2 г CaO смешивали с 40 мл 6% раствора H</w:t>
      </w:r>
      <w:r>
        <w:rPr>
          <w:rFonts w:ascii="Cambria Math" w:hAnsi="Cambria Math" w:cs="Cambria Math"/>
          <w:sz w:val="28"/>
          <w:szCs w:val="28"/>
        </w:rPr>
        <w:t>₃</w:t>
      </w:r>
      <w:r>
        <w:rPr>
          <w:rFonts w:ascii="Times New Roman" w:hAnsi="Times New Roman" w:cs="Times New Roman"/>
          <w:sz w:val="28"/>
          <w:szCs w:val="28"/>
        </w:rPr>
        <w:t>PO</w:t>
      </w:r>
      <w:r>
        <w:rPr>
          <w:rFonts w:ascii="Cambria Math" w:hAnsi="Cambria Math" w:cs="Cambria Math"/>
          <w:sz w:val="28"/>
          <w:szCs w:val="28"/>
        </w:rPr>
        <w:t>₄</w:t>
      </w:r>
      <w:r>
        <w:rPr>
          <w:rFonts w:ascii="Times New Roman" w:hAnsi="Times New Roman" w:cs="Times New Roman"/>
          <w:sz w:val="28"/>
          <w:szCs w:val="28"/>
        </w:rPr>
        <w:t xml:space="preserve"> при постоянном перемешивании в течение 1 ч. Смесь подвергали ультразвуковой обработке (32 кГц, 1 ч) в ледяной бане до полной гомогенизации [154].</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2.2.4 Создание композита ГАП/Mxene</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30.6 мг ГАП медленно добавляли в 4 мл (11.5 мг/мл) свежеприготовленного коллоидного раствора Ti</w:t>
      </w:r>
      <w:r>
        <w:rPr>
          <w:rFonts w:ascii="Cambria Math" w:hAnsi="Cambria Math" w:cs="Cambria Math"/>
          <w:sz w:val="28"/>
          <w:szCs w:val="28"/>
        </w:rPr>
        <w:t>₃</w:t>
      </w:r>
      <w:r>
        <w:rPr>
          <w:rFonts w:ascii="Times New Roman" w:hAnsi="Times New Roman" w:cs="Times New Roman"/>
          <w:sz w:val="28"/>
          <w:szCs w:val="28"/>
        </w:rPr>
        <w:t>C</w:t>
      </w:r>
      <w:r>
        <w:rPr>
          <w:rFonts w:ascii="Cambria Math" w:hAnsi="Cambria Math" w:cs="Cambria Math"/>
          <w:sz w:val="28"/>
          <w:szCs w:val="28"/>
        </w:rPr>
        <w:t>₂</w:t>
      </w:r>
      <w:r>
        <w:rPr>
          <w:rFonts w:ascii="Times New Roman" w:hAnsi="Times New Roman" w:cs="Times New Roman"/>
          <w:sz w:val="28"/>
          <w:szCs w:val="28"/>
        </w:rPr>
        <w:t>T</w:t>
      </w:r>
      <w:r w:rsidRPr="00AC0D2B">
        <w:rPr>
          <w:rFonts w:ascii="Times New Roman" w:hAnsi="Times New Roman" w:cs="Times New Roman"/>
          <w:sz w:val="28"/>
          <w:szCs w:val="28"/>
          <w:vertAlign w:val="subscript"/>
        </w:rPr>
        <w:t>x</w:t>
      </w:r>
      <w:r>
        <w:rPr>
          <w:rFonts w:ascii="Times New Roman" w:hAnsi="Times New Roman" w:cs="Times New Roman"/>
          <w:sz w:val="28"/>
          <w:szCs w:val="28"/>
        </w:rPr>
        <w:t xml:space="preserve">Mxene. Смесь перемешивали на магнитной мешалке в течение 2 ч, после чего центрифугировали при 4000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w:t>
      </w:r>
      <w:proofErr w:type="gramStart"/>
      <w:r>
        <w:rPr>
          <w:rFonts w:ascii="Times New Roman" w:hAnsi="Times New Roman" w:cs="Times New Roman"/>
          <w:sz w:val="28"/>
          <w:szCs w:val="28"/>
        </w:rPr>
        <w:t>мин</w:t>
      </w:r>
      <w:proofErr w:type="gramEnd"/>
      <w:r>
        <w:rPr>
          <w:rFonts w:ascii="Times New Roman" w:hAnsi="Times New Roman" w:cs="Times New Roman"/>
          <w:sz w:val="28"/>
          <w:szCs w:val="28"/>
        </w:rPr>
        <w:t xml:space="preserve"> в течение 10 мин. Полученный осадок сушили при 100°C в вакууме в течение 12 ч [18, 153].</w:t>
      </w:r>
    </w:p>
    <w:p w:rsidR="00E17FE1" w:rsidRDefault="00E17FE1">
      <w:pPr>
        <w:spacing w:after="0" w:line="240" w:lineRule="auto"/>
        <w:ind w:firstLine="567"/>
        <w:jc w:val="both"/>
        <w:rPr>
          <w:rFonts w:ascii="Times New Roman" w:hAnsi="Times New Roman" w:cs="Times New Roman"/>
          <w:b/>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2.2.5 Получение композита БЦ/ГАП методом </w:t>
      </w:r>
      <w:r>
        <w:rPr>
          <w:rFonts w:ascii="Times New Roman" w:hAnsi="Times New Roman" w:cs="Times New Roman"/>
          <w:b/>
          <w:i/>
          <w:sz w:val="28"/>
          <w:szCs w:val="28"/>
          <w:lang w:val="en-US"/>
        </w:rPr>
        <w:t>in</w:t>
      </w:r>
      <w:r>
        <w:rPr>
          <w:rFonts w:ascii="Times New Roman" w:hAnsi="Times New Roman" w:cs="Times New Roman"/>
          <w:b/>
          <w:i/>
          <w:sz w:val="28"/>
          <w:szCs w:val="28"/>
        </w:rPr>
        <w:t xml:space="preserve"> situ</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Инокулят </w:t>
      </w:r>
      <w:r>
        <w:rPr>
          <w:rFonts w:ascii="Times New Roman" w:hAnsi="Times New Roman" w:cs="Times New Roman"/>
          <w:i/>
          <w:sz w:val="28"/>
          <w:szCs w:val="28"/>
        </w:rPr>
        <w:t>K. xylinus С-3</w:t>
      </w:r>
      <w:r>
        <w:rPr>
          <w:rFonts w:ascii="Times New Roman" w:hAnsi="Times New Roman" w:cs="Times New Roman"/>
          <w:sz w:val="28"/>
          <w:szCs w:val="28"/>
        </w:rPr>
        <w:t xml:space="preserve"> вносили в 100 мл среды ПС-2, в которую добавляли 3% ГАП. Систему инкубировали в статических условиях при 30°C в течение 5 и 7 суток. </w:t>
      </w:r>
      <w:r w:rsidR="00F603E2" w:rsidRPr="00F603E2">
        <w:rPr>
          <w:rFonts w:ascii="Times New Roman" w:hAnsi="Times New Roman" w:cs="Times New Roman"/>
          <w:sz w:val="28"/>
          <w:szCs w:val="28"/>
        </w:rPr>
        <w:t xml:space="preserve">Далее </w:t>
      </w:r>
      <w:r w:rsidR="00F603E2">
        <w:rPr>
          <w:rFonts w:ascii="Times New Roman" w:hAnsi="Times New Roman" w:cs="Times New Roman"/>
          <w:sz w:val="28"/>
          <w:szCs w:val="28"/>
        </w:rPr>
        <w:t>пленки</w:t>
      </w:r>
      <w:r w:rsidR="00F603E2" w:rsidRPr="00F603E2">
        <w:rPr>
          <w:rFonts w:ascii="Times New Roman" w:hAnsi="Times New Roman" w:cs="Times New Roman"/>
          <w:sz w:val="28"/>
          <w:szCs w:val="28"/>
        </w:rPr>
        <w:t xml:space="preserve"> обрабатывали 5%-ным раствором NaHCO</w:t>
      </w:r>
      <w:r w:rsidR="00F603E2" w:rsidRPr="00F603E2">
        <w:rPr>
          <w:rFonts w:ascii="Cambria Math" w:hAnsi="Cambria Math" w:cs="Cambria Math"/>
          <w:sz w:val="28"/>
          <w:szCs w:val="28"/>
        </w:rPr>
        <w:t>₃</w:t>
      </w:r>
      <w:r w:rsidR="00F603E2" w:rsidRPr="00F603E2">
        <w:rPr>
          <w:rFonts w:ascii="Times New Roman" w:hAnsi="Times New Roman" w:cs="Times New Roman"/>
          <w:sz w:val="28"/>
          <w:szCs w:val="28"/>
        </w:rPr>
        <w:t xml:space="preserve"> в течение трёх суток в четыре последовательных цикла с чередованием стадий щелочной обработки и водной промывки</w:t>
      </w:r>
      <w:r>
        <w:rPr>
          <w:rFonts w:ascii="Times New Roman" w:hAnsi="Times New Roman" w:cs="Times New Roman"/>
          <w:sz w:val="28"/>
          <w:szCs w:val="28"/>
        </w:rPr>
        <w:t>. Массу пленок после высушивания определяли гравиметрически.</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2.2.6 Получение композитов БЦ/Mxene и БЦ/ГАП методом </w:t>
      </w:r>
      <w:r>
        <w:rPr>
          <w:rFonts w:ascii="Times New Roman" w:hAnsi="Times New Roman" w:cs="Times New Roman"/>
          <w:b/>
          <w:i/>
          <w:sz w:val="28"/>
          <w:szCs w:val="28"/>
        </w:rPr>
        <w:t>ex situ</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Для получения композитов использовали пленки БЦ одинаковой массы и толщины. Соотношение компонентов рассчитывали исходя из массы БЦ (сухой вес). Пленки БЦ погружали в свежеприготовленный коллоидный раствор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x</w:t>
      </w:r>
      <w:r>
        <w:rPr>
          <w:rFonts w:ascii="Times New Roman" w:hAnsi="Times New Roman" w:cs="Times New Roman"/>
          <w:sz w:val="28"/>
          <w:szCs w:val="28"/>
        </w:rPr>
        <w:t xml:space="preserve">Mxene (2 мас.%), водный раствор ГАП (3 мас.%) и инкубировали при 37°C в течение 6 ч на орбитальном шейкере (140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 xml:space="preserve">/мин). </w:t>
      </w:r>
      <w:r>
        <w:rPr>
          <w:rFonts w:ascii="Times New Roman" w:hAnsi="Times New Roman" w:cs="Times New Roman"/>
          <w:sz w:val="28"/>
          <w:szCs w:val="28"/>
        </w:rPr>
        <w:lastRenderedPageBreak/>
        <w:t xml:space="preserve">Количество материалов, импрегнированных в бактериальную целлюлозу (БЦ), определяли гравиметрическим методом. Оставшийся после инкубации с БЦ мембранами раствор фильтровали методом вакуумной фильтрации. Массу осадка на фильтре измеряли после сушки при 110°C в течение 12 ч. Количество внедренных компонентов рассчитывали как разницу между начальной массой материала в растворе и массой осадка на фильтре. </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2.2.7 Сборка композита</w:t>
      </w:r>
      <w:r>
        <w:rPr>
          <w:rFonts w:ascii="Times New Roman" w:hAnsi="Times New Roman" w:cs="Times New Roman"/>
          <w:sz w:val="28"/>
          <w:szCs w:val="28"/>
        </w:rPr>
        <w:t xml:space="preserve"> </w:t>
      </w:r>
      <w:r>
        <w:rPr>
          <w:rFonts w:ascii="Times New Roman" w:hAnsi="Times New Roman" w:cs="Times New Roman"/>
          <w:b/>
          <w:sz w:val="28"/>
          <w:szCs w:val="28"/>
        </w:rPr>
        <w:t>БЦ/ГАП/Mxene</w:t>
      </w:r>
    </w:p>
    <w:p w:rsidR="00E17FE1" w:rsidRDefault="00BB58D7">
      <w:pPr>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 xml:space="preserve">- вариант комбинации </w:t>
      </w:r>
      <w:r>
        <w:rPr>
          <w:rFonts w:ascii="Times New Roman" w:hAnsi="Times New Roman" w:cs="Times New Roman"/>
          <w:i/>
          <w:sz w:val="28"/>
          <w:szCs w:val="28"/>
          <w:lang w:val="en-US"/>
        </w:rPr>
        <w:t>in</w:t>
      </w:r>
      <w:r>
        <w:rPr>
          <w:rFonts w:ascii="Times New Roman" w:hAnsi="Times New Roman" w:cs="Times New Roman"/>
          <w:i/>
          <w:sz w:val="28"/>
          <w:szCs w:val="28"/>
        </w:rPr>
        <w:t xml:space="preserve"> situ-ex situ</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Композит </w:t>
      </w:r>
      <w:r>
        <w:rPr>
          <w:rFonts w:ascii="Times New Roman" w:hAnsi="Times New Roman" w:cs="Times New Roman"/>
          <w:sz w:val="28"/>
          <w:szCs w:val="28"/>
          <w:lang w:val="kk-KZ"/>
        </w:rPr>
        <w:t>БЦ/ГАП,</w:t>
      </w:r>
      <w:r>
        <w:rPr>
          <w:rFonts w:ascii="Times New Roman" w:hAnsi="Times New Roman" w:cs="Times New Roman"/>
          <w:sz w:val="28"/>
          <w:szCs w:val="28"/>
        </w:rPr>
        <w:t xml:space="preserve"> полученный вышеописанным способом (</w:t>
      </w:r>
      <w:r>
        <w:rPr>
          <w:rFonts w:ascii="Times New Roman" w:hAnsi="Times New Roman" w:cs="Times New Roman"/>
          <w:i/>
          <w:sz w:val="28"/>
          <w:szCs w:val="28"/>
          <w:lang w:val="en-US"/>
        </w:rPr>
        <w:t>in</w:t>
      </w:r>
      <w:r>
        <w:rPr>
          <w:rFonts w:ascii="Times New Roman" w:hAnsi="Times New Roman" w:cs="Times New Roman"/>
          <w:i/>
          <w:sz w:val="28"/>
          <w:szCs w:val="28"/>
        </w:rPr>
        <w:t xml:space="preserve"> </w:t>
      </w:r>
      <w:r>
        <w:rPr>
          <w:rFonts w:ascii="Times New Roman" w:hAnsi="Times New Roman" w:cs="Times New Roman"/>
          <w:i/>
          <w:sz w:val="28"/>
          <w:szCs w:val="28"/>
          <w:lang w:val="en-US"/>
        </w:rPr>
        <w:t>situ</w:t>
      </w:r>
      <w:r>
        <w:rPr>
          <w:rFonts w:ascii="Times New Roman" w:hAnsi="Times New Roman" w:cs="Times New Roman"/>
          <w:sz w:val="28"/>
          <w:szCs w:val="28"/>
        </w:rPr>
        <w:t>), погружали в свежеприготовленный коллоидный раствор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Т</w:t>
      </w:r>
      <w:r>
        <w:rPr>
          <w:rFonts w:ascii="Times New Roman" w:hAnsi="Times New Roman" w:cs="Times New Roman"/>
          <w:sz w:val="28"/>
          <w:szCs w:val="28"/>
          <w:vertAlign w:val="subscript"/>
        </w:rPr>
        <w:t>x</w:t>
      </w:r>
      <w:r>
        <w:rPr>
          <w:rFonts w:ascii="Times New Roman" w:hAnsi="Times New Roman" w:cs="Times New Roman"/>
          <w:sz w:val="28"/>
          <w:szCs w:val="28"/>
        </w:rPr>
        <w:t xml:space="preserve">Mxene (2 мас.%), инкубировали при 37°C в течение 6 ч на орбитальном шейкере (140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 xml:space="preserve">/мин). Количество материалов, включенных в структуру БЦ, определяли гравиметрическим методом. </w:t>
      </w: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i/>
          <w:sz w:val="28"/>
          <w:szCs w:val="28"/>
        </w:rPr>
        <w:t>вариант, основанный на интеграции предварительно сформированного комплекса ГАП/MXene в БЦ</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Чистые пленки БЦ погружали в 5% суспензию ГАП/MXene. Систему выдерживали при 37°C в течение 6 ч на орбитальном шейкере (140 </w:t>
      </w:r>
      <w:proofErr w:type="gramStart"/>
      <w:r>
        <w:rPr>
          <w:rFonts w:ascii="Times New Roman" w:hAnsi="Times New Roman" w:cs="Times New Roman"/>
          <w:sz w:val="28"/>
          <w:szCs w:val="28"/>
        </w:rPr>
        <w:t>об</w:t>
      </w:r>
      <w:proofErr w:type="gramEnd"/>
      <w:r>
        <w:rPr>
          <w:rFonts w:ascii="Times New Roman" w:hAnsi="Times New Roman" w:cs="Times New Roman"/>
          <w:sz w:val="28"/>
          <w:szCs w:val="28"/>
        </w:rPr>
        <w:t>/мин). Количество материала, зафиксированного в структуре БЦ, определяли гравиметрическим способом путём сравнения масс до и после модификации.</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2.2.8 Определение структурных и химических свойств БЦ и композитов</w:t>
      </w:r>
    </w:p>
    <w:p w:rsidR="00E17FE1" w:rsidRDefault="00BB58D7">
      <w:pPr>
        <w:widowControl w:val="0"/>
        <w:suppressAutoHyphens/>
        <w:spacing w:after="0" w:line="240" w:lineRule="auto"/>
        <w:ind w:firstLine="567"/>
        <w:jc w:val="both"/>
        <w:rPr>
          <w:rFonts w:ascii="Times New Roman" w:eastAsia="Arial Unicode MS" w:hAnsi="Times New Roman" w:cs="Times New Roman"/>
          <w:i/>
          <w:color w:val="000000"/>
          <w:sz w:val="28"/>
          <w:szCs w:val="28"/>
          <w:lang w:eastAsia="zh-CN" w:bidi="en-US"/>
        </w:rPr>
      </w:pPr>
      <w:r>
        <w:rPr>
          <w:rFonts w:ascii="Times New Roman" w:hAnsi="Times New Roman" w:cs="Times New Roman"/>
          <w:b/>
          <w:sz w:val="28"/>
          <w:szCs w:val="28"/>
        </w:rPr>
        <w:t xml:space="preserve">2.2.8.1 </w:t>
      </w:r>
      <w:r>
        <w:rPr>
          <w:rFonts w:ascii="Times New Roman" w:eastAsia="Arial Unicode MS" w:hAnsi="Times New Roman" w:cs="Times New Roman"/>
          <w:b/>
          <w:color w:val="000000"/>
          <w:sz w:val="28"/>
          <w:szCs w:val="28"/>
          <w:lang w:eastAsia="zh-CN" w:bidi="en-US"/>
        </w:rPr>
        <w:t>Сканирующая электронная микроскопия (СЭМ)</w:t>
      </w:r>
      <w:r>
        <w:rPr>
          <w:rFonts w:ascii="Times New Roman" w:eastAsia="Arial Unicode MS" w:hAnsi="Times New Roman" w:cs="Times New Roman"/>
          <w:i/>
          <w:color w:val="000000"/>
          <w:sz w:val="28"/>
          <w:szCs w:val="28"/>
          <w:lang w:eastAsia="zh-CN" w:bidi="en-US"/>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Морфологию поверхности композитов исследовали с помощью сканирующего электронного микроскопа с полевой эмиссией (FE-SEM, JEOL JSM-7800F). Перед анализом образцы покрывали золотом толщиной ≈ 10 нм методом напыления. Элементный состав и пространственное распределение анализировали методом энергодисперсионной рентгеновской спектроскопии (ЭДС) с использованием кремниевого дрейфового детектора X-Max 50 мм². Для обеспечения репрезентативности данных количественная оценка элементов проводилась путем усреднения результатов, полученных из пяти отдельных областей образца, что позволило достоверно оценить однородность и интеграцию ГАП в матрице БЦ и MXene.</w:t>
      </w:r>
    </w:p>
    <w:p w:rsidR="00E17FE1" w:rsidRDefault="00E17FE1">
      <w:pPr>
        <w:spacing w:after="0" w:line="240" w:lineRule="auto"/>
        <w:ind w:firstLine="567"/>
        <w:jc w:val="both"/>
        <w:rPr>
          <w:rFonts w:ascii="Times New Roman" w:hAnsi="Times New Roman" w:cs="Times New Roman"/>
          <w:b/>
          <w:sz w:val="28"/>
          <w:szCs w:val="28"/>
        </w:rPr>
      </w:pPr>
    </w:p>
    <w:p w:rsidR="00E17FE1" w:rsidRDefault="00BB58D7">
      <w:pPr>
        <w:spacing w:after="0" w:line="240" w:lineRule="auto"/>
        <w:ind w:firstLine="567"/>
        <w:jc w:val="both"/>
        <w:rPr>
          <w:rFonts w:ascii="Times New Roman" w:hAnsi="Times New Roman" w:cs="Times New Roman"/>
          <w:i/>
          <w:sz w:val="28"/>
          <w:szCs w:val="28"/>
        </w:rPr>
      </w:pPr>
      <w:r>
        <w:rPr>
          <w:rFonts w:ascii="Times New Roman" w:hAnsi="Times New Roman" w:cs="Times New Roman"/>
          <w:b/>
          <w:sz w:val="28"/>
          <w:szCs w:val="28"/>
        </w:rPr>
        <w:t>2.2.8.2 Просвечивающая электронная микроскопия (ПЭМ)</w:t>
      </w:r>
    </w:p>
    <w:p w:rsidR="00E17FE1" w:rsidRDefault="00BB58D7">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Микроструктуру композитов на основе BC исследовали с помощью современной просвечивающей электронной микроскопии (ПЭМ) на микроскопе JEOL JEM-ARM200CF при напряжении 200 кВ. Электронно-прозрачный образец был подготовлен методом фрезерования с фокусированным ионным пучком (ФИП) на системе Zeiss Auriga 60 FIB-SEM с окончательной полировкой при напряжении 5 кВ и силе тока 240 пА для минимизации повреждения поверхности. </w:t>
      </w:r>
      <w:proofErr w:type="gramEnd"/>
    </w:p>
    <w:p w:rsidR="00E17FE1" w:rsidRDefault="00E17FE1">
      <w:pPr>
        <w:spacing w:after="0" w:line="240" w:lineRule="auto"/>
        <w:ind w:firstLine="567"/>
        <w:jc w:val="both"/>
        <w:rPr>
          <w:rFonts w:ascii="Times New Roman" w:hAnsi="Times New Roman" w:cs="Times New Roman"/>
          <w:b/>
          <w:sz w:val="28"/>
          <w:szCs w:val="28"/>
        </w:rPr>
      </w:pPr>
    </w:p>
    <w:p w:rsidR="00E17FE1" w:rsidRDefault="00BB58D7">
      <w:pPr>
        <w:spacing w:after="0" w:line="240" w:lineRule="auto"/>
        <w:ind w:firstLine="567"/>
        <w:jc w:val="both"/>
        <w:rPr>
          <w:rFonts w:ascii="Times New Roman" w:hAnsi="Times New Roman" w:cs="Times New Roman"/>
          <w:i/>
          <w:sz w:val="28"/>
          <w:szCs w:val="28"/>
        </w:rPr>
      </w:pPr>
      <w:r>
        <w:rPr>
          <w:rFonts w:ascii="Times New Roman" w:hAnsi="Times New Roman" w:cs="Times New Roman"/>
          <w:b/>
          <w:sz w:val="28"/>
          <w:szCs w:val="28"/>
        </w:rPr>
        <w:lastRenderedPageBreak/>
        <w:t>2.2.8.3 Энергодисперсионная рентгеновская спектроскопия (ЭДС)</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Распределение элементов анализировали методом энергодисперсионной рентгеновской спектроскопии с использованием детектора JEOL JED-2300T CENTURIO SDD с большим телесным углом (до 0,98 ср) и активной площадью 100 мм², что позволило проводить высокочувствительное картирование Ti, C, O и F.</w:t>
      </w:r>
    </w:p>
    <w:p w:rsidR="00E17FE1" w:rsidRDefault="00E17FE1">
      <w:pPr>
        <w:widowControl w:val="0"/>
        <w:suppressAutoHyphens/>
        <w:spacing w:after="0" w:line="240" w:lineRule="auto"/>
        <w:ind w:firstLine="567"/>
        <w:jc w:val="both"/>
        <w:rPr>
          <w:rFonts w:ascii="Times New Roman" w:hAnsi="Times New Roman" w:cs="Times New Roman"/>
          <w:b/>
          <w:sz w:val="28"/>
          <w:szCs w:val="28"/>
        </w:rPr>
      </w:pPr>
    </w:p>
    <w:p w:rsidR="00E17FE1" w:rsidRDefault="00BB58D7">
      <w:pPr>
        <w:widowControl w:val="0"/>
        <w:suppressAutoHyphens/>
        <w:spacing w:after="0" w:line="240" w:lineRule="auto"/>
        <w:ind w:firstLine="567"/>
        <w:jc w:val="both"/>
        <w:rPr>
          <w:rFonts w:ascii="Times New Roman" w:eastAsia="Arial Unicode MS" w:hAnsi="Times New Roman" w:cs="Times New Roman"/>
          <w:bCs/>
          <w:i/>
          <w:iCs/>
          <w:color w:val="000000"/>
          <w:sz w:val="28"/>
          <w:szCs w:val="28"/>
          <w:lang w:bidi="en-US"/>
        </w:rPr>
      </w:pPr>
      <w:r>
        <w:rPr>
          <w:rFonts w:ascii="Times New Roman" w:hAnsi="Times New Roman" w:cs="Times New Roman"/>
          <w:b/>
          <w:sz w:val="28"/>
          <w:szCs w:val="28"/>
        </w:rPr>
        <w:t xml:space="preserve">2.2.8.4 </w:t>
      </w:r>
      <w:r>
        <w:rPr>
          <w:rFonts w:ascii="Times New Roman" w:eastAsia="Arial Unicode MS" w:hAnsi="Times New Roman" w:cs="Times New Roman"/>
          <w:b/>
          <w:bCs/>
          <w:iCs/>
          <w:color w:val="000000"/>
          <w:sz w:val="28"/>
          <w:szCs w:val="28"/>
          <w:lang w:bidi="en-US"/>
        </w:rPr>
        <w:t>Инфракрасная спектроскопия с преобразованием Фурье</w:t>
      </w:r>
      <w:r>
        <w:rPr>
          <w:rFonts w:ascii="Times New Roman" w:eastAsia="Arial Unicode MS" w:hAnsi="Times New Roman" w:cs="Times New Roman"/>
          <w:bCs/>
          <w:i/>
          <w:iCs/>
          <w:color w:val="000000"/>
          <w:sz w:val="28"/>
          <w:szCs w:val="28"/>
          <w:lang w:bidi="en-US"/>
        </w:rPr>
        <w:t xml:space="preserve"> </w:t>
      </w:r>
    </w:p>
    <w:p w:rsidR="00E17FE1" w:rsidRDefault="00BB58D7">
      <w:pPr>
        <w:pStyle w:val="af8"/>
        <w:ind w:firstLine="567"/>
        <w:jc w:val="both"/>
        <w:rPr>
          <w:rStyle w:val="af9"/>
          <w:rFonts w:ascii="Times New Roman" w:hAnsi="Times New Roman"/>
          <w:sz w:val="28"/>
          <w:szCs w:val="28"/>
        </w:rPr>
      </w:pPr>
      <w:proofErr w:type="gramStart"/>
      <w:r>
        <w:rPr>
          <w:rStyle w:val="af9"/>
          <w:rFonts w:ascii="Times New Roman" w:hAnsi="Times New Roman"/>
          <w:sz w:val="28"/>
          <w:szCs w:val="28"/>
        </w:rPr>
        <w:t>ИК-спектры</w:t>
      </w:r>
      <w:proofErr w:type="gramEnd"/>
      <w:r>
        <w:rPr>
          <w:rStyle w:val="af9"/>
          <w:rFonts w:ascii="Times New Roman" w:hAnsi="Times New Roman"/>
          <w:sz w:val="28"/>
          <w:szCs w:val="28"/>
        </w:rPr>
        <w:t xml:space="preserve"> композитов измеряли с помощью спектрофотометра Bruker Alpha II FTIR. </w:t>
      </w:r>
      <w:r>
        <w:rPr>
          <w:rStyle w:val="af9"/>
          <w:rFonts w:ascii="Times New Roman" w:hAnsi="Times New Roman"/>
          <w:sz w:val="28"/>
          <w:szCs w:val="28"/>
          <w:lang w:eastAsia="zh-CN" w:bidi="en-US"/>
        </w:rPr>
        <w:t xml:space="preserve">Образцы первоначально подвергали сушке и превращали в порошок. </w:t>
      </w:r>
      <w:r>
        <w:rPr>
          <w:rStyle w:val="af9"/>
          <w:rFonts w:ascii="Times New Roman" w:hAnsi="Times New Roman"/>
          <w:sz w:val="28"/>
          <w:szCs w:val="28"/>
        </w:rPr>
        <w:t xml:space="preserve">Затем порошок смешивали со спектрально </w:t>
      </w:r>
      <w:proofErr w:type="gramStart"/>
      <w:r>
        <w:rPr>
          <w:rStyle w:val="af9"/>
          <w:rFonts w:ascii="Times New Roman" w:hAnsi="Times New Roman"/>
          <w:sz w:val="28"/>
          <w:szCs w:val="28"/>
        </w:rPr>
        <w:t>чистым</w:t>
      </w:r>
      <w:proofErr w:type="gramEnd"/>
      <w:r>
        <w:rPr>
          <w:rStyle w:val="af9"/>
          <w:rFonts w:ascii="Times New Roman" w:hAnsi="Times New Roman"/>
          <w:sz w:val="28"/>
          <w:szCs w:val="28"/>
        </w:rPr>
        <w:t xml:space="preserve"> KBr и смесь прессовали. Перед использованием прессформу протирали этиловым спиртом, используя безворсовые салфетки. Порошок, помещенный в прессформу, непосредственно перед прессованием разравнивали с помощью шпателя для обеспечения равномерности распределения вещества в объеме прессформы во время прессования. </w:t>
      </w:r>
    </w:p>
    <w:p w:rsidR="00E17FE1" w:rsidRDefault="00BB58D7">
      <w:pPr>
        <w:pStyle w:val="af8"/>
        <w:ind w:firstLine="567"/>
        <w:jc w:val="both"/>
        <w:rPr>
          <w:rFonts w:ascii="Times New Roman" w:hAnsi="Times New Roman"/>
          <w:sz w:val="28"/>
          <w:szCs w:val="28"/>
        </w:rPr>
      </w:pPr>
      <w:r>
        <w:rPr>
          <w:rStyle w:val="af9"/>
          <w:rFonts w:ascii="Times New Roman" w:hAnsi="Times New Roman"/>
          <w:sz w:val="28"/>
          <w:szCs w:val="28"/>
        </w:rPr>
        <w:t>С</w:t>
      </w:r>
      <w:r>
        <w:rPr>
          <w:rStyle w:val="af9"/>
          <w:rFonts w:ascii="Times New Roman" w:hAnsi="Times New Roman"/>
          <w:sz w:val="28"/>
          <w:szCs w:val="28"/>
          <w:lang w:eastAsia="zh-CN" w:bidi="en-US"/>
        </w:rPr>
        <w:t xml:space="preserve">канирование выполнялось на персональном компьютере, который дополнительно генерирует ИК-спектр. </w:t>
      </w:r>
      <w:r>
        <w:rPr>
          <w:rStyle w:val="af9"/>
          <w:rFonts w:ascii="Times New Roman" w:hAnsi="Times New Roman"/>
          <w:sz w:val="28"/>
          <w:szCs w:val="28"/>
        </w:rPr>
        <w:t xml:space="preserve">Спектры были получены с разрешением </w:t>
      </w:r>
      <w:r>
        <w:rPr>
          <w:rFonts w:ascii="Times New Roman" w:eastAsia="Arial Unicode MS" w:hAnsi="Times New Roman"/>
          <w:bCs/>
          <w:color w:val="000000"/>
          <w:sz w:val="28"/>
          <w:szCs w:val="28"/>
          <w:lang w:bidi="en-US"/>
        </w:rPr>
        <w:t>2 см</w:t>
      </w:r>
      <w:r>
        <w:rPr>
          <w:rFonts w:ascii="Times New Roman" w:eastAsia="Arial Unicode MS" w:hAnsi="Times New Roman"/>
          <w:bCs/>
          <w:color w:val="000000"/>
          <w:sz w:val="28"/>
          <w:szCs w:val="28"/>
          <w:vertAlign w:val="superscript"/>
          <w:lang w:bidi="en-US"/>
        </w:rPr>
        <w:t>−1</w:t>
      </w:r>
      <w:r>
        <w:rPr>
          <w:rFonts w:ascii="Times New Roman" w:eastAsia="Arial Unicode MS" w:hAnsi="Times New Roman"/>
          <w:bCs/>
          <w:color w:val="000000"/>
          <w:sz w:val="28"/>
          <w:szCs w:val="28"/>
          <w:lang w:bidi="en-US"/>
        </w:rPr>
        <w:t xml:space="preserve"> и 50 сканов </w:t>
      </w:r>
      <w:r>
        <w:rPr>
          <w:rStyle w:val="af9"/>
          <w:rFonts w:ascii="Times New Roman" w:hAnsi="Times New Roman"/>
          <w:sz w:val="28"/>
          <w:szCs w:val="28"/>
        </w:rPr>
        <w:t>в диапазоне 4000-400 см</w:t>
      </w:r>
      <w:r>
        <w:rPr>
          <w:rStyle w:val="af9"/>
          <w:rFonts w:ascii="Times New Roman" w:hAnsi="Times New Roman"/>
          <w:sz w:val="28"/>
          <w:szCs w:val="28"/>
          <w:vertAlign w:val="superscript"/>
        </w:rPr>
        <w:t>-1</w:t>
      </w:r>
      <w:r>
        <w:rPr>
          <w:rStyle w:val="af9"/>
          <w:rFonts w:ascii="Times New Roman" w:hAnsi="Times New Roman"/>
          <w:sz w:val="28"/>
          <w:szCs w:val="28"/>
        </w:rPr>
        <w:t xml:space="preserve">. </w:t>
      </w:r>
      <w:r>
        <w:rPr>
          <w:rStyle w:val="af9"/>
          <w:rFonts w:ascii="Times New Roman" w:hAnsi="Times New Roman"/>
          <w:sz w:val="28"/>
          <w:szCs w:val="28"/>
          <w:lang w:eastAsia="zh-CN" w:bidi="en-US"/>
        </w:rPr>
        <w:t>Детектор отслеживает диапазон длин волн и передает сигнал на компьютер, который преобразует сигнал в спектр поглощения.</w:t>
      </w:r>
      <w:r>
        <w:rPr>
          <w:rStyle w:val="af9"/>
          <w:rFonts w:ascii="Times New Roman" w:hAnsi="Times New Roman"/>
          <w:sz w:val="28"/>
          <w:szCs w:val="28"/>
        </w:rPr>
        <w:t xml:space="preserve"> Полученные спектры интерпретировали.</w:t>
      </w:r>
    </w:p>
    <w:p w:rsidR="00E17FE1" w:rsidRDefault="00E17FE1">
      <w:pPr>
        <w:spacing w:after="0" w:line="240" w:lineRule="auto"/>
        <w:ind w:firstLine="567"/>
        <w:jc w:val="both"/>
        <w:rPr>
          <w:rFonts w:ascii="Times New Roman" w:hAnsi="Times New Roman" w:cs="Times New Roman"/>
          <w:b/>
          <w:sz w:val="28"/>
          <w:szCs w:val="28"/>
        </w:rPr>
      </w:pPr>
    </w:p>
    <w:p w:rsidR="00E17FE1" w:rsidRDefault="00BB58D7">
      <w:pPr>
        <w:spacing w:after="0" w:line="240" w:lineRule="auto"/>
        <w:ind w:firstLine="567"/>
        <w:jc w:val="both"/>
        <w:rPr>
          <w:rFonts w:ascii="Times New Roman" w:hAnsi="Times New Roman" w:cs="Times New Roman"/>
          <w:i/>
          <w:sz w:val="28"/>
          <w:szCs w:val="28"/>
        </w:rPr>
      </w:pPr>
      <w:r>
        <w:rPr>
          <w:rFonts w:ascii="Times New Roman" w:hAnsi="Times New Roman" w:cs="Times New Roman"/>
          <w:b/>
          <w:sz w:val="28"/>
          <w:szCs w:val="28"/>
        </w:rPr>
        <w:t>2.2.8.5 Рентгеноструктурный анализ (</w:t>
      </w:r>
      <w:r>
        <w:rPr>
          <w:rFonts w:ascii="Times New Roman" w:hAnsi="Times New Roman" w:cs="Times New Roman"/>
          <w:b/>
          <w:sz w:val="28"/>
          <w:szCs w:val="28"/>
          <w:lang w:val="en-US"/>
        </w:rPr>
        <w:t>XRD</w:t>
      </w:r>
      <w:r>
        <w:rPr>
          <w:rFonts w:ascii="Times New Roman" w:hAnsi="Times New Roman" w:cs="Times New Roman"/>
          <w:b/>
          <w:sz w:val="28"/>
          <w:szCs w:val="28"/>
        </w:rPr>
        <w:t>)</w:t>
      </w:r>
      <w:r>
        <w:rPr>
          <w:rFonts w:ascii="Times New Roman" w:hAnsi="Times New Roman" w:cs="Times New Roman"/>
          <w:i/>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Рентгеноструктурный анализ выполняли на дифрактометре </w:t>
      </w:r>
      <w:r>
        <w:rPr>
          <w:rFonts w:ascii="Times New Roman" w:hAnsi="Times New Roman" w:cs="Times New Roman"/>
          <w:sz w:val="28"/>
          <w:szCs w:val="28"/>
          <w:lang w:val="en-US"/>
        </w:rPr>
        <w:t>PANalytical</w:t>
      </w:r>
      <w:r>
        <w:rPr>
          <w:rFonts w:ascii="Times New Roman" w:hAnsi="Times New Roman" w:cs="Times New Roman"/>
          <w:sz w:val="28"/>
          <w:szCs w:val="28"/>
        </w:rPr>
        <w:t xml:space="preserve"> </w:t>
      </w:r>
      <w:r>
        <w:rPr>
          <w:rFonts w:ascii="Times New Roman" w:hAnsi="Times New Roman" w:cs="Times New Roman"/>
          <w:sz w:val="28"/>
          <w:szCs w:val="28"/>
          <w:lang w:val="en-US"/>
        </w:rPr>
        <w:t>Empyrean</w:t>
      </w:r>
      <w:r>
        <w:rPr>
          <w:rFonts w:ascii="Times New Roman" w:hAnsi="Times New Roman" w:cs="Times New Roman"/>
          <w:sz w:val="28"/>
          <w:szCs w:val="28"/>
        </w:rPr>
        <w:t xml:space="preserve"> (</w:t>
      </w:r>
      <w:r>
        <w:rPr>
          <w:rFonts w:ascii="Times New Roman" w:hAnsi="Times New Roman" w:cs="Times New Roman"/>
          <w:sz w:val="28"/>
          <w:szCs w:val="28"/>
          <w:lang w:val="en-US"/>
        </w:rPr>
        <w:t>Malvern</w:t>
      </w:r>
      <w:r>
        <w:rPr>
          <w:rFonts w:ascii="Times New Roman" w:hAnsi="Times New Roman" w:cs="Times New Roman"/>
          <w:sz w:val="28"/>
          <w:szCs w:val="28"/>
        </w:rPr>
        <w:t xml:space="preserve"> </w:t>
      </w:r>
      <w:r>
        <w:rPr>
          <w:rFonts w:ascii="Times New Roman" w:hAnsi="Times New Roman" w:cs="Times New Roman"/>
          <w:sz w:val="28"/>
          <w:szCs w:val="28"/>
          <w:lang w:val="en-US"/>
        </w:rPr>
        <w:t>Panalytical</w:t>
      </w:r>
      <w:r>
        <w:rPr>
          <w:rFonts w:ascii="Times New Roman" w:hAnsi="Times New Roman" w:cs="Times New Roman"/>
          <w:sz w:val="28"/>
          <w:szCs w:val="28"/>
        </w:rPr>
        <w:t xml:space="preserve">, Нидерланды) с </w:t>
      </w:r>
      <w:r>
        <w:rPr>
          <w:rFonts w:ascii="Times New Roman" w:hAnsi="Times New Roman" w:cs="Times New Roman"/>
          <w:sz w:val="28"/>
          <w:szCs w:val="28"/>
          <w:lang w:val="en-US"/>
        </w:rPr>
        <w:t>CuKα</w:t>
      </w:r>
      <w:r>
        <w:rPr>
          <w:rFonts w:ascii="Times New Roman" w:hAnsi="Times New Roman" w:cs="Times New Roman"/>
          <w:sz w:val="28"/>
          <w:szCs w:val="28"/>
        </w:rPr>
        <w:t>-излучением (</w:t>
      </w:r>
      <w:r>
        <w:rPr>
          <w:rFonts w:ascii="Times New Roman" w:hAnsi="Times New Roman" w:cs="Times New Roman"/>
          <w:sz w:val="28"/>
          <w:szCs w:val="28"/>
          <w:lang w:val="en-US"/>
        </w:rPr>
        <w:t>λ</w:t>
      </w:r>
      <w:r>
        <w:rPr>
          <w:rFonts w:ascii="Times New Roman" w:hAnsi="Times New Roman" w:cs="Times New Roman"/>
          <w:sz w:val="28"/>
          <w:szCs w:val="28"/>
        </w:rPr>
        <w:t xml:space="preserve"> = 1,5406 Å). Образцы высушивали и аккуратно фиксировали на держателе для получения ровной поверхности. Сканирование проводили в интервале 2</w:t>
      </w:r>
      <w:r>
        <w:rPr>
          <w:rFonts w:ascii="Times New Roman" w:hAnsi="Times New Roman" w:cs="Times New Roman"/>
          <w:sz w:val="28"/>
          <w:szCs w:val="28"/>
          <w:lang w:val="en-US"/>
        </w:rPr>
        <w:t>θ</w:t>
      </w:r>
      <w:r>
        <w:rPr>
          <w:rFonts w:ascii="Times New Roman" w:hAnsi="Times New Roman" w:cs="Times New Roman"/>
          <w:sz w:val="28"/>
          <w:szCs w:val="28"/>
        </w:rPr>
        <w:t xml:space="preserve"> = 5–80°, шаг 0,02°. Обработку данных осуществляли с помощью </w:t>
      </w:r>
      <w:r>
        <w:rPr>
          <w:rFonts w:ascii="Times New Roman" w:hAnsi="Times New Roman" w:cs="Times New Roman"/>
          <w:sz w:val="28"/>
          <w:szCs w:val="28"/>
          <w:lang w:val="en-US"/>
        </w:rPr>
        <w:t>HighScore</w:t>
      </w:r>
      <w:r>
        <w:rPr>
          <w:rFonts w:ascii="Times New Roman" w:hAnsi="Times New Roman" w:cs="Times New Roman"/>
          <w:sz w:val="28"/>
          <w:szCs w:val="28"/>
        </w:rPr>
        <w:t xml:space="preserve"> </w:t>
      </w:r>
      <w:r>
        <w:rPr>
          <w:rFonts w:ascii="Times New Roman" w:hAnsi="Times New Roman" w:cs="Times New Roman"/>
          <w:sz w:val="28"/>
          <w:szCs w:val="28"/>
          <w:lang w:val="en-US"/>
        </w:rPr>
        <w:t>Plus</w:t>
      </w:r>
      <w:r>
        <w:rPr>
          <w:rFonts w:ascii="Times New Roman" w:hAnsi="Times New Roman" w:cs="Times New Roman"/>
          <w:sz w:val="28"/>
          <w:szCs w:val="28"/>
        </w:rPr>
        <w:t xml:space="preserve"> (</w:t>
      </w:r>
      <w:r>
        <w:rPr>
          <w:rFonts w:ascii="Times New Roman" w:hAnsi="Times New Roman" w:cs="Times New Roman"/>
          <w:sz w:val="28"/>
          <w:szCs w:val="28"/>
          <w:lang w:val="en-US"/>
        </w:rPr>
        <w:t>ICDD</w:t>
      </w:r>
      <w:r>
        <w:rPr>
          <w:rFonts w:ascii="Times New Roman" w:hAnsi="Times New Roman" w:cs="Times New Roman"/>
          <w:sz w:val="28"/>
          <w:szCs w:val="28"/>
        </w:rPr>
        <w:t xml:space="preserve"> </w:t>
      </w:r>
      <w:r>
        <w:rPr>
          <w:rFonts w:ascii="Times New Roman" w:hAnsi="Times New Roman" w:cs="Times New Roman"/>
          <w:sz w:val="28"/>
          <w:szCs w:val="28"/>
          <w:lang w:val="en-US"/>
        </w:rPr>
        <w:t>PDF</w:t>
      </w:r>
      <w:r>
        <w:rPr>
          <w:rFonts w:ascii="Times New Roman" w:hAnsi="Times New Roman" w:cs="Times New Roman"/>
          <w:sz w:val="28"/>
          <w:szCs w:val="28"/>
        </w:rPr>
        <w:t>-4+).</w:t>
      </w:r>
    </w:p>
    <w:p w:rsidR="00E17FE1" w:rsidRDefault="00E17FE1">
      <w:pPr>
        <w:spacing w:after="0" w:line="240" w:lineRule="auto"/>
        <w:ind w:firstLine="567"/>
        <w:jc w:val="both"/>
        <w:rPr>
          <w:rFonts w:ascii="Times New Roman" w:hAnsi="Times New Roman" w:cs="Times New Roman"/>
          <w:b/>
          <w:sz w:val="28"/>
          <w:szCs w:val="28"/>
        </w:rPr>
      </w:pPr>
    </w:p>
    <w:p w:rsidR="00E17FE1" w:rsidRDefault="00BB58D7">
      <w:pPr>
        <w:spacing w:after="0" w:line="240" w:lineRule="auto"/>
        <w:ind w:firstLine="567"/>
        <w:jc w:val="both"/>
        <w:rPr>
          <w:rFonts w:ascii="Times New Roman" w:hAnsi="Times New Roman" w:cs="Times New Roman"/>
          <w:i/>
          <w:sz w:val="28"/>
          <w:szCs w:val="28"/>
        </w:rPr>
      </w:pPr>
      <w:r>
        <w:rPr>
          <w:rFonts w:ascii="Times New Roman" w:hAnsi="Times New Roman" w:cs="Times New Roman"/>
          <w:b/>
          <w:sz w:val="28"/>
          <w:szCs w:val="28"/>
        </w:rPr>
        <w:t>2.2.8.6 Рентгеновская фотоэлектронная спектроскопия (</w:t>
      </w:r>
      <w:r>
        <w:rPr>
          <w:rFonts w:ascii="Times New Roman" w:hAnsi="Times New Roman" w:cs="Times New Roman"/>
          <w:b/>
          <w:sz w:val="28"/>
          <w:szCs w:val="28"/>
          <w:lang w:val="en-US"/>
        </w:rPr>
        <w:t>XPS</w:t>
      </w:r>
      <w:r>
        <w:rPr>
          <w:rFonts w:ascii="Times New Roman" w:hAnsi="Times New Roman" w:cs="Times New Roman"/>
          <w:b/>
          <w:sz w:val="28"/>
          <w:szCs w:val="28"/>
        </w:rPr>
        <w:t>)</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Анализ методом рентгеновской фотоэлектронной спектроскопии (РФЭС) композита БЦ/ГАП/MXene проводился с использованием полусферического анализатора энергии электронов PREVAC EA15, оснащенного двумерным многоканальным пластинчатым детектором и источником рентгеновского излучения Al Kα (1486,6 эВ, двуханодный PREVAC XR-40B), в условиях сверхвысокого вакуума 1,2 × 10</w:t>
      </w:r>
      <w:r>
        <w:rPr>
          <w:rFonts w:ascii="Cambria Math" w:hAnsi="Cambria Math" w:cs="Cambria Math"/>
          <w:sz w:val="28"/>
          <w:szCs w:val="28"/>
        </w:rPr>
        <w:t>⁻⁹</w:t>
      </w:r>
      <w:r>
        <w:rPr>
          <w:rFonts w:ascii="Times New Roman" w:hAnsi="Times New Roman" w:cs="Times New Roman"/>
          <w:sz w:val="28"/>
          <w:szCs w:val="28"/>
        </w:rPr>
        <w:t xml:space="preserve"> Па. Обзорные спектры были получены при энергии пропускания 200 эВ и шаге 0,9 эВ, а спектры высокого разрешения — при энергии пропускания 100 эВ и шаге 0,05 эВ для повышения детализации спектра. Калибровка энергии связи проводилась по примесному углероду. </w:t>
      </w:r>
      <w:proofErr w:type="gramStart"/>
      <w:r>
        <w:rPr>
          <w:rFonts w:ascii="Times New Roman" w:hAnsi="Times New Roman" w:cs="Times New Roman"/>
          <w:sz w:val="28"/>
          <w:szCs w:val="28"/>
        </w:rPr>
        <w:t>Спектральная</w:t>
      </w:r>
      <w:proofErr w:type="gramEnd"/>
      <w:r>
        <w:rPr>
          <w:rFonts w:ascii="Times New Roman" w:hAnsi="Times New Roman" w:cs="Times New Roman"/>
          <w:sz w:val="28"/>
          <w:szCs w:val="28"/>
        </w:rPr>
        <w:t xml:space="preserve"> деконволюция проводилась с использованием программного обеспечения CASA XPS®, используя смешанную форму линии Гаусса (70%)/Лоренца (30%) для </w:t>
      </w:r>
      <w:r>
        <w:rPr>
          <w:rFonts w:ascii="Times New Roman" w:hAnsi="Times New Roman" w:cs="Times New Roman"/>
          <w:sz w:val="28"/>
          <w:szCs w:val="28"/>
        </w:rPr>
        <w:lastRenderedPageBreak/>
        <w:t>подгонки пиков и поправку на фон Ширли для точного определения химических состояний внутри композита.</w:t>
      </w:r>
    </w:p>
    <w:p w:rsidR="00E17FE1" w:rsidRDefault="00E17FE1">
      <w:pPr>
        <w:spacing w:after="0" w:line="240" w:lineRule="auto"/>
        <w:ind w:firstLine="567"/>
        <w:jc w:val="both"/>
        <w:outlineLvl w:val="2"/>
        <w:rPr>
          <w:rFonts w:ascii="Times New Roman" w:hAnsi="Times New Roman" w:cs="Times New Roman"/>
          <w:b/>
          <w:sz w:val="28"/>
          <w:szCs w:val="28"/>
        </w:rPr>
      </w:pPr>
    </w:p>
    <w:p w:rsidR="00E17FE1" w:rsidRDefault="00BB58D7">
      <w:pPr>
        <w:spacing w:after="0" w:line="240" w:lineRule="auto"/>
        <w:ind w:firstLine="567"/>
        <w:jc w:val="both"/>
        <w:outlineLvl w:val="2"/>
        <w:rPr>
          <w:rFonts w:ascii="Times New Roman" w:hAnsi="Times New Roman" w:cs="Times New Roman"/>
          <w:b/>
          <w:sz w:val="28"/>
          <w:szCs w:val="28"/>
        </w:rPr>
      </w:pPr>
      <w:r>
        <w:rPr>
          <w:rFonts w:ascii="Times New Roman" w:hAnsi="Times New Roman" w:cs="Times New Roman"/>
          <w:b/>
          <w:sz w:val="28"/>
          <w:szCs w:val="28"/>
        </w:rPr>
        <w:t>2.2.9 Определение физических свойств композитов</w:t>
      </w:r>
    </w:p>
    <w:p w:rsidR="00E17FE1" w:rsidRDefault="00BB58D7">
      <w:pPr>
        <w:spacing w:after="0" w:line="240" w:lineRule="auto"/>
        <w:ind w:firstLine="567"/>
        <w:jc w:val="both"/>
        <w:outlineLvl w:val="2"/>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Определение механических свойств</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Механические характеристики биокомпозитов определяли методом одноосного растяжения. Испытания проводили на универсальной испытательной машине Instron 3345 (Instron, США) при скорости деформации 5 мм/мин согласно стандарту ISO 527-1:2019. Перед испытанием образцы (10 × 50 мм, толщина ≈ 1 мм) кондиционировали при 23 ± 2 °C и относительной влажности 50 ± 5 % в течение 48 ч. По полученным диаграммам «напряжение–деформация» рассчитывали:</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модуль Юнга (E, МПа) — как наклон линейного участка кривой;</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прочность на растяжение</w:t>
      </w:r>
      <w:proofErr w:type="gramStart"/>
      <w:r>
        <w:rPr>
          <w:rFonts w:ascii="Times New Roman" w:eastAsia="Times New Roman" w:hAnsi="Times New Roman" w:cs="Times New Roman"/>
          <w:sz w:val="28"/>
          <w:szCs w:val="28"/>
        </w:rPr>
        <w:t xml:space="preserve"> (σᵤ, </w:t>
      </w:r>
      <w:proofErr w:type="gramEnd"/>
      <w:r>
        <w:rPr>
          <w:rFonts w:ascii="Times New Roman" w:eastAsia="Times New Roman" w:hAnsi="Times New Roman" w:cs="Times New Roman"/>
          <w:sz w:val="28"/>
          <w:szCs w:val="28"/>
        </w:rPr>
        <w:t>МПа) — как максимальное напряжение перед разрывом.</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Каждое измерение проводили в трёх повторностях. Средние значения и стандартные отклонения рассчитывали с использованием программного обеспечения OriginPro 2023b.</w:t>
      </w:r>
    </w:p>
    <w:p w:rsidR="00E17FE1" w:rsidRDefault="00BB58D7">
      <w:pPr>
        <w:spacing w:after="0" w:line="240" w:lineRule="auto"/>
        <w:ind w:firstLine="567"/>
        <w:rPr>
          <w:rFonts w:ascii="Times New Roman" w:hAnsi="Times New Roman" w:cs="Times New Roman"/>
          <w:i/>
          <w:sz w:val="28"/>
          <w:szCs w:val="28"/>
        </w:rPr>
      </w:pPr>
      <w:r>
        <w:rPr>
          <w:rFonts w:ascii="Times New Roman" w:hAnsi="Times New Roman" w:cs="Times New Roman"/>
          <w:i/>
          <w:sz w:val="28"/>
          <w:szCs w:val="28"/>
        </w:rPr>
        <w:t xml:space="preserve">Определение гидрофильности композитов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Гидрофильность определяли по статическому углу контакта при температуре 25 °C. Измерения проводили на гониометре Contact Angle Goniometer (Ossila) методом падающей капли. На поверхность образцов наносили каплю дистиллированной воды объёмом 200 мкл и фиксировали угол контакта программным обеспечением прибора. Для каждого образца выполняли три измерения. </w:t>
      </w:r>
      <w:proofErr w:type="gramStart"/>
      <w:r>
        <w:rPr>
          <w:rFonts w:ascii="Times New Roman" w:hAnsi="Times New Roman" w:cs="Times New Roman"/>
          <w:sz w:val="28"/>
          <w:szCs w:val="28"/>
        </w:rPr>
        <w:t>Материал считался гидрофильным при значении угла контакта &lt; 90°; значения &lt; 30° соответствовали высокой гидрофильности, 30–70° — умеренной, а 70–90° — слабой гидрофильности.</w:t>
      </w:r>
      <w:proofErr w:type="gramEnd"/>
    </w:p>
    <w:p w:rsidR="00E17FE1" w:rsidRDefault="00BB58D7">
      <w:pPr>
        <w:spacing w:after="0" w:line="240" w:lineRule="auto"/>
        <w:ind w:firstLine="567"/>
        <w:jc w:val="both"/>
        <w:rPr>
          <w:rFonts w:ascii="Times New Roman" w:eastAsia="Arial Unicode MS" w:hAnsi="Times New Roman" w:cs="Times New Roman"/>
          <w:i/>
          <w:color w:val="000000"/>
          <w:sz w:val="28"/>
          <w:szCs w:val="28"/>
          <w:lang w:eastAsia="zh-CN" w:bidi="en-US"/>
        </w:rPr>
      </w:pPr>
      <w:r>
        <w:rPr>
          <w:rFonts w:ascii="Times New Roman" w:eastAsia="Arial Unicode MS" w:hAnsi="Times New Roman" w:cs="Times New Roman"/>
          <w:i/>
          <w:color w:val="000000"/>
          <w:sz w:val="28"/>
          <w:szCs w:val="28"/>
          <w:lang w:eastAsia="zh-CN" w:bidi="en-US"/>
        </w:rPr>
        <w:t>Изучение водопоглощающей способности пленок</w:t>
      </w:r>
    </w:p>
    <w:p w:rsidR="00E17FE1" w:rsidRDefault="00BB58D7">
      <w:pPr>
        <w:spacing w:after="0" w:line="240" w:lineRule="auto"/>
        <w:ind w:firstLine="567"/>
        <w:jc w:val="both"/>
        <w:rPr>
          <w:rFonts w:ascii="Times New Roman" w:eastAsia="Arial Unicode MS" w:hAnsi="Times New Roman" w:cs="Times New Roman"/>
          <w:color w:val="000000"/>
          <w:sz w:val="28"/>
          <w:szCs w:val="28"/>
          <w:lang w:eastAsia="zh-CN" w:bidi="en-US"/>
        </w:rPr>
      </w:pPr>
      <w:r>
        <w:rPr>
          <w:rFonts w:ascii="Times New Roman" w:eastAsia="Arial Unicode MS" w:hAnsi="Times New Roman" w:cs="Times New Roman"/>
          <w:color w:val="000000"/>
          <w:sz w:val="28"/>
          <w:szCs w:val="28"/>
          <w:lang w:eastAsia="zh-CN" w:bidi="en-US"/>
        </w:rPr>
        <w:t xml:space="preserve">Образцы разрезали на кусочки размером 2 × 2 см, сушили до постоянного веса. Высушенные мембраны погружали в воду (или раневой экссудат) и выдерживали при комнатной температуре. Через определенные промежутки времени (30-45 минут) излишки воды на поверхности целлюлозной мембраны удаляли с помощью фильтровальной бумаги и измеряли вес образца после проведенного эксперимента. Водопоглощающую способность пленок определяли гравиметрическим методом по разности веса образцов сухой и влажной пленки. Взвешивание производили на аналитических весах с точностью до 0,0001 г. </w:t>
      </w:r>
    </w:p>
    <w:p w:rsidR="00E17FE1" w:rsidRDefault="00BB58D7">
      <w:pPr>
        <w:spacing w:after="0" w:line="240" w:lineRule="auto"/>
        <w:ind w:firstLine="567"/>
        <w:jc w:val="both"/>
        <w:outlineLvl w:val="2"/>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Определение пористости</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Пористость</w:t>
      </w:r>
      <w:proofErr w:type="gramStart"/>
      <w:r>
        <w:rPr>
          <w:rFonts w:ascii="Times New Roman" w:eastAsia="Times New Roman" w:hAnsi="Times New Roman" w:cs="Times New Roman"/>
          <w:sz w:val="28"/>
          <w:szCs w:val="28"/>
        </w:rPr>
        <w:t xml:space="preserve"> (%) </w:t>
      </w:r>
      <w:proofErr w:type="gramEnd"/>
      <w:r>
        <w:rPr>
          <w:rFonts w:ascii="Times New Roman" w:eastAsia="Times New Roman" w:hAnsi="Times New Roman" w:cs="Times New Roman"/>
          <w:sz w:val="28"/>
          <w:szCs w:val="28"/>
        </w:rPr>
        <w:t>определяли гравиметрическим методом с использованием этанола в качестве несмачивающего агента.</w:t>
      </w:r>
      <w:r>
        <w:rPr>
          <w:rFonts w:ascii="Times New Roman" w:eastAsia="Times New Roman" w:hAnsi="Times New Roman" w:cs="Times New Roman"/>
          <w:sz w:val="28"/>
          <w:szCs w:val="28"/>
        </w:rPr>
        <w:br/>
        <w:t>Образцы предварительно подвергали лиофильной сушке для сохранения их пористой структуры и затем высушивали до постоянной массы (m</w:t>
      </w:r>
      <w:r>
        <w:rPr>
          <w:rFonts w:ascii="Cambria Math" w:eastAsia="Times New Roman" w:hAnsi="Cambria Math" w:cs="Cambria Math"/>
          <w:sz w:val="28"/>
          <w:szCs w:val="28"/>
        </w:rPr>
        <w:t>₁</w:t>
      </w:r>
      <w:r>
        <w:rPr>
          <w:rFonts w:ascii="Times New Roman" w:eastAsia="Times New Roman" w:hAnsi="Times New Roman" w:cs="Times New Roman"/>
          <w:sz w:val="28"/>
          <w:szCs w:val="28"/>
        </w:rPr>
        <w:t>). После этого образцы погружали в этанол на 24 ч и вновь взвешивали (m</w:t>
      </w:r>
      <w:r>
        <w:rPr>
          <w:rFonts w:ascii="Cambria Math" w:eastAsia="Times New Roman" w:hAnsi="Cambria Math" w:cs="Cambria Math"/>
          <w:sz w:val="28"/>
          <w:szCs w:val="28"/>
        </w:rPr>
        <w:t>₂</w:t>
      </w:r>
      <w:r>
        <w:rPr>
          <w:rFonts w:ascii="Times New Roman" w:eastAsia="Times New Roman" w:hAnsi="Times New Roman" w:cs="Times New Roman"/>
          <w:sz w:val="28"/>
          <w:szCs w:val="28"/>
        </w:rPr>
        <w:t>). Пористость (P, %) рассчитывали по формуле:</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P=m2−m1/ρ этанола</w:t>
      </w:r>
      <w:r>
        <w:rPr>
          <w:rFonts w:ascii="Cambria Math" w:eastAsia="Times New Roman" w:hAnsi="Cambria Math" w:cs="Cambria Math"/>
          <w:sz w:val="28"/>
          <w:szCs w:val="28"/>
        </w:rPr>
        <w:t>⋅</w:t>
      </w:r>
      <w:r>
        <w:rPr>
          <w:rFonts w:ascii="Times New Roman" w:eastAsia="Times New Roman" w:hAnsi="Times New Roman" w:cs="Times New Roman"/>
          <w:sz w:val="28"/>
          <w:szCs w:val="28"/>
        </w:rPr>
        <w:t>V×100</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где V — объём образца, ρ — плотность этанола.</w:t>
      </w:r>
    </w:p>
    <w:p w:rsidR="00E17FE1" w:rsidRDefault="00BB58D7">
      <w:pPr>
        <w:spacing w:after="0" w:line="240" w:lineRule="auto"/>
        <w:ind w:firstLine="567"/>
        <w:jc w:val="both"/>
        <w:outlineLvl w:val="2"/>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Электропроводность</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Электропроводность (σ, S/cm) измеряли методом четырёхзондового контакта с использованием установки </w:t>
      </w:r>
      <w:r>
        <w:rPr>
          <w:rFonts w:ascii="Times New Roman" w:eastAsia="Times New Roman" w:hAnsi="Times New Roman" w:cs="Times New Roman"/>
          <w:bCs/>
          <w:sz w:val="28"/>
          <w:szCs w:val="28"/>
        </w:rPr>
        <w:t>Keithley 2400 SourceMeter</w:t>
      </w:r>
      <w:r>
        <w:rPr>
          <w:rFonts w:ascii="Times New Roman" w:eastAsia="Times New Roman" w:hAnsi="Times New Roman" w:cs="Times New Roman"/>
          <w:sz w:val="28"/>
          <w:szCs w:val="28"/>
        </w:rPr>
        <w:t>. Образцы вырезали в виде квадратов 10 × 10 мм и измеряли при 25 °C и влажности 50 %. Для калибровки применялись стандартные серебряные пасты для обеспечения надёжного контакта. Электропроводность рассчитывали по формуле:</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σ=I/V</w:t>
      </w:r>
      <w:r>
        <w:rPr>
          <w:rFonts w:ascii="Cambria Math" w:eastAsia="Times New Roman" w:hAnsi="Cambria Math" w:cs="Cambria Math"/>
          <w:sz w:val="28"/>
          <w:szCs w:val="28"/>
        </w:rPr>
        <w:t>⋅</w:t>
      </w:r>
      <w:r>
        <w:rPr>
          <w:rFonts w:ascii="Times New Roman" w:eastAsia="Times New Roman" w:hAnsi="Times New Roman" w:cs="Times New Roman"/>
          <w:sz w:val="28"/>
          <w:szCs w:val="28"/>
        </w:rPr>
        <w:t>l/A</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где I — ток, V — падение напряжения, l — расстояние между зондами, A — площадь поперечного сечения образца.</w:t>
      </w:r>
    </w:p>
    <w:p w:rsidR="00E17FE1" w:rsidRDefault="00BB58D7">
      <w:pPr>
        <w:spacing w:after="0" w:line="240" w:lineRule="auto"/>
        <w:ind w:firstLine="567"/>
        <w:jc w:val="both"/>
        <w:outlineLvl w:val="2"/>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Фототермическая активность</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Фототермическую эффективность исследовали с использованием </w:t>
      </w:r>
      <w:proofErr w:type="gramStart"/>
      <w:r>
        <w:rPr>
          <w:rFonts w:ascii="Times New Roman" w:eastAsia="Times New Roman" w:hAnsi="Times New Roman" w:cs="Times New Roman"/>
          <w:bCs/>
          <w:sz w:val="28"/>
          <w:szCs w:val="28"/>
        </w:rPr>
        <w:t>ИК-лазера</w:t>
      </w:r>
      <w:proofErr w:type="gramEnd"/>
      <w:r>
        <w:rPr>
          <w:rFonts w:ascii="Times New Roman" w:eastAsia="Times New Roman" w:hAnsi="Times New Roman" w:cs="Times New Roman"/>
          <w:bCs/>
          <w:sz w:val="28"/>
          <w:szCs w:val="28"/>
        </w:rPr>
        <w:t xml:space="preserve"> 808 нм</w:t>
      </w:r>
      <w:r>
        <w:rPr>
          <w:rFonts w:ascii="Times New Roman" w:eastAsia="Times New Roman" w:hAnsi="Times New Roman" w:cs="Times New Roman"/>
          <w:sz w:val="28"/>
          <w:szCs w:val="28"/>
        </w:rPr>
        <w:t xml:space="preserve"> (интенсивность 1 Вт/см²). Повышение температуры поверхности измеряли инфракрасной камерой </w:t>
      </w:r>
      <w:r>
        <w:rPr>
          <w:rFonts w:ascii="Times New Roman" w:eastAsia="Times New Roman" w:hAnsi="Times New Roman" w:cs="Times New Roman"/>
          <w:bCs/>
          <w:sz w:val="28"/>
          <w:szCs w:val="28"/>
        </w:rPr>
        <w:t>FLIR E6 (FLIR Systems, США)</w:t>
      </w:r>
      <w:r>
        <w:rPr>
          <w:rFonts w:ascii="Times New Roman" w:eastAsia="Times New Roman" w:hAnsi="Times New Roman" w:cs="Times New Roman"/>
          <w:sz w:val="28"/>
          <w:szCs w:val="28"/>
        </w:rPr>
        <w:t xml:space="preserve"> в режиме непрерывного облучения в течение 10 минут. Температурный отклик (ΔT) определяли как разницу между максимальной и исходной температурами поверхности. Параллельно регистрировали тепловые карты для визуализации распределения нагрева.</w:t>
      </w:r>
    </w:p>
    <w:p w:rsidR="00E17FE1" w:rsidRDefault="00E17FE1">
      <w:pPr>
        <w:spacing w:after="0" w:line="240" w:lineRule="auto"/>
        <w:rPr>
          <w:rFonts w:ascii="Times New Roman" w:hAnsi="Times New Roman" w:cs="Times New Roman"/>
          <w:sz w:val="28"/>
          <w:szCs w:val="28"/>
        </w:rPr>
      </w:pPr>
    </w:p>
    <w:p w:rsidR="00E17FE1" w:rsidRDefault="00BB58D7">
      <w:pPr>
        <w:spacing w:after="0" w:line="240" w:lineRule="auto"/>
        <w:ind w:firstLine="567"/>
        <w:jc w:val="both"/>
        <w:outlineLvl w:val="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2.2.10 Методы стерилизации</w:t>
      </w:r>
      <w:r w:rsidR="00025A8F">
        <w:rPr>
          <w:rFonts w:ascii="Times New Roman" w:eastAsia="Times New Roman" w:hAnsi="Times New Roman" w:cs="Times New Roman"/>
          <w:b/>
          <w:bCs/>
          <w:sz w:val="28"/>
          <w:szCs w:val="28"/>
        </w:rPr>
        <w:t xml:space="preserve"> композитного материала</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Перед стерилизацией образцы биокомпозита (плёнки толщиной ≈ 1 мм) были кондиционированы при 20 °C и влажности 50 % в течение 48 часов для </w:t>
      </w:r>
      <w:r w:rsidRPr="005C340A">
        <w:rPr>
          <w:rFonts w:ascii="Times New Roman" w:eastAsia="Times New Roman" w:hAnsi="Times New Roman" w:cs="Times New Roman"/>
          <w:sz w:val="28"/>
          <w:szCs w:val="28"/>
        </w:rPr>
        <w:t>выравнивания исходного влагосодержания и стабилизации структуры материала [</w:t>
      </w:r>
      <w:r w:rsidRPr="005C340A">
        <w:rPr>
          <w:rFonts w:ascii="Times New Roman" w:eastAsia="Times New Roman" w:hAnsi="Times New Roman"/>
          <w:sz w:val="28"/>
          <w:szCs w:val="28"/>
        </w:rPr>
        <w:t>155</w:t>
      </w:r>
      <w:r w:rsidRPr="005C340A">
        <w:rPr>
          <w:rFonts w:ascii="Times New Roman" w:eastAsia="Times New Roman" w:hAnsi="Times New Roman" w:cs="Times New Roman"/>
          <w:sz w:val="28"/>
          <w:szCs w:val="28"/>
        </w:rPr>
        <w:t>]. Далее использовали 6 методов стерилизации, описанных ниже:</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Cs/>
          <w:i/>
          <w:sz w:val="28"/>
          <w:szCs w:val="28"/>
        </w:rPr>
        <w:t>Автоклавирование.</w:t>
      </w:r>
      <w:r>
        <w:rPr>
          <w:rFonts w:ascii="Times New Roman" w:eastAsia="Times New Roman" w:hAnsi="Times New Roman" w:cs="Times New Roman"/>
          <w:sz w:val="28"/>
          <w:szCs w:val="28"/>
        </w:rPr>
        <w:t xml:space="preserve"> Образцы помещали в герметичные пакеты из пергаментной бумаги и обрабатывали в автоклаве при 121 °C и давлении 1 </w:t>
      </w:r>
      <w:proofErr w:type="gramStart"/>
      <w:r>
        <w:rPr>
          <w:rFonts w:ascii="Times New Roman" w:eastAsia="Times New Roman" w:hAnsi="Times New Roman" w:cs="Times New Roman"/>
          <w:sz w:val="28"/>
          <w:szCs w:val="28"/>
        </w:rPr>
        <w:t>атм</w:t>
      </w:r>
      <w:proofErr w:type="gramEnd"/>
      <w:r>
        <w:rPr>
          <w:rFonts w:ascii="Times New Roman" w:eastAsia="Times New Roman" w:hAnsi="Times New Roman" w:cs="Times New Roman"/>
          <w:sz w:val="28"/>
          <w:szCs w:val="28"/>
        </w:rPr>
        <w:t xml:space="preserve"> в течение 20 минут в соответствии со стандартом ISO </w:t>
      </w:r>
      <w:r w:rsidRPr="005C340A">
        <w:rPr>
          <w:rFonts w:ascii="Times New Roman" w:eastAsia="Times New Roman" w:hAnsi="Times New Roman" w:cs="Times New Roman"/>
          <w:sz w:val="28"/>
          <w:szCs w:val="28"/>
        </w:rPr>
        <w:t>17665</w:t>
      </w:r>
      <w:r w:rsidR="005C340A" w:rsidRPr="005C340A">
        <w:rPr>
          <w:rFonts w:ascii="Times New Roman" w:eastAsia="Times New Roman" w:hAnsi="Times New Roman" w:cs="Times New Roman"/>
          <w:sz w:val="28"/>
          <w:szCs w:val="28"/>
        </w:rPr>
        <w:t>:2024</w:t>
      </w:r>
      <w:r w:rsidRPr="005C340A">
        <w:rPr>
          <w:rFonts w:ascii="Times New Roman" w:eastAsia="Times New Roman" w:hAnsi="Times New Roman" w:cs="Times New Roman"/>
          <w:sz w:val="28"/>
          <w:szCs w:val="28"/>
        </w:rPr>
        <w:t xml:space="preserve"> [</w:t>
      </w:r>
      <w:r w:rsidRPr="005C340A">
        <w:rPr>
          <w:rFonts w:ascii="Times New Roman" w:eastAsia="Times New Roman" w:hAnsi="Times New Roman"/>
          <w:sz w:val="28"/>
          <w:szCs w:val="28"/>
        </w:rPr>
        <w:t>156</w:t>
      </w:r>
      <w:r w:rsidRPr="005C340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После завершения цикла они высушивались при комнатной температуре до удаления конденсата.</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bCs/>
          <w:i/>
          <w:sz w:val="28"/>
          <w:szCs w:val="28"/>
        </w:rPr>
        <w:t>Стерилизация этиленоксидом (EtO).</w:t>
      </w:r>
      <w:r>
        <w:rPr>
          <w:rFonts w:ascii="Times New Roman" w:eastAsia="Times New Roman" w:hAnsi="Times New Roman" w:cs="Times New Roman"/>
          <w:sz w:val="28"/>
          <w:szCs w:val="28"/>
        </w:rPr>
        <w:t xml:space="preserve"> Образцы помещались в герметичную камеру стерилизатора Steri-VAC 3M. Газ подавался при концентрации 450 мг/л, температуре 37 °C и влажности 60 % в течение 4 часов, затем проводилась аэрация при 40 °C в течение 12 часов для удаления остаточного EtO, </w:t>
      </w:r>
      <w:r w:rsidRPr="005C340A">
        <w:rPr>
          <w:rFonts w:ascii="Times New Roman" w:eastAsia="Times New Roman" w:hAnsi="Times New Roman" w:cs="Times New Roman"/>
          <w:sz w:val="28"/>
          <w:szCs w:val="28"/>
        </w:rPr>
        <w:t>согласно ISO 11135</w:t>
      </w:r>
      <w:r w:rsidR="005C340A" w:rsidRPr="005C340A">
        <w:rPr>
          <w:rFonts w:ascii="Times New Roman" w:eastAsia="Times New Roman" w:hAnsi="Times New Roman" w:cs="Times New Roman"/>
          <w:sz w:val="28"/>
          <w:szCs w:val="28"/>
        </w:rPr>
        <w:t>:2024</w:t>
      </w:r>
      <w:r w:rsidRPr="005C340A">
        <w:rPr>
          <w:rFonts w:ascii="Times New Roman" w:eastAsia="Times New Roman" w:hAnsi="Times New Roman" w:cs="Times New Roman"/>
          <w:sz w:val="28"/>
          <w:szCs w:val="28"/>
        </w:rPr>
        <w:t xml:space="preserve"> [</w:t>
      </w:r>
      <w:r w:rsidRPr="005C340A">
        <w:rPr>
          <w:rFonts w:ascii="Times New Roman" w:eastAsia="Times New Roman" w:hAnsi="Times New Roman"/>
          <w:sz w:val="28"/>
          <w:szCs w:val="28"/>
        </w:rPr>
        <w:t>157</w:t>
      </w:r>
      <w:r w:rsidRPr="005C340A">
        <w:rPr>
          <w:rFonts w:ascii="Times New Roman" w:eastAsia="Times New Roman" w:hAnsi="Times New Roman" w:cs="Times New Roman"/>
          <w:sz w:val="28"/>
          <w:szCs w:val="28"/>
        </w:rPr>
        <w:t>].</w:t>
      </w:r>
    </w:p>
    <w:p w:rsidR="00E17FE1" w:rsidRDefault="00BB58D7">
      <w:pPr>
        <w:pStyle w:val="af2"/>
        <w:spacing w:before="0" w:beforeAutospacing="0" w:after="0" w:afterAutospacing="0"/>
        <w:ind w:firstLine="567"/>
        <w:jc w:val="both"/>
        <w:rPr>
          <w:sz w:val="28"/>
          <w:szCs w:val="28"/>
          <w:lang w:val="ru-RU"/>
        </w:rPr>
      </w:pPr>
      <w:r>
        <w:rPr>
          <w:rStyle w:val="a7"/>
          <w:b w:val="0"/>
          <w:i/>
          <w:sz w:val="28"/>
          <w:szCs w:val="28"/>
          <w:lang w:val="ru-RU"/>
        </w:rPr>
        <w:t>Стерилизация ультрафиолетовым (УФ) излучением.</w:t>
      </w:r>
      <w:r>
        <w:rPr>
          <w:sz w:val="28"/>
          <w:szCs w:val="28"/>
          <w:lang w:val="ru-RU"/>
        </w:rPr>
        <w:t xml:space="preserve"> Образцы размещали в камере с бактерицидной лампой (254 нм, </w:t>
      </w:r>
      <w:r>
        <w:rPr>
          <w:sz w:val="28"/>
          <w:szCs w:val="28"/>
        </w:rPr>
        <w:t>TUV</w:t>
      </w:r>
      <w:r>
        <w:rPr>
          <w:sz w:val="28"/>
          <w:szCs w:val="28"/>
          <w:lang w:val="ru-RU"/>
        </w:rPr>
        <w:t xml:space="preserve"> </w:t>
      </w:r>
      <w:r>
        <w:rPr>
          <w:sz w:val="28"/>
          <w:szCs w:val="28"/>
        </w:rPr>
        <w:t>G</w:t>
      </w:r>
      <w:r>
        <w:rPr>
          <w:sz w:val="28"/>
          <w:szCs w:val="28"/>
          <w:lang w:val="ru-RU"/>
        </w:rPr>
        <w:t>15</w:t>
      </w:r>
      <w:r>
        <w:rPr>
          <w:sz w:val="28"/>
          <w:szCs w:val="28"/>
        </w:rPr>
        <w:t>T</w:t>
      </w:r>
      <w:r>
        <w:rPr>
          <w:sz w:val="28"/>
          <w:szCs w:val="28"/>
          <w:lang w:val="ru-RU"/>
        </w:rPr>
        <w:t xml:space="preserve">8, </w:t>
      </w:r>
      <w:r>
        <w:rPr>
          <w:sz w:val="28"/>
          <w:szCs w:val="28"/>
        </w:rPr>
        <w:t>Philips</w:t>
      </w:r>
      <w:r>
        <w:rPr>
          <w:sz w:val="28"/>
          <w:szCs w:val="28"/>
          <w:lang w:val="ru-RU"/>
        </w:rPr>
        <w:t>) на расстоянии 20 см в течение 30 мин с каждой стороны при 25 °</w:t>
      </w:r>
      <w:r>
        <w:rPr>
          <w:sz w:val="28"/>
          <w:szCs w:val="28"/>
        </w:rPr>
        <w:t>C</w:t>
      </w:r>
      <w:r>
        <w:rPr>
          <w:sz w:val="28"/>
          <w:szCs w:val="28"/>
          <w:lang w:val="ru-RU"/>
        </w:rPr>
        <w:t xml:space="preserve"> [158].</w:t>
      </w:r>
    </w:p>
    <w:p w:rsidR="00E17FE1" w:rsidRDefault="00BB58D7">
      <w:pPr>
        <w:pStyle w:val="af2"/>
        <w:spacing w:before="0" w:beforeAutospacing="0" w:after="0" w:afterAutospacing="0"/>
        <w:ind w:firstLine="567"/>
        <w:jc w:val="both"/>
        <w:rPr>
          <w:sz w:val="28"/>
          <w:szCs w:val="28"/>
          <w:lang w:val="ru-RU"/>
        </w:rPr>
      </w:pPr>
      <w:r>
        <w:rPr>
          <w:rStyle w:val="a7"/>
          <w:b w:val="0"/>
          <w:i/>
          <w:sz w:val="28"/>
          <w:szCs w:val="28"/>
          <w:lang w:val="ru-RU"/>
        </w:rPr>
        <w:t>Стерилизация озоном.</w:t>
      </w:r>
      <w:r>
        <w:rPr>
          <w:sz w:val="28"/>
          <w:szCs w:val="28"/>
          <w:lang w:val="ru-RU"/>
        </w:rPr>
        <w:t xml:space="preserve"> Обработка выполнялась в озонаторе (генерация </w:t>
      </w:r>
      <w:r>
        <w:rPr>
          <w:sz w:val="28"/>
          <w:szCs w:val="28"/>
        </w:rPr>
        <w:t>O</w:t>
      </w:r>
      <w:r>
        <w:rPr>
          <w:rFonts w:ascii="Cambria Math" w:hAnsi="Cambria Math" w:cs="Cambria Math"/>
          <w:sz w:val="28"/>
          <w:szCs w:val="28"/>
          <w:lang w:val="ru-RU"/>
        </w:rPr>
        <w:t>₃</w:t>
      </w:r>
      <w:r>
        <w:rPr>
          <w:sz w:val="28"/>
          <w:szCs w:val="28"/>
          <w:lang w:val="ru-RU"/>
        </w:rPr>
        <w:t xml:space="preserve"> ≈ 10 г/ч) при 20 °</w:t>
      </w:r>
      <w:r>
        <w:rPr>
          <w:sz w:val="28"/>
          <w:szCs w:val="28"/>
        </w:rPr>
        <w:t>C</w:t>
      </w:r>
      <w:r>
        <w:rPr>
          <w:sz w:val="28"/>
          <w:szCs w:val="28"/>
          <w:lang w:val="ru-RU"/>
        </w:rPr>
        <w:t xml:space="preserve"> и относительной влажности 60 % в течение 30 мин. После экспозиции образцы аэрировались при комнатной температуре в течение 1 ч для удаления остаточного озона [159].</w:t>
      </w:r>
    </w:p>
    <w:p w:rsidR="00E17FE1" w:rsidRDefault="00BB58D7">
      <w:pPr>
        <w:pStyle w:val="af2"/>
        <w:spacing w:before="0" w:beforeAutospacing="0" w:after="0" w:afterAutospacing="0"/>
        <w:ind w:firstLine="567"/>
        <w:jc w:val="both"/>
        <w:rPr>
          <w:sz w:val="28"/>
          <w:szCs w:val="28"/>
          <w:lang w:val="ru-RU"/>
        </w:rPr>
      </w:pPr>
      <w:r>
        <w:rPr>
          <w:rStyle w:val="a7"/>
          <w:b w:val="0"/>
          <w:i/>
          <w:sz w:val="28"/>
          <w:szCs w:val="28"/>
          <w:lang w:val="ru-RU"/>
        </w:rPr>
        <w:lastRenderedPageBreak/>
        <w:t xml:space="preserve">Стерилизация </w:t>
      </w:r>
      <w:proofErr w:type="gramStart"/>
      <w:r>
        <w:rPr>
          <w:rStyle w:val="a7"/>
          <w:b w:val="0"/>
          <w:i/>
          <w:sz w:val="28"/>
          <w:szCs w:val="28"/>
          <w:lang w:val="ru-RU"/>
        </w:rPr>
        <w:t>сверхкритическим</w:t>
      </w:r>
      <w:proofErr w:type="gramEnd"/>
      <w:r>
        <w:rPr>
          <w:rStyle w:val="a7"/>
          <w:b w:val="0"/>
          <w:i/>
          <w:sz w:val="28"/>
          <w:szCs w:val="28"/>
          <w:lang w:val="ru-RU"/>
        </w:rPr>
        <w:t xml:space="preserve"> </w:t>
      </w:r>
      <w:r>
        <w:rPr>
          <w:rStyle w:val="a7"/>
          <w:b w:val="0"/>
          <w:i/>
          <w:sz w:val="28"/>
          <w:szCs w:val="28"/>
        </w:rPr>
        <w:t>CO</w:t>
      </w:r>
      <w:r>
        <w:rPr>
          <w:rStyle w:val="a7"/>
          <w:rFonts w:ascii="Cambria Math" w:hAnsi="Cambria Math" w:cs="Cambria Math"/>
          <w:b w:val="0"/>
          <w:i/>
          <w:sz w:val="28"/>
          <w:szCs w:val="28"/>
          <w:lang w:val="ru-RU"/>
        </w:rPr>
        <w:t>₂</w:t>
      </w:r>
      <w:r>
        <w:rPr>
          <w:rStyle w:val="a7"/>
          <w:b w:val="0"/>
          <w:i/>
          <w:sz w:val="28"/>
          <w:szCs w:val="28"/>
          <w:lang w:val="ru-RU"/>
        </w:rPr>
        <w:t xml:space="preserve"> (</w:t>
      </w:r>
      <w:r>
        <w:rPr>
          <w:rStyle w:val="a7"/>
          <w:b w:val="0"/>
          <w:i/>
          <w:sz w:val="28"/>
          <w:szCs w:val="28"/>
        </w:rPr>
        <w:t>ScCO</w:t>
      </w:r>
      <w:r>
        <w:rPr>
          <w:rStyle w:val="a7"/>
          <w:rFonts w:ascii="Cambria Math" w:hAnsi="Cambria Math" w:cs="Cambria Math"/>
          <w:b w:val="0"/>
          <w:i/>
          <w:sz w:val="28"/>
          <w:szCs w:val="28"/>
          <w:lang w:val="ru-RU"/>
        </w:rPr>
        <w:t>₂</w:t>
      </w:r>
      <w:r>
        <w:rPr>
          <w:rStyle w:val="a7"/>
          <w:b w:val="0"/>
          <w:i/>
          <w:sz w:val="28"/>
          <w:szCs w:val="28"/>
          <w:lang w:val="ru-RU"/>
        </w:rPr>
        <w:t>).</w:t>
      </w:r>
      <w:r>
        <w:rPr>
          <w:sz w:val="28"/>
          <w:szCs w:val="28"/>
          <w:lang w:val="ru-RU"/>
        </w:rPr>
        <w:t xml:space="preserve"> Процесс проводился в реакторе под давлением 38 МПа при 30 °</w:t>
      </w:r>
      <w:r>
        <w:rPr>
          <w:sz w:val="28"/>
          <w:szCs w:val="28"/>
        </w:rPr>
        <w:t>C</w:t>
      </w:r>
      <w:r>
        <w:rPr>
          <w:sz w:val="28"/>
          <w:szCs w:val="28"/>
          <w:lang w:val="ru-RU"/>
        </w:rPr>
        <w:t xml:space="preserve"> в течение 60 мин с использованием ко-растворителя этанола (5 </w:t>
      </w:r>
      <w:proofErr w:type="gramStart"/>
      <w:r>
        <w:rPr>
          <w:sz w:val="28"/>
          <w:szCs w:val="28"/>
          <w:lang w:val="ru-RU"/>
        </w:rPr>
        <w:t>об</w:t>
      </w:r>
      <w:proofErr w:type="gramEnd"/>
      <w:r>
        <w:rPr>
          <w:sz w:val="28"/>
          <w:szCs w:val="28"/>
          <w:lang w:val="ru-RU"/>
        </w:rPr>
        <w:t>.%). После обработки камера медленно декомпрессировалась до атмосферного давления [160].</w:t>
      </w:r>
    </w:p>
    <w:p w:rsidR="00E17FE1" w:rsidRDefault="00BB58D7">
      <w:pPr>
        <w:pStyle w:val="af2"/>
        <w:spacing w:before="0" w:beforeAutospacing="0" w:after="0" w:afterAutospacing="0"/>
        <w:ind w:firstLine="567"/>
        <w:jc w:val="both"/>
        <w:rPr>
          <w:sz w:val="28"/>
          <w:szCs w:val="28"/>
          <w:lang w:val="ru-RU"/>
        </w:rPr>
      </w:pPr>
      <w:r>
        <w:rPr>
          <w:rStyle w:val="a7"/>
          <w:b w:val="0"/>
          <w:i/>
          <w:sz w:val="28"/>
          <w:szCs w:val="28"/>
          <w:lang w:val="ru-RU"/>
        </w:rPr>
        <w:t>Стерилизация холодной плазмой.</w:t>
      </w:r>
      <w:r>
        <w:rPr>
          <w:sz w:val="28"/>
          <w:szCs w:val="28"/>
          <w:lang w:val="ru-RU"/>
        </w:rPr>
        <w:t xml:space="preserve"> Стерилизация выполнялась в установке </w:t>
      </w:r>
      <w:r>
        <w:rPr>
          <w:sz w:val="28"/>
          <w:szCs w:val="28"/>
        </w:rPr>
        <w:t>PICO</w:t>
      </w:r>
      <w:r>
        <w:rPr>
          <w:sz w:val="28"/>
          <w:szCs w:val="28"/>
          <w:lang w:val="ru-RU"/>
        </w:rPr>
        <w:t xml:space="preserve"> </w:t>
      </w:r>
      <w:r>
        <w:rPr>
          <w:sz w:val="28"/>
          <w:szCs w:val="28"/>
        </w:rPr>
        <w:t>Plasma</w:t>
      </w:r>
      <w:r>
        <w:rPr>
          <w:sz w:val="28"/>
          <w:szCs w:val="28"/>
          <w:lang w:val="ru-RU"/>
        </w:rPr>
        <w:t xml:space="preserve"> </w:t>
      </w:r>
      <w:r>
        <w:rPr>
          <w:sz w:val="28"/>
          <w:szCs w:val="28"/>
        </w:rPr>
        <w:t>System</w:t>
      </w:r>
      <w:r>
        <w:rPr>
          <w:sz w:val="28"/>
          <w:szCs w:val="28"/>
          <w:lang w:val="ru-RU"/>
        </w:rPr>
        <w:t xml:space="preserve"> (Германия) при смеси </w:t>
      </w:r>
      <w:r>
        <w:rPr>
          <w:sz w:val="28"/>
          <w:szCs w:val="28"/>
        </w:rPr>
        <w:t>O</w:t>
      </w:r>
      <w:r>
        <w:rPr>
          <w:rFonts w:ascii="Cambria Math" w:hAnsi="Cambria Math" w:cs="Cambria Math"/>
          <w:sz w:val="28"/>
          <w:szCs w:val="28"/>
          <w:lang w:val="ru-RU"/>
        </w:rPr>
        <w:t>₂</w:t>
      </w:r>
      <w:r>
        <w:rPr>
          <w:sz w:val="28"/>
          <w:szCs w:val="28"/>
          <w:lang w:val="ru-RU"/>
        </w:rPr>
        <w:t>/</w:t>
      </w:r>
      <w:r>
        <w:rPr>
          <w:sz w:val="28"/>
          <w:szCs w:val="28"/>
        </w:rPr>
        <w:t>Ar</w:t>
      </w:r>
      <w:r>
        <w:rPr>
          <w:sz w:val="28"/>
          <w:szCs w:val="28"/>
          <w:lang w:val="ru-RU"/>
        </w:rPr>
        <w:t xml:space="preserve"> (1:1), давлении 0,2 мбар, мощности 50 Вт и экспозиции 15 мин при комнатной температуре [161].</w:t>
      </w:r>
    </w:p>
    <w:p w:rsidR="00E17FE1" w:rsidRDefault="00BB58D7">
      <w:pPr>
        <w:pStyle w:val="af2"/>
        <w:spacing w:before="0" w:beforeAutospacing="0" w:after="0" w:afterAutospacing="0"/>
        <w:ind w:firstLine="567"/>
        <w:jc w:val="both"/>
        <w:rPr>
          <w:bCs/>
          <w:i/>
          <w:sz w:val="28"/>
          <w:szCs w:val="28"/>
          <w:lang w:val="ru-RU"/>
        </w:rPr>
      </w:pPr>
      <w:r>
        <w:rPr>
          <w:bCs/>
          <w:i/>
          <w:sz w:val="28"/>
          <w:szCs w:val="28"/>
          <w:lang w:val="ru-RU"/>
        </w:rPr>
        <w:t>Оценка эффективности стерилизации</w:t>
      </w:r>
    </w:p>
    <w:p w:rsidR="00E17FE1" w:rsidRDefault="00BB58D7">
      <w:pPr>
        <w:pStyle w:val="af2"/>
        <w:spacing w:before="0" w:beforeAutospacing="0" w:after="0" w:afterAutospacing="0"/>
        <w:ind w:firstLine="567"/>
        <w:jc w:val="both"/>
        <w:rPr>
          <w:sz w:val="28"/>
          <w:szCs w:val="28"/>
          <w:lang w:val="ru-RU"/>
        </w:rPr>
      </w:pPr>
      <w:r>
        <w:rPr>
          <w:sz w:val="28"/>
          <w:szCs w:val="28"/>
          <w:lang w:val="ru-RU"/>
        </w:rPr>
        <w:t xml:space="preserve">Для оценки стерильности обработанных образцов использовали метод прямого высева на питательные среды. После стерилизации каждый образец (1×1 см) асептически переносили в чашку Петри </w:t>
      </w:r>
      <w:proofErr w:type="gramStart"/>
      <w:r>
        <w:rPr>
          <w:sz w:val="28"/>
          <w:szCs w:val="28"/>
          <w:lang w:val="ru-RU"/>
        </w:rPr>
        <w:t>с</w:t>
      </w:r>
      <w:proofErr w:type="gramEnd"/>
      <w:r>
        <w:rPr>
          <w:sz w:val="28"/>
          <w:szCs w:val="28"/>
          <w:lang w:val="ru-RU"/>
        </w:rPr>
        <w:t xml:space="preserve"> питательным агаром. Инкубацию проводили при 37 °C в течение 48 ч.</w:t>
      </w:r>
    </w:p>
    <w:p w:rsidR="00E17FE1" w:rsidRDefault="00BB58D7">
      <w:pPr>
        <w:pStyle w:val="af2"/>
        <w:spacing w:before="0" w:beforeAutospacing="0" w:after="0" w:afterAutospacing="0"/>
        <w:ind w:firstLine="567"/>
        <w:jc w:val="both"/>
        <w:rPr>
          <w:sz w:val="28"/>
          <w:szCs w:val="28"/>
          <w:lang w:val="ru-RU"/>
        </w:rPr>
      </w:pPr>
      <w:r>
        <w:rPr>
          <w:sz w:val="28"/>
          <w:szCs w:val="28"/>
          <w:lang w:val="ru-RU"/>
        </w:rPr>
        <w:t>Наличие роста колоний фиксировали визуально. Отсутствие видимого роста колоний на поверхности агара свидетельствовало о полной стерильности образца. Для контроля использовали необработанные образцы и пустые чашки (отрицательный контроль).</w:t>
      </w:r>
    </w:p>
    <w:p w:rsidR="00E17FE1" w:rsidRDefault="00BB58D7">
      <w:pPr>
        <w:pStyle w:val="af2"/>
        <w:spacing w:before="0" w:beforeAutospacing="0" w:after="0" w:afterAutospacing="0"/>
        <w:ind w:firstLine="567"/>
        <w:jc w:val="both"/>
        <w:rPr>
          <w:sz w:val="28"/>
          <w:szCs w:val="28"/>
          <w:lang w:val="ru-RU"/>
        </w:rPr>
      </w:pPr>
      <w:r>
        <w:rPr>
          <w:sz w:val="28"/>
          <w:szCs w:val="28"/>
          <w:lang w:val="ru-RU"/>
        </w:rPr>
        <w:t>Эффективность выражали как:</w:t>
      </w:r>
    </w:p>
    <w:p w:rsidR="00E17FE1" w:rsidRDefault="00BB58D7">
      <w:pPr>
        <w:pStyle w:val="af2"/>
        <w:spacing w:before="0" w:beforeAutospacing="0" w:after="0" w:afterAutospacing="0"/>
        <w:ind w:firstLine="567"/>
        <w:jc w:val="both"/>
        <w:rPr>
          <w:sz w:val="28"/>
          <w:szCs w:val="28"/>
          <w:lang w:val="ru-RU"/>
        </w:rPr>
      </w:pPr>
      <w:r>
        <w:rPr>
          <w:sz w:val="28"/>
          <w:szCs w:val="28"/>
          <w:lang w:val="ru-RU"/>
        </w:rPr>
        <w:t>Эффективность стерилизации (%) = (1−</w:t>
      </w:r>
      <w:r>
        <w:rPr>
          <w:rFonts w:ascii="Cambria Math" w:hAnsi="Cambria Math" w:cs="Cambria Math"/>
          <w:sz w:val="28"/>
          <w:szCs w:val="28"/>
          <w:lang w:val="ru-RU"/>
        </w:rPr>
        <w:t>𝑁</w:t>
      </w:r>
      <w:r>
        <w:rPr>
          <w:sz w:val="28"/>
          <w:szCs w:val="28"/>
          <w:lang w:val="ru-RU"/>
        </w:rPr>
        <w:t>опыт/</w:t>
      </w:r>
      <w:r>
        <w:rPr>
          <w:rFonts w:ascii="Cambria Math" w:hAnsi="Cambria Math" w:cs="Cambria Math"/>
          <w:sz w:val="28"/>
          <w:szCs w:val="28"/>
          <w:lang w:val="ru-RU"/>
        </w:rPr>
        <w:t>𝑁</w:t>
      </w:r>
      <w:r>
        <w:rPr>
          <w:sz w:val="28"/>
          <w:szCs w:val="28"/>
          <w:lang w:val="ru-RU"/>
        </w:rPr>
        <w:t>контроль)×100</w:t>
      </w:r>
    </w:p>
    <w:p w:rsidR="00E17FE1" w:rsidRDefault="00BB58D7">
      <w:pPr>
        <w:pStyle w:val="af2"/>
        <w:spacing w:before="0" w:beforeAutospacing="0" w:after="0" w:afterAutospacing="0"/>
        <w:ind w:firstLine="567"/>
        <w:jc w:val="both"/>
        <w:rPr>
          <w:sz w:val="28"/>
          <w:szCs w:val="28"/>
          <w:lang w:val="ru-RU"/>
        </w:rPr>
      </w:pPr>
      <w:r>
        <w:rPr>
          <w:sz w:val="28"/>
          <w:szCs w:val="28"/>
          <w:lang w:val="ru-RU"/>
        </w:rPr>
        <w:t xml:space="preserve">где </w:t>
      </w:r>
      <w:r>
        <w:rPr>
          <w:rFonts w:ascii="Cambria Math" w:hAnsi="Cambria Math" w:cs="Cambria Math"/>
          <w:sz w:val="28"/>
          <w:szCs w:val="28"/>
          <w:lang w:val="ru-RU"/>
        </w:rPr>
        <w:t>𝑁</w:t>
      </w:r>
      <w:r>
        <w:rPr>
          <w:sz w:val="28"/>
          <w:szCs w:val="28"/>
          <w:lang w:val="ru-RU"/>
        </w:rPr>
        <w:t xml:space="preserve">опыт — количество колоний после обработки, </w:t>
      </w:r>
    </w:p>
    <w:p w:rsidR="00E17FE1" w:rsidRDefault="00BB58D7">
      <w:pPr>
        <w:pStyle w:val="af2"/>
        <w:spacing w:before="0" w:beforeAutospacing="0" w:after="0" w:afterAutospacing="0"/>
        <w:ind w:firstLine="567"/>
        <w:jc w:val="both"/>
        <w:rPr>
          <w:sz w:val="28"/>
          <w:szCs w:val="28"/>
          <w:lang w:val="ru-RU"/>
        </w:rPr>
      </w:pPr>
      <w:r>
        <w:rPr>
          <w:rFonts w:ascii="Cambria Math" w:hAnsi="Cambria Math" w:cs="Cambria Math"/>
          <w:sz w:val="28"/>
          <w:szCs w:val="28"/>
          <w:lang w:val="ru-RU"/>
        </w:rPr>
        <w:t>𝑁</w:t>
      </w:r>
      <w:r>
        <w:rPr>
          <w:sz w:val="28"/>
          <w:szCs w:val="28"/>
          <w:lang w:val="ru-RU"/>
        </w:rPr>
        <w:t>контроль — на контрольных образцах.</w:t>
      </w:r>
    </w:p>
    <w:p w:rsidR="00E17FE1" w:rsidRDefault="00E17FE1">
      <w:pPr>
        <w:pStyle w:val="af2"/>
        <w:spacing w:before="0" w:beforeAutospacing="0" w:after="0" w:afterAutospacing="0"/>
        <w:ind w:firstLine="567"/>
        <w:jc w:val="both"/>
        <w:rPr>
          <w:lang w:val="ru-RU"/>
        </w:rPr>
      </w:pPr>
    </w:p>
    <w:p w:rsidR="00E17FE1" w:rsidRDefault="00BB58D7">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2.2.11 Оценка биологической активности композитных материалов</w:t>
      </w:r>
    </w:p>
    <w:p w:rsidR="00E17FE1" w:rsidRDefault="00BB58D7">
      <w:pPr>
        <w:widowControl w:val="0"/>
        <w:autoSpaceDE w:val="0"/>
        <w:autoSpaceDN w:val="0"/>
        <w:adjustRightInd w:val="0"/>
        <w:spacing w:after="0" w:line="24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2.2.11.1 Определение антибактериальной активности гибридов</w:t>
      </w:r>
    </w:p>
    <w:p w:rsidR="00E17FE1" w:rsidRDefault="00BB58D7">
      <w:pPr>
        <w:widowControl w:val="0"/>
        <w:autoSpaceDE w:val="0"/>
        <w:autoSpaceDN w:val="0"/>
        <w:adjustRightInd w:val="0"/>
        <w:spacing w:after="0" w:line="240" w:lineRule="auto"/>
        <w:ind w:firstLine="709"/>
        <w:jc w:val="both"/>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Бактериологическое исследование ожоговых ран</w:t>
      </w:r>
    </w:p>
    <w:p w:rsidR="00E17FE1" w:rsidRDefault="00BB58D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Образцы отделяемого из ожоговых ран транспортировали в транспортной среде Кэри-Блэр (Copan, Италия) с соблюдением температурного режима (2–8°C). Срок доставки в лабораторию не превышал 7 часов при максимально допустимом интервале в 24 часа от момента забора материала.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eastAsia="ru-RU"/>
        </w:rPr>
        <w:t>В рамках исследования оценивали:</w:t>
      </w:r>
      <w:r>
        <w:rPr>
          <w:rFonts w:ascii="Times New Roman" w:eastAsia="Times New Roman" w:hAnsi="Times New Roman" w:cs="Times New Roman"/>
          <w:sz w:val="28"/>
          <w:szCs w:val="28"/>
          <w:lang w:val="kk-KZ" w:eastAsia="ru-RU"/>
        </w:rPr>
        <w:t xml:space="preserve"> а</w:t>
      </w:r>
      <w:r>
        <w:rPr>
          <w:rFonts w:ascii="Times New Roman" w:eastAsia="Times New Roman" w:hAnsi="Times New Roman" w:cs="Times New Roman"/>
          <w:sz w:val="28"/>
          <w:szCs w:val="28"/>
          <w:lang w:eastAsia="ru-RU"/>
        </w:rPr>
        <w:t>) степень микробной контаминации (КОЕ/</w:t>
      </w:r>
      <w:proofErr w:type="gramStart"/>
      <w:r>
        <w:rPr>
          <w:rFonts w:ascii="Times New Roman" w:eastAsia="Times New Roman" w:hAnsi="Times New Roman" w:cs="Times New Roman"/>
          <w:sz w:val="28"/>
          <w:szCs w:val="28"/>
          <w:lang w:eastAsia="ru-RU"/>
        </w:rPr>
        <w:t>г</w:t>
      </w:r>
      <w:proofErr w:type="gramEnd"/>
      <w:r>
        <w:rPr>
          <w:rFonts w:ascii="Times New Roman" w:eastAsia="Times New Roman" w:hAnsi="Times New Roman" w:cs="Times New Roman"/>
          <w:sz w:val="28"/>
          <w:szCs w:val="28"/>
          <w:lang w:eastAsia="ru-RU"/>
        </w:rPr>
        <w:t xml:space="preserve"> ткани) с использованием количественного посева на кровяной агар (HiMedia, Индия) и агар МакКонки (BioRad, США); б) наличие полимикробных ассоциаций путем микроскопии мазков, окрашенных по Граму, и анализа морфологии колоний.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eastAsia="ru-RU"/>
        </w:rPr>
        <w:t>Идентификацию видов микроорганизмов и определение их антибиотикочувствительности проводили на автоматизированной системе VITEK® 2 Compact (bioM</w:t>
      </w:r>
      <w:r>
        <w:rPr>
          <w:rFonts w:ascii="Times New Roman" w:eastAsia="Times New Roman" w:hAnsi="Times New Roman" w:cs="Times New Roman"/>
          <w:sz w:val="28"/>
          <w:szCs w:val="28"/>
          <w:lang w:val="en-US" w:eastAsia="ru-RU"/>
        </w:rPr>
        <w:t>e</w:t>
      </w:r>
      <w:r>
        <w:rPr>
          <w:rFonts w:ascii="Times New Roman" w:eastAsia="Times New Roman" w:hAnsi="Times New Roman" w:cs="Times New Roman"/>
          <w:sz w:val="28"/>
          <w:szCs w:val="28"/>
          <w:lang w:eastAsia="ru-RU"/>
        </w:rPr>
        <w:t>rieux, Франция).</w:t>
      </w:r>
    </w:p>
    <w:p w:rsidR="00E17FE1" w:rsidRDefault="00BB58D7">
      <w:pPr>
        <w:spacing w:after="0" w:line="240" w:lineRule="auto"/>
        <w:ind w:firstLine="567"/>
        <w:jc w:val="both"/>
        <w:rPr>
          <w:rFonts w:ascii="Times New Roman" w:eastAsia="Times New Roman" w:hAnsi="Times New Roman" w:cs="Times New Roman"/>
          <w:i/>
          <w:sz w:val="28"/>
          <w:szCs w:val="28"/>
          <w:lang w:eastAsia="ru-RU" w:bidi="en-US"/>
        </w:rPr>
      </w:pPr>
      <w:r>
        <w:rPr>
          <w:rFonts w:ascii="Times New Roman" w:eastAsia="Calibri" w:hAnsi="Times New Roman" w:cs="Times New Roman"/>
          <w:i/>
          <w:sz w:val="28"/>
          <w:szCs w:val="28"/>
          <w:lang w:eastAsia="ar-SA" w:bidi="hi-IN"/>
        </w:rPr>
        <w:t xml:space="preserve">Определение антибактериальной активности материалов методом </w:t>
      </w:r>
      <w:r>
        <w:rPr>
          <w:rFonts w:ascii="Times New Roman" w:eastAsia="Times New Roman" w:hAnsi="Times New Roman" w:cs="Times New Roman"/>
          <w:i/>
          <w:kern w:val="3"/>
          <w:sz w:val="28"/>
          <w:szCs w:val="28"/>
          <w:lang w:val="en-GB" w:eastAsia="zh-CN" w:bidi="hi-IN"/>
        </w:rPr>
        <w:t>T</w:t>
      </w:r>
      <w:r>
        <w:rPr>
          <w:rFonts w:ascii="Times New Roman" w:eastAsia="Times New Roman" w:hAnsi="Times New Roman" w:cs="Times New Roman"/>
          <w:i/>
          <w:sz w:val="28"/>
          <w:szCs w:val="28"/>
          <w:lang w:val="en-US" w:eastAsia="ru-RU" w:bidi="en-US"/>
        </w:rPr>
        <w:t>ime</w:t>
      </w:r>
      <w:r>
        <w:rPr>
          <w:rFonts w:ascii="Times New Roman" w:eastAsia="Times New Roman" w:hAnsi="Times New Roman" w:cs="Times New Roman"/>
          <w:i/>
          <w:sz w:val="28"/>
          <w:szCs w:val="28"/>
          <w:lang w:eastAsia="ru-RU" w:bidi="en-US"/>
        </w:rPr>
        <w:t>-</w:t>
      </w:r>
      <w:r>
        <w:rPr>
          <w:rFonts w:ascii="Times New Roman" w:eastAsia="Times New Roman" w:hAnsi="Times New Roman" w:cs="Times New Roman"/>
          <w:i/>
          <w:sz w:val="28"/>
          <w:szCs w:val="28"/>
          <w:lang w:val="en-US" w:eastAsia="ru-RU" w:bidi="en-US"/>
        </w:rPr>
        <w:t>kill</w:t>
      </w:r>
      <w:r>
        <w:rPr>
          <w:rFonts w:ascii="Times New Roman" w:eastAsia="Times New Roman" w:hAnsi="Times New Roman" w:cs="Times New Roman"/>
          <w:i/>
          <w:sz w:val="28"/>
          <w:szCs w:val="28"/>
          <w:lang w:eastAsia="ru-RU" w:bidi="en-US"/>
        </w:rPr>
        <w:t xml:space="preserve"> тест</w:t>
      </w:r>
    </w:p>
    <w:p w:rsidR="00E17FE1" w:rsidRDefault="00BB58D7">
      <w:pPr>
        <w:tabs>
          <w:tab w:val="left" w:pos="0"/>
        </w:tabs>
        <w:suppressAutoHyphens/>
        <w:spacing w:after="0" w:line="240" w:lineRule="auto"/>
        <w:ind w:firstLine="567"/>
        <w:jc w:val="both"/>
        <w:rPr>
          <w:rFonts w:ascii="Times New Roman" w:eastAsia="Calibri" w:hAnsi="Times New Roman" w:cs="Times New Roman"/>
          <w:sz w:val="28"/>
          <w:szCs w:val="28"/>
          <w:lang w:eastAsia="ar-SA" w:bidi="hi-IN"/>
        </w:rPr>
      </w:pPr>
      <w:r>
        <w:rPr>
          <w:rFonts w:ascii="Times New Roman" w:eastAsia="Calibri" w:hAnsi="Times New Roman" w:cs="Times New Roman"/>
          <w:sz w:val="28"/>
          <w:szCs w:val="28"/>
          <w:lang w:eastAsia="ar-SA" w:bidi="hi-IN"/>
        </w:rPr>
        <w:t xml:space="preserve">Этот тест детально описан в </w:t>
      </w:r>
      <w:r w:rsidRPr="005C340A">
        <w:rPr>
          <w:rFonts w:ascii="Times New Roman" w:eastAsia="Calibri" w:hAnsi="Times New Roman" w:cs="Times New Roman"/>
          <w:sz w:val="28"/>
          <w:szCs w:val="28"/>
          <w:lang w:eastAsia="ar-SA" w:bidi="hi-IN"/>
        </w:rPr>
        <w:t xml:space="preserve">документе CLSI </w:t>
      </w:r>
      <w:r w:rsidR="005C340A" w:rsidRPr="005C340A">
        <w:rPr>
          <w:rFonts w:ascii="Times New Roman" w:eastAsia="Calibri" w:hAnsi="Times New Roman" w:cs="Times New Roman"/>
          <w:sz w:val="28"/>
          <w:szCs w:val="28"/>
          <w:lang w:eastAsia="ar-SA" w:bidi="hi-IN"/>
        </w:rPr>
        <w:t xml:space="preserve">M26 </w:t>
      </w:r>
      <w:r w:rsidRPr="005C340A">
        <w:rPr>
          <w:rFonts w:ascii="Times New Roman" w:eastAsia="Calibri" w:hAnsi="Times New Roman" w:cs="Times New Roman"/>
          <w:sz w:val="28"/>
          <w:szCs w:val="28"/>
          <w:lang w:eastAsia="ar-SA" w:bidi="hi-IN"/>
        </w:rPr>
        <w:t>[</w:t>
      </w:r>
      <w:r w:rsidRPr="005C340A">
        <w:rPr>
          <w:rFonts w:ascii="Times New Roman" w:eastAsia="Calibri" w:hAnsi="Times New Roman"/>
          <w:sz w:val="28"/>
          <w:szCs w:val="28"/>
          <w:lang w:eastAsia="ar-SA"/>
        </w:rPr>
        <w:t>162</w:t>
      </w:r>
      <w:r w:rsidRPr="005C340A">
        <w:rPr>
          <w:rFonts w:ascii="Times New Roman" w:eastAsia="Calibri" w:hAnsi="Times New Roman" w:cs="Times New Roman"/>
          <w:sz w:val="28"/>
          <w:szCs w:val="28"/>
          <w:lang w:eastAsia="ar-SA" w:bidi="hi-IN"/>
        </w:rPr>
        <w:t>] .</w:t>
      </w:r>
      <w:r>
        <w:rPr>
          <w:rFonts w:ascii="Times New Roman" w:eastAsia="Calibri" w:hAnsi="Times New Roman" w:cs="Times New Roman"/>
          <w:sz w:val="28"/>
          <w:szCs w:val="28"/>
          <w:lang w:eastAsia="ar-SA" w:bidi="hi-IN"/>
        </w:rPr>
        <w:t xml:space="preserve"> БЦ пленки и композиты на ее основе, каждая весом по 1 грамму, помещали в пробирки с жидкой питательной средой, инокулированной микроорганизмами-мишенями с концентрацией клеток 5 x 10</w:t>
      </w:r>
      <w:r>
        <w:rPr>
          <w:rFonts w:ascii="Times New Roman" w:eastAsia="Calibri" w:hAnsi="Times New Roman" w:cs="Times New Roman"/>
          <w:sz w:val="28"/>
          <w:szCs w:val="28"/>
          <w:vertAlign w:val="superscript"/>
          <w:lang w:eastAsia="ar-SA" w:bidi="hi-IN"/>
        </w:rPr>
        <w:t>5</w:t>
      </w:r>
      <w:r>
        <w:rPr>
          <w:rFonts w:ascii="Times New Roman" w:eastAsia="Calibri" w:hAnsi="Times New Roman" w:cs="Times New Roman"/>
          <w:sz w:val="28"/>
          <w:szCs w:val="28"/>
          <w:lang w:eastAsia="ar-SA" w:bidi="hi-IN"/>
        </w:rPr>
        <w:t xml:space="preserve"> КОЕ/мл,</w:t>
      </w:r>
      <w:r>
        <w:rPr>
          <w:rFonts w:ascii="Times New Roman" w:eastAsia="DejaVu Sans" w:hAnsi="Times New Roman" w:cs="Times New Roman"/>
          <w:sz w:val="28"/>
          <w:szCs w:val="28"/>
          <w:lang w:eastAsia="zh-CN" w:bidi="hi-IN"/>
        </w:rPr>
        <w:t xml:space="preserve"> </w:t>
      </w:r>
      <w:r>
        <w:rPr>
          <w:rFonts w:ascii="Times New Roman" w:eastAsia="Calibri" w:hAnsi="Times New Roman" w:cs="Times New Roman"/>
          <w:sz w:val="28"/>
          <w:szCs w:val="28"/>
          <w:lang w:eastAsia="ar-SA" w:bidi="hi-IN"/>
        </w:rPr>
        <w:t>а затем инкубировали в шейкере при 37</w:t>
      </w:r>
      <w:proofErr w:type="gramStart"/>
      <w:r>
        <w:rPr>
          <w:rFonts w:ascii="Times New Roman" w:eastAsia="Calibri" w:hAnsi="Times New Roman" w:cs="Times New Roman"/>
          <w:sz w:val="28"/>
          <w:szCs w:val="28"/>
          <w:lang w:eastAsia="ar-SA" w:bidi="hi-IN"/>
        </w:rPr>
        <w:t>°С</w:t>
      </w:r>
      <w:proofErr w:type="gramEnd"/>
      <w:r>
        <w:rPr>
          <w:rFonts w:ascii="Times New Roman" w:eastAsia="Calibri" w:hAnsi="Times New Roman" w:cs="Times New Roman"/>
          <w:sz w:val="28"/>
          <w:szCs w:val="28"/>
          <w:lang w:eastAsia="ar-SA" w:bidi="hi-IN"/>
        </w:rPr>
        <w:t xml:space="preserve"> в течение 24 часов. Контролем служила среда с </w:t>
      </w:r>
      <w:proofErr w:type="gramStart"/>
      <w:r>
        <w:rPr>
          <w:rFonts w:ascii="Times New Roman" w:eastAsia="Calibri" w:hAnsi="Times New Roman" w:cs="Times New Roman"/>
          <w:sz w:val="28"/>
          <w:szCs w:val="28"/>
          <w:lang w:eastAsia="ar-SA" w:bidi="hi-IN"/>
        </w:rPr>
        <w:t>тест-</w:t>
      </w:r>
      <w:r>
        <w:rPr>
          <w:rFonts w:ascii="Times New Roman" w:eastAsia="Calibri" w:hAnsi="Times New Roman" w:cs="Times New Roman"/>
          <w:sz w:val="28"/>
          <w:szCs w:val="28"/>
          <w:lang w:eastAsia="ar-SA" w:bidi="hi-IN"/>
        </w:rPr>
        <w:lastRenderedPageBreak/>
        <w:t>штаммами</w:t>
      </w:r>
      <w:proofErr w:type="gramEnd"/>
      <w:r>
        <w:rPr>
          <w:rFonts w:ascii="Times New Roman" w:eastAsia="Calibri" w:hAnsi="Times New Roman" w:cs="Times New Roman"/>
          <w:sz w:val="28"/>
          <w:szCs w:val="28"/>
          <w:lang w:eastAsia="ar-SA" w:bidi="hi-IN"/>
        </w:rPr>
        <w:t xml:space="preserve"> без образцов. Через 0, 1, 6, 10 и 24 ч отбирали пробы (100 мкл), высевали на агар и после 48 ч инкубации подсчитывали КОЕ/мл. Антимикробную активность оценивали по формуле: R (%) = (A - B) / A × 100, где R - процент числа бактерий, A - количество бактерий в контрольной группе (без добавления целлюлозных материалов), а B - количество бактерий, выросших в пробирках с композитами. </w:t>
      </w:r>
    </w:p>
    <w:p w:rsidR="00E17FE1" w:rsidRDefault="00BB58D7">
      <w:pPr>
        <w:spacing w:after="0" w:line="240" w:lineRule="auto"/>
        <w:ind w:firstLine="567"/>
        <w:rPr>
          <w:rFonts w:ascii="Times New Roman" w:hAnsi="Times New Roman" w:cs="Times New Roman"/>
          <w:i/>
          <w:sz w:val="28"/>
          <w:szCs w:val="28"/>
        </w:rPr>
      </w:pPr>
      <w:r>
        <w:rPr>
          <w:rFonts w:ascii="Times New Roman" w:hAnsi="Times New Roman" w:cs="Times New Roman"/>
          <w:i/>
          <w:sz w:val="28"/>
          <w:szCs w:val="28"/>
        </w:rPr>
        <w:t>Образование АФК</w:t>
      </w:r>
    </w:p>
    <w:p w:rsidR="00E17FE1" w:rsidRDefault="00BB58D7">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Уровень АФК, </w:t>
      </w:r>
      <w:proofErr w:type="gramStart"/>
      <w:r>
        <w:rPr>
          <w:rFonts w:ascii="Times New Roman" w:hAnsi="Times New Roman" w:cs="Times New Roman"/>
          <w:sz w:val="28"/>
          <w:szCs w:val="28"/>
        </w:rPr>
        <w:t>генерируемых</w:t>
      </w:r>
      <w:proofErr w:type="gramEnd"/>
      <w:r>
        <w:rPr>
          <w:rFonts w:ascii="Times New Roman" w:hAnsi="Times New Roman" w:cs="Times New Roman"/>
          <w:sz w:val="28"/>
          <w:szCs w:val="28"/>
        </w:rPr>
        <w:t xml:space="preserve"> исследуемыми материалами, определяли с использованием флуоресцентного зонда  2’,7’-дихлордигидрофлуоресцеин диацетата (DCFH-DA). Данный реагент после деацетилирования и окисления превращается во флуоресцентный продукт (DCF), что позволяет количественно оценивать интенсивность АФК. Бактериальные клетки стандартизировали до концентрации 10</w:t>
      </w:r>
      <w:r>
        <w:rPr>
          <w:rFonts w:ascii="Times New Roman" w:hAnsi="Cambria Math" w:cs="Times New Roman"/>
          <w:sz w:val="28"/>
          <w:szCs w:val="28"/>
        </w:rPr>
        <w:t>⁵</w:t>
      </w:r>
      <w:r>
        <w:rPr>
          <w:rFonts w:ascii="Times New Roman" w:hAnsi="Times New Roman" w:cs="Times New Roman"/>
          <w:sz w:val="28"/>
          <w:szCs w:val="28"/>
        </w:rPr>
        <w:t xml:space="preserve"> КОЕ/мл и инкубировали с исследуемыми образцами при 37 °C в течение 0, 1, 6, 10 и 24 часов. После каждого временного промежутка суспензии центрифугировали при 4 °C  (600 об/мин, 15 мин), затем </w:t>
      </w:r>
      <w:proofErr w:type="gramStart"/>
      <w:r>
        <w:rPr>
          <w:rFonts w:ascii="Times New Roman" w:hAnsi="Times New Roman" w:cs="Times New Roman"/>
          <w:sz w:val="28"/>
          <w:szCs w:val="28"/>
        </w:rPr>
        <w:t>полученный</w:t>
      </w:r>
      <w:proofErr w:type="gramEnd"/>
      <w:r>
        <w:rPr>
          <w:rFonts w:ascii="Times New Roman" w:hAnsi="Times New Roman" w:cs="Times New Roman"/>
          <w:sz w:val="28"/>
          <w:szCs w:val="28"/>
        </w:rPr>
        <w:t xml:space="preserve"> супернатант переносили в стерильные пробирки. К нему добавляли раствор DCFH-DA до конечной концентрации 100 мкМ и инкубировали в темноте при комнатной температуре 1 час. </w:t>
      </w:r>
      <w:r>
        <w:rPr>
          <w:rFonts w:ascii="Times New Roman" w:eastAsia="Times New Roman" w:hAnsi="Times New Roman" w:cs="Times New Roman"/>
          <w:sz w:val="28"/>
          <w:szCs w:val="28"/>
          <w:lang w:eastAsia="ru-RU"/>
        </w:rPr>
        <w:t>После чего регистрировали интенсивность флуоресценции (λ_ex = 485 нм, λ_em = 530 нм). Количество образовавшихся АФК оценивали по увеличению флуоресцентного сигнала относительно контрольных образцов.</w:t>
      </w:r>
    </w:p>
    <w:p w:rsidR="00E17FE1" w:rsidRDefault="00E17FE1">
      <w:pPr>
        <w:widowControl w:val="0"/>
        <w:autoSpaceDE w:val="0"/>
        <w:autoSpaceDN w:val="0"/>
        <w:spacing w:after="0" w:line="240" w:lineRule="auto"/>
        <w:ind w:firstLine="567"/>
        <w:jc w:val="both"/>
        <w:rPr>
          <w:rFonts w:ascii="Times New Roman" w:eastAsia="Times New Roman" w:hAnsi="Times New Roman" w:cs="Times New Roman"/>
          <w:bCs/>
          <w:i/>
          <w:iCs/>
          <w:sz w:val="28"/>
          <w:szCs w:val="28"/>
        </w:rPr>
      </w:pP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2.2.11.2 Изучение</w:t>
      </w:r>
      <w:r>
        <w:rPr>
          <w:rFonts w:ascii="Times New Roman" w:eastAsia="Times New Roman" w:hAnsi="Times New Roman" w:cs="Times New Roman"/>
          <w:b/>
          <w:bCs/>
          <w:iCs/>
          <w:spacing w:val="-4"/>
          <w:sz w:val="28"/>
          <w:szCs w:val="28"/>
        </w:rPr>
        <w:t xml:space="preserve"> </w:t>
      </w:r>
      <w:r>
        <w:rPr>
          <w:rFonts w:ascii="Times New Roman" w:eastAsia="Times New Roman" w:hAnsi="Times New Roman" w:cs="Times New Roman"/>
          <w:b/>
          <w:bCs/>
          <w:iCs/>
          <w:sz w:val="28"/>
          <w:szCs w:val="28"/>
        </w:rPr>
        <w:t>антибиопленочной активности</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Антибиопленочную активность БЦ, БЦ/ГАП, БЦ/M</w:t>
      </w:r>
      <w:proofErr w:type="gramStart"/>
      <w:r>
        <w:rPr>
          <w:rFonts w:ascii="Times New Roman" w:eastAsia="Times New Roman" w:hAnsi="Times New Roman" w:cs="Times New Roman"/>
          <w:sz w:val="28"/>
          <w:szCs w:val="28"/>
        </w:rPr>
        <w:t>Х</w:t>
      </w:r>
      <w:proofErr w:type="gramEnd"/>
      <w:r>
        <w:rPr>
          <w:rFonts w:ascii="Times New Roman" w:eastAsia="Times New Roman" w:hAnsi="Times New Roman" w:cs="Times New Roman"/>
          <w:sz w:val="28"/>
          <w:szCs w:val="28"/>
        </w:rPr>
        <w:t>ene и БЦ/ГАП/ MХene в отношении метициллин-резистентного </w:t>
      </w:r>
      <w:r>
        <w:rPr>
          <w:rFonts w:ascii="Times New Roman" w:eastAsia="Times New Roman" w:hAnsi="Times New Roman" w:cs="Times New Roman"/>
          <w:i/>
          <w:iCs/>
          <w:sz w:val="28"/>
          <w:szCs w:val="28"/>
        </w:rPr>
        <w:t>Staphylococcus aureus</w:t>
      </w:r>
      <w:r>
        <w:rPr>
          <w:rFonts w:ascii="Times New Roman" w:eastAsia="Times New Roman" w:hAnsi="Times New Roman" w:cs="Times New Roman"/>
          <w:sz w:val="28"/>
          <w:szCs w:val="28"/>
        </w:rPr>
        <w:t> (MRSA) и фторхинолон-резистентного </w:t>
      </w:r>
      <w:r>
        <w:rPr>
          <w:rFonts w:ascii="Times New Roman" w:eastAsia="Times New Roman" w:hAnsi="Times New Roman" w:cs="Times New Roman"/>
          <w:i/>
          <w:iCs/>
          <w:sz w:val="28"/>
          <w:szCs w:val="28"/>
        </w:rPr>
        <w:t>Pseudomonas aeruginosa</w:t>
      </w:r>
      <w:r>
        <w:rPr>
          <w:rFonts w:ascii="Times New Roman" w:eastAsia="Times New Roman" w:hAnsi="Times New Roman" w:cs="Times New Roman"/>
          <w:sz w:val="28"/>
          <w:szCs w:val="28"/>
        </w:rPr>
        <w:t xml:space="preserve"> (FQRPA) оценивали по методу Saeizing et al. с модификациям.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Исследуемые материалы помещали в лунки 24-луночного планшета (Costar) и инкубировали с 2 мл бактериальной суспензии (10</w:t>
      </w:r>
      <w:r>
        <w:rPr>
          <w:rFonts w:ascii="Cambria Math" w:eastAsia="Times New Roman" w:hAnsi="Cambria Math" w:cs="Times New Roman"/>
          <w:sz w:val="28"/>
          <w:szCs w:val="28"/>
        </w:rPr>
        <w:t>⁵</w:t>
      </w:r>
      <w:r>
        <w:rPr>
          <w:rFonts w:ascii="Times New Roman" w:eastAsia="Times New Roman" w:hAnsi="Times New Roman" w:cs="Times New Roman"/>
          <w:sz w:val="28"/>
          <w:szCs w:val="28"/>
        </w:rPr>
        <w:t xml:space="preserve"> КОЕ/мл) в триптиказо-соевом бульоне (TSB, HiMedia), содержащем 2% глюкозы. BC использовали в качестве положительного контроля. Инкубацию проводили при 37°C в течение 24 ч в статических условиях. После удаления супернатанта материалы трижды промывали фосфатно-солевым буфером (</w:t>
      </w:r>
      <w:r>
        <w:rPr>
          <w:rFonts w:ascii="Times New Roman" w:eastAsia="Times New Roman" w:hAnsi="Times New Roman" w:cs="Times New Roman"/>
          <w:sz w:val="28"/>
          <w:szCs w:val="28"/>
          <w:lang w:val="en-US"/>
        </w:rPr>
        <w:t>PBS</w:t>
      </w:r>
      <w:r>
        <w:rPr>
          <w:rFonts w:ascii="Times New Roman" w:eastAsia="Times New Roman" w:hAnsi="Times New Roman" w:cs="Times New Roman"/>
          <w:sz w:val="28"/>
          <w:szCs w:val="28"/>
        </w:rPr>
        <w:t xml:space="preserve">).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Адгезированные на поверхности материала клетки окрашивали 0.1% раствором кристаллического фиолетового (Sigma-Aldrich). После удаления красителя материалы промывали дистиллированной водой и сушили при 30°C. Связанный с биопленкой краситель экстрагировали 95% этанолом. Оптическую плотность (ОП) измеряли при 570 нм на микропланшетном спектрофотометре BioTek Synergy H1.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Уровень образования биопленки оценивали по критериям: отрицательный: ОП &lt; 0.1, </w:t>
      </w:r>
      <w:proofErr w:type="gramStart"/>
      <w:r>
        <w:rPr>
          <w:rFonts w:ascii="Times New Roman" w:eastAsia="Times New Roman" w:hAnsi="Times New Roman" w:cs="Times New Roman"/>
          <w:sz w:val="28"/>
          <w:szCs w:val="28"/>
        </w:rPr>
        <w:t>слабо положительный</w:t>
      </w:r>
      <w:proofErr w:type="gramEnd"/>
      <w:r>
        <w:rPr>
          <w:rFonts w:ascii="Times New Roman" w:eastAsia="Times New Roman" w:hAnsi="Times New Roman" w:cs="Times New Roman"/>
          <w:sz w:val="28"/>
          <w:szCs w:val="28"/>
        </w:rPr>
        <w:t>: 0.1 ≤ ОП &lt; 1, положительный: ОП ≥ 1.</w:t>
      </w:r>
    </w:p>
    <w:p w:rsidR="006737E3" w:rsidRPr="00D14370" w:rsidRDefault="006737E3">
      <w:pPr>
        <w:widowControl w:val="0"/>
        <w:autoSpaceDE w:val="0"/>
        <w:autoSpaceDN w:val="0"/>
        <w:spacing w:after="0" w:line="240" w:lineRule="auto"/>
        <w:ind w:firstLine="567"/>
        <w:jc w:val="both"/>
        <w:rPr>
          <w:rFonts w:ascii="Times New Roman" w:eastAsia="Times New Roman" w:hAnsi="Times New Roman" w:cs="Times New Roman"/>
          <w:bCs/>
          <w:i/>
          <w:iCs/>
          <w:sz w:val="28"/>
          <w:szCs w:val="28"/>
        </w:rPr>
      </w:pP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bCs/>
          <w:i/>
          <w:iCs/>
          <w:sz w:val="28"/>
          <w:szCs w:val="28"/>
        </w:rPr>
      </w:pPr>
      <w:r>
        <w:rPr>
          <w:rFonts w:ascii="Times New Roman" w:eastAsia="Times New Roman" w:hAnsi="Times New Roman" w:cs="Times New Roman"/>
          <w:bCs/>
          <w:i/>
          <w:iCs/>
          <w:sz w:val="28"/>
          <w:szCs w:val="28"/>
        </w:rPr>
        <w:lastRenderedPageBreak/>
        <w:t>Изучение</w:t>
      </w:r>
      <w:r>
        <w:rPr>
          <w:rFonts w:ascii="Times New Roman" w:eastAsia="Times New Roman" w:hAnsi="Times New Roman" w:cs="Times New Roman"/>
          <w:bCs/>
          <w:i/>
          <w:iCs/>
          <w:spacing w:val="-4"/>
          <w:sz w:val="28"/>
          <w:szCs w:val="28"/>
        </w:rPr>
        <w:t xml:space="preserve"> </w:t>
      </w:r>
      <w:r>
        <w:rPr>
          <w:rFonts w:ascii="Times New Roman" w:eastAsia="Times New Roman" w:hAnsi="Times New Roman" w:cs="Times New Roman"/>
          <w:bCs/>
          <w:i/>
          <w:iCs/>
          <w:sz w:val="28"/>
          <w:szCs w:val="28"/>
        </w:rPr>
        <w:t>антибиопленочной активности на модели LCWB</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данной работе антибиопленочная активность материалов оценивалась с использованием модифицированной модели LCWB (Lubbock chronic wound biofilm), разработанной S</w:t>
      </w:r>
      <w:r>
        <w:rPr>
          <w:rFonts w:ascii="Times New Roman" w:eastAsia="Times New Roman" w:hAnsi="Times New Roman" w:cs="Times New Roman"/>
          <w:sz w:val="28"/>
          <w:szCs w:val="28"/>
          <w:lang w:val="en-US"/>
        </w:rPr>
        <w:t>u</w:t>
      </w:r>
      <w:r>
        <w:rPr>
          <w:rFonts w:ascii="Times New Roman" w:eastAsia="Times New Roman" w:hAnsi="Times New Roman" w:cs="Times New Roman"/>
          <w:sz w:val="28"/>
          <w:szCs w:val="28"/>
        </w:rPr>
        <w:t>n et al. [163]. Экспериментальный план представлен на Рис. 4. Двухвидовую биопленку формировали путем смешивания 10 мкл суспензий </w:t>
      </w:r>
      <w:r>
        <w:rPr>
          <w:rFonts w:ascii="Times New Roman" w:eastAsia="Times New Roman" w:hAnsi="Times New Roman" w:cs="Times New Roman"/>
          <w:i/>
          <w:iCs/>
          <w:sz w:val="28"/>
          <w:szCs w:val="28"/>
        </w:rPr>
        <w:t>Staphylococcus aureus</w:t>
      </w:r>
      <w:r>
        <w:rPr>
          <w:rFonts w:ascii="Times New Roman" w:eastAsia="Times New Roman" w:hAnsi="Times New Roman" w:cs="Times New Roman"/>
          <w:sz w:val="28"/>
          <w:szCs w:val="28"/>
        </w:rPr>
        <w:t> (MRSA, метициллин-резистентный штамм) и </w:t>
      </w:r>
      <w:r>
        <w:rPr>
          <w:rFonts w:ascii="Times New Roman" w:eastAsia="Times New Roman" w:hAnsi="Times New Roman" w:cs="Times New Roman"/>
          <w:i/>
          <w:iCs/>
          <w:sz w:val="28"/>
          <w:szCs w:val="28"/>
        </w:rPr>
        <w:t>Pseudomonas aeruginosa</w:t>
      </w:r>
      <w:r>
        <w:rPr>
          <w:rFonts w:ascii="Times New Roman" w:eastAsia="Times New Roman" w:hAnsi="Times New Roman" w:cs="Times New Roman"/>
          <w:sz w:val="28"/>
          <w:szCs w:val="28"/>
        </w:rPr>
        <w:t> (FQRPA, устойчивый к фторхинолонам) с концентрацией 10</w:t>
      </w:r>
      <w:r>
        <w:rPr>
          <w:rFonts w:ascii="Cambria Math" w:eastAsia="Times New Roman" w:hAnsi="Cambria Math" w:cs="Times New Roman"/>
          <w:sz w:val="28"/>
          <w:szCs w:val="28"/>
        </w:rPr>
        <w:t>⁶</w:t>
      </w:r>
      <w:r>
        <w:rPr>
          <w:rFonts w:ascii="Times New Roman" w:eastAsia="Times New Roman" w:hAnsi="Times New Roman" w:cs="Times New Roman"/>
          <w:sz w:val="28"/>
          <w:szCs w:val="28"/>
        </w:rPr>
        <w:t xml:space="preserve"> КОЕ/мл. Смесь инокулировали в полистироловые пробирки, содержащие бульон Брукелла (BB), дополненный 0,1% </w:t>
      </w:r>
      <w:proofErr w:type="gramStart"/>
      <w:r>
        <w:rPr>
          <w:rFonts w:ascii="Times New Roman" w:eastAsia="Times New Roman" w:hAnsi="Times New Roman" w:cs="Times New Roman"/>
          <w:sz w:val="28"/>
          <w:szCs w:val="28"/>
        </w:rPr>
        <w:t>бактериологического</w:t>
      </w:r>
      <w:proofErr w:type="gramEnd"/>
      <w:r>
        <w:rPr>
          <w:rFonts w:ascii="Times New Roman" w:eastAsia="Times New Roman" w:hAnsi="Times New Roman" w:cs="Times New Roman"/>
          <w:sz w:val="28"/>
          <w:szCs w:val="28"/>
        </w:rPr>
        <w:t xml:space="preserve"> агара, 50% свиной плазмы, 5% эритроцитов и 2% фетальной бычьей сыворотки (FBS). Для формирования биопленки на поверхности стерильные наконечники пипеток оставляли в среде, где они служили субстратом для адгезии и роста микроорганизмов. Инкубацию проводили в орбитальном шейкере при 37°C в течение 48 ч</w:t>
      </w:r>
      <w:hyperlink r:id="rId10">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После инкубации зрелую биопленку собирали с наконечников, промывали стерильным фосфатно-солевым буфером (PBS, pH 7.4) и переносили на искусственное «раневое ложе», состоящее из двухслойной агаризованной среды (бульон Болтона с 1,5% агара и 1% желатина)</w:t>
      </w:r>
      <w:r>
        <w:rPr>
          <w:rFonts w:ascii="Times New Roman" w:eastAsia="Times New Roman" w:hAnsi="Times New Roman" w:cs="Times New Roman"/>
          <w:color w:val="404040"/>
          <w:sz w:val="28"/>
          <w:szCs w:val="28"/>
        </w:rPr>
        <w:t> </w:t>
      </w:r>
      <w:r>
        <w:rPr>
          <w:rFonts w:ascii="Times New Roman" w:eastAsia="Times New Roman" w:hAnsi="Times New Roman" w:cs="Times New Roman"/>
          <w:sz w:val="28"/>
          <w:szCs w:val="28"/>
        </w:rPr>
        <w:t xml:space="preserve"> [164].</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оценки антибиопленочного действия материалов BC, Mxene, HA и HA/Mxene их вводили в среду на этапе созревания биопленки. Пробирки инкубировали в течение 48 ч при 37 °C. После инкубации биопленку подвергали механической дезинтеграции: встряхивание (1 мин, 200 </w:t>
      </w:r>
      <w:proofErr w:type="gramStart"/>
      <w:r>
        <w:rPr>
          <w:rFonts w:ascii="Times New Roman" w:eastAsia="Times New Roman" w:hAnsi="Times New Roman" w:cs="Times New Roman"/>
          <w:sz w:val="28"/>
          <w:szCs w:val="28"/>
        </w:rPr>
        <w:t>об</w:t>
      </w:r>
      <w:proofErr w:type="gramEnd"/>
      <w:r>
        <w:rPr>
          <w:rFonts w:ascii="Times New Roman" w:eastAsia="Times New Roman" w:hAnsi="Times New Roman" w:cs="Times New Roman"/>
          <w:sz w:val="28"/>
          <w:szCs w:val="28"/>
        </w:rPr>
        <w:t>/</w:t>
      </w:r>
      <w:proofErr w:type="gramStart"/>
      <w:r>
        <w:rPr>
          <w:rFonts w:ascii="Times New Roman" w:eastAsia="Times New Roman" w:hAnsi="Times New Roman" w:cs="Times New Roman"/>
          <w:sz w:val="28"/>
          <w:szCs w:val="28"/>
        </w:rPr>
        <w:t>мин</w:t>
      </w:r>
      <w:proofErr w:type="gramEnd"/>
      <w:r>
        <w:rPr>
          <w:rFonts w:ascii="Times New Roman" w:eastAsia="Times New Roman" w:hAnsi="Times New Roman" w:cs="Times New Roman"/>
          <w:sz w:val="28"/>
          <w:szCs w:val="28"/>
        </w:rPr>
        <w:t xml:space="preserve">), ультразвуковая обработка (3 мин, 40 кГц, мощность 100 Вт) и повторное встряхивание (1 мин). Серийные разведения суспензии высевали на селективные среды: Mannitol Salt Agar (MSA) для </w:t>
      </w:r>
      <w:r>
        <w:rPr>
          <w:rFonts w:ascii="Times New Roman" w:eastAsia="Times New Roman" w:hAnsi="Times New Roman" w:cs="Times New Roman"/>
          <w:i/>
          <w:iCs/>
          <w:sz w:val="28"/>
          <w:szCs w:val="28"/>
        </w:rPr>
        <w:t>S. Aureus</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lang w:val="en-US"/>
        </w:rPr>
        <w:t>Cetrimide</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Agar</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CET</w:t>
      </w:r>
      <w:r>
        <w:rPr>
          <w:rFonts w:ascii="Times New Roman" w:eastAsia="Times New Roman" w:hAnsi="Times New Roman" w:cs="Times New Roman"/>
          <w:sz w:val="28"/>
          <w:szCs w:val="28"/>
        </w:rPr>
        <w:t xml:space="preserve">) для </w:t>
      </w:r>
      <w:r>
        <w:rPr>
          <w:rFonts w:ascii="Times New Roman" w:eastAsia="Times New Roman" w:hAnsi="Times New Roman" w:cs="Times New Roman"/>
          <w:i/>
          <w:iCs/>
          <w:sz w:val="28"/>
          <w:szCs w:val="28"/>
          <w:lang w:val="en-US"/>
        </w:rPr>
        <w:t>P</w:t>
      </w:r>
      <w:r>
        <w:rPr>
          <w:rFonts w:ascii="Times New Roman" w:eastAsia="Times New Roman" w:hAnsi="Times New Roman" w:cs="Times New Roman"/>
          <w:i/>
          <w:iCs/>
          <w:sz w:val="28"/>
          <w:szCs w:val="28"/>
        </w:rPr>
        <w:t xml:space="preserve">. </w:t>
      </w:r>
      <w:r>
        <w:rPr>
          <w:rFonts w:ascii="Times New Roman" w:eastAsia="Times New Roman" w:hAnsi="Times New Roman" w:cs="Times New Roman"/>
          <w:i/>
          <w:iCs/>
          <w:sz w:val="28"/>
          <w:szCs w:val="28"/>
          <w:lang w:val="en-US"/>
        </w:rPr>
        <w:t>aeruginosa</w:t>
      </w:r>
      <w:r>
        <w:rPr>
          <w:rFonts w:ascii="Times New Roman" w:eastAsia="Times New Roman" w:hAnsi="Times New Roman" w:cs="Times New Roman"/>
          <w:sz w:val="28"/>
          <w:szCs w:val="28"/>
        </w:rPr>
        <w:t>. Чашки инкубировали 24 ч при 37°C. Антибиопленочную активность выражали как процент снижения числа КОЕ/мг биопленки относительно контроля.</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анализа влияния композитов (БЦ, БЦ/Mxene, БЦ/ГАП, БЦ/ГАП/Mxene) на зрелую биопленку использовали методологию Kučerová et al. [165]. Раневое ложе с биопленкой покрывали материалами и инкубировали 48 ч при 37°C. После обработки биопленку дезинтегрировали, как описано выше. Серийные разведения (10¹–10</w:t>
      </w:r>
      <w:r>
        <w:rPr>
          <w:rFonts w:ascii="Cambria Math" w:eastAsia="Times New Roman" w:hAnsi="Cambria Math" w:cs="Times New Roman"/>
          <w:sz w:val="28"/>
          <w:szCs w:val="28"/>
        </w:rPr>
        <w:t>⁶</w:t>
      </w:r>
      <w:r>
        <w:rPr>
          <w:rFonts w:ascii="Times New Roman" w:eastAsia="Times New Roman" w:hAnsi="Times New Roman" w:cs="Times New Roman"/>
          <w:sz w:val="28"/>
          <w:szCs w:val="28"/>
        </w:rPr>
        <w:t>) высевали на MSA и CET с последующим подсчетом колоний.</w:t>
      </w:r>
    </w:p>
    <w:p w:rsidR="00E17FE1" w:rsidRDefault="00E17FE1">
      <w:pPr>
        <w:widowControl w:val="0"/>
        <w:autoSpaceDE w:val="0"/>
        <w:autoSpaceDN w:val="0"/>
        <w:spacing w:after="0" w:line="240" w:lineRule="auto"/>
        <w:ind w:firstLine="567"/>
        <w:jc w:val="both"/>
        <w:rPr>
          <w:rFonts w:ascii="Times New Roman" w:eastAsia="Times New Roman" w:hAnsi="Times New Roman" w:cs="Times New Roman"/>
          <w:sz w:val="28"/>
          <w:szCs w:val="28"/>
          <w:lang w:val="kk-KZ"/>
        </w:rPr>
      </w:pP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b/>
          <w:bCs/>
          <w:iCs/>
          <w:sz w:val="28"/>
          <w:szCs w:val="28"/>
        </w:rPr>
      </w:pPr>
      <w:r>
        <w:rPr>
          <w:rFonts w:ascii="Times New Roman" w:eastAsia="Times New Roman" w:hAnsi="Times New Roman" w:cs="Times New Roman"/>
          <w:b/>
          <w:bCs/>
          <w:iCs/>
          <w:sz w:val="28"/>
          <w:szCs w:val="28"/>
        </w:rPr>
        <w:t xml:space="preserve">2.2.11.3 Анализ биосовместимости и цитотоксичности материалов в условиях </w:t>
      </w:r>
      <w:r>
        <w:rPr>
          <w:rFonts w:ascii="Times New Roman" w:eastAsia="Times New Roman" w:hAnsi="Times New Roman" w:cs="Times New Roman"/>
          <w:b/>
          <w:bCs/>
          <w:i/>
          <w:iCs/>
          <w:sz w:val="28"/>
          <w:szCs w:val="28"/>
        </w:rPr>
        <w:t>in vitro</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iCs/>
          <w:sz w:val="28"/>
          <w:szCs w:val="28"/>
        </w:rPr>
        <w:t>Цитотоксичность</w:t>
      </w:r>
      <w:r>
        <w:rPr>
          <w:rFonts w:ascii="Times New Roman" w:eastAsia="Times New Roman" w:hAnsi="Times New Roman" w:cs="Times New Roman"/>
          <w:iCs/>
          <w:spacing w:val="1"/>
          <w:sz w:val="28"/>
          <w:szCs w:val="28"/>
        </w:rPr>
        <w:t xml:space="preserve"> </w:t>
      </w:r>
      <w:r>
        <w:rPr>
          <w:rFonts w:ascii="Times New Roman" w:eastAsia="Times New Roman" w:hAnsi="Times New Roman" w:cs="Times New Roman"/>
          <w:sz w:val="28"/>
          <w:szCs w:val="28"/>
        </w:rPr>
        <w:t>материалов</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исследовалась</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на</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культуре</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клеток</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мышиных</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фибробластов</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NIH-3T3,</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полученных</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из</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лаборатории</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биомедицинской</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инженерии</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 xml:space="preserve">Аахенского Университета прикладных наук (Германия). Клетки культивировали в модифицированной среде DMEM (Gibco), обогащенной 10% эмбриональной сывороткой крупного рогатого скота (FBS, HyClone), 1% L-глутамином (PanEco), 2 мг/л гидролизата лактальбумина (Sigma-Aldrich) и антибиотиками (100 </w:t>
      </w:r>
      <w:proofErr w:type="gramStart"/>
      <w:r>
        <w:rPr>
          <w:rFonts w:ascii="Times New Roman" w:eastAsia="Times New Roman" w:hAnsi="Times New Roman" w:cs="Times New Roman"/>
          <w:sz w:val="28"/>
          <w:szCs w:val="28"/>
        </w:rPr>
        <w:t>ЕД</w:t>
      </w:r>
      <w:proofErr w:type="gramEnd"/>
      <w:r>
        <w:rPr>
          <w:rFonts w:ascii="Times New Roman" w:eastAsia="Times New Roman" w:hAnsi="Times New Roman" w:cs="Times New Roman"/>
          <w:sz w:val="28"/>
          <w:szCs w:val="28"/>
        </w:rPr>
        <w:t xml:space="preserve">/мл пенициллина, </w:t>
      </w:r>
      <w:r>
        <w:rPr>
          <w:rFonts w:ascii="Times New Roman" w:eastAsia="Times New Roman" w:hAnsi="Times New Roman" w:cs="Times New Roman"/>
          <w:sz w:val="28"/>
          <w:szCs w:val="28"/>
        </w:rPr>
        <w:lastRenderedPageBreak/>
        <w:t>100 мкг/мл стрептомицина).</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Инкубацию проводили при 37°C в атмосфере 5% CO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 Среду заменяли каждые 4 дня. Клетки выращивали до 75–85% конфлюэнтности, после чего диссоциировали 0,25% раствором трипсина-ЭДТА (PanEco) и ресуспендировали в концентрации 10</w:t>
      </w:r>
      <w:r>
        <w:rPr>
          <w:rFonts w:ascii="Cambria Math" w:eastAsia="Times New Roman" w:hAnsi="Cambria Math" w:cs="Times New Roman"/>
          <w:sz w:val="28"/>
          <w:szCs w:val="28"/>
        </w:rPr>
        <w:t>⁴</w:t>
      </w:r>
      <w:r>
        <w:rPr>
          <w:rFonts w:ascii="Times New Roman" w:eastAsia="Times New Roman" w:hAnsi="Times New Roman" w:cs="Times New Roman"/>
          <w:sz w:val="28"/>
          <w:szCs w:val="28"/>
        </w:rPr>
        <w:t xml:space="preserve"> клеток/мл.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pacing w:val="1"/>
          <w:sz w:val="28"/>
          <w:szCs w:val="28"/>
        </w:rPr>
      </w:pPr>
      <w:r>
        <w:rPr>
          <w:rFonts w:ascii="Times New Roman" w:eastAsia="Times New Roman" w:hAnsi="Times New Roman" w:cs="Times New Roman"/>
          <w:sz w:val="28"/>
          <w:szCs w:val="28"/>
        </w:rPr>
        <w:t>Биосовместимость материалов анализировали по следующим параметрам: жизнеспособность, адгезия, морфология и пролиферация клеток в соответствии с ISO 10993-5:2023 [166].</w:t>
      </w:r>
      <w:r>
        <w:rPr>
          <w:rFonts w:ascii="Times New Roman" w:eastAsia="Times New Roman" w:hAnsi="Times New Roman" w:cs="Times New Roman"/>
          <w:spacing w:val="1"/>
          <w:sz w:val="28"/>
          <w:szCs w:val="28"/>
        </w:rPr>
        <w:t xml:space="preserve">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pacing w:val="1"/>
          <w:sz w:val="28"/>
          <w:szCs w:val="28"/>
        </w:rPr>
      </w:pPr>
      <w:r>
        <w:rPr>
          <w:rFonts w:ascii="Times New Roman" w:eastAsia="Times New Roman" w:hAnsi="Times New Roman" w:cs="Times New Roman"/>
          <w:spacing w:val="1"/>
          <w:sz w:val="28"/>
          <w:szCs w:val="28"/>
        </w:rPr>
        <w:t xml:space="preserve">Жизнеспособность клеток определяли через 72 и 120 ч инкубации с материалом. Клетки окрашивали 0,4% раствором трипанового </w:t>
      </w:r>
      <w:proofErr w:type="gramStart"/>
      <w:r>
        <w:rPr>
          <w:rFonts w:ascii="Times New Roman" w:eastAsia="Times New Roman" w:hAnsi="Times New Roman" w:cs="Times New Roman"/>
          <w:spacing w:val="1"/>
          <w:sz w:val="28"/>
          <w:szCs w:val="28"/>
        </w:rPr>
        <w:t>синего</w:t>
      </w:r>
      <w:proofErr w:type="gramEnd"/>
      <w:r>
        <w:rPr>
          <w:rFonts w:ascii="Times New Roman" w:eastAsia="Times New Roman" w:hAnsi="Times New Roman" w:cs="Times New Roman"/>
          <w:spacing w:val="1"/>
          <w:sz w:val="28"/>
          <w:szCs w:val="28"/>
        </w:rPr>
        <w:t xml:space="preserve"> (Sigma-Aldrich) в соотношении 1:1. Живые (неокрашенные) клетки подсчитывали на автоматическом счетчике Bio-Rad TC20.</w:t>
      </w:r>
    </w:p>
    <w:p w:rsidR="00E17FE1" w:rsidRDefault="00BB58D7">
      <w:pPr>
        <w:widowControl w:val="0"/>
        <w:tabs>
          <w:tab w:val="left" w:pos="1417"/>
          <w:tab w:val="left" w:pos="1696"/>
          <w:tab w:val="left" w:pos="3058"/>
          <w:tab w:val="left" w:pos="3339"/>
          <w:tab w:val="left" w:pos="3711"/>
          <w:tab w:val="left" w:pos="4457"/>
          <w:tab w:val="left" w:pos="4670"/>
          <w:tab w:val="left" w:pos="5073"/>
          <w:tab w:val="left" w:pos="5773"/>
          <w:tab w:val="left" w:pos="6236"/>
          <w:tab w:val="left" w:pos="6308"/>
          <w:tab w:val="left" w:pos="6717"/>
          <w:tab w:val="left" w:pos="7586"/>
          <w:tab w:val="left" w:pos="7986"/>
          <w:tab w:val="left" w:pos="8791"/>
        </w:tabs>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определения метаболической активности клеток использовался метод МТТ. </w:t>
      </w:r>
      <w:proofErr w:type="gramStart"/>
      <w:r>
        <w:rPr>
          <w:rFonts w:ascii="Times New Roman" w:eastAsia="Times New Roman" w:hAnsi="Times New Roman" w:cs="Times New Roman"/>
          <w:sz w:val="28"/>
          <w:szCs w:val="28"/>
        </w:rPr>
        <w:t>Клетки высевали в 96-луночные планшеты (5×10</w:t>
      </w:r>
      <w:r>
        <w:rPr>
          <w:rFonts w:ascii="Cambria Math" w:eastAsia="Times New Roman" w:hAnsi="Cambria Math" w:cs="Times New Roman"/>
          <w:sz w:val="28"/>
          <w:szCs w:val="28"/>
        </w:rPr>
        <w:t>⁴</w:t>
      </w:r>
      <w:r>
        <w:rPr>
          <w:rFonts w:ascii="Times New Roman" w:eastAsia="Times New Roman" w:hAnsi="Times New Roman" w:cs="Times New Roman"/>
          <w:sz w:val="28"/>
          <w:szCs w:val="28"/>
        </w:rPr>
        <w:t xml:space="preserve"> клеток/лунку) и инкубировали 24 ч. Образцы материала (площадь 1 см²) помещали в лунки и инкубировали 24, 48 и 72 ч. После удаления материала добавляли 100 мкл раствора MTT (0,5 мг/мл в среде) и инкубировали 2 ч. Формазан растворяли в 100 мкл лизирующего буфера (10% SDS, 40% DMSO, 50% изопропанола).</w:t>
      </w:r>
      <w:proofErr w:type="gramEnd"/>
      <w:r>
        <w:rPr>
          <w:rFonts w:ascii="Times New Roman" w:eastAsia="Times New Roman" w:hAnsi="Times New Roman" w:cs="Times New Roman"/>
          <w:sz w:val="28"/>
          <w:szCs w:val="28"/>
        </w:rPr>
        <w:t xml:space="preserve"> Оптическую плотность измеряли при 570 нм на микропланшетном спектрофотометре BioTek PowerWave 340.</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Адгезивные</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свойства,</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морфология и пролиферация клеток фибробластов, инкубированных с материалами, оценивали с помощью инвертированного микроскопа Zeiss AxioVert 25. Флуоресцентные изображения получали 3-й и</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z w:val="28"/>
          <w:szCs w:val="28"/>
        </w:rPr>
        <w:t>на</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5-й</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день</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культивирования.</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Образцы</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предварительно</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фиксировали</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4%</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раствором</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формальдегида,</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затем</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окрашивали</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флуоресцентным</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красителем</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DHR-123,</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который</w:t>
      </w:r>
      <w:r>
        <w:rPr>
          <w:rFonts w:ascii="Times New Roman" w:eastAsia="Times New Roman" w:hAnsi="Times New Roman" w:cs="Times New Roman"/>
          <w:spacing w:val="-57"/>
          <w:sz w:val="28"/>
          <w:szCs w:val="28"/>
        </w:rPr>
        <w:t xml:space="preserve">  </w:t>
      </w:r>
      <w:r>
        <w:rPr>
          <w:rFonts w:ascii="Times New Roman" w:eastAsia="Times New Roman" w:hAnsi="Times New Roman" w:cs="Times New Roman"/>
          <w:sz w:val="28"/>
          <w:szCs w:val="28"/>
        </w:rPr>
        <w:t>обеспечивает зеленую</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флуоресценцию</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метаболически</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активных</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клетках.</w:t>
      </w:r>
      <w:r>
        <w:rPr>
          <w:rFonts w:ascii="Times New Roman" w:eastAsia="Times New Roman" w:hAnsi="Times New Roman" w:cs="Times New Roman"/>
          <w:spacing w:val="43"/>
          <w:sz w:val="28"/>
          <w:szCs w:val="28"/>
        </w:rPr>
        <w:t xml:space="preserve"> </w:t>
      </w:r>
      <w:r>
        <w:rPr>
          <w:rFonts w:ascii="Times New Roman" w:eastAsia="Times New Roman" w:hAnsi="Times New Roman" w:cs="Times New Roman"/>
          <w:sz w:val="28"/>
          <w:szCs w:val="28"/>
        </w:rPr>
        <w:t>Для окрашивания</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актиновых</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филаментов</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цитоскелета</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клеток</w:t>
      </w:r>
      <w:r>
        <w:rPr>
          <w:rFonts w:ascii="Times New Roman" w:eastAsia="Times New Roman" w:hAnsi="Times New Roman" w:cs="Times New Roman"/>
          <w:spacing w:val="1"/>
          <w:sz w:val="28"/>
          <w:szCs w:val="28"/>
        </w:rPr>
        <w:t xml:space="preserve"> </w:t>
      </w:r>
      <w:r w:rsidR="00812524">
        <w:rPr>
          <w:rFonts w:ascii="Times New Roman" w:eastAsia="Times New Roman" w:hAnsi="Times New Roman" w:cs="Times New Roman"/>
          <w:sz w:val="28"/>
          <w:szCs w:val="28"/>
        </w:rPr>
        <w:t>NIH-3T3</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(зеленый</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цвет)</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использовали</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краситель</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Alexa</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Fluor®</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488</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фаллоидин</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(1:20,</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Invitrogen,</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США).</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Возбуждение</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флуорофоров, меченных фаллоидином Alexa Fluor® 488, проводили при длине волны 488</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нм</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использованием</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полосового</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фильтра</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505-530 нм.</w:t>
      </w:r>
    </w:p>
    <w:p w:rsidR="00E17FE1" w:rsidRDefault="00BB58D7">
      <w:pPr>
        <w:spacing w:after="0" w:line="240" w:lineRule="auto"/>
        <w:ind w:firstLine="567"/>
        <w:jc w:val="both"/>
        <w:outlineLvl w:val="0"/>
        <w:rPr>
          <w:rFonts w:ascii="Times New Roman" w:eastAsia="Times New Roman" w:hAnsi="Times New Roman" w:cs="Times New Roman"/>
          <w:bCs/>
          <w:i/>
          <w:kern w:val="36"/>
          <w:sz w:val="28"/>
          <w:szCs w:val="28"/>
        </w:rPr>
      </w:pPr>
      <w:r>
        <w:rPr>
          <w:rFonts w:ascii="Times New Roman" w:eastAsia="Times New Roman" w:hAnsi="Times New Roman" w:cs="Times New Roman"/>
          <w:bCs/>
          <w:i/>
          <w:kern w:val="36"/>
          <w:sz w:val="28"/>
          <w:szCs w:val="28"/>
        </w:rPr>
        <w:t>Определение антиоксидантной (</w:t>
      </w:r>
      <w:proofErr w:type="gramStart"/>
      <w:r>
        <w:rPr>
          <w:rFonts w:ascii="Times New Roman" w:eastAsia="Times New Roman" w:hAnsi="Times New Roman" w:cs="Times New Roman"/>
          <w:bCs/>
          <w:i/>
          <w:kern w:val="36"/>
          <w:sz w:val="28"/>
          <w:szCs w:val="28"/>
        </w:rPr>
        <w:t>радикал-подавляющей</w:t>
      </w:r>
      <w:proofErr w:type="gramEnd"/>
      <w:r>
        <w:rPr>
          <w:rFonts w:ascii="Times New Roman" w:eastAsia="Times New Roman" w:hAnsi="Times New Roman" w:cs="Times New Roman"/>
          <w:bCs/>
          <w:i/>
          <w:kern w:val="36"/>
          <w:sz w:val="28"/>
          <w:szCs w:val="28"/>
        </w:rPr>
        <w:t>) активности композита БЦ/ГАП/MXene</w:t>
      </w:r>
    </w:p>
    <w:p w:rsidR="00E17FE1" w:rsidRDefault="00BB58D7">
      <w:pPr>
        <w:spacing w:after="0" w:line="240" w:lineRule="auto"/>
        <w:ind w:firstLine="567"/>
        <w:jc w:val="both"/>
        <w:outlineLvl w:val="1"/>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Подготовка образцов</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Композитные плёнки БЦ/ГАП/MXene измельчали до фрагментов (~2×2 мм) и экстрагировали в 50% этаноле (</w:t>
      </w:r>
      <w:proofErr w:type="gramStart"/>
      <w:r>
        <w:rPr>
          <w:rFonts w:ascii="Times New Roman" w:eastAsia="Times New Roman" w:hAnsi="Times New Roman" w:cs="Times New Roman"/>
          <w:sz w:val="28"/>
          <w:szCs w:val="28"/>
        </w:rPr>
        <w:t>масс-объёмно</w:t>
      </w:r>
      <w:proofErr w:type="gramEnd"/>
      <w:r>
        <w:rPr>
          <w:rFonts w:ascii="Times New Roman" w:eastAsia="Times New Roman" w:hAnsi="Times New Roman" w:cs="Times New Roman"/>
          <w:sz w:val="28"/>
          <w:szCs w:val="28"/>
        </w:rPr>
        <w:t>: 0,10 г на 10 мл) при 25 °C в темноте на качалке в течение 24 ч. Полученную суспензию центрифугировали (8000 g, 10 мин), супернатант собирали и использовали как «экстракт». Перед анализом готовили серию разведений. В качестве положительного контроля использовали Trolox (сток 1 мМ в этаноле). Отрицательным контролем служил соответствующий растворитель/буфер.</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Поскольку MXene и ГАП вносили вклад в собственное поглощение/рассеяние, для всех измерений дополнительно регистрировали </w:t>
      </w:r>
      <w:r>
        <w:rPr>
          <w:rFonts w:ascii="Times New Roman" w:eastAsia="Times New Roman" w:hAnsi="Times New Roman" w:cs="Times New Roman"/>
          <w:sz w:val="28"/>
          <w:szCs w:val="28"/>
        </w:rPr>
        <w:lastRenderedPageBreak/>
        <w:t>«бланк образца» (реакционная смесь без радикала/реагента) и проводили поправку сигнала вычитанием.</w:t>
      </w:r>
    </w:p>
    <w:p w:rsidR="00E17FE1" w:rsidRDefault="00BB58D7">
      <w:pPr>
        <w:spacing w:after="0" w:line="240" w:lineRule="auto"/>
        <w:ind w:firstLine="567"/>
        <w:jc w:val="both"/>
        <w:outlineLvl w:val="1"/>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 xml:space="preserve">Тест DPPH </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Раствор радикала DPPH (0,10 мМ) готовили в метаноле в день анализа и доводили до исходной оптической плотности A</w:t>
      </w:r>
      <w:r>
        <w:rPr>
          <w:rFonts w:ascii="Cambria Math" w:eastAsia="Times New Roman" w:hAnsi="Cambria Math" w:cs="Cambria Math"/>
          <w:sz w:val="28"/>
          <w:szCs w:val="28"/>
        </w:rPr>
        <w:t>₀</w:t>
      </w:r>
      <w:r>
        <w:rPr>
          <w:rFonts w:ascii="Times New Roman" w:eastAsia="Times New Roman" w:hAnsi="Times New Roman" w:cs="Times New Roman"/>
          <w:sz w:val="28"/>
          <w:szCs w:val="28"/>
        </w:rPr>
        <w:t>≈0,70–0,90 при 517 нм. В 96-луночных планшетах в каждую лунку вносили 100 мкл раствора DPPH и 100 мкл образца либо стандарта Trolox. Смеси инкубировали 30 мин при 25 °C в темноте и регистрировали A</w:t>
      </w:r>
      <w:r>
        <w:rPr>
          <w:rFonts w:ascii="Cambria Math" w:eastAsia="Times New Roman" w:hAnsi="Cambria Math" w:cs="Cambria Math"/>
          <w:sz w:val="28"/>
          <w:szCs w:val="28"/>
        </w:rPr>
        <w:t>₅₁₇</w:t>
      </w:r>
      <w:r>
        <w:rPr>
          <w:rFonts w:ascii="Times New Roman" w:eastAsia="Times New Roman" w:hAnsi="Times New Roman" w:cs="Times New Roman"/>
          <w:sz w:val="28"/>
          <w:szCs w:val="28"/>
        </w:rPr>
        <w:t xml:space="preserve"> на спектрофотометре.</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учёта собственного поглощения образца параллельно готовили: (а) «радикал-бланк» (DPPH + растворитель) и (б) «бланк образца» (образец + метанол без DPPH). Исправленную оптическую плотность образца рассчитывали как A</w:t>
      </w:r>
      <w:r>
        <w:rPr>
          <w:rFonts w:ascii="Times New Roman" w:eastAsia="Times New Roman" w:hAnsi="Times New Roman" w:cs="Times New Roman"/>
          <w:sz w:val="28"/>
          <w:szCs w:val="28"/>
          <w:vertAlign w:val="subscript"/>
        </w:rPr>
        <w:t>s</w:t>
      </w:r>
      <w:r>
        <w:rPr>
          <w:rFonts w:ascii="Times New Roman" w:eastAsia="Times New Roman" w:hAnsi="Times New Roman" w:cs="Times New Roman"/>
          <w:sz w:val="28"/>
          <w:szCs w:val="28"/>
          <w:vertAlign w:val="superscript"/>
        </w:rPr>
        <w:t>corr</w:t>
      </w:r>
      <w:r>
        <w:rPr>
          <w:rFonts w:ascii="Times New Roman" w:eastAsia="Times New Roman" w:hAnsi="Times New Roman" w:cs="Times New Roman"/>
          <w:sz w:val="28"/>
          <w:szCs w:val="28"/>
        </w:rPr>
        <w:t>=A</w:t>
      </w:r>
      <w:r>
        <w:rPr>
          <w:rFonts w:ascii="Times New Roman" w:eastAsia="Times New Roman" w:hAnsi="Times New Roman" w:cs="Times New Roman"/>
          <w:sz w:val="28"/>
          <w:szCs w:val="28"/>
          <w:vertAlign w:val="subscript"/>
        </w:rPr>
        <w:t>s</w:t>
      </w:r>
      <w:r>
        <w:rPr>
          <w:rFonts w:ascii="Times New Roman" w:eastAsia="Times New Roman" w:hAnsi="Times New Roman" w:cs="Times New Roman"/>
          <w:sz w:val="28"/>
          <w:szCs w:val="28"/>
        </w:rPr>
        <w:t>−A</w:t>
      </w:r>
      <w:r>
        <w:rPr>
          <w:rFonts w:ascii="Times New Roman" w:eastAsia="Times New Roman" w:hAnsi="Times New Roman" w:cs="Times New Roman"/>
          <w:sz w:val="28"/>
          <w:szCs w:val="28"/>
          <w:vertAlign w:val="subscript"/>
        </w:rPr>
        <w:t>blank sample</w:t>
      </w:r>
      <w:r>
        <w:rPr>
          <w:rFonts w:ascii="Times New Roman" w:eastAsia="Times New Roman" w:hAnsi="Times New Roman" w:cs="Times New Roman"/>
          <w:sz w:val="28"/>
          <w:szCs w:val="28"/>
        </w:rPr>
        <w:t xml:space="preserve">. Исправленную плотность контроля принимали </w:t>
      </w:r>
      <w:proofErr w:type="gramStart"/>
      <w:r>
        <w:rPr>
          <w:rFonts w:ascii="Times New Roman" w:eastAsia="Times New Roman" w:hAnsi="Times New Roman" w:cs="Times New Roman"/>
          <w:sz w:val="28"/>
          <w:szCs w:val="28"/>
        </w:rPr>
        <w:t>равной</w:t>
      </w:r>
      <w:proofErr w:type="gramEnd"/>
      <w:r>
        <w:rPr>
          <w:rFonts w:ascii="Times New Roman" w:eastAsia="Times New Roman" w:hAnsi="Times New Roman" w:cs="Times New Roman"/>
          <w:sz w:val="28"/>
          <w:szCs w:val="28"/>
        </w:rPr>
        <w:t xml:space="preserve"> A</w:t>
      </w:r>
      <w:r>
        <w:rPr>
          <w:rFonts w:ascii="Times New Roman" w:eastAsia="Times New Roman" w:hAnsi="Times New Roman" w:cs="Times New Roman"/>
          <w:sz w:val="28"/>
          <w:szCs w:val="28"/>
          <w:vertAlign w:val="subscript"/>
        </w:rPr>
        <w:t>0</w:t>
      </w:r>
      <w:r>
        <w:rPr>
          <w:rFonts w:ascii="Times New Roman" w:eastAsia="Times New Roman" w:hAnsi="Times New Roman" w:cs="Times New Roman"/>
          <w:sz w:val="28"/>
          <w:szCs w:val="28"/>
          <w:vertAlign w:val="superscript"/>
        </w:rPr>
        <w:t>corr</w:t>
      </w:r>
      <w:r>
        <w:rPr>
          <w:rFonts w:ascii="Times New Roman" w:eastAsia="Times New Roman" w:hAnsi="Times New Roman" w:cs="Times New Roman"/>
          <w:sz w:val="28"/>
          <w:szCs w:val="28"/>
        </w:rPr>
        <w:t>=A</w:t>
      </w:r>
      <w:r>
        <w:rPr>
          <w:rFonts w:ascii="Times New Roman" w:eastAsia="Times New Roman" w:hAnsi="Times New Roman" w:cs="Times New Roman"/>
          <w:sz w:val="28"/>
          <w:szCs w:val="28"/>
          <w:vertAlign w:val="subscript"/>
        </w:rPr>
        <w:t>radical blank</w:t>
      </w:r>
      <w:r>
        <w:rPr>
          <w:rFonts w:ascii="Times New Roman" w:eastAsia="Times New Roman" w:hAnsi="Times New Roman" w:cs="Times New Roman"/>
          <w:sz w:val="28"/>
          <w:szCs w:val="28"/>
        </w:rPr>
        <w:t>. Процент подавления радикала вычисляли по формуле:</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ингибирования=(1−A</w:t>
      </w:r>
      <w:r>
        <w:rPr>
          <w:rFonts w:ascii="Times New Roman" w:eastAsia="Times New Roman" w:hAnsi="Times New Roman" w:cs="Times New Roman"/>
          <w:sz w:val="28"/>
          <w:szCs w:val="28"/>
          <w:vertAlign w:val="subscript"/>
        </w:rPr>
        <w:t>s</w:t>
      </w:r>
      <w:r>
        <w:rPr>
          <w:rFonts w:ascii="Times New Roman" w:eastAsia="Times New Roman" w:hAnsi="Times New Roman" w:cs="Times New Roman"/>
          <w:sz w:val="28"/>
          <w:szCs w:val="28"/>
          <w:vertAlign w:val="superscript"/>
        </w:rPr>
        <w:t>corr</w:t>
      </w:r>
      <w:r>
        <w:rPr>
          <w:rFonts w:ascii="Times New Roman" w:eastAsia="Times New Roman" w:hAnsi="Times New Roman" w:cs="Times New Roman"/>
          <w:sz w:val="28"/>
          <w:szCs w:val="28"/>
        </w:rPr>
        <w:t>/A</w:t>
      </w:r>
      <w:r>
        <w:rPr>
          <w:rFonts w:ascii="Times New Roman" w:eastAsia="Times New Roman" w:hAnsi="Times New Roman" w:cs="Times New Roman"/>
          <w:sz w:val="28"/>
          <w:szCs w:val="28"/>
          <w:vertAlign w:val="subscript"/>
        </w:rPr>
        <w:t>0</w:t>
      </w:r>
      <w:r>
        <w:rPr>
          <w:rFonts w:ascii="Times New Roman" w:eastAsia="Times New Roman" w:hAnsi="Times New Roman" w:cs="Times New Roman"/>
          <w:sz w:val="28"/>
          <w:szCs w:val="28"/>
          <w:vertAlign w:val="superscript"/>
        </w:rPr>
        <w:t>corr</w:t>
      </w:r>
      <w:r>
        <w:rPr>
          <w:rFonts w:ascii="Times New Roman" w:eastAsia="Times New Roman" w:hAnsi="Times New Roman" w:cs="Times New Roman"/>
          <w:sz w:val="28"/>
          <w:szCs w:val="28"/>
        </w:rPr>
        <w:t xml:space="preserve">)×100%. </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каждого образца строили зависимость «% ингибирования – концентрация». Значение IC</w:t>
      </w:r>
      <w:r>
        <w:rPr>
          <w:rFonts w:ascii="Cambria Math" w:eastAsia="Times New Roman" w:hAnsi="Cambria Math" w:cs="Cambria Math"/>
          <w:sz w:val="28"/>
          <w:szCs w:val="28"/>
        </w:rPr>
        <w:t>₅₀</w:t>
      </w:r>
      <w:r>
        <w:rPr>
          <w:rFonts w:ascii="Times New Roman" w:eastAsia="Times New Roman" w:hAnsi="Times New Roman" w:cs="Times New Roman"/>
          <w:sz w:val="28"/>
          <w:szCs w:val="28"/>
        </w:rPr>
        <w:t xml:space="preserve"> определяли на основании точки 50 % ингибирования методом линейной интерполяции между ближайшими экспериментальными концентрациями. Все измерения проводили минимум в трёх независимых повторах (n ≥ 3) и представляли как среднее ± SD.</w:t>
      </w:r>
    </w:p>
    <w:p w:rsidR="00E17FE1" w:rsidRDefault="00E17FE1">
      <w:pPr>
        <w:widowControl w:val="0"/>
        <w:autoSpaceDE w:val="0"/>
        <w:autoSpaceDN w:val="0"/>
        <w:spacing w:after="0" w:line="240" w:lineRule="auto"/>
        <w:ind w:firstLine="567"/>
        <w:jc w:val="both"/>
        <w:rPr>
          <w:rFonts w:ascii="Times New Roman" w:eastAsia="Times New Roman" w:hAnsi="Times New Roman" w:cs="Times New Roman"/>
          <w:sz w:val="28"/>
          <w:szCs w:val="28"/>
        </w:rPr>
      </w:pP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2.2.12 Статистический анализ </w:t>
      </w:r>
    </w:p>
    <w:p w:rsidR="00E17FE1" w:rsidRDefault="00BB58D7">
      <w:pPr>
        <w:spacing w:after="0" w:line="240" w:lineRule="auto"/>
        <w:ind w:right="-1" w:firstLine="567"/>
        <w:jc w:val="both"/>
        <w:rPr>
          <w:rFonts w:ascii="Times New Roman" w:eastAsia="Calibri" w:hAnsi="Times New Roman" w:cs="Times New Roman"/>
          <w:bCs/>
          <w:sz w:val="28"/>
          <w:szCs w:val="28"/>
        </w:rPr>
      </w:pPr>
      <w:r>
        <w:rPr>
          <w:rFonts w:ascii="Times New Roman" w:eastAsia="Calibri" w:hAnsi="Times New Roman" w:cs="Times New Roman"/>
          <w:bCs/>
          <w:sz w:val="28"/>
          <w:szCs w:val="28"/>
        </w:rPr>
        <w:t>Если не указано иное, все экспериментальные группы анализировали в трех повторностях.</w:t>
      </w:r>
      <w:r>
        <w:rPr>
          <w:rFonts w:ascii="Times New Roman" w:eastAsia="Calibri" w:hAnsi="Times New Roman" w:cs="Times New Roman"/>
          <w:b/>
          <w:sz w:val="28"/>
          <w:szCs w:val="28"/>
        </w:rPr>
        <w:t xml:space="preserve"> </w:t>
      </w:r>
      <w:r>
        <w:rPr>
          <w:rFonts w:ascii="Times New Roman" w:eastAsia="Calibri" w:hAnsi="Times New Roman" w:cs="Times New Roman"/>
          <w:bCs/>
          <w:sz w:val="28"/>
          <w:szCs w:val="28"/>
        </w:rPr>
        <w:t>Экспериментальные измерения представлены как среднее значение и стандартное отклонение (среднее ± SD). Разницу между группами анализировали с помощью однофакторного дисперсионного анализа (ANOVA) с последующим тестом Тьюки. Весь статистический анализ проводился с использованием программного обеспечения SPSS (версия 28.0, IBM Corp., Армонк, Нью-Йорк, США). Значение p</w:t>
      </w:r>
      <w:r>
        <w:rPr>
          <w:rFonts w:ascii="Times New Roman" w:eastAsia="Calibri" w:hAnsi="Times New Roman" w:cs="Times New Roman"/>
          <w:bCs/>
          <w:sz w:val="28"/>
          <w:szCs w:val="28"/>
        </w:rPr>
        <w:sym w:font="Symbol" w:char="F03C"/>
      </w:r>
      <w:r>
        <w:rPr>
          <w:rFonts w:ascii="Times New Roman" w:eastAsia="Calibri" w:hAnsi="Times New Roman" w:cs="Times New Roman"/>
          <w:bCs/>
          <w:sz w:val="28"/>
          <w:szCs w:val="28"/>
        </w:rPr>
        <w:t>0,05 считалось статистически значимым.</w:t>
      </w: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lang w:val="en-US"/>
        </w:rPr>
      </w:pPr>
    </w:p>
    <w:p w:rsidR="004764F9" w:rsidRDefault="004764F9">
      <w:pPr>
        <w:spacing w:after="0" w:line="240" w:lineRule="auto"/>
        <w:ind w:firstLine="567"/>
        <w:rPr>
          <w:rFonts w:ascii="Times New Roman" w:hAnsi="Times New Roman" w:cs="Times New Roman"/>
          <w:b/>
          <w:sz w:val="28"/>
          <w:szCs w:val="28"/>
          <w:lang w:val="en-US"/>
        </w:rPr>
      </w:pPr>
    </w:p>
    <w:p w:rsidR="004764F9" w:rsidRDefault="004764F9">
      <w:pPr>
        <w:spacing w:after="0" w:line="240" w:lineRule="auto"/>
        <w:ind w:firstLine="567"/>
        <w:rPr>
          <w:rFonts w:ascii="Times New Roman" w:hAnsi="Times New Roman" w:cs="Times New Roman"/>
          <w:b/>
          <w:sz w:val="28"/>
          <w:szCs w:val="28"/>
          <w:lang w:val="en-US"/>
        </w:rPr>
      </w:pPr>
    </w:p>
    <w:p w:rsidR="004764F9" w:rsidRDefault="004764F9">
      <w:pPr>
        <w:spacing w:after="0" w:line="240" w:lineRule="auto"/>
        <w:ind w:firstLine="567"/>
        <w:rPr>
          <w:rFonts w:ascii="Times New Roman" w:hAnsi="Times New Roman" w:cs="Times New Roman"/>
          <w:b/>
          <w:sz w:val="28"/>
          <w:szCs w:val="28"/>
          <w:lang w:val="en-US"/>
        </w:rPr>
      </w:pPr>
    </w:p>
    <w:p w:rsidR="004764F9" w:rsidRPr="004764F9" w:rsidRDefault="004764F9">
      <w:pPr>
        <w:spacing w:after="0" w:line="240" w:lineRule="auto"/>
        <w:ind w:firstLine="567"/>
        <w:rPr>
          <w:rFonts w:ascii="Times New Roman" w:hAnsi="Times New Roman" w:cs="Times New Roman"/>
          <w:b/>
          <w:sz w:val="28"/>
          <w:szCs w:val="28"/>
          <w:lang w:val="en-US"/>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BB58D7">
      <w:pPr>
        <w:spacing w:after="0" w:line="240" w:lineRule="auto"/>
        <w:ind w:firstLine="567"/>
        <w:rPr>
          <w:rFonts w:ascii="Times New Roman" w:hAnsi="Times New Roman" w:cs="Times New Roman"/>
          <w:b/>
          <w:sz w:val="28"/>
          <w:szCs w:val="28"/>
        </w:rPr>
      </w:pPr>
      <w:r>
        <w:rPr>
          <w:rFonts w:ascii="Times New Roman" w:hAnsi="Times New Roman" w:cs="Times New Roman"/>
          <w:b/>
          <w:sz w:val="28"/>
          <w:szCs w:val="28"/>
        </w:rPr>
        <w:lastRenderedPageBreak/>
        <w:t xml:space="preserve">3 РЕЗУЛЬТАТЫ ИССЛЕДОВАНИЯ И ИХ ОБСУЖДЕНИЕ </w:t>
      </w:r>
    </w:p>
    <w:p w:rsidR="00E17FE1" w:rsidRDefault="00BB58D7">
      <w:pPr>
        <w:spacing w:after="0" w:line="240" w:lineRule="auto"/>
        <w:ind w:firstLine="567"/>
        <w:rPr>
          <w:rFonts w:ascii="Times New Roman" w:hAnsi="Times New Roman" w:cs="Times New Roman"/>
          <w:b/>
          <w:sz w:val="28"/>
          <w:szCs w:val="28"/>
        </w:rPr>
      </w:pPr>
      <w:r>
        <w:rPr>
          <w:rFonts w:ascii="Times New Roman" w:hAnsi="Times New Roman" w:cs="Times New Roman"/>
          <w:b/>
          <w:sz w:val="28"/>
          <w:szCs w:val="28"/>
        </w:rPr>
        <w:t xml:space="preserve"> </w:t>
      </w:r>
    </w:p>
    <w:p w:rsidR="00E17FE1" w:rsidRDefault="00BB58D7">
      <w:pPr>
        <w:spacing w:after="0" w:line="240" w:lineRule="auto"/>
        <w:ind w:right="-1" w:firstLine="567"/>
        <w:jc w:val="both"/>
        <w:rPr>
          <w:rFonts w:ascii="Times New Roman" w:eastAsia="DejaVu Sans" w:hAnsi="Times New Roman" w:cs="Times New Roman"/>
          <w:b/>
          <w:sz w:val="28"/>
          <w:szCs w:val="28"/>
          <w:lang w:eastAsia="zh-CN" w:bidi="hi-IN"/>
        </w:rPr>
      </w:pPr>
      <w:r>
        <w:rPr>
          <w:rFonts w:ascii="Times New Roman" w:eastAsia="Times New Roman" w:hAnsi="Times New Roman" w:cs="Times New Roman"/>
          <w:b/>
          <w:sz w:val="28"/>
          <w:szCs w:val="28"/>
          <w:lang w:eastAsia="ru-RU"/>
        </w:rPr>
        <w:t xml:space="preserve">3.1 Получение </w:t>
      </w:r>
      <w:proofErr w:type="gramStart"/>
      <w:r>
        <w:rPr>
          <w:rFonts w:ascii="Times New Roman" w:eastAsia="Times New Roman" w:hAnsi="Times New Roman" w:cs="Times New Roman"/>
          <w:b/>
          <w:sz w:val="28"/>
          <w:szCs w:val="28"/>
          <w:lang w:eastAsia="ru-RU"/>
        </w:rPr>
        <w:t>комплексного</w:t>
      </w:r>
      <w:proofErr w:type="gramEnd"/>
      <w:r>
        <w:rPr>
          <w:rFonts w:ascii="Times New Roman" w:eastAsia="Times New Roman" w:hAnsi="Times New Roman" w:cs="Times New Roman"/>
          <w:b/>
          <w:sz w:val="28"/>
          <w:szCs w:val="28"/>
          <w:lang w:eastAsia="ru-RU"/>
        </w:rPr>
        <w:t xml:space="preserve"> наноматериала </w:t>
      </w:r>
      <w:r>
        <w:rPr>
          <w:rFonts w:ascii="Times New Roman" w:eastAsia="DejaVu Sans" w:hAnsi="Times New Roman" w:cs="Times New Roman"/>
          <w:b/>
          <w:sz w:val="28"/>
          <w:szCs w:val="28"/>
          <w:lang w:eastAsia="zh-CN" w:bidi="hi-IN"/>
        </w:rPr>
        <w:t>БЦ/ГАП/</w:t>
      </w:r>
      <w:r>
        <w:rPr>
          <w:rFonts w:ascii="Times New Roman" w:eastAsia="DejaVu Sans" w:hAnsi="Times New Roman" w:cs="Times New Roman"/>
          <w:b/>
          <w:sz w:val="28"/>
          <w:szCs w:val="28"/>
          <w:lang w:val="en-US" w:eastAsia="zh-CN" w:bidi="hi-IN"/>
        </w:rPr>
        <w:t>MXene</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Композитные материалы устраняют ограничения, наблюдаемые в системах на основе одного ингридиента. Интеграция двух или более компонентов позволяет создать материал с превосходными свойствами, такими как механическая прочность, контролируемая биоразлагаемость и антимикробная активность, что ещё больше расширяет область его применения. Преимущество композитных материалов заключается в их пластичности, что позволяет адаптировать их под конкретные потребности, например, для создания биоактивных антисептических покрытий инфицированных ран. Предполагается, что композит будет демонстрировать функциональные возможности каждого компонента, способствуя тем самым не только уничтожению микробов, но и регенерации тканей. </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Бактериальная целлюлоза – уникальный тип наноцеллюлозы, находящий применение в разных отраслях. В том числе и в мед</w:t>
      </w:r>
      <w:r>
        <w:rPr>
          <w:rFonts w:ascii="Times New Roman" w:eastAsia="Times New Roman" w:hAnsi="Times New Roman" w:cs="Times New Roman"/>
          <w:sz w:val="28"/>
          <w:szCs w:val="28"/>
          <w:lang w:val="kk-KZ" w:eastAsia="ru-RU"/>
        </w:rPr>
        <w:t>и</w:t>
      </w:r>
      <w:r>
        <w:rPr>
          <w:rFonts w:ascii="Times New Roman" w:eastAsia="Times New Roman" w:hAnsi="Times New Roman" w:cs="Times New Roman"/>
          <w:sz w:val="28"/>
          <w:szCs w:val="28"/>
          <w:lang w:eastAsia="ru-RU"/>
        </w:rPr>
        <w:t xml:space="preserve">цине. Однако материалы </w:t>
      </w:r>
      <w:proofErr w:type="gramStart"/>
      <w:r>
        <w:rPr>
          <w:rFonts w:ascii="Times New Roman" w:eastAsia="Times New Roman" w:hAnsi="Times New Roman" w:cs="Times New Roman"/>
          <w:sz w:val="28"/>
          <w:szCs w:val="28"/>
          <w:lang w:eastAsia="ru-RU"/>
        </w:rPr>
        <w:t>медицинского</w:t>
      </w:r>
      <w:proofErr w:type="gramEnd"/>
      <w:r>
        <w:rPr>
          <w:rFonts w:ascii="Times New Roman" w:eastAsia="Times New Roman" w:hAnsi="Times New Roman" w:cs="Times New Roman"/>
          <w:sz w:val="28"/>
          <w:szCs w:val="28"/>
          <w:lang w:eastAsia="ru-RU"/>
        </w:rPr>
        <w:t xml:space="preserve"> нахзначения из чистой БЦ имеют ряд ограничений, о которых упоминалось ранее. Типичный способ их устранения - интеграция дополнительных компонентов в матрицу БЦ, что позволяет создавать гибридные материалы с расширенным спектром свойств. Мы предлагаем новый композит на основе БЦ с добавлением MXene и ГАП. Отдельные составляющие такого композитного материала проявляют различные биомедицинские свойства (например, антибактериальные, регенеративные), которые обсуждались в обзоре литературы. Более того, ожидается синергетическое взаимодействие между компонентами в составе композита. Некоторые ранее изученные комбинации, обобщенные в таблице 1, обосновывают эту возможность. </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этим мы намерены разработать </w:t>
      </w:r>
      <w:proofErr w:type="gramStart"/>
      <w:r>
        <w:rPr>
          <w:rFonts w:ascii="Times New Roman" w:eastAsia="Times New Roman" w:hAnsi="Times New Roman" w:cs="Times New Roman"/>
          <w:sz w:val="28"/>
          <w:szCs w:val="28"/>
          <w:lang w:eastAsia="ru-RU"/>
        </w:rPr>
        <w:t>новый</w:t>
      </w:r>
      <w:proofErr w:type="gramEnd"/>
      <w:r>
        <w:rPr>
          <w:rFonts w:ascii="Times New Roman" w:eastAsia="Times New Roman" w:hAnsi="Times New Roman" w:cs="Times New Roman"/>
          <w:sz w:val="28"/>
          <w:szCs w:val="28"/>
          <w:lang w:eastAsia="ru-RU"/>
        </w:rPr>
        <w:t xml:space="preserve"> композитный наноматериал, </w:t>
      </w:r>
      <w:r>
        <w:rPr>
          <w:rFonts w:ascii="Times New Roman" w:eastAsia="Times New Roman" w:hAnsi="Times New Roman"/>
          <w:sz w:val="28"/>
          <w:szCs w:val="28"/>
          <w:lang w:eastAsia="ru-RU"/>
        </w:rPr>
        <w:t>объединяющий</w:t>
      </w:r>
      <w:r>
        <w:rPr>
          <w:rFonts w:ascii="Times New Roman" w:eastAsia="Times New Roman" w:hAnsi="Times New Roman" w:cs="Times New Roman"/>
          <w:sz w:val="28"/>
          <w:szCs w:val="28"/>
          <w:lang w:eastAsia="ru-RU"/>
        </w:rPr>
        <w:t xml:space="preserve"> структурные и функциональные качества каждого ингридиента. Пористая матрица на основе биополимера БЦ будет одновременно служить структурной основой </w:t>
      </w:r>
      <w:proofErr w:type="gramStart"/>
      <w:r>
        <w:rPr>
          <w:rFonts w:ascii="Times New Roman" w:eastAsia="Times New Roman" w:hAnsi="Times New Roman" w:cs="Times New Roman"/>
          <w:sz w:val="28"/>
          <w:szCs w:val="28"/>
          <w:lang w:eastAsia="ru-RU"/>
        </w:rPr>
        <w:t>композита</w:t>
      </w:r>
      <w:proofErr w:type="gramEnd"/>
      <w:r>
        <w:rPr>
          <w:rFonts w:ascii="Times New Roman" w:eastAsia="Times New Roman" w:hAnsi="Times New Roman" w:cs="Times New Roman"/>
          <w:sz w:val="28"/>
          <w:szCs w:val="28"/>
          <w:lang w:eastAsia="ru-RU"/>
        </w:rPr>
        <w:t xml:space="preserve"> и поддерживать биологическую активность, имитируя внеклеточное пространство. Структура будет усилена добавлением MXene, что обеспечит не только </w:t>
      </w:r>
      <w:proofErr w:type="gramStart"/>
      <w:r>
        <w:rPr>
          <w:rFonts w:ascii="Times New Roman" w:eastAsia="Times New Roman" w:hAnsi="Times New Roman" w:cs="Times New Roman"/>
          <w:sz w:val="28"/>
          <w:szCs w:val="28"/>
          <w:lang w:eastAsia="ru-RU"/>
        </w:rPr>
        <w:t>антибактериальную</w:t>
      </w:r>
      <w:proofErr w:type="gramEnd"/>
      <w:r>
        <w:rPr>
          <w:rFonts w:ascii="Times New Roman" w:eastAsia="Times New Roman" w:hAnsi="Times New Roman" w:cs="Times New Roman"/>
          <w:sz w:val="28"/>
          <w:szCs w:val="28"/>
          <w:lang w:eastAsia="ru-RU"/>
        </w:rPr>
        <w:t>, но и расширит спектр возможных терапевтических мер. ГАП в этом композитном материале служит источником ионов кальция (Ca</w:t>
      </w:r>
      <w:r>
        <w:rPr>
          <w:rFonts w:ascii="Times New Roman" w:eastAsia="Times New Roman" w:hAnsi="Times New Roman" w:cs="Times New Roman"/>
          <w:sz w:val="28"/>
          <w:szCs w:val="28"/>
          <w:vertAlign w:val="superscript"/>
          <w:lang w:eastAsia="ru-RU"/>
        </w:rPr>
        <w:t>2+</w:t>
      </w:r>
      <w:r>
        <w:rPr>
          <w:rFonts w:ascii="Times New Roman" w:eastAsia="Times New Roman" w:hAnsi="Times New Roman" w:cs="Times New Roman"/>
          <w:sz w:val="28"/>
          <w:szCs w:val="28"/>
          <w:lang w:eastAsia="ru-RU"/>
        </w:rPr>
        <w:t>), который модулирует иммунную систему, меняет уровень экспрессии пр</w:t>
      </w:r>
      <w:proofErr w:type="gramStart"/>
      <w:r>
        <w:rPr>
          <w:rFonts w:ascii="Times New Roman" w:eastAsia="Times New Roman" w:hAnsi="Times New Roman" w:cs="Times New Roman"/>
          <w:sz w:val="28"/>
          <w:szCs w:val="28"/>
          <w:lang w:eastAsia="ru-RU"/>
        </w:rPr>
        <w:t>о-</w:t>
      </w:r>
      <w:proofErr w:type="gramEnd"/>
      <w:r>
        <w:rPr>
          <w:rFonts w:ascii="Times New Roman" w:eastAsia="Times New Roman" w:hAnsi="Times New Roman" w:cs="Times New Roman"/>
          <w:sz w:val="28"/>
          <w:szCs w:val="28"/>
          <w:lang w:eastAsia="ru-RU"/>
        </w:rPr>
        <w:t xml:space="preserve"> и противоспалительных цитокинов, стимулирует пролиферацию эпидермальных клеток.</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Биоактивность материала матрицы имеет решающее значение для изучения его влияния на молекулярные взаимодействия и клеточные процессы в целом. Высокая плотность гидроксильных групп</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ОН) в БЦ способствует установлению электростатических взаимодействий между ее волокнами, аддитивными ионами или частицами [167]. Пористая природа БЦ также играет роль в захвате армирующих компонентов, таких как MXenes, и </w:t>
      </w:r>
      <w:r>
        <w:rPr>
          <w:rFonts w:ascii="Times New Roman" w:eastAsia="Times New Roman" w:hAnsi="Times New Roman" w:cs="Times New Roman"/>
          <w:sz w:val="28"/>
          <w:szCs w:val="28"/>
          <w:lang w:eastAsia="ru-RU"/>
        </w:rPr>
        <w:lastRenderedPageBreak/>
        <w:t>облегчает диффузию ионов [168]. Кроме того, большая площадь поверхности MXenes и наличие различных функциональных групп на их поверхности также способствуют ионным взаимодействиям. Включение ГАП позволяет ионам кальция (Ca</w:t>
      </w:r>
      <w:r>
        <w:rPr>
          <w:rFonts w:ascii="Times New Roman" w:eastAsia="Times New Roman" w:hAnsi="Times New Roman" w:cs="Times New Roman"/>
          <w:sz w:val="28"/>
          <w:szCs w:val="28"/>
          <w:vertAlign w:val="superscript"/>
          <w:lang w:eastAsia="ru-RU"/>
        </w:rPr>
        <w:t>2+</w:t>
      </w:r>
      <w:r>
        <w:rPr>
          <w:rFonts w:ascii="Times New Roman" w:eastAsia="Times New Roman" w:hAnsi="Times New Roman" w:cs="Times New Roman"/>
          <w:sz w:val="28"/>
          <w:szCs w:val="28"/>
          <w:lang w:eastAsia="ru-RU"/>
        </w:rPr>
        <w:t xml:space="preserve">) высвобождаться в окружающую ткань, </w:t>
      </w:r>
      <w:proofErr w:type="gramStart"/>
      <w:r>
        <w:rPr>
          <w:rFonts w:ascii="Times New Roman" w:eastAsia="Times New Roman" w:hAnsi="Times New Roman" w:cs="Times New Roman"/>
          <w:sz w:val="28"/>
          <w:szCs w:val="28"/>
          <w:lang w:eastAsia="ru-RU"/>
        </w:rPr>
        <w:t>действуя как вторичные посредники в различных</w:t>
      </w:r>
      <w:proofErr w:type="gramEnd"/>
      <w:r>
        <w:rPr>
          <w:rFonts w:ascii="Times New Roman" w:eastAsia="Times New Roman" w:hAnsi="Times New Roman" w:cs="Times New Roman"/>
          <w:sz w:val="28"/>
          <w:szCs w:val="28"/>
          <w:lang w:eastAsia="ru-RU"/>
        </w:rPr>
        <w:t xml:space="preserve"> внутриклеточных сигнальных путях, важных для регенерации тканей [</w:t>
      </w:r>
      <w:r>
        <w:rPr>
          <w:rFonts w:ascii="Times New Roman" w:eastAsia="Arial" w:hAnsi="Times New Roman" w:cs="Times New Roman"/>
          <w:sz w:val="28"/>
          <w:szCs w:val="28"/>
        </w:rPr>
        <w:t>169</w:t>
      </w:r>
      <w:r>
        <w:rPr>
          <w:rFonts w:ascii="Times New Roman" w:eastAsia="Times New Roman" w:hAnsi="Times New Roman" w:cs="Times New Roman"/>
          <w:sz w:val="28"/>
          <w:szCs w:val="28"/>
          <w:lang w:eastAsia="ru-RU"/>
        </w:rPr>
        <w:t>].</w:t>
      </w:r>
    </w:p>
    <w:p w:rsidR="00E17FE1" w:rsidRDefault="00BB58D7">
      <w:pPr>
        <w:spacing w:after="0" w:line="240" w:lineRule="auto"/>
        <w:ind w:firstLine="567"/>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 xml:space="preserve">На момент проведения нашего исследования в литературе не было обнаружено композитов MXene/ГАП на основе БЦ. В связи с этим одна из главных задач проводимого исследования состояла в подборе наиболее адекватного способа получения такого композита, разработке которого посвящен данный раздел.  </w:t>
      </w:r>
    </w:p>
    <w:p w:rsidR="00E17FE1" w:rsidRDefault="00E17FE1">
      <w:pPr>
        <w:spacing w:after="0" w:line="240" w:lineRule="auto"/>
        <w:ind w:firstLine="567"/>
        <w:jc w:val="both"/>
        <w:rPr>
          <w:rFonts w:ascii="Times New Roman" w:eastAsia="Times New Roman" w:hAnsi="Times New Roman" w:cs="Times New Roman"/>
          <w:b/>
          <w:bCs/>
          <w:sz w:val="28"/>
          <w:szCs w:val="28"/>
          <w:lang w:eastAsia="ru-RU"/>
        </w:rPr>
      </w:pPr>
    </w:p>
    <w:p w:rsidR="00E17FE1" w:rsidRDefault="00BB58D7">
      <w:pPr>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3.1.1</w:t>
      </w:r>
      <w:r w:rsidR="00025A8F">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Синтез БЦ - несущей матрицы гибридного материала</w:t>
      </w:r>
    </w:p>
    <w:p w:rsidR="00E17FE1" w:rsidRDefault="00BB58D7">
      <w:pPr>
        <w:tabs>
          <w:tab w:val="left" w:pos="0"/>
        </w:tabs>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3.1.1.1</w:t>
      </w:r>
      <w:r w:rsidR="00025A8F">
        <w:rPr>
          <w:rFonts w:ascii="Times New Roman" w:hAnsi="Times New Roman" w:cs="Times New Roman"/>
          <w:b/>
          <w:bCs/>
          <w:sz w:val="28"/>
          <w:szCs w:val="28"/>
        </w:rPr>
        <w:t xml:space="preserve"> </w:t>
      </w:r>
      <w:r>
        <w:rPr>
          <w:rFonts w:ascii="Times New Roman" w:hAnsi="Times New Roman" w:cs="Times New Roman"/>
          <w:b/>
          <w:bCs/>
          <w:sz w:val="28"/>
          <w:szCs w:val="28"/>
        </w:rPr>
        <w:t xml:space="preserve">Модификация состава классической питательной среды </w:t>
      </w:r>
      <w:r>
        <w:rPr>
          <w:rFonts w:ascii="Times New Roman" w:eastAsia="DejaVu Sans" w:hAnsi="Times New Roman" w:cs="Times New Roman"/>
          <w:b/>
          <w:sz w:val="28"/>
          <w:szCs w:val="28"/>
          <w:lang w:eastAsia="zh-CN" w:bidi="hi-IN"/>
        </w:rPr>
        <w:t xml:space="preserve">Гестри и Шрамма (HS) </w:t>
      </w:r>
      <w:r>
        <w:rPr>
          <w:rFonts w:ascii="Times New Roman" w:hAnsi="Times New Roman" w:cs="Times New Roman"/>
          <w:b/>
          <w:bCs/>
          <w:sz w:val="28"/>
          <w:szCs w:val="28"/>
        </w:rPr>
        <w:t xml:space="preserve">для повышения целлюлозосинтетической активности штамма </w:t>
      </w:r>
      <w:r>
        <w:rPr>
          <w:rStyle w:val="a5"/>
          <w:rFonts w:ascii="Times New Roman" w:hAnsi="Times New Roman" w:cs="Times New Roman"/>
          <w:b/>
          <w:bCs/>
          <w:sz w:val="28"/>
          <w:szCs w:val="28"/>
        </w:rPr>
        <w:t>Komagataeibacter xylinus</w:t>
      </w:r>
      <w:r>
        <w:rPr>
          <w:rFonts w:ascii="Times New Roman" w:hAnsi="Times New Roman" w:cs="Times New Roman"/>
          <w:b/>
          <w:bCs/>
          <w:sz w:val="28"/>
          <w:szCs w:val="28"/>
        </w:rPr>
        <w:t xml:space="preserve"> С-3 </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Продуктивность бактериального синтеза в значительной степени определяется как составом питательной среды, так и условиями культивирования. Это особенно важно для бактерий, способных продуцировать бактериальную целлюлозу (БЦ), поскольку скорость роста клеточной биомассы напрямую связана с интенсивностью биосинтеза полимера. Среди множества факторов, регулирующих выход и качество БЦ, решающую роль играет источник углерода.</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Большинство целлюлозосинтезирующих бактерий используют глюкозу в качестве основного субстрата, что обусловлено её прямым включением в метаболический путь образования целлюлозы. Именно поэтому стандартная среда </w:t>
      </w:r>
      <w:r w:rsidR="004764F9" w:rsidRPr="004764F9">
        <w:rPr>
          <w:rFonts w:ascii="Times New Roman" w:eastAsia="DejaVu Sans" w:hAnsi="Times New Roman" w:cs="Times New Roman"/>
          <w:sz w:val="28"/>
          <w:szCs w:val="28"/>
          <w:lang w:eastAsia="zh-CN" w:bidi="hi-IN"/>
        </w:rPr>
        <w:t>Хестрина-Шрамма</w:t>
      </w:r>
      <w:r>
        <w:rPr>
          <w:rFonts w:ascii="Times New Roman" w:eastAsia="DejaVu Sans" w:hAnsi="Times New Roman" w:cs="Times New Roman"/>
          <w:sz w:val="28"/>
          <w:szCs w:val="28"/>
          <w:lang w:eastAsia="zh-CN" w:bidi="hi-IN"/>
        </w:rPr>
        <w:t xml:space="preserve"> (HS) содержит глюкозу в качестве базового компонента. Однако в ряде исследований сообщалось о возможности замены глюкозы другими углеродными источниками, такими как сахароза, фруктоза, галактоза, маннит и глицерин [170].</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Сравнительный анализ показал, что наиболее высокий выход БЦ достигается при использовании сахарозы, далее по эффективности следуют глицерин, маннит, глюкоза и фруктоза. Галактоза же продемонстрировала наименьшую пригодность для синтеза целлюлозы. Исследователи объясняют эти </w:t>
      </w:r>
      <w:proofErr w:type="gramStart"/>
      <w:r>
        <w:rPr>
          <w:rFonts w:ascii="Times New Roman" w:eastAsia="DejaVu Sans" w:hAnsi="Times New Roman" w:cs="Times New Roman"/>
          <w:sz w:val="28"/>
          <w:szCs w:val="28"/>
          <w:lang w:eastAsia="zh-CN" w:bidi="hi-IN"/>
        </w:rPr>
        <w:t>различия</w:t>
      </w:r>
      <w:proofErr w:type="gramEnd"/>
      <w:r>
        <w:rPr>
          <w:rFonts w:ascii="Times New Roman" w:eastAsia="DejaVu Sans" w:hAnsi="Times New Roman" w:cs="Times New Roman"/>
          <w:sz w:val="28"/>
          <w:szCs w:val="28"/>
          <w:lang w:eastAsia="zh-CN" w:bidi="hi-IN"/>
        </w:rPr>
        <w:t xml:space="preserve"> скорее всего связаны с тем, что большинство бактерий способны преобразовывать различные сахара в глюкозу, которая затем служит непосредственным предшественником в биосинтезе целлюлозы [171]. Таким образом, эффективность источника углерода определяется скоростью и энергетической выгодностью его конверсии в глюкозу.</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При использовании маннита, фруктозы и глюкозы наблюдается устойчивая скорость синтеза целлюлозы, что связано с эффективным транспортом этих соединений через клеточную мембрану (маннит предварительно окисляется до фруктозы). Напротив, галактоза проникает в </w:t>
      </w:r>
      <w:r>
        <w:rPr>
          <w:rFonts w:ascii="Times New Roman" w:eastAsia="DejaVu Sans" w:hAnsi="Times New Roman" w:cs="Times New Roman"/>
          <w:sz w:val="28"/>
          <w:szCs w:val="28"/>
          <w:lang w:eastAsia="zh-CN" w:bidi="hi-IN"/>
        </w:rPr>
        <w:lastRenderedPageBreak/>
        <w:t>клетку слабо, что приводит к низкой скорости её утилизации и, следовательно, к снижению выхода целлюлозы.</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Несмотря на широкое применение глюкозы в качестве основного субстрата для синтеза БЦ, её использование имеет и негативные стороны. При активном метаболизме глюкозы возможна побочная реакция с образованием глюконовой кислоты, что приводит к снижению pH среды и, как следствие, к ингибированию биосинтетической активности бактерий [171]. Поэтому концентрация глюкозы в среде является критическим параметром, требующим оптимизации.</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В связи с этим было исследовано влияние различных концентраций глюкозы (от 0,5 до 3,5%) в среде HS на продуктивность штамма </w:t>
      </w:r>
      <w:r>
        <w:rPr>
          <w:rFonts w:ascii="Times New Roman" w:eastAsia="DejaVu Sans" w:hAnsi="Times New Roman" w:cs="Times New Roman"/>
          <w:i/>
          <w:iCs/>
          <w:sz w:val="28"/>
          <w:szCs w:val="28"/>
          <w:lang w:eastAsia="zh-CN" w:bidi="hi-IN"/>
        </w:rPr>
        <w:t>Komagataeibacter xylinus</w:t>
      </w:r>
      <w:r>
        <w:rPr>
          <w:rFonts w:ascii="Times New Roman" w:eastAsia="DejaVu Sans" w:hAnsi="Times New Roman" w:cs="Times New Roman"/>
          <w:sz w:val="28"/>
          <w:szCs w:val="28"/>
          <w:lang w:eastAsia="zh-CN" w:bidi="hi-IN"/>
        </w:rPr>
        <w:t xml:space="preserve"> С-3 (Рисунок 2). </w:t>
      </w:r>
    </w:p>
    <w:p w:rsidR="00E17FE1" w:rsidRDefault="00E17FE1">
      <w:pPr>
        <w:tabs>
          <w:tab w:val="left" w:pos="0"/>
        </w:tabs>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spacing w:after="0" w:line="240" w:lineRule="auto"/>
        <w:ind w:right="-1" w:firstLine="567"/>
        <w:jc w:val="center"/>
        <w:rPr>
          <w:rFonts w:ascii="Times New Roman" w:eastAsia="DejaVu Sans" w:hAnsi="Times New Roman" w:cs="Times New Roman"/>
          <w:sz w:val="28"/>
          <w:szCs w:val="28"/>
          <w:lang w:eastAsia="zh-CN" w:bidi="hi-IN"/>
        </w:rPr>
      </w:pPr>
      <w:r>
        <w:rPr>
          <w:rFonts w:ascii="Times New Roman" w:eastAsia="DejaVu Sans" w:hAnsi="Times New Roman" w:cs="Times New Roman"/>
          <w:noProof/>
          <w:sz w:val="28"/>
          <w:szCs w:val="28"/>
          <w:lang w:eastAsia="ru-RU"/>
        </w:rPr>
        <w:drawing>
          <wp:inline distT="0" distB="0" distL="0" distR="0">
            <wp:extent cx="4505325" cy="2705100"/>
            <wp:effectExtent l="0" t="0" r="0" b="0"/>
            <wp:docPr id="84903639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17FE1" w:rsidRDefault="00E17FE1">
      <w:pPr>
        <w:tabs>
          <w:tab w:val="left" w:pos="0"/>
        </w:tabs>
        <w:spacing w:after="0" w:line="240" w:lineRule="auto"/>
        <w:ind w:firstLine="567"/>
        <w:jc w:val="center"/>
        <w:rPr>
          <w:rFonts w:ascii="Times New Roman" w:eastAsia="DejaVu Sans" w:hAnsi="Times New Roman" w:cs="Times New Roman"/>
          <w:sz w:val="28"/>
          <w:szCs w:val="28"/>
          <w:lang w:eastAsia="zh-CN" w:bidi="hi-IN"/>
        </w:rPr>
      </w:pPr>
    </w:p>
    <w:p w:rsidR="00E17FE1" w:rsidRDefault="00BB58D7">
      <w:pPr>
        <w:tabs>
          <w:tab w:val="left" w:pos="0"/>
        </w:tabs>
        <w:spacing w:after="0" w:line="240" w:lineRule="auto"/>
        <w:ind w:firstLine="567"/>
        <w:jc w:val="center"/>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Рисунок 2 – Влияние концентрации глюкозы на продуктивность штамма </w:t>
      </w:r>
      <w:r>
        <w:rPr>
          <w:rFonts w:ascii="Times New Roman" w:eastAsia="DejaVu Sans" w:hAnsi="Times New Roman" w:cs="Times New Roman"/>
          <w:i/>
          <w:sz w:val="28"/>
          <w:szCs w:val="28"/>
          <w:lang w:eastAsia="zh-CN" w:bidi="hi-IN"/>
        </w:rPr>
        <w:t xml:space="preserve">Komagataeibacter xylinus </w:t>
      </w:r>
      <w:r>
        <w:rPr>
          <w:rFonts w:ascii="Times New Roman" w:eastAsia="DejaVu Sans" w:hAnsi="Times New Roman" w:cs="Times New Roman"/>
          <w:sz w:val="28"/>
          <w:szCs w:val="28"/>
          <w:lang w:eastAsia="zh-CN" w:bidi="hi-IN"/>
        </w:rPr>
        <w:t xml:space="preserve">С-3 </w:t>
      </w:r>
    </w:p>
    <w:p w:rsidR="00E17FE1" w:rsidRDefault="00E17FE1">
      <w:pPr>
        <w:tabs>
          <w:tab w:val="left" w:pos="0"/>
        </w:tabs>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В результате оказалось, что повышение концентрации глюкозы выше 1% приводит к снижению выхода БЦ, что, вероятно, связано с усиленным образованием глюконовой кислоты и сдвигом метаболизма от синтеза полимера к побочным продуктам. Подобную зависимость ранее отмечали и другие исследователи [172]. Наиболее высокий выход БЦ наблюдался при 1% глюкозы, а минимальный </w:t>
      </w:r>
      <w:r w:rsidR="004764F9" w:rsidRPr="004764F9">
        <w:rPr>
          <w:rFonts w:ascii="Times New Roman" w:eastAsia="DejaVu Sans" w:hAnsi="Times New Roman" w:cs="Times New Roman"/>
          <w:sz w:val="28"/>
          <w:szCs w:val="28"/>
          <w:lang w:eastAsia="zh-CN" w:bidi="hi-IN"/>
        </w:rPr>
        <w:t>-</w:t>
      </w:r>
      <w:r>
        <w:rPr>
          <w:rFonts w:ascii="Times New Roman" w:eastAsia="DejaVu Sans" w:hAnsi="Times New Roman" w:cs="Times New Roman"/>
          <w:sz w:val="28"/>
          <w:szCs w:val="28"/>
          <w:lang w:eastAsia="zh-CN" w:bidi="hi-IN"/>
        </w:rPr>
        <w:t xml:space="preserve"> при 3% и 3,5%.</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Таким образом, можно предположить, что оптимальная концентрация глюкозы обеспечивает баланс между доступностью субстрата и метаболической нагрузкой на клетку. При её избытке бактерии, вероятно, активируют альтернативные пути окисления углеводов, уменьшая эффективность полимеризации целлюлозы.</w:t>
      </w:r>
    </w:p>
    <w:p w:rsidR="00E17FE1" w:rsidRDefault="00BB58D7">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Производительность биосинтеза бактериальной целлюлозы (БЦ) во многом определяется не только составом базовой питательной среды, но и наличием дополнительных источников органических соединений, способных </w:t>
      </w:r>
      <w:r>
        <w:rPr>
          <w:rFonts w:ascii="Times New Roman" w:hAnsi="Times New Roman" w:cs="Times New Roman"/>
          <w:sz w:val="28"/>
          <w:szCs w:val="28"/>
        </w:rPr>
        <w:lastRenderedPageBreak/>
        <w:t>активировать метаболизм продуцента. Например, использование органических добавок, таких как дрожжевой экстракт, меласса, кокосовое молоко и пивное сусло, способствует интенсификации синтеза БЦ за счёт улучшения энергетического обмена и снабжения клеток дополнительными факторами роста [173].</w:t>
      </w:r>
    </w:p>
    <w:p w:rsidR="00E17FE1" w:rsidRDefault="00BB58D7">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Учитывая, что в Алматы функционирует ряд пивоваренных предприятий, в качестве местного и экономически выгодного субстрата было решено попробовать применить пивное сусло. Для оценки его влияния были выбраны три концентрации (0,1–0,2%) с шагом 0,05%.</w:t>
      </w:r>
    </w:p>
    <w:p w:rsidR="00E17FE1" w:rsidRDefault="00BB58D7">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Еще один дополнительный элемент – этанол. Известно, что этанол способен выступать не только в роли дополнительного источника углерода, но и как регулятор редокс-потенциала среды. При его присутствии формируется восстановительная форма NADH, способствующая активации ферментов целлюлозосинтетического комплекса. Кроме того, добавление этанола может снижать частоту спонтанных </w:t>
      </w:r>
      <w:r>
        <w:rPr>
          <w:rFonts w:ascii="Times New Roman" w:hAnsi="Times New Roman" w:cs="Times New Roman"/>
          <w:sz w:val="28"/>
          <w:szCs w:val="28"/>
          <w:lang w:val="en-US"/>
        </w:rPr>
        <w:t>Cel</w:t>
      </w:r>
      <w:r>
        <w:rPr>
          <w:rFonts w:ascii="Times New Roman" w:hAnsi="Times New Roman" w:cs="Times New Roman"/>
          <w:sz w:val="28"/>
          <w:szCs w:val="28"/>
        </w:rPr>
        <w:t>-мутаций и тем самым поддерживать стабильность высокопродуктивных клонов [174].</w:t>
      </w:r>
    </w:p>
    <w:p w:rsidR="00E17FE1" w:rsidRDefault="00BB58D7">
      <w:pPr>
        <w:tabs>
          <w:tab w:val="left" w:pos="0"/>
        </w:tabs>
        <w:spacing w:after="0" w:line="240" w:lineRule="auto"/>
        <w:ind w:firstLine="567"/>
        <w:jc w:val="both"/>
        <w:rPr>
          <w:rFonts w:ascii="Times New Roman" w:eastAsia="DejaVu Sans" w:hAnsi="Times New Roman" w:cs="Times New Roman"/>
          <w:color w:val="FF0000"/>
          <w:sz w:val="28"/>
          <w:szCs w:val="28"/>
          <w:lang w:eastAsia="zh-CN" w:bidi="hi-IN"/>
        </w:rPr>
      </w:pPr>
      <w:r>
        <w:rPr>
          <w:rFonts w:ascii="Times New Roman" w:hAnsi="Times New Roman" w:cs="Times New Roman"/>
          <w:sz w:val="28"/>
          <w:szCs w:val="28"/>
        </w:rPr>
        <w:t xml:space="preserve">С этой целью этанол был включён в состав среды в концентрациях 0,5–1,0% с шагом 0,25%. Комбинация пивного сусла и этанола в различных соотношениях была протестирована по плану полного факторного эксперимента. Для инокуляции использовали 3 мл трёхсуточной культуры </w:t>
      </w:r>
      <w:r>
        <w:rPr>
          <w:rStyle w:val="a5"/>
          <w:rFonts w:ascii="Times New Roman" w:hAnsi="Times New Roman" w:cs="Times New Roman"/>
          <w:sz w:val="28"/>
          <w:szCs w:val="28"/>
        </w:rPr>
        <w:t>Komagataeibacter xylinus</w:t>
      </w:r>
      <w:r>
        <w:rPr>
          <w:rFonts w:ascii="Times New Roman" w:hAnsi="Times New Roman" w:cs="Times New Roman"/>
          <w:sz w:val="28"/>
          <w:szCs w:val="28"/>
        </w:rPr>
        <w:t xml:space="preserve"> С-3. После пяти суток статического культивирования в колбах был оценен выход БЦ (Рисунок 3).</w:t>
      </w:r>
    </w:p>
    <w:p w:rsidR="00E17FE1" w:rsidRDefault="00BB58D7">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 этой целью этанол был включён в состав среды в концентрациях 0,5–1,0% с шагом 0,25%. Комбинация пивного сусла и этанола в различных соотношениях была протестирована по плану полного факторного эксперимента. Для инокуляции использовали 3 мл трёхсуточной культуры </w:t>
      </w:r>
      <w:r>
        <w:rPr>
          <w:rStyle w:val="a5"/>
          <w:rFonts w:ascii="Times New Roman" w:hAnsi="Times New Roman" w:cs="Times New Roman"/>
          <w:sz w:val="28"/>
          <w:szCs w:val="28"/>
        </w:rPr>
        <w:t>Komagataeibacter xylinus</w:t>
      </w:r>
      <w:r>
        <w:rPr>
          <w:rFonts w:ascii="Times New Roman" w:hAnsi="Times New Roman" w:cs="Times New Roman"/>
          <w:sz w:val="28"/>
          <w:szCs w:val="28"/>
        </w:rPr>
        <w:t xml:space="preserve"> С-3. После пяти суток статического культивирования в колбах был оценен выход БЦ.</w:t>
      </w:r>
    </w:p>
    <w:p w:rsidR="00E17FE1" w:rsidRDefault="00E17FE1">
      <w:pPr>
        <w:tabs>
          <w:tab w:val="left" w:pos="0"/>
        </w:tabs>
        <w:spacing w:after="0" w:line="240" w:lineRule="auto"/>
        <w:ind w:firstLine="567"/>
        <w:jc w:val="both"/>
        <w:rPr>
          <w:rFonts w:ascii="Times New Roman" w:eastAsia="DejaVu Sans" w:hAnsi="Times New Roman" w:cs="Times New Roman"/>
          <w:color w:val="FF0000"/>
          <w:sz w:val="28"/>
          <w:szCs w:val="28"/>
          <w:lang w:eastAsia="zh-CN" w:bidi="hi-IN"/>
        </w:rPr>
      </w:pPr>
    </w:p>
    <w:p w:rsidR="00E17FE1" w:rsidRDefault="00BB58D7">
      <w:pPr>
        <w:pStyle w:val="af2"/>
        <w:spacing w:before="0" w:beforeAutospacing="0" w:after="0" w:afterAutospacing="0"/>
        <w:jc w:val="center"/>
        <w:rPr>
          <w:sz w:val="28"/>
          <w:szCs w:val="28"/>
          <w:lang w:val="ru-RU"/>
        </w:rPr>
      </w:pPr>
      <w:r>
        <w:rPr>
          <w:noProof/>
          <w:sz w:val="28"/>
          <w:szCs w:val="28"/>
          <w:lang w:val="ru-RU" w:eastAsia="ru-RU"/>
        </w:rPr>
        <w:drawing>
          <wp:inline distT="0" distB="0" distL="0" distR="0">
            <wp:extent cx="3660140" cy="2579370"/>
            <wp:effectExtent l="19050" t="0" r="0" b="0"/>
            <wp:docPr id="8490363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397" name="Рисунок 2"/>
                    <pic:cNvPicPr>
                      <a:picLocks noChangeAspect="1" noChangeArrowheads="1"/>
                    </pic:cNvPicPr>
                  </pic:nvPicPr>
                  <pic:blipFill>
                    <a:blip r:embed="rId12"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041" t="10696" r="3879"/>
                    <a:stretch>
                      <a:fillRect/>
                    </a:stretch>
                  </pic:blipFill>
                  <pic:spPr>
                    <a:xfrm>
                      <a:off x="0" y="0"/>
                      <a:ext cx="3660321" cy="2579915"/>
                    </a:xfrm>
                    <a:prstGeom prst="rect">
                      <a:avLst/>
                    </a:prstGeom>
                    <a:noFill/>
                    <a:ln>
                      <a:noFill/>
                    </a:ln>
                  </pic:spPr>
                </pic:pic>
              </a:graphicData>
            </a:graphic>
          </wp:inline>
        </w:drawing>
      </w:r>
    </w:p>
    <w:p w:rsidR="00E17FE1" w:rsidRDefault="00E17FE1">
      <w:pPr>
        <w:pStyle w:val="af2"/>
        <w:spacing w:before="0" w:beforeAutospacing="0" w:after="0" w:afterAutospacing="0"/>
        <w:jc w:val="center"/>
        <w:rPr>
          <w:sz w:val="28"/>
          <w:szCs w:val="28"/>
          <w:lang w:val="ru-RU"/>
        </w:rPr>
      </w:pPr>
    </w:p>
    <w:p w:rsidR="00E17FE1" w:rsidRDefault="00BB58D7">
      <w:pPr>
        <w:pStyle w:val="af2"/>
        <w:spacing w:before="0" w:beforeAutospacing="0" w:after="0" w:afterAutospacing="0"/>
        <w:jc w:val="center"/>
        <w:rPr>
          <w:sz w:val="28"/>
          <w:szCs w:val="28"/>
          <w:lang w:val="ru-RU"/>
        </w:rPr>
      </w:pPr>
      <w:r>
        <w:rPr>
          <w:sz w:val="28"/>
          <w:szCs w:val="28"/>
          <w:lang w:val="ru-RU"/>
        </w:rPr>
        <w:t xml:space="preserve">Рисунок 3 – Продуктивность синтеза БЦ (г/л) штаммом С-3 на среде </w:t>
      </w:r>
      <w:r>
        <w:rPr>
          <w:sz w:val="28"/>
          <w:szCs w:val="28"/>
        </w:rPr>
        <w:t>HS</w:t>
      </w:r>
      <w:r>
        <w:rPr>
          <w:sz w:val="28"/>
          <w:szCs w:val="28"/>
          <w:lang w:val="ru-RU"/>
        </w:rPr>
        <w:t xml:space="preserve"> с добавлением пивного сусла и этанола</w:t>
      </w:r>
    </w:p>
    <w:p w:rsidR="00E17FE1" w:rsidRDefault="00BB58D7">
      <w:pPr>
        <w:pStyle w:val="af2"/>
        <w:spacing w:before="0" w:beforeAutospacing="0" w:after="0" w:afterAutospacing="0"/>
        <w:ind w:firstLine="720"/>
        <w:jc w:val="both"/>
        <w:rPr>
          <w:sz w:val="28"/>
          <w:szCs w:val="28"/>
          <w:lang w:val="ru-RU"/>
        </w:rPr>
      </w:pPr>
      <w:r>
        <w:rPr>
          <w:sz w:val="28"/>
          <w:szCs w:val="28"/>
          <w:lang w:val="ru-RU"/>
        </w:rPr>
        <w:lastRenderedPageBreak/>
        <w:t>Максимальный выход БЦ (7,11 г/л) зафиксирован при сочетании 0,1% пивного сусла и 0,5% этанола. Это указывает на синергетический эффект между углеродными и редокс-активными компонентами, что может быть связано с оптимизацией метаболического потока по направлению к целлюлозному биосинтезу.</w:t>
      </w:r>
    </w:p>
    <w:p w:rsidR="00E17FE1" w:rsidRDefault="00BB58D7">
      <w:pPr>
        <w:pStyle w:val="af2"/>
        <w:spacing w:before="0" w:beforeAutospacing="0" w:after="0" w:afterAutospacing="0"/>
        <w:ind w:firstLine="720"/>
        <w:jc w:val="both"/>
        <w:rPr>
          <w:sz w:val="28"/>
          <w:szCs w:val="28"/>
          <w:lang w:val="ru-RU"/>
        </w:rPr>
      </w:pPr>
      <w:r>
        <w:rPr>
          <w:sz w:val="28"/>
          <w:szCs w:val="28"/>
          <w:lang w:val="ru-RU"/>
        </w:rPr>
        <w:t>Предположительно, при более высоких концентрациях этанола активируется стрессовый ответ бактерий, сопровождающийся торможением роста и изменением активности фермента целлюлозосинтазы. В то же время, избыток пивного сусла может повышать осмотическое давление среды, что также снижает продуктивность.</w:t>
      </w:r>
    </w:p>
    <w:p w:rsidR="00E17FE1" w:rsidRDefault="00BB58D7">
      <w:pPr>
        <w:pStyle w:val="af2"/>
        <w:spacing w:before="0" w:beforeAutospacing="0" w:after="0" w:afterAutospacing="0"/>
        <w:ind w:firstLine="720"/>
        <w:jc w:val="both"/>
        <w:rPr>
          <w:sz w:val="28"/>
          <w:szCs w:val="28"/>
          <w:lang w:val="ru-RU"/>
        </w:rPr>
      </w:pPr>
      <w:r>
        <w:rPr>
          <w:sz w:val="28"/>
          <w:szCs w:val="28"/>
          <w:lang w:val="ru-RU"/>
        </w:rPr>
        <w:t xml:space="preserve">Таким образом, можно заключить, что </w:t>
      </w:r>
      <w:r>
        <w:rPr>
          <w:rStyle w:val="a7"/>
          <w:b w:val="0"/>
          <w:sz w:val="28"/>
          <w:szCs w:val="28"/>
          <w:lang w:val="ru-RU"/>
        </w:rPr>
        <w:t>умеренные дозы пивного сусла (0,1%) и этанола (0,5%) создают благоприятные условия для биосинтеза БЦ</w:t>
      </w:r>
      <w:r>
        <w:rPr>
          <w:b/>
          <w:bCs/>
          <w:sz w:val="28"/>
          <w:szCs w:val="28"/>
          <w:lang w:val="ru-RU"/>
        </w:rPr>
        <w:t>,</w:t>
      </w:r>
      <w:r>
        <w:rPr>
          <w:sz w:val="28"/>
          <w:szCs w:val="28"/>
          <w:lang w:val="ru-RU"/>
        </w:rPr>
        <w:t xml:space="preserve"> обеспечивая баланс между энергетическим обменом и стабильностью ферментативной активности клеток.</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количественной оценки эффективности биосинтетического процесса и сравнения производительности различных питательных сред был рассчитан </w:t>
      </w:r>
      <w:r>
        <w:rPr>
          <w:rStyle w:val="a7"/>
          <w:rFonts w:ascii="Times New Roman" w:hAnsi="Times New Roman" w:cs="Times New Roman"/>
          <w:b w:val="0"/>
          <w:sz w:val="28"/>
          <w:szCs w:val="28"/>
        </w:rPr>
        <w:t>экономический коэффициент</w:t>
      </w:r>
      <w:r>
        <w:rPr>
          <w:rFonts w:ascii="Times New Roman" w:hAnsi="Times New Roman" w:cs="Times New Roman"/>
          <w:sz w:val="28"/>
          <w:szCs w:val="28"/>
        </w:rPr>
        <w:t>, отражающий степень использования углеродного субстрата для формирования целевого продукта — бактериальной целлюлозы (БЦ). Этот показатель демонстрирует, насколько эффективно энергия, заключённая в углеводном источнике (глюкозе), конвертируется в биомассу и полисахаридный продукт (Таблица 2, Рисунок 4).</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rsidP="004764F9">
      <w:pPr>
        <w:spacing w:after="0" w:line="240" w:lineRule="auto"/>
        <w:jc w:val="both"/>
        <w:rPr>
          <w:rFonts w:ascii="Times New Roman" w:eastAsia="DejaVu Sans" w:hAnsi="Times New Roman" w:cs="Times New Roman"/>
          <w:sz w:val="28"/>
          <w:szCs w:val="28"/>
          <w:shd w:val="clear" w:color="auto" w:fill="FFFFFF"/>
          <w:lang w:eastAsia="zh-CN" w:bidi="hi-IN"/>
        </w:rPr>
      </w:pPr>
      <w:r>
        <w:rPr>
          <w:rFonts w:ascii="Times New Roman" w:eastAsia="DejaVu Sans" w:hAnsi="Times New Roman" w:cs="Times New Roman"/>
          <w:sz w:val="28"/>
          <w:szCs w:val="28"/>
          <w:shd w:val="clear" w:color="auto" w:fill="FFFFFF"/>
          <w:lang w:eastAsia="zh-CN" w:bidi="hi-IN"/>
        </w:rPr>
        <w:t>Таблица 2 – Расчет параметров эффективности биотехнологического производства бактериальной целлюлозы</w:t>
      </w:r>
    </w:p>
    <w:p w:rsidR="00E17FE1" w:rsidRDefault="00E17FE1">
      <w:pPr>
        <w:spacing w:after="0" w:line="240" w:lineRule="auto"/>
        <w:jc w:val="both"/>
        <w:rPr>
          <w:rFonts w:ascii="Times New Roman" w:eastAsia="DejaVu Sans" w:hAnsi="Times New Roman" w:cs="Times New Roman"/>
          <w:sz w:val="28"/>
          <w:szCs w:val="28"/>
          <w:shd w:val="clear" w:color="auto" w:fill="FFFFFF"/>
          <w:lang w:eastAsia="zh-CN" w:bidi="hi-IN"/>
        </w:rPr>
      </w:pPr>
    </w:p>
    <w:tbl>
      <w:tblPr>
        <w:tblW w:w="9576" w:type="dxa"/>
        <w:tblInd w:w="-5" w:type="dxa"/>
        <w:tblLayout w:type="fixed"/>
        <w:tblLook w:val="04A0"/>
      </w:tblPr>
      <w:tblGrid>
        <w:gridCol w:w="1701"/>
        <w:gridCol w:w="1560"/>
        <w:gridCol w:w="1530"/>
        <w:gridCol w:w="1446"/>
        <w:gridCol w:w="993"/>
        <w:gridCol w:w="821"/>
        <w:gridCol w:w="1525"/>
      </w:tblGrid>
      <w:tr w:rsidR="00E17FE1">
        <w:tc>
          <w:tcPr>
            <w:tcW w:w="1701"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val="kk-KZ" w:eastAsia="zh-CN"/>
              </w:rPr>
              <w:t>Питательная среда</w:t>
            </w:r>
          </w:p>
        </w:tc>
        <w:tc>
          <w:tcPr>
            <w:tcW w:w="1560"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val="kk-KZ" w:eastAsia="zh-CN"/>
              </w:rPr>
              <w:t>Сухой вес клеток, г/л (Х)</w:t>
            </w:r>
          </w:p>
        </w:tc>
        <w:tc>
          <w:tcPr>
            <w:tcW w:w="1530"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val="kk-KZ" w:eastAsia="zh-CN"/>
              </w:rPr>
              <w:t>Сухой вес пленки, г/л (Р)</w:t>
            </w:r>
          </w:p>
        </w:tc>
        <w:tc>
          <w:tcPr>
            <w:tcW w:w="1446"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rPr>
            </w:pPr>
            <w:r>
              <w:rPr>
                <w:rFonts w:ascii="Times New Roman" w:eastAsia="DejaVu Sans" w:hAnsi="Times New Roman" w:cs="Times New Roman"/>
                <w:sz w:val="28"/>
                <w:szCs w:val="28"/>
                <w:shd w:val="clear" w:color="auto" w:fill="FFFFFF"/>
                <w:lang w:val="kk-KZ" w:eastAsia="zh-CN"/>
              </w:rPr>
              <w:t xml:space="preserve">Утилизированная глюкоза, г/л </w:t>
            </w:r>
            <w:r>
              <w:rPr>
                <w:rFonts w:ascii="Times New Roman" w:eastAsia="DejaVu Sans" w:hAnsi="Times New Roman" w:cs="Times New Roman"/>
                <w:sz w:val="28"/>
                <w:szCs w:val="28"/>
                <w:shd w:val="clear" w:color="auto" w:fill="FFFFFF"/>
                <w:lang w:eastAsia="zh-CN"/>
              </w:rPr>
              <w:t>(S)</w:t>
            </w:r>
          </w:p>
        </w:tc>
        <w:tc>
          <w:tcPr>
            <w:tcW w:w="993"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rPr>
            </w:pPr>
            <w:r>
              <w:rPr>
                <w:rFonts w:ascii="Times New Roman" w:eastAsia="DejaVu Sans" w:hAnsi="Times New Roman" w:cs="Times New Roman"/>
                <w:sz w:val="28"/>
                <w:szCs w:val="28"/>
                <w:shd w:val="clear" w:color="auto" w:fill="FFFFFF"/>
                <w:lang w:eastAsia="zh-CN"/>
              </w:rPr>
              <w:t>P/X, %</w:t>
            </w:r>
          </w:p>
        </w:tc>
        <w:tc>
          <w:tcPr>
            <w:tcW w:w="821"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rPr>
            </w:pPr>
            <w:r>
              <w:rPr>
                <w:rFonts w:ascii="Times New Roman" w:eastAsia="DejaVu Sans" w:hAnsi="Times New Roman" w:cs="Times New Roman"/>
                <w:sz w:val="28"/>
                <w:szCs w:val="28"/>
                <w:shd w:val="clear" w:color="auto" w:fill="FFFFFF"/>
                <w:lang w:eastAsia="zh-CN"/>
              </w:rPr>
              <w:t>P/S, %</w:t>
            </w:r>
          </w:p>
        </w:tc>
        <w:tc>
          <w:tcPr>
            <w:tcW w:w="1525"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rPr>
            </w:pPr>
            <w:r>
              <w:rPr>
                <w:rFonts w:ascii="Times New Roman" w:eastAsia="DejaVu Sans" w:hAnsi="Times New Roman" w:cs="Times New Roman"/>
                <w:sz w:val="28"/>
                <w:szCs w:val="28"/>
                <w:shd w:val="clear" w:color="auto" w:fill="FFFFFF"/>
                <w:lang w:eastAsia="zh-CN"/>
              </w:rPr>
              <w:t>Экономический коэф., X/S, %</w:t>
            </w:r>
          </w:p>
        </w:tc>
      </w:tr>
      <w:tr w:rsidR="00E17FE1">
        <w:tc>
          <w:tcPr>
            <w:tcW w:w="1701"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both"/>
              <w:rPr>
                <w:rFonts w:ascii="Times New Roman" w:eastAsia="DejaVu Sans" w:hAnsi="Times New Roman" w:cs="Times New Roman"/>
                <w:sz w:val="28"/>
                <w:szCs w:val="28"/>
                <w:shd w:val="clear" w:color="auto" w:fill="FFFFFF"/>
              </w:rPr>
            </w:pPr>
            <w:r>
              <w:rPr>
                <w:rFonts w:ascii="Times New Roman" w:eastAsia="DejaVu Sans" w:hAnsi="Times New Roman" w:cs="Times New Roman"/>
                <w:sz w:val="28"/>
                <w:szCs w:val="28"/>
                <w:shd w:val="clear" w:color="auto" w:fill="FFFFFF"/>
                <w:lang w:eastAsia="zh-CN"/>
              </w:rPr>
              <w:t>Классическая HS среда</w:t>
            </w:r>
          </w:p>
        </w:tc>
        <w:tc>
          <w:tcPr>
            <w:tcW w:w="1560"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vertAlign w:val="superscript"/>
                <w:lang w:val="kk-KZ"/>
              </w:rPr>
            </w:pPr>
            <w:r>
              <w:rPr>
                <w:rFonts w:ascii="Times New Roman" w:eastAsia="DejaVu Sans" w:hAnsi="Times New Roman" w:cs="Times New Roman"/>
                <w:sz w:val="28"/>
                <w:szCs w:val="28"/>
                <w:shd w:val="clear" w:color="auto" w:fill="FFFFFF"/>
                <w:lang w:eastAsia="zh-CN"/>
              </w:rPr>
              <w:t>1,47±0,11</w:t>
            </w:r>
            <w:r>
              <w:rPr>
                <w:rFonts w:ascii="Times New Roman" w:eastAsia="DejaVu Sans" w:hAnsi="Times New Roman" w:cs="Times New Roman"/>
                <w:sz w:val="28"/>
                <w:szCs w:val="28"/>
                <w:shd w:val="clear" w:color="auto" w:fill="FFFFFF"/>
                <w:vertAlign w:val="superscript"/>
                <w:lang w:val="kk-KZ" w:eastAsia="zh-CN"/>
              </w:rPr>
              <w:t>а</w:t>
            </w:r>
          </w:p>
        </w:tc>
        <w:tc>
          <w:tcPr>
            <w:tcW w:w="1530"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vertAlign w:val="superscript"/>
                <w:lang w:val="en-US"/>
              </w:rPr>
            </w:pPr>
            <w:r>
              <w:rPr>
                <w:rFonts w:ascii="Times New Roman" w:eastAsia="DejaVu Sans" w:hAnsi="Times New Roman" w:cs="Times New Roman"/>
                <w:sz w:val="28"/>
                <w:szCs w:val="28"/>
                <w:shd w:val="clear" w:color="auto" w:fill="FFFFFF"/>
                <w:lang w:eastAsia="zh-CN"/>
              </w:rPr>
              <w:t>4,56±0,03</w:t>
            </w:r>
            <w:r>
              <w:rPr>
                <w:rFonts w:ascii="Times New Roman" w:eastAsia="DejaVu Sans" w:hAnsi="Times New Roman" w:cs="Times New Roman"/>
                <w:sz w:val="28"/>
                <w:szCs w:val="28"/>
                <w:shd w:val="clear" w:color="auto" w:fill="FFFFFF"/>
                <w:vertAlign w:val="superscript"/>
                <w:lang w:val="en-US" w:eastAsia="zh-CN"/>
              </w:rPr>
              <w:t>a</w:t>
            </w:r>
          </w:p>
        </w:tc>
        <w:tc>
          <w:tcPr>
            <w:tcW w:w="1446"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vertAlign w:val="superscript"/>
                <w:lang w:val="en-US"/>
              </w:rPr>
            </w:pPr>
            <w:r>
              <w:rPr>
                <w:rFonts w:ascii="Times New Roman" w:eastAsia="DejaVu Sans" w:hAnsi="Times New Roman" w:cs="Times New Roman"/>
                <w:sz w:val="28"/>
                <w:szCs w:val="28"/>
                <w:shd w:val="clear" w:color="auto" w:fill="FFFFFF"/>
                <w:lang w:val="kk-KZ" w:eastAsia="zh-CN"/>
              </w:rPr>
              <w:t>14±1,01</w:t>
            </w:r>
            <w:r>
              <w:rPr>
                <w:rFonts w:ascii="Times New Roman" w:eastAsia="DejaVu Sans" w:hAnsi="Times New Roman" w:cs="Times New Roman"/>
                <w:sz w:val="28"/>
                <w:szCs w:val="28"/>
                <w:shd w:val="clear" w:color="auto" w:fill="FFFFFF"/>
                <w:vertAlign w:val="superscript"/>
                <w:lang w:val="en-US" w:eastAsia="zh-CN"/>
              </w:rPr>
              <w:t>a</w:t>
            </w:r>
          </w:p>
        </w:tc>
        <w:tc>
          <w:tcPr>
            <w:tcW w:w="993"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val="kk-KZ" w:eastAsia="zh-CN"/>
              </w:rPr>
              <w:t>310,2</w:t>
            </w:r>
          </w:p>
        </w:tc>
        <w:tc>
          <w:tcPr>
            <w:tcW w:w="821"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val="kk-KZ" w:eastAsia="zh-CN"/>
              </w:rPr>
              <w:t>32,6</w:t>
            </w:r>
          </w:p>
        </w:tc>
        <w:tc>
          <w:tcPr>
            <w:tcW w:w="1525" w:type="dxa"/>
            <w:tcBorders>
              <w:top w:val="single" w:sz="4" w:space="0" w:color="auto"/>
              <w:left w:val="single" w:sz="4" w:space="0" w:color="auto"/>
              <w:bottom w:val="single" w:sz="4" w:space="0" w:color="auto"/>
              <w:right w:val="single" w:sz="4" w:space="0" w:color="auto"/>
            </w:tcBorders>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rPr>
            </w:pPr>
            <w:r>
              <w:rPr>
                <w:rFonts w:ascii="Times New Roman" w:eastAsia="DejaVu Sans" w:hAnsi="Times New Roman" w:cs="Times New Roman"/>
                <w:sz w:val="28"/>
                <w:szCs w:val="28"/>
                <w:shd w:val="clear" w:color="auto" w:fill="FFFFFF"/>
                <w:lang w:eastAsia="zh-CN"/>
              </w:rPr>
              <w:t>10,50</w:t>
            </w:r>
          </w:p>
        </w:tc>
      </w:tr>
      <w:tr w:rsidR="00E17FE1">
        <w:tc>
          <w:tcPr>
            <w:tcW w:w="1701" w:type="dxa"/>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ind w:firstLine="34"/>
              <w:jc w:val="both"/>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eastAsia="zh-CN"/>
              </w:rPr>
              <w:t>Модифицированная HS среда</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vertAlign w:val="superscript"/>
                <w:lang w:val="en-US"/>
              </w:rPr>
            </w:pPr>
            <w:r>
              <w:rPr>
                <w:rFonts w:ascii="Times New Roman" w:eastAsia="DejaVu Sans" w:hAnsi="Times New Roman" w:cs="Times New Roman"/>
                <w:sz w:val="28"/>
                <w:szCs w:val="28"/>
                <w:shd w:val="clear" w:color="auto" w:fill="FFFFFF"/>
                <w:lang w:val="kk-KZ" w:eastAsia="zh-CN"/>
              </w:rPr>
              <w:t>2,94±0,08</w:t>
            </w:r>
            <w:r>
              <w:rPr>
                <w:rFonts w:ascii="Times New Roman" w:eastAsia="DejaVu Sans" w:hAnsi="Times New Roman" w:cs="Times New Roman"/>
                <w:sz w:val="28"/>
                <w:szCs w:val="28"/>
                <w:shd w:val="clear" w:color="auto" w:fill="FFFFFF"/>
                <w:vertAlign w:val="superscript"/>
                <w:lang w:val="en-US" w:eastAsia="zh-CN"/>
              </w:rPr>
              <w:t>b</w:t>
            </w:r>
          </w:p>
        </w:tc>
        <w:tc>
          <w:tcPr>
            <w:tcW w:w="1530" w:type="dxa"/>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vertAlign w:val="superscript"/>
                <w:lang w:val="en-US"/>
              </w:rPr>
            </w:pPr>
            <w:r>
              <w:rPr>
                <w:rFonts w:ascii="Times New Roman" w:eastAsia="DejaVu Sans" w:hAnsi="Times New Roman" w:cs="Times New Roman"/>
                <w:sz w:val="28"/>
                <w:szCs w:val="28"/>
                <w:shd w:val="clear" w:color="auto" w:fill="FFFFFF"/>
                <w:lang w:eastAsia="zh-CN"/>
              </w:rPr>
              <w:t>7,11±0,02</w:t>
            </w:r>
            <w:r>
              <w:rPr>
                <w:rFonts w:ascii="Times New Roman" w:eastAsia="DejaVu Sans" w:hAnsi="Times New Roman" w:cs="Times New Roman"/>
                <w:sz w:val="28"/>
                <w:szCs w:val="28"/>
                <w:shd w:val="clear" w:color="auto" w:fill="FFFFFF"/>
                <w:vertAlign w:val="superscript"/>
                <w:lang w:val="en-US" w:eastAsia="zh-CN"/>
              </w:rPr>
              <w:t>b</w:t>
            </w:r>
          </w:p>
        </w:tc>
        <w:tc>
          <w:tcPr>
            <w:tcW w:w="1446" w:type="dxa"/>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vertAlign w:val="superscript"/>
                <w:lang w:val="en-US"/>
              </w:rPr>
            </w:pPr>
            <w:r>
              <w:rPr>
                <w:rFonts w:ascii="Times New Roman" w:eastAsia="DejaVu Sans" w:hAnsi="Times New Roman" w:cs="Times New Roman"/>
                <w:sz w:val="28"/>
                <w:szCs w:val="28"/>
                <w:shd w:val="clear" w:color="auto" w:fill="FFFFFF"/>
                <w:lang w:val="kk-KZ" w:eastAsia="zh-CN"/>
              </w:rPr>
              <w:t>18±0,07</w:t>
            </w:r>
            <w:r>
              <w:rPr>
                <w:rFonts w:ascii="Times New Roman" w:eastAsia="DejaVu Sans" w:hAnsi="Times New Roman" w:cs="Times New Roman"/>
                <w:sz w:val="28"/>
                <w:szCs w:val="28"/>
                <w:shd w:val="clear" w:color="auto" w:fill="FFFFFF"/>
                <w:vertAlign w:val="superscript"/>
                <w:lang w:val="en-US" w:eastAsia="zh-CN"/>
              </w:rPr>
              <w:t>b</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val="kk-KZ" w:eastAsia="zh-CN"/>
              </w:rPr>
              <w:t>241,8</w:t>
            </w:r>
          </w:p>
        </w:tc>
        <w:tc>
          <w:tcPr>
            <w:tcW w:w="821" w:type="dxa"/>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lang w:val="kk-KZ"/>
              </w:rPr>
            </w:pPr>
            <w:r>
              <w:rPr>
                <w:rFonts w:ascii="Times New Roman" w:eastAsia="DejaVu Sans" w:hAnsi="Times New Roman" w:cs="Times New Roman"/>
                <w:sz w:val="28"/>
                <w:szCs w:val="28"/>
                <w:shd w:val="clear" w:color="auto" w:fill="FFFFFF"/>
                <w:lang w:val="kk-KZ" w:eastAsia="zh-CN"/>
              </w:rPr>
              <w:t>39,5</w:t>
            </w:r>
          </w:p>
        </w:tc>
        <w:tc>
          <w:tcPr>
            <w:tcW w:w="1525" w:type="dxa"/>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ind w:firstLine="34"/>
              <w:jc w:val="center"/>
              <w:rPr>
                <w:rFonts w:ascii="Times New Roman" w:eastAsia="DejaVu Sans" w:hAnsi="Times New Roman" w:cs="Times New Roman"/>
                <w:sz w:val="28"/>
                <w:szCs w:val="28"/>
                <w:shd w:val="clear" w:color="auto" w:fill="FFFFFF"/>
              </w:rPr>
            </w:pPr>
            <w:r>
              <w:rPr>
                <w:rFonts w:ascii="Times New Roman" w:eastAsia="DejaVu Sans" w:hAnsi="Times New Roman" w:cs="Times New Roman"/>
                <w:sz w:val="28"/>
                <w:szCs w:val="28"/>
                <w:shd w:val="clear" w:color="auto" w:fill="FFFFFF"/>
                <w:lang w:eastAsia="zh-CN"/>
              </w:rPr>
              <w:t>16,33</w:t>
            </w:r>
          </w:p>
        </w:tc>
      </w:tr>
      <w:tr w:rsidR="00E17FE1">
        <w:tc>
          <w:tcPr>
            <w:tcW w:w="9576" w:type="dxa"/>
            <w:gridSpan w:val="7"/>
            <w:tcBorders>
              <w:top w:val="single" w:sz="4" w:space="0" w:color="auto"/>
              <w:left w:val="single" w:sz="4" w:space="0" w:color="auto"/>
              <w:bottom w:val="single" w:sz="4" w:space="0" w:color="auto"/>
              <w:right w:val="single" w:sz="4" w:space="0" w:color="auto"/>
            </w:tcBorders>
            <w:shd w:val="clear" w:color="auto" w:fill="FFFFFF"/>
          </w:tcPr>
          <w:p w:rsidR="00E17FE1" w:rsidRDefault="00BB58D7">
            <w:pPr>
              <w:spacing w:after="0" w:line="240" w:lineRule="auto"/>
              <w:jc w:val="both"/>
              <w:rPr>
                <w:rFonts w:ascii="Times New Roman" w:eastAsia="DejaVu Sans" w:hAnsi="Times New Roman" w:cs="Times New Roman"/>
                <w:sz w:val="28"/>
                <w:szCs w:val="28"/>
                <w:shd w:val="clear" w:color="auto" w:fill="FFFFFF"/>
                <w:lang w:eastAsia="zh-CN"/>
              </w:rPr>
            </w:pPr>
            <w:r>
              <w:rPr>
                <w:rFonts w:ascii="Times New Roman" w:eastAsia="DejaVu Sans" w:hAnsi="Times New Roman" w:cs="Times New Roman"/>
                <w:sz w:val="28"/>
                <w:szCs w:val="28"/>
                <w:shd w:val="clear" w:color="auto" w:fill="FFFFFF"/>
                <w:lang w:eastAsia="zh-CN"/>
              </w:rPr>
              <w:t xml:space="preserve">Примечание: буквенные обозначения показывают статистически значимые различия (p&lt;0,05) между группами </w:t>
            </w:r>
          </w:p>
        </w:tc>
      </w:tr>
    </w:tbl>
    <w:p w:rsidR="00E17FE1" w:rsidRDefault="00E17FE1">
      <w:pPr>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pStyle w:val="af2"/>
        <w:spacing w:before="0" w:beforeAutospacing="0" w:after="0" w:afterAutospacing="0"/>
        <w:ind w:firstLine="720"/>
        <w:jc w:val="center"/>
        <w:rPr>
          <w:sz w:val="28"/>
          <w:szCs w:val="28"/>
          <w:highlight w:val="yellow"/>
        </w:rPr>
      </w:pPr>
      <w:r>
        <w:rPr>
          <w:noProof/>
          <w:sz w:val="28"/>
          <w:szCs w:val="28"/>
          <w:lang w:val="ru-RU" w:eastAsia="ru-RU"/>
        </w:rPr>
        <w:lastRenderedPageBreak/>
        <w:drawing>
          <wp:inline distT="0" distB="0" distL="0" distR="0">
            <wp:extent cx="5107940" cy="2927985"/>
            <wp:effectExtent l="19050" t="0" r="16328" b="5443"/>
            <wp:docPr id="849036398"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17FE1" w:rsidRDefault="00E17FE1">
      <w:pPr>
        <w:pStyle w:val="af2"/>
        <w:spacing w:before="0" w:beforeAutospacing="0" w:after="0" w:afterAutospacing="0"/>
        <w:ind w:firstLine="720"/>
        <w:jc w:val="both"/>
        <w:rPr>
          <w:sz w:val="28"/>
          <w:szCs w:val="28"/>
        </w:rPr>
      </w:pPr>
    </w:p>
    <w:p w:rsidR="00E17FE1" w:rsidRDefault="00BB58D7">
      <w:pPr>
        <w:pStyle w:val="af2"/>
        <w:spacing w:before="0" w:beforeAutospacing="0" w:after="0" w:afterAutospacing="0"/>
        <w:ind w:firstLine="720"/>
        <w:jc w:val="center"/>
        <w:rPr>
          <w:sz w:val="28"/>
          <w:szCs w:val="28"/>
          <w:lang w:val="ru-RU"/>
        </w:rPr>
      </w:pPr>
      <w:r>
        <w:rPr>
          <w:sz w:val="28"/>
          <w:szCs w:val="28"/>
          <w:lang w:val="ru-RU"/>
        </w:rPr>
        <w:t xml:space="preserve">Рисунок 4 – Показатели эффективности биотехнологического производстваБЦ на модифицированной </w:t>
      </w:r>
      <w:r>
        <w:rPr>
          <w:sz w:val="28"/>
          <w:szCs w:val="28"/>
        </w:rPr>
        <w:t>HS</w:t>
      </w:r>
      <w:r>
        <w:rPr>
          <w:sz w:val="28"/>
          <w:szCs w:val="28"/>
          <w:lang w:val="ru-RU"/>
        </w:rPr>
        <w:t xml:space="preserve"> среде</w:t>
      </w:r>
    </w:p>
    <w:p w:rsidR="00E17FE1" w:rsidRDefault="00E17FE1">
      <w:pPr>
        <w:pStyle w:val="af2"/>
        <w:spacing w:before="0" w:beforeAutospacing="0" w:after="0" w:afterAutospacing="0"/>
        <w:ind w:firstLine="720"/>
        <w:jc w:val="both"/>
        <w:rPr>
          <w:sz w:val="28"/>
          <w:szCs w:val="28"/>
          <w:lang w:val="ru-RU"/>
        </w:rPr>
      </w:pPr>
    </w:p>
    <w:p w:rsidR="00E17FE1" w:rsidRDefault="00BB58D7">
      <w:pPr>
        <w:pStyle w:val="af2"/>
        <w:spacing w:before="0" w:beforeAutospacing="0" w:after="0" w:afterAutospacing="0"/>
        <w:ind w:firstLine="720"/>
        <w:jc w:val="both"/>
        <w:rPr>
          <w:sz w:val="28"/>
          <w:szCs w:val="28"/>
          <w:lang w:val="ru-RU"/>
        </w:rPr>
      </w:pPr>
      <w:r>
        <w:rPr>
          <w:sz w:val="28"/>
          <w:szCs w:val="28"/>
          <w:lang w:val="ru-RU"/>
        </w:rPr>
        <w:t xml:space="preserve">Максимальные значения всех ключевых показателей (урожайность плёнки 7,11 г/л и экономический коэффициент 16,33 %) были получены на модифицированной среде </w:t>
      </w:r>
      <w:r>
        <w:rPr>
          <w:sz w:val="28"/>
          <w:szCs w:val="28"/>
        </w:rPr>
        <w:t>HS</w:t>
      </w:r>
      <w:r>
        <w:rPr>
          <w:sz w:val="28"/>
          <w:szCs w:val="28"/>
          <w:lang w:val="ru-RU"/>
        </w:rPr>
        <w:t xml:space="preserve">, с добавлением 0,5 % этанола и 0,1 % пивного сусла. Эти параметры свидетельствуют о </w:t>
      </w:r>
      <w:r>
        <w:rPr>
          <w:rStyle w:val="a7"/>
          <w:b w:val="0"/>
          <w:sz w:val="28"/>
          <w:szCs w:val="28"/>
          <w:lang w:val="ru-RU"/>
        </w:rPr>
        <w:t>повышении метаболической эффективности клеток</w:t>
      </w:r>
      <w:r>
        <w:rPr>
          <w:b/>
          <w:bCs/>
          <w:sz w:val="28"/>
          <w:szCs w:val="28"/>
          <w:lang w:val="ru-RU"/>
        </w:rPr>
        <w:t xml:space="preserve"> </w:t>
      </w:r>
      <w:r>
        <w:rPr>
          <w:sz w:val="28"/>
          <w:szCs w:val="28"/>
          <w:lang w:val="ru-RU"/>
        </w:rPr>
        <w:t>и</w:t>
      </w:r>
      <w:r>
        <w:rPr>
          <w:b/>
          <w:sz w:val="28"/>
          <w:szCs w:val="28"/>
          <w:lang w:val="ru-RU"/>
        </w:rPr>
        <w:t xml:space="preserve"> </w:t>
      </w:r>
      <w:r>
        <w:rPr>
          <w:rStyle w:val="a7"/>
          <w:b w:val="0"/>
          <w:sz w:val="28"/>
          <w:szCs w:val="28"/>
          <w:lang w:val="ru-RU"/>
        </w:rPr>
        <w:t>улучшении распределения потоков углерода</w:t>
      </w:r>
      <w:r>
        <w:rPr>
          <w:sz w:val="28"/>
          <w:szCs w:val="28"/>
          <w:lang w:val="ru-RU"/>
        </w:rPr>
        <w:t xml:space="preserve"> между ростом биомассы и синтезом экзополисахарида. </w:t>
      </w:r>
    </w:p>
    <w:p w:rsidR="00E17FE1" w:rsidRDefault="00BB58D7">
      <w:pPr>
        <w:pStyle w:val="af2"/>
        <w:spacing w:before="0" w:beforeAutospacing="0" w:after="0" w:afterAutospacing="0"/>
        <w:ind w:firstLine="567"/>
        <w:jc w:val="both"/>
        <w:rPr>
          <w:sz w:val="28"/>
          <w:szCs w:val="28"/>
          <w:lang w:val="ru-RU"/>
        </w:rPr>
      </w:pPr>
      <w:r>
        <w:rPr>
          <w:sz w:val="28"/>
          <w:szCs w:val="28"/>
          <w:lang w:val="ru-RU"/>
        </w:rPr>
        <w:t>Расчёт показателей биосинтетической эффективности проводился на основе соотношений массы целлюлозы (</w:t>
      </w:r>
      <w:r>
        <w:rPr>
          <w:sz w:val="28"/>
          <w:szCs w:val="28"/>
        </w:rPr>
        <w:t>P</w:t>
      </w:r>
      <w:r>
        <w:rPr>
          <w:sz w:val="28"/>
          <w:szCs w:val="28"/>
          <w:lang w:val="ru-RU"/>
        </w:rPr>
        <w:t>), клеточной биомассы (</w:t>
      </w:r>
      <w:r>
        <w:rPr>
          <w:sz w:val="28"/>
          <w:szCs w:val="28"/>
        </w:rPr>
        <w:t>X</w:t>
      </w:r>
      <w:r>
        <w:rPr>
          <w:sz w:val="28"/>
          <w:szCs w:val="28"/>
          <w:lang w:val="ru-RU"/>
        </w:rPr>
        <w:t>) и утилизированной глюкозы (</w:t>
      </w:r>
      <w:r>
        <w:rPr>
          <w:sz w:val="28"/>
          <w:szCs w:val="28"/>
        </w:rPr>
        <w:t>S</w:t>
      </w:r>
      <w:r>
        <w:rPr>
          <w:sz w:val="28"/>
          <w:szCs w:val="28"/>
          <w:lang w:val="ru-RU"/>
        </w:rPr>
        <w:t>). Экономический коэффициент (</w:t>
      </w:r>
      <w:r>
        <w:rPr>
          <w:sz w:val="28"/>
          <w:szCs w:val="28"/>
        </w:rPr>
        <w:t>X</w:t>
      </w:r>
      <w:r>
        <w:rPr>
          <w:sz w:val="28"/>
          <w:szCs w:val="28"/>
          <w:lang w:val="ru-RU"/>
        </w:rPr>
        <w:t>/</w:t>
      </w:r>
      <w:r>
        <w:rPr>
          <w:sz w:val="28"/>
          <w:szCs w:val="28"/>
        </w:rPr>
        <w:t>S</w:t>
      </w:r>
      <w:r>
        <w:rPr>
          <w:sz w:val="28"/>
          <w:szCs w:val="28"/>
          <w:lang w:val="ru-RU"/>
        </w:rPr>
        <w:t xml:space="preserve">) отражал степень конверсии субстрата в клеточную биомассу, а параметры </w:t>
      </w:r>
      <w:r>
        <w:rPr>
          <w:sz w:val="28"/>
          <w:szCs w:val="28"/>
        </w:rPr>
        <w:t>P</w:t>
      </w:r>
      <w:r>
        <w:rPr>
          <w:sz w:val="28"/>
          <w:szCs w:val="28"/>
          <w:lang w:val="ru-RU"/>
        </w:rPr>
        <w:t>/</w:t>
      </w:r>
      <w:r>
        <w:rPr>
          <w:sz w:val="28"/>
          <w:szCs w:val="28"/>
        </w:rPr>
        <w:t>X</w:t>
      </w:r>
      <w:r>
        <w:rPr>
          <w:sz w:val="28"/>
          <w:szCs w:val="28"/>
          <w:lang w:val="ru-RU"/>
        </w:rPr>
        <w:t xml:space="preserve"> и </w:t>
      </w:r>
      <w:r>
        <w:rPr>
          <w:sz w:val="28"/>
          <w:szCs w:val="28"/>
        </w:rPr>
        <w:t>P</w:t>
      </w:r>
      <w:r>
        <w:rPr>
          <w:sz w:val="28"/>
          <w:szCs w:val="28"/>
          <w:lang w:val="ru-RU"/>
        </w:rPr>
        <w:t>/</w:t>
      </w:r>
      <w:r>
        <w:rPr>
          <w:sz w:val="28"/>
          <w:szCs w:val="28"/>
        </w:rPr>
        <w:t>S</w:t>
      </w:r>
      <w:r>
        <w:rPr>
          <w:sz w:val="28"/>
          <w:szCs w:val="28"/>
          <w:lang w:val="ru-RU"/>
        </w:rPr>
        <w:t xml:space="preserve"> характеризовали выход целлюлозы относительно биомассы и израсходованного субстрата соответственно. Максимальные значения </w:t>
      </w:r>
      <w:r>
        <w:rPr>
          <w:sz w:val="28"/>
          <w:szCs w:val="28"/>
        </w:rPr>
        <w:t>X</w:t>
      </w:r>
      <w:r>
        <w:rPr>
          <w:sz w:val="28"/>
          <w:szCs w:val="28"/>
          <w:lang w:val="ru-RU"/>
        </w:rPr>
        <w:t>/</w:t>
      </w:r>
      <w:r>
        <w:rPr>
          <w:sz w:val="28"/>
          <w:szCs w:val="28"/>
        </w:rPr>
        <w:t>S</w:t>
      </w:r>
      <w:r>
        <w:rPr>
          <w:sz w:val="28"/>
          <w:szCs w:val="28"/>
          <w:lang w:val="ru-RU"/>
        </w:rPr>
        <w:t xml:space="preserve"> (16,33 %) и </w:t>
      </w:r>
      <w:r>
        <w:rPr>
          <w:sz w:val="28"/>
          <w:szCs w:val="28"/>
        </w:rPr>
        <w:t>P</w:t>
      </w:r>
      <w:r>
        <w:rPr>
          <w:sz w:val="28"/>
          <w:szCs w:val="28"/>
          <w:lang w:val="ru-RU"/>
        </w:rPr>
        <w:t>/</w:t>
      </w:r>
      <w:r>
        <w:rPr>
          <w:sz w:val="28"/>
          <w:szCs w:val="28"/>
        </w:rPr>
        <w:t>S</w:t>
      </w:r>
      <w:r>
        <w:rPr>
          <w:sz w:val="28"/>
          <w:szCs w:val="28"/>
          <w:lang w:val="ru-RU"/>
        </w:rPr>
        <w:t xml:space="preserve"> (39,5 %) указывают на то, что клетки использовали глюкозу более рационально, снижая потери углерода на побочные метаболиты и повышая степень конверсии субстрата в целевой продукт.</w:t>
      </w:r>
    </w:p>
    <w:p w:rsidR="00E17FE1" w:rsidRDefault="00BB58D7">
      <w:pPr>
        <w:pStyle w:val="af2"/>
        <w:spacing w:before="0" w:beforeAutospacing="0" w:after="0" w:afterAutospacing="0"/>
        <w:ind w:firstLine="567"/>
        <w:jc w:val="both"/>
        <w:rPr>
          <w:sz w:val="28"/>
          <w:szCs w:val="28"/>
          <w:lang w:val="ru-RU"/>
        </w:rPr>
      </w:pPr>
      <w:r>
        <w:rPr>
          <w:sz w:val="28"/>
          <w:szCs w:val="28"/>
          <w:lang w:val="ru-RU"/>
        </w:rPr>
        <w:t xml:space="preserve">Удвоение сухого веса клеточной биомассы (2,94 г/л против 1,47 г/л в контроле) подтверждает, что введение органических добавок не только стимулировало образование </w:t>
      </w:r>
      <w:r>
        <w:rPr>
          <w:sz w:val="28"/>
          <w:szCs w:val="28"/>
          <w:lang w:val="kk-KZ"/>
        </w:rPr>
        <w:t>БЦ</w:t>
      </w:r>
      <w:r>
        <w:rPr>
          <w:sz w:val="28"/>
          <w:szCs w:val="28"/>
          <w:lang w:val="ru-RU"/>
        </w:rPr>
        <w:t xml:space="preserve">, но и обеспечило более активное размножение продуцента. Анализ соотношений </w:t>
      </w:r>
      <w:r>
        <w:rPr>
          <w:sz w:val="28"/>
          <w:szCs w:val="28"/>
        </w:rPr>
        <w:t>P</w:t>
      </w:r>
      <w:r>
        <w:rPr>
          <w:sz w:val="28"/>
          <w:szCs w:val="28"/>
          <w:lang w:val="ru-RU"/>
        </w:rPr>
        <w:t>/</w:t>
      </w:r>
      <w:r>
        <w:rPr>
          <w:sz w:val="28"/>
          <w:szCs w:val="28"/>
        </w:rPr>
        <w:t>X</w:t>
      </w:r>
      <w:r>
        <w:rPr>
          <w:sz w:val="28"/>
          <w:szCs w:val="28"/>
          <w:lang w:val="ru-RU"/>
        </w:rPr>
        <w:t xml:space="preserve"> и </w:t>
      </w:r>
      <w:r>
        <w:rPr>
          <w:sz w:val="28"/>
          <w:szCs w:val="28"/>
        </w:rPr>
        <w:t>P</w:t>
      </w:r>
      <w:r>
        <w:rPr>
          <w:sz w:val="28"/>
          <w:szCs w:val="28"/>
          <w:lang w:val="ru-RU"/>
        </w:rPr>
        <w:t>/</w:t>
      </w:r>
      <w:r>
        <w:rPr>
          <w:sz w:val="28"/>
          <w:szCs w:val="28"/>
        </w:rPr>
        <w:t>S</w:t>
      </w:r>
      <w:r>
        <w:rPr>
          <w:sz w:val="28"/>
          <w:szCs w:val="28"/>
          <w:lang w:val="ru-RU"/>
        </w:rPr>
        <w:t xml:space="preserve"> показал, что при модификации среды доля полисахарида, приходящаяся на единицу клеточной массы, несколько снизилась, в то время как выход целлюлозы на единицу утилизированной глюкозы, напротив, возрос. Это свидетельствует о перераспределении метаболической энергии в пользу устойчивого клеточного роста и более продолжительного биосинтетического цикла.</w:t>
      </w:r>
    </w:p>
    <w:p w:rsidR="00E17FE1" w:rsidRDefault="00BB58D7">
      <w:pPr>
        <w:pStyle w:val="af2"/>
        <w:spacing w:before="0" w:beforeAutospacing="0" w:after="0" w:afterAutospacing="0"/>
        <w:ind w:firstLine="567"/>
        <w:jc w:val="both"/>
        <w:rPr>
          <w:sz w:val="28"/>
          <w:szCs w:val="28"/>
          <w:lang w:val="ru-RU"/>
        </w:rPr>
      </w:pPr>
      <w:r>
        <w:rPr>
          <w:sz w:val="28"/>
          <w:szCs w:val="28"/>
          <w:lang w:val="ru-RU"/>
        </w:rPr>
        <w:t xml:space="preserve">Подобная тенденция была описана и другими исследователями: добавление этанола или органических экстрактов в питательные среды для </w:t>
      </w:r>
      <w:r>
        <w:rPr>
          <w:rStyle w:val="a5"/>
          <w:sz w:val="28"/>
          <w:szCs w:val="28"/>
        </w:rPr>
        <w:lastRenderedPageBreak/>
        <w:t>Komagataeibacter</w:t>
      </w:r>
      <w:r>
        <w:rPr>
          <w:rStyle w:val="a5"/>
          <w:sz w:val="28"/>
          <w:szCs w:val="28"/>
          <w:lang w:val="ru-RU"/>
        </w:rPr>
        <w:t xml:space="preserve"> </w:t>
      </w:r>
      <w:r>
        <w:rPr>
          <w:rStyle w:val="a5"/>
          <w:sz w:val="28"/>
          <w:szCs w:val="28"/>
        </w:rPr>
        <w:t>xylinus</w:t>
      </w:r>
      <w:r>
        <w:rPr>
          <w:sz w:val="28"/>
          <w:szCs w:val="28"/>
          <w:lang w:val="ru-RU"/>
        </w:rPr>
        <w:t xml:space="preserve"> приводит к смещению катаболических потоков в сторону усиления окислительно-восстановительных реакций, что благоприятствует синтезу структурных биополимеров [175].</w:t>
      </w:r>
    </w:p>
    <w:p w:rsidR="00E17FE1" w:rsidRDefault="00BB58D7">
      <w:pPr>
        <w:pStyle w:val="af2"/>
        <w:spacing w:before="0" w:beforeAutospacing="0" w:after="0" w:afterAutospacing="0"/>
        <w:ind w:firstLine="720"/>
        <w:jc w:val="both"/>
        <w:rPr>
          <w:sz w:val="28"/>
          <w:szCs w:val="28"/>
          <w:lang w:val="ru-RU"/>
        </w:rPr>
      </w:pPr>
      <w:r>
        <w:rPr>
          <w:sz w:val="28"/>
          <w:szCs w:val="28"/>
          <w:lang w:val="ru-RU"/>
        </w:rPr>
        <w:t xml:space="preserve">С практической точки зрения, применение пивного сусла и этанола в качестве модифицирующих компонентов среды не только повышает продуктивность биотехнологического процесса, но и соответствует принципам </w:t>
      </w:r>
      <w:r>
        <w:rPr>
          <w:rStyle w:val="a7"/>
          <w:b w:val="0"/>
          <w:sz w:val="28"/>
          <w:szCs w:val="28"/>
          <w:lang w:val="ru-RU"/>
        </w:rPr>
        <w:t>циркулярной биоэкономики</w:t>
      </w:r>
      <w:r>
        <w:rPr>
          <w:sz w:val="28"/>
          <w:szCs w:val="28"/>
          <w:lang w:val="ru-RU"/>
        </w:rPr>
        <w:t>, поскольку позволяет эффективно утилизировать пищевые отходы и использовать их в производстве биоматериалов с высокой добавленной стоимостью.</w:t>
      </w:r>
    </w:p>
    <w:p w:rsidR="00E17FE1" w:rsidRDefault="00E17FE1">
      <w:pPr>
        <w:pStyle w:val="af2"/>
        <w:spacing w:before="0" w:beforeAutospacing="0" w:after="0" w:afterAutospacing="0"/>
        <w:ind w:firstLine="720"/>
        <w:jc w:val="both"/>
        <w:rPr>
          <w:sz w:val="28"/>
          <w:szCs w:val="28"/>
          <w:lang w:val="ru-RU"/>
        </w:rPr>
      </w:pPr>
    </w:p>
    <w:p w:rsidR="00E17FE1" w:rsidRDefault="00BB58D7">
      <w:pPr>
        <w:spacing w:after="0" w:line="240" w:lineRule="auto"/>
        <w:ind w:firstLine="567"/>
        <w:jc w:val="both"/>
        <w:outlineLvl w:val="1"/>
        <w:rPr>
          <w:rFonts w:ascii="Times New Roman" w:eastAsia="Times New Roman" w:hAnsi="Times New Roman" w:cs="Times New Roman"/>
          <w:b/>
          <w:bCs/>
          <w:sz w:val="28"/>
          <w:szCs w:val="28"/>
        </w:rPr>
      </w:pPr>
      <w:r w:rsidRPr="00025A8F">
        <w:rPr>
          <w:rFonts w:ascii="Times New Roman" w:hAnsi="Times New Roman" w:cs="Times New Roman"/>
          <w:b/>
          <w:bCs/>
          <w:sz w:val="28"/>
          <w:szCs w:val="28"/>
        </w:rPr>
        <w:t xml:space="preserve">3.1.1.2 </w:t>
      </w:r>
      <w:r w:rsidRPr="00025A8F">
        <w:rPr>
          <w:rFonts w:ascii="Times New Roman" w:eastAsia="Times New Roman" w:hAnsi="Times New Roman" w:cs="Times New Roman"/>
          <w:b/>
          <w:bCs/>
          <w:sz w:val="28"/>
          <w:szCs w:val="28"/>
        </w:rPr>
        <w:t>Разработка</w:t>
      </w:r>
      <w:r>
        <w:rPr>
          <w:rFonts w:ascii="Times New Roman" w:eastAsia="Times New Roman" w:hAnsi="Times New Roman" w:cs="Times New Roman"/>
          <w:b/>
          <w:bCs/>
          <w:sz w:val="28"/>
          <w:szCs w:val="28"/>
        </w:rPr>
        <w:t xml:space="preserve"> питательной среды из производственных отходов для продуцентов бактериальной целлюлозы </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Одним из ключевых факторов, ограничивающих промышленное производство бактериальной целлюлозы (БЦ), является её высокая себестоимость. По данным литературы, расходы на питательную среду составляют 30–50 % от общей стоимости конечного продукта, что делает выбор углеродного субстрата решающим при микробных ферментациях. Питательная среда не только определяет экономическую эффективность процесса, но и напрямую влияет на качество и морфологические свойства </w:t>
      </w:r>
      <w:proofErr w:type="gramStart"/>
      <w:r>
        <w:rPr>
          <w:rFonts w:ascii="Times New Roman" w:eastAsia="Times New Roman" w:hAnsi="Times New Roman" w:cs="Times New Roman"/>
          <w:sz w:val="28"/>
          <w:szCs w:val="28"/>
        </w:rPr>
        <w:t>получаемой</w:t>
      </w:r>
      <w:proofErr w:type="gramEnd"/>
      <w:r>
        <w:rPr>
          <w:rFonts w:ascii="Times New Roman" w:eastAsia="Times New Roman" w:hAnsi="Times New Roman" w:cs="Times New Roman"/>
          <w:sz w:val="28"/>
          <w:szCs w:val="28"/>
        </w:rPr>
        <w:t xml:space="preserve"> БЦ.</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Несмотря на наличие большого числа публикаций, посвящённых использованию дешёвого сырья для синтеза БЦ [176], подбор состава среды остаётся индивидуальной задачей для каждого штамма-продуцента, поскольку оптимальные параметры не могут быть универсально перенесены из одной системы в другую. Это связано с различиями в метаболических путях, активности целлюлозосинтетазных комплексов и регуляции углеродного обмена.</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из перспективных направлений оптимизации является замена чистых субстратов на промышленные или агропищевые отходы, которые могут служить источниками углерода, азота и витаминов. В качестве таких субстратов успешно применяли сухой коньячный экстракт, фруктовые соки, кленовый сироп, сок сахарного тростника и сточные воды от производства рисового вина, виноградный жмых [177], а также побочные продукты кондитерского и спиртового производства — мелассу, кукурузный ликёр, молочную и соевую сыворотку [178]. Среди сельскохозяйственных отходов особое внимание уделено пшеничной соломе и побочным продуктам биодизельного производства — глицерину и ацетон-бутанол-этанольным ферментатам [179].</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Республике Казахстан, где хорошо развиты молочное и сахарное производства, наиболее доступными субстратами являются молочная сыворотка, меласса, а также оболочки злаковых культур — отходы переработки пшеницы, овса, ячменя и риса. Эти компоненты представляют собой ежегодно возобновляемое сырьё с нулевой себестоимостью, что делает их привлекательными для промышленного биосинтеза.</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Кроме того, глицерин, образующийся в больших объёмах при производстве биотоплива и спирта, также может быть использован как источник углерода. </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рамках работы для штамма </w:t>
      </w:r>
      <w:r>
        <w:rPr>
          <w:rFonts w:ascii="Times New Roman" w:eastAsia="Times New Roman" w:hAnsi="Times New Roman" w:cs="Times New Roman"/>
          <w:i/>
          <w:iCs/>
          <w:sz w:val="28"/>
          <w:szCs w:val="28"/>
        </w:rPr>
        <w:t>Komagataeibacter xylinus</w:t>
      </w:r>
      <w:r>
        <w:rPr>
          <w:rFonts w:ascii="Times New Roman" w:eastAsia="Times New Roman" w:hAnsi="Times New Roman" w:cs="Times New Roman"/>
          <w:sz w:val="28"/>
          <w:szCs w:val="28"/>
        </w:rPr>
        <w:t xml:space="preserve"> C-3 были испытаны среды на основе отходов – молочная сыворотка (ПС-1), меласса (ПС-2), гидролизаты оболочек злаков (ПС-3) и глицерин (ПС-4). В качестве контроля использовалась стандартная среда HS (Рисунок 5).</w:t>
      </w:r>
    </w:p>
    <w:p w:rsidR="00E17FE1" w:rsidRDefault="00E17FE1">
      <w:pPr>
        <w:autoSpaceDE w:val="0"/>
        <w:autoSpaceDN w:val="0"/>
        <w:adjustRightInd w:val="0"/>
        <w:spacing w:after="0" w:line="240" w:lineRule="auto"/>
        <w:jc w:val="both"/>
        <w:rPr>
          <w:rFonts w:ascii="Times New Roman" w:eastAsia="DejaVu Sans" w:hAnsi="Times New Roman" w:cs="Times New Roman"/>
          <w:b/>
          <w:sz w:val="28"/>
          <w:szCs w:val="28"/>
          <w:lang w:eastAsia="zh-CN" w:bidi="hi-IN"/>
        </w:rPr>
      </w:pPr>
    </w:p>
    <w:p w:rsidR="00E17FE1" w:rsidRDefault="00BB58D7">
      <w:pPr>
        <w:spacing w:after="0" w:line="240" w:lineRule="auto"/>
        <w:jc w:val="center"/>
        <w:rPr>
          <w:rFonts w:ascii="Times New Roman" w:eastAsia="DejaVu Sans" w:hAnsi="Times New Roman" w:cs="Times New Roman"/>
          <w:sz w:val="28"/>
          <w:szCs w:val="28"/>
          <w:lang w:eastAsia="zh-CN" w:bidi="hi-IN"/>
        </w:rPr>
      </w:pPr>
      <w:r>
        <w:rPr>
          <w:rFonts w:ascii="Times New Roman" w:eastAsia="DejaVu Sans" w:hAnsi="Times New Roman" w:cs="Times New Roman"/>
          <w:noProof/>
          <w:sz w:val="28"/>
          <w:szCs w:val="28"/>
          <w:lang w:eastAsia="ru-RU"/>
        </w:rPr>
        <w:drawing>
          <wp:inline distT="0" distB="0" distL="0" distR="0">
            <wp:extent cx="4979670" cy="2404110"/>
            <wp:effectExtent l="19050" t="0" r="11430" b="0"/>
            <wp:docPr id="849036399" name="Диаграмма 1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17FE1" w:rsidRDefault="00E17FE1">
      <w:pPr>
        <w:spacing w:after="0" w:line="240" w:lineRule="auto"/>
        <w:jc w:val="center"/>
        <w:rPr>
          <w:rFonts w:ascii="Times New Roman" w:eastAsia="DejaVu Sans" w:hAnsi="Times New Roman" w:cs="Times New Roman"/>
          <w:sz w:val="28"/>
          <w:szCs w:val="28"/>
          <w:shd w:val="clear" w:color="auto" w:fill="FFFFFF"/>
          <w:lang w:eastAsia="zh-CN" w:bidi="hi-IN"/>
        </w:rPr>
      </w:pPr>
    </w:p>
    <w:p w:rsidR="00E17FE1" w:rsidRDefault="00BB58D7">
      <w:pPr>
        <w:spacing w:after="0" w:line="240" w:lineRule="auto"/>
        <w:jc w:val="center"/>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shd w:val="clear" w:color="auto" w:fill="FFFFFF"/>
          <w:lang w:eastAsia="zh-CN" w:bidi="hi-IN"/>
        </w:rPr>
        <w:t>Рисунок</w:t>
      </w:r>
      <w:r>
        <w:rPr>
          <w:rFonts w:ascii="Times New Roman" w:eastAsia="DejaVu Sans" w:hAnsi="Times New Roman" w:cs="Times New Roman"/>
          <w:sz w:val="28"/>
          <w:szCs w:val="28"/>
          <w:shd w:val="clear" w:color="auto" w:fill="FFFFFF"/>
          <w:lang w:val="kk-KZ" w:eastAsia="zh-CN" w:bidi="hi-IN"/>
        </w:rPr>
        <w:t xml:space="preserve"> 5 – Продуктивность штамма </w:t>
      </w:r>
      <w:r>
        <w:rPr>
          <w:rFonts w:ascii="Times New Roman" w:eastAsia="DejaVu Sans" w:hAnsi="Times New Roman" w:cs="Times New Roman"/>
          <w:i/>
          <w:sz w:val="28"/>
          <w:szCs w:val="28"/>
          <w:lang w:val="kk-KZ" w:eastAsia="zh-CN" w:bidi="hi-IN"/>
        </w:rPr>
        <w:t>Komagataeibacter xylinus</w:t>
      </w:r>
      <w:r>
        <w:rPr>
          <w:rFonts w:ascii="Times New Roman" w:eastAsia="DejaVu Sans" w:hAnsi="Times New Roman" w:cs="Times New Roman"/>
          <w:sz w:val="28"/>
          <w:szCs w:val="28"/>
          <w:lang w:val="kk-KZ" w:eastAsia="zh-CN" w:bidi="hi-IN"/>
        </w:rPr>
        <w:t xml:space="preserve"> C-3 на классической среде Н</w:t>
      </w:r>
      <w:proofErr w:type="gramStart"/>
      <w:r>
        <w:rPr>
          <w:rFonts w:ascii="Times New Roman" w:eastAsia="DejaVu Sans" w:hAnsi="Times New Roman" w:cs="Times New Roman"/>
          <w:sz w:val="28"/>
          <w:szCs w:val="28"/>
          <w:lang w:eastAsia="zh-CN" w:bidi="hi-IN"/>
        </w:rPr>
        <w:t>S</w:t>
      </w:r>
      <w:proofErr w:type="gramEnd"/>
      <w:r>
        <w:rPr>
          <w:rFonts w:ascii="Times New Roman" w:eastAsia="DejaVu Sans" w:hAnsi="Times New Roman" w:cs="Times New Roman"/>
          <w:sz w:val="28"/>
          <w:szCs w:val="28"/>
          <w:lang w:eastAsia="zh-CN" w:bidi="hi-IN"/>
        </w:rPr>
        <w:t xml:space="preserve"> и средах на основе отходов </w:t>
      </w:r>
    </w:p>
    <w:p w:rsidR="00E17FE1" w:rsidRDefault="00E17FE1">
      <w:pPr>
        <w:tabs>
          <w:tab w:val="left" w:pos="0"/>
        </w:tabs>
        <w:spacing w:after="0" w:line="240" w:lineRule="auto"/>
        <w:ind w:firstLine="567"/>
        <w:jc w:val="both"/>
        <w:rPr>
          <w:rFonts w:ascii="Times New Roman" w:eastAsia="DejaVu Sans" w:hAnsi="Times New Roman" w:cs="Times New Roman"/>
          <w:sz w:val="28"/>
          <w:szCs w:val="28"/>
          <w:shd w:val="clear" w:color="auto" w:fill="FFFFFF"/>
          <w:lang w:eastAsia="zh-CN" w:bidi="hi-IN"/>
        </w:rPr>
      </w:pP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Анализ полученных данных показал, что продуктивность штамма на среде с молочной сывороткой (ПС-1) сопоставима с результатами, достигнутыми на стандартной среде HS. Однако при использовании гидролизатов злаковых оболочек (ПС-3) выход полимера достигал 10,74 ± 0,01 г/л, что существенно превышает показатели других сред.</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Несмотря на схожие концентрации редуцирующих сахаров (43,8 г/л в гидролизате и 47,4 г/л в сыворотке), их качественный состав различается. Так, молочная сыворотка содержит лактозу, которая расщепляется на глюкозу и галактозу. </w:t>
      </w:r>
      <w:proofErr w:type="gramStart"/>
      <w:r>
        <w:rPr>
          <w:rFonts w:ascii="Times New Roman" w:eastAsia="Times New Roman" w:hAnsi="Times New Roman" w:cs="Times New Roman"/>
          <w:sz w:val="28"/>
          <w:szCs w:val="28"/>
        </w:rPr>
        <w:t>Последняя</w:t>
      </w:r>
      <w:proofErr w:type="gramEnd"/>
      <w:r>
        <w:rPr>
          <w:rFonts w:ascii="Times New Roman" w:eastAsia="Times New Roman" w:hAnsi="Times New Roman" w:cs="Times New Roman"/>
          <w:sz w:val="28"/>
          <w:szCs w:val="28"/>
        </w:rPr>
        <w:t xml:space="preserve">, как известно, плохо усваивается целлюлозосинтезирующими бактериями из-за низкой эффективности её транспорта через клеточную </w:t>
      </w:r>
      <w:r w:rsidRPr="004764F9">
        <w:rPr>
          <w:rFonts w:ascii="Times New Roman" w:eastAsia="Times New Roman" w:hAnsi="Times New Roman" w:cs="Times New Roman"/>
          <w:sz w:val="28"/>
          <w:szCs w:val="28"/>
        </w:rPr>
        <w:t>мембрану [</w:t>
      </w:r>
      <w:hyperlink r:id="rId15" w:history="1">
        <w:r w:rsidRPr="004764F9">
          <w:rPr>
            <w:rStyle w:val="a6"/>
            <w:rFonts w:ascii="Times New Roman" w:eastAsia="DejaVu Sans" w:hAnsi="Times New Roman" w:cs="Times New Roman"/>
            <w:color w:val="auto"/>
            <w:sz w:val="28"/>
            <w:szCs w:val="28"/>
            <w:u w:val="none"/>
            <w:lang w:eastAsia="zh-CN" w:bidi="hi-IN"/>
          </w:rPr>
          <w:t>171</w:t>
        </w:r>
      </w:hyperlink>
      <w:r w:rsidRPr="004764F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Кроме того, молочная сыворотка является скоропортящимся продуктом, что снижает её технологическую ценность при промышленном использовании.</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глицериновой среде (ПС-4) зафиксирован наименьший выход БЦ — 4,75 ± 0,12 г/л, что на 33 % ниже, чем на среде HS, что согласуется с результатами других исследователей [179]. Максимальная эффективность - выход целлюлозы 12,8 ± 0,02 г/л, что в 1,8 раза превышает показатели стандартной HS-среды (7,11 ± 0,02 г/л) обнаружена при выращивании продуцента в среде ПС-2 на основе мелассы. Это можно объяснить тем, что меласса содержит смесь простых сахаров: глюкозу, фруктозу и сахарозу, </w:t>
      </w:r>
      <w:proofErr w:type="gramStart"/>
      <w:r>
        <w:rPr>
          <w:rFonts w:ascii="Times New Roman" w:eastAsia="Times New Roman" w:hAnsi="Times New Roman" w:cs="Times New Roman"/>
          <w:sz w:val="28"/>
          <w:szCs w:val="28"/>
        </w:rPr>
        <w:t>которые</w:t>
      </w:r>
      <w:proofErr w:type="gramEnd"/>
      <w:r>
        <w:rPr>
          <w:rFonts w:ascii="Times New Roman" w:eastAsia="Times New Roman" w:hAnsi="Times New Roman" w:cs="Times New Roman"/>
          <w:sz w:val="28"/>
          <w:szCs w:val="28"/>
        </w:rPr>
        <w:t xml:space="preserve"> последовательно утилизируются бактериями. Такая “поэтапная” </w:t>
      </w:r>
      <w:r>
        <w:rPr>
          <w:rFonts w:ascii="Times New Roman" w:eastAsia="Times New Roman" w:hAnsi="Times New Roman" w:cs="Times New Roman"/>
          <w:sz w:val="28"/>
          <w:szCs w:val="28"/>
        </w:rPr>
        <w:lastRenderedPageBreak/>
        <w:t>метаболизация предотвращает резкие скачки кислотности и обеспечивает длительное поддержание роста культуры.</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Известно, что уксуснокислые бактерии окисляют глюкозу до глюконовой кислоты, что снижает рН культурального бульона и ингибирует синтез БЦ. Однако при культивировании на мелассе интенсивного образования глюконовой кислоты не наблюдалось, и уровень рН оставался стабильным. Это связано с присутствием в мелассе фенольных соединений с гвайацильными и сирингильными структурами, аналогичными фрагментам лигнина [180], которые замедляют метаболизм углеводов и стабилизируют кислотность среды.</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Дополнительно меласса содержит белки, аминокислоты, нуклеотиды и витамины, что делает её самодостаточным источником азота и снижает потребность в добавлении пептона. Предварительная обработка мелассы растворами H</w:t>
      </w:r>
      <w:r>
        <w:rPr>
          <w:rFonts w:ascii="Cambria Math" w:eastAsia="Times New Roman" w:hAnsi="Cambria Math" w:cs="Cambria Math"/>
          <w:sz w:val="28"/>
          <w:szCs w:val="28"/>
        </w:rPr>
        <w:t>₂</w:t>
      </w:r>
      <w:r>
        <w:rPr>
          <w:rFonts w:ascii="Times New Roman" w:eastAsia="Times New Roman" w:hAnsi="Times New Roman" w:cs="Times New Roman"/>
          <w:sz w:val="28"/>
          <w:szCs w:val="28"/>
        </w:rPr>
        <w:t>SO</w:t>
      </w:r>
      <w:r>
        <w:rPr>
          <w:rFonts w:ascii="Cambria Math" w:eastAsia="Times New Roman" w:hAnsi="Cambria Math" w:cs="Cambria Math"/>
          <w:sz w:val="28"/>
          <w:szCs w:val="28"/>
        </w:rPr>
        <w:t>₄</w:t>
      </w:r>
      <w:r>
        <w:rPr>
          <w:rFonts w:ascii="Times New Roman" w:eastAsia="Times New Roman" w:hAnsi="Times New Roman" w:cs="Times New Roman"/>
          <w:sz w:val="28"/>
          <w:szCs w:val="28"/>
        </w:rPr>
        <w:t xml:space="preserve"> и Ca</w:t>
      </w:r>
      <w:r>
        <w:rPr>
          <w:rFonts w:ascii="Cambria Math" w:eastAsia="Times New Roman" w:hAnsi="Cambria Math" w:cs="Cambria Math"/>
          <w:sz w:val="28"/>
          <w:szCs w:val="28"/>
        </w:rPr>
        <w:t>₃</w:t>
      </w:r>
      <w:r>
        <w:rPr>
          <w:rFonts w:ascii="Times New Roman" w:eastAsia="Times New Roman" w:hAnsi="Times New Roman" w:cs="Times New Roman"/>
          <w:sz w:val="28"/>
          <w:szCs w:val="28"/>
        </w:rPr>
        <w:t>(PO</w:t>
      </w:r>
      <w:r>
        <w:rPr>
          <w:rFonts w:ascii="Cambria Math" w:eastAsia="Times New Roman" w:hAnsi="Cambria Math" w:cs="Cambria Math"/>
          <w:sz w:val="28"/>
          <w:szCs w:val="28"/>
        </w:rPr>
        <w:t>₄</w:t>
      </w:r>
      <w:r>
        <w:rPr>
          <w:rFonts w:ascii="Times New Roman" w:eastAsia="Times New Roman" w:hAnsi="Times New Roman" w:cs="Times New Roman"/>
          <w:sz w:val="28"/>
          <w:szCs w:val="28"/>
        </w:rPr>
        <w:t>)</w:t>
      </w:r>
      <w:r>
        <w:rPr>
          <w:rFonts w:ascii="Cambria Math" w:eastAsia="Times New Roman" w:hAnsi="Cambria Math" w:cs="Cambria Math"/>
          <w:sz w:val="28"/>
          <w:szCs w:val="28"/>
        </w:rPr>
        <w:t>₂</w:t>
      </w:r>
      <w:r>
        <w:rPr>
          <w:rFonts w:ascii="Times New Roman" w:eastAsia="Times New Roman" w:hAnsi="Times New Roman" w:cs="Times New Roman"/>
          <w:sz w:val="28"/>
          <w:szCs w:val="28"/>
        </w:rPr>
        <w:t xml:space="preserve"> позволила удалить тяжёлые металлы и взвешенные примеси, улучшив качество субстрата и повысив ферментативную активность клеток [181].</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использование мелассы в качестве углеродного источника обеспечивает не только высокий выход целлюлозы, но и стабильность метаболических процессов, что делает её оптимальным компонентом для производственных ферментационных сред.</w:t>
      </w:r>
    </w:p>
    <w:p w:rsidR="00E17FE1" w:rsidRDefault="00BB58D7">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Что касается подбора условий культивирования, то одним из ключевых параметров, влияющих на рост и метаболическую активность бактерий, продуцирующих целлюлозу, является температура. Результаты этих эеспериментов представленвы на рисунке (рисунок 6).</w:t>
      </w:r>
    </w:p>
    <w:p w:rsidR="00E17FE1" w:rsidRDefault="00E17FE1">
      <w:pPr>
        <w:tabs>
          <w:tab w:val="left" w:pos="0"/>
        </w:tabs>
        <w:spacing w:after="0" w:line="240" w:lineRule="auto"/>
        <w:ind w:firstLine="567"/>
        <w:jc w:val="both"/>
        <w:rPr>
          <w:rFonts w:ascii="Times New Roman" w:hAnsi="Times New Roman" w:cs="Times New Roman"/>
          <w:sz w:val="28"/>
          <w:szCs w:val="28"/>
        </w:rPr>
      </w:pP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noProof/>
          <w:sz w:val="28"/>
          <w:szCs w:val="28"/>
          <w:lang w:eastAsia="ru-RU"/>
        </w:rPr>
        <w:drawing>
          <wp:inline distT="0" distB="0" distL="0" distR="0">
            <wp:extent cx="5505450" cy="2505075"/>
            <wp:effectExtent l="0" t="0" r="0" b="0"/>
            <wp:docPr id="84903640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17FE1" w:rsidRDefault="00E17FE1">
      <w:pPr>
        <w:tabs>
          <w:tab w:val="left" w:pos="0"/>
        </w:tabs>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tabs>
          <w:tab w:val="left" w:pos="0"/>
        </w:tabs>
        <w:spacing w:after="0" w:line="240" w:lineRule="auto"/>
        <w:ind w:firstLine="567"/>
        <w:jc w:val="center"/>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Рисунок 6 – Зависимость выхода БЦ от температуры культивирования </w:t>
      </w:r>
      <w:r>
        <w:rPr>
          <w:rFonts w:ascii="Times New Roman" w:eastAsia="DejaVu Sans" w:hAnsi="Times New Roman" w:cs="Times New Roman"/>
          <w:i/>
          <w:sz w:val="28"/>
          <w:szCs w:val="28"/>
          <w:lang w:eastAsia="zh-CN" w:bidi="hi-IN"/>
        </w:rPr>
        <w:t xml:space="preserve">Komagataeibacter  xylinus </w:t>
      </w:r>
      <w:r>
        <w:rPr>
          <w:rFonts w:ascii="Times New Roman" w:eastAsia="DejaVu Sans" w:hAnsi="Times New Roman" w:cs="Times New Roman"/>
          <w:sz w:val="28"/>
          <w:szCs w:val="28"/>
          <w:lang w:eastAsia="zh-CN" w:bidi="hi-IN"/>
        </w:rPr>
        <w:t>C-3</w:t>
      </w:r>
    </w:p>
    <w:p w:rsidR="00E17FE1" w:rsidRDefault="00E17FE1">
      <w:pPr>
        <w:tabs>
          <w:tab w:val="left" w:pos="0"/>
        </w:tabs>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Штамм сохранял жизнеспособность и синтетическую активность </w:t>
      </w:r>
      <w:proofErr w:type="gramStart"/>
      <w:r>
        <w:rPr>
          <w:rFonts w:ascii="Times New Roman" w:eastAsia="Times New Roman" w:hAnsi="Times New Roman" w:cs="Times New Roman"/>
          <w:sz w:val="28"/>
          <w:szCs w:val="28"/>
        </w:rPr>
        <w:t>в</w:t>
      </w:r>
      <w:proofErr w:type="gramEnd"/>
      <w:r>
        <w:rPr>
          <w:rFonts w:ascii="Times New Roman" w:eastAsia="Times New Roman" w:hAnsi="Times New Roman" w:cs="Times New Roman"/>
          <w:sz w:val="28"/>
          <w:szCs w:val="28"/>
        </w:rPr>
        <w:t xml:space="preserve"> при температурном диапазоне от 20 до 35 °C. Однако максимальный выход продукта (12,69–12,80 г/л) отмечен при темпеатурном режиме 25–30 °C.  При </w:t>
      </w:r>
      <w:r>
        <w:rPr>
          <w:rFonts w:ascii="Times New Roman" w:eastAsia="Times New Roman" w:hAnsi="Times New Roman" w:cs="Times New Roman"/>
          <w:sz w:val="28"/>
          <w:szCs w:val="28"/>
        </w:rPr>
        <w:lastRenderedPageBreak/>
        <w:t>повышении температуры до 35 °C продуктивность резко падала — до 7,97 г/л, что в ~1,6 раза ниже максимума. Это обусловлено термической денатурацией или неактивностью ферментов целлюлозосинтеза, нарушением целостности мембран или изменением структуры белковых комплексов, участвующих в полимеризации.</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нижней границе температурного диапазона (20 °C) выход БЦ снижался до 6,75 г/л — лишь 52,7 % от максимума. Обычно при температурах ниже 25 °C метаболизм микроорганизмов замедляется (эффект температуры по правилу </w:t>
      </w:r>
      <w:proofErr w:type="gramStart"/>
      <w:r>
        <w:rPr>
          <w:rFonts w:ascii="Times New Roman" w:eastAsia="Times New Roman" w:hAnsi="Times New Roman" w:cs="Times New Roman"/>
          <w:sz w:val="28"/>
          <w:szCs w:val="28"/>
        </w:rPr>
        <w:t>Вант-Гоффа</w:t>
      </w:r>
      <w:proofErr w:type="gramEnd"/>
      <w:r>
        <w:rPr>
          <w:rFonts w:ascii="Times New Roman" w:eastAsia="Times New Roman" w:hAnsi="Times New Roman" w:cs="Times New Roman"/>
          <w:sz w:val="28"/>
          <w:szCs w:val="28"/>
        </w:rPr>
        <w:t>), что ограничивает скорость синтеза полимера.</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Данные о температурной оптимальности 25–30 °C согласуются с публикациями для других штаммов </w:t>
      </w:r>
      <w:r>
        <w:rPr>
          <w:rFonts w:ascii="Times New Roman" w:eastAsia="Times New Roman" w:hAnsi="Times New Roman" w:cs="Times New Roman"/>
          <w:i/>
          <w:iCs/>
          <w:sz w:val="28"/>
          <w:szCs w:val="28"/>
        </w:rPr>
        <w:t>Komagataeibacter</w:t>
      </w:r>
      <w:r>
        <w:rPr>
          <w:rFonts w:ascii="Times New Roman" w:eastAsia="Times New Roman" w:hAnsi="Times New Roman" w:cs="Times New Roman"/>
          <w:sz w:val="28"/>
          <w:szCs w:val="28"/>
        </w:rPr>
        <w:t xml:space="preserve"> и </w:t>
      </w:r>
      <w:r>
        <w:rPr>
          <w:rFonts w:ascii="Times New Roman" w:eastAsia="Times New Roman" w:hAnsi="Times New Roman" w:cs="Times New Roman"/>
          <w:i/>
          <w:iCs/>
          <w:sz w:val="28"/>
          <w:szCs w:val="28"/>
        </w:rPr>
        <w:t>Gluconacetobacter</w:t>
      </w:r>
      <w:r>
        <w:rPr>
          <w:rFonts w:ascii="Times New Roman" w:eastAsia="Times New Roman" w:hAnsi="Times New Roman" w:cs="Times New Roman"/>
          <w:sz w:val="28"/>
          <w:szCs w:val="28"/>
        </w:rPr>
        <w:t xml:space="preserve">, где часто указывается оптимальная температура в интервале 28–30 °C для максимальной продуктивности БЦ. Например, в работе </w:t>
      </w:r>
      <w:r>
        <w:rPr>
          <w:rFonts w:ascii="Times New Roman" w:hAnsi="Times New Roman" w:cs="Times New Roman"/>
          <w:sz w:val="28"/>
          <w:szCs w:val="28"/>
        </w:rPr>
        <w:t>Barshan</w:t>
      </w:r>
      <w:r>
        <w:rPr>
          <w:rFonts w:ascii="Times New Roman" w:eastAsia="Times New Roman" w:hAnsi="Times New Roman" w:cs="Times New Roman"/>
          <w:sz w:val="28"/>
          <w:szCs w:val="28"/>
        </w:rPr>
        <w:t xml:space="preserve"> и соавторов для </w:t>
      </w:r>
      <w:r>
        <w:rPr>
          <w:rFonts w:ascii="Times New Roman" w:eastAsia="Times New Roman" w:hAnsi="Times New Roman" w:cs="Times New Roman"/>
          <w:i/>
          <w:iCs/>
          <w:sz w:val="28"/>
          <w:szCs w:val="28"/>
        </w:rPr>
        <w:t>K. xylinus</w:t>
      </w:r>
      <w:r>
        <w:rPr>
          <w:rFonts w:ascii="Times New Roman" w:eastAsia="Times New Roman" w:hAnsi="Times New Roman" w:cs="Times New Roman"/>
          <w:sz w:val="28"/>
          <w:szCs w:val="28"/>
        </w:rPr>
        <w:t xml:space="preserve"> оптимум был установлен около 28 °C, при более высоких температурах наблюдалось снижение продукции, что объяснялось термическим стрессом [182]. </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наш результат подтверждает общую тенденцию: для </w:t>
      </w:r>
      <w:r>
        <w:rPr>
          <w:rFonts w:ascii="Times New Roman" w:eastAsia="Times New Roman" w:hAnsi="Times New Roman" w:cs="Times New Roman"/>
          <w:i/>
          <w:iCs/>
          <w:sz w:val="28"/>
          <w:szCs w:val="28"/>
        </w:rPr>
        <w:t>K. xylinus C-3</w:t>
      </w:r>
      <w:r>
        <w:rPr>
          <w:rFonts w:ascii="Times New Roman" w:eastAsia="Times New Roman" w:hAnsi="Times New Roman" w:cs="Times New Roman"/>
          <w:sz w:val="28"/>
          <w:szCs w:val="28"/>
        </w:rPr>
        <w:t xml:space="preserve"> оптимальная температура — 25–30 °C, и любые отклонения приводят к снижению синтетической активности. При разработке технологических режимов производства БЦ важно соблюдать температурный контроль внутри этого интервала, особенно при масштабировании процесса.</w:t>
      </w:r>
    </w:p>
    <w:p w:rsidR="00E17FE1" w:rsidRDefault="00BB58D7">
      <w:pPr>
        <w:tabs>
          <w:tab w:val="left" w:pos="28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Еще одним важным параметром, определяющим метаболическую активность и продуктивность бактерий, является кислотность среды. Поэтому на следующем этапе исследования определялось влияние начального уровня pH в среде на биосинтез бактериальной целлюлозы (БЦ) штаммом </w:t>
      </w:r>
      <w:r>
        <w:rPr>
          <w:rStyle w:val="a5"/>
          <w:rFonts w:ascii="Times New Roman" w:hAnsi="Times New Roman" w:cs="Times New Roman"/>
          <w:sz w:val="28"/>
          <w:szCs w:val="28"/>
        </w:rPr>
        <w:t>Komagataeibacter xylinus</w:t>
      </w:r>
      <w:r>
        <w:rPr>
          <w:rFonts w:ascii="Times New Roman" w:hAnsi="Times New Roman" w:cs="Times New Roman"/>
          <w:sz w:val="28"/>
          <w:szCs w:val="28"/>
        </w:rPr>
        <w:t xml:space="preserve"> C-3. (рисунок 7).</w:t>
      </w:r>
    </w:p>
    <w:p w:rsidR="00E17FE1" w:rsidRDefault="00E17FE1">
      <w:pPr>
        <w:tabs>
          <w:tab w:val="left" w:pos="280"/>
        </w:tabs>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tabs>
          <w:tab w:val="left" w:pos="0"/>
        </w:tabs>
        <w:spacing w:after="0" w:line="240" w:lineRule="auto"/>
        <w:ind w:firstLine="567"/>
        <w:jc w:val="both"/>
        <w:rPr>
          <w:rFonts w:ascii="Times New Roman" w:eastAsia="DejaVu Sans" w:hAnsi="Times New Roman" w:cs="Times New Roman"/>
          <w:sz w:val="28"/>
          <w:szCs w:val="28"/>
          <w:shd w:val="clear" w:color="auto" w:fill="FFFFFF"/>
          <w:lang w:eastAsia="zh-CN" w:bidi="hi-IN"/>
        </w:rPr>
      </w:pPr>
      <w:r>
        <w:rPr>
          <w:rFonts w:ascii="Times New Roman" w:eastAsia="DejaVu Sans" w:hAnsi="Times New Roman" w:cs="Times New Roman"/>
          <w:noProof/>
          <w:sz w:val="28"/>
          <w:szCs w:val="28"/>
          <w:shd w:val="clear" w:color="auto" w:fill="FFFFFF"/>
          <w:lang w:eastAsia="ru-RU"/>
        </w:rPr>
        <w:drawing>
          <wp:inline distT="0" distB="0" distL="0" distR="0">
            <wp:extent cx="4895850" cy="2085975"/>
            <wp:effectExtent l="19050" t="0" r="19050" b="0"/>
            <wp:docPr id="84903640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17FE1" w:rsidRDefault="00E17FE1">
      <w:pPr>
        <w:tabs>
          <w:tab w:val="left" w:pos="0"/>
        </w:tabs>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tabs>
          <w:tab w:val="left" w:pos="0"/>
        </w:tabs>
        <w:spacing w:after="0" w:line="240" w:lineRule="auto"/>
        <w:ind w:firstLine="567"/>
        <w:jc w:val="center"/>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Рисунок 7 – Влияние рН на продуктивность штамма </w:t>
      </w:r>
      <w:r>
        <w:rPr>
          <w:rFonts w:ascii="Times New Roman" w:eastAsia="DejaVu Sans" w:hAnsi="Times New Roman" w:cs="Times New Roman"/>
          <w:i/>
          <w:sz w:val="28"/>
          <w:szCs w:val="28"/>
          <w:lang w:eastAsia="zh-CN" w:bidi="hi-IN"/>
        </w:rPr>
        <w:t xml:space="preserve">Komagataeibacter xylinus </w:t>
      </w:r>
      <w:r>
        <w:rPr>
          <w:rFonts w:ascii="Times New Roman" w:eastAsia="DejaVu Sans" w:hAnsi="Times New Roman" w:cs="Times New Roman"/>
          <w:sz w:val="28"/>
          <w:szCs w:val="28"/>
          <w:lang w:eastAsia="zh-CN" w:bidi="hi-IN"/>
        </w:rPr>
        <w:t>C-3</w:t>
      </w:r>
    </w:p>
    <w:p w:rsidR="00E17FE1" w:rsidRDefault="00E17FE1">
      <w:pPr>
        <w:tabs>
          <w:tab w:val="left" w:pos="0"/>
        </w:tabs>
        <w:spacing w:after="0" w:line="240" w:lineRule="auto"/>
        <w:ind w:firstLine="567"/>
        <w:jc w:val="center"/>
        <w:rPr>
          <w:rFonts w:ascii="Times New Roman" w:eastAsia="DejaVu Sans" w:hAnsi="Times New Roman" w:cs="Times New Roman"/>
          <w:sz w:val="28"/>
          <w:szCs w:val="28"/>
          <w:lang w:eastAsia="zh-CN" w:bidi="hi-IN"/>
        </w:rPr>
      </w:pPr>
    </w:p>
    <w:p w:rsidR="00E17FE1" w:rsidRDefault="00BB58D7">
      <w:pPr>
        <w:tabs>
          <w:tab w:val="left" w:pos="0"/>
        </w:tabs>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zh-CN" w:bidi="hi-IN"/>
        </w:rPr>
        <w:t xml:space="preserve">При значениях pH &lt; 4.0 наблюдалось заметное снижение выхода БЦ, также при pH &gt; 7.0 отмечалось ослабление синтетической активности.  </w:t>
      </w:r>
      <w:r>
        <w:rPr>
          <w:rFonts w:ascii="Times New Roman" w:hAnsi="Times New Roman" w:cs="Times New Roman"/>
          <w:sz w:val="28"/>
          <w:szCs w:val="28"/>
        </w:rPr>
        <w:lastRenderedPageBreak/>
        <w:t xml:space="preserve">Результаты согласуются с данными ряда авторов, показавших, что оптимальный диапазон pH для синтеза БЦ большинством штаммов рода </w:t>
      </w:r>
      <w:r>
        <w:rPr>
          <w:rStyle w:val="a5"/>
          <w:rFonts w:ascii="Times New Roman" w:hAnsi="Times New Roman" w:cs="Times New Roman"/>
          <w:sz w:val="28"/>
          <w:szCs w:val="28"/>
        </w:rPr>
        <w:t>Komagataeibacter</w:t>
      </w:r>
      <w:r>
        <w:rPr>
          <w:rFonts w:ascii="Times New Roman" w:hAnsi="Times New Roman" w:cs="Times New Roman"/>
          <w:sz w:val="28"/>
          <w:szCs w:val="28"/>
        </w:rPr>
        <w:t xml:space="preserve"> и </w:t>
      </w:r>
      <w:r>
        <w:rPr>
          <w:rStyle w:val="a5"/>
          <w:rFonts w:ascii="Times New Roman" w:hAnsi="Times New Roman" w:cs="Times New Roman"/>
          <w:sz w:val="28"/>
          <w:szCs w:val="28"/>
        </w:rPr>
        <w:t>Gluconacetobacter</w:t>
      </w:r>
      <w:r>
        <w:rPr>
          <w:rFonts w:ascii="Times New Roman" w:hAnsi="Times New Roman" w:cs="Times New Roman"/>
          <w:sz w:val="28"/>
          <w:szCs w:val="28"/>
        </w:rPr>
        <w:t xml:space="preserve"> лежит в пределах 4.0–6.5 [183]. Этот эффект </w:t>
      </w:r>
      <w:r>
        <w:rPr>
          <w:rFonts w:ascii="Times New Roman" w:eastAsia="Times New Roman" w:hAnsi="Times New Roman" w:cs="Times New Roman"/>
          <w:sz w:val="28"/>
          <w:szCs w:val="28"/>
          <w:lang w:eastAsia="zh-CN" w:bidi="hi-IN"/>
        </w:rPr>
        <w:t>вероятно связанн с инактивацией целлюлозосинтезирующего ферментного комплекса и нарушением обмена ионов в клетке. Превышение pH &gt; 7.0 приводит к изменению соотношения NAD</w:t>
      </w:r>
      <w:r>
        <w:rPr>
          <w:rFonts w:ascii="Cambria Math" w:eastAsia="Times New Roman" w:hAnsi="Cambria Math" w:cs="Cambria Math"/>
          <w:sz w:val="28"/>
          <w:szCs w:val="28"/>
          <w:lang w:eastAsia="zh-CN" w:bidi="hi-IN"/>
        </w:rPr>
        <w:t>⁺</w:t>
      </w:r>
      <w:r>
        <w:rPr>
          <w:rFonts w:ascii="Times New Roman" w:eastAsia="Times New Roman" w:hAnsi="Times New Roman" w:cs="Times New Roman"/>
          <w:sz w:val="28"/>
          <w:szCs w:val="28"/>
          <w:lang w:eastAsia="zh-CN" w:bidi="hi-IN"/>
        </w:rPr>
        <w:t>/NADH и замедлением переноса электронов в дыхательной цепи, необходимых для регенерации редуцирующих эквивалентов в процессе полисахаридогенеза.</w:t>
      </w:r>
      <w:r>
        <w:rPr>
          <w:rFonts w:ascii="Times New Roman" w:hAnsi="Times New Roman" w:cs="Times New Roman"/>
          <w:sz w:val="28"/>
          <w:szCs w:val="28"/>
        </w:rPr>
        <w:t xml:space="preserve"> </w:t>
      </w:r>
    </w:p>
    <w:p w:rsidR="00E17FE1" w:rsidRDefault="00BB58D7">
      <w:pPr>
        <w:tabs>
          <w:tab w:val="left" w:pos="0"/>
        </w:tabs>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Установлено, что оптимальный диапазон pH для роста продуцента и БЦ - от 4.5 до 7.0. Интересно, что способность </w:t>
      </w:r>
      <w:r>
        <w:rPr>
          <w:rFonts w:ascii="Times New Roman" w:eastAsia="DejaVu Sans" w:hAnsi="Times New Roman" w:cs="Times New Roman"/>
          <w:i/>
          <w:iCs/>
          <w:sz w:val="28"/>
          <w:szCs w:val="28"/>
          <w:lang w:eastAsia="zh-CN" w:bidi="hi-IN"/>
        </w:rPr>
        <w:t>K. xylinus</w:t>
      </w:r>
      <w:r>
        <w:rPr>
          <w:rFonts w:ascii="Times New Roman" w:eastAsia="DejaVu Sans" w:hAnsi="Times New Roman" w:cs="Times New Roman"/>
          <w:sz w:val="28"/>
          <w:szCs w:val="28"/>
          <w:lang w:eastAsia="zh-CN" w:bidi="hi-IN"/>
        </w:rPr>
        <w:t xml:space="preserve"> C-3 сохранять рост при pH ≈ 2.5 превосходит большинство описанных штаммов — аналогичные значения ранее наблюдались только </w:t>
      </w:r>
      <w:proofErr w:type="gramStart"/>
      <w:r>
        <w:rPr>
          <w:rFonts w:ascii="Times New Roman" w:eastAsia="DejaVu Sans" w:hAnsi="Times New Roman" w:cs="Times New Roman"/>
          <w:sz w:val="28"/>
          <w:szCs w:val="28"/>
          <w:lang w:eastAsia="zh-CN" w:bidi="hi-IN"/>
        </w:rPr>
        <w:t>у</w:t>
      </w:r>
      <w:proofErr w:type="gramEnd"/>
      <w:r>
        <w:rPr>
          <w:rFonts w:ascii="Times New Roman" w:eastAsia="DejaVu Sans" w:hAnsi="Times New Roman" w:cs="Times New Roman"/>
          <w:sz w:val="28"/>
          <w:szCs w:val="28"/>
          <w:lang w:eastAsia="zh-CN" w:bidi="hi-IN"/>
        </w:rPr>
        <w:t xml:space="preserve"> кислотоустойчивых изолятов, выделенных из ферментированных напитков [183]. Это свойство делает данный штамм перспективным для промышленного применения, где колебания pH в ферментёрах неизбежны.</w:t>
      </w:r>
    </w:p>
    <w:p w:rsidR="00E17FE1" w:rsidRDefault="00E17FE1">
      <w:pPr>
        <w:tabs>
          <w:tab w:val="left" w:pos="0"/>
        </w:tabs>
        <w:spacing w:after="0" w:line="240" w:lineRule="auto"/>
        <w:ind w:firstLine="567"/>
        <w:jc w:val="both"/>
        <w:rPr>
          <w:rFonts w:ascii="Times New Roman" w:eastAsia="Times New Roman" w:hAnsi="Times New Roman" w:cs="Times New Roman"/>
          <w:sz w:val="28"/>
          <w:szCs w:val="28"/>
          <w:lang w:eastAsia="zh-CN" w:bidi="hi-IN"/>
        </w:rPr>
      </w:pPr>
    </w:p>
    <w:p w:rsidR="00E17FE1" w:rsidRDefault="00BB58D7">
      <w:pPr>
        <w:spacing w:after="0" w:line="240" w:lineRule="auto"/>
        <w:ind w:firstLine="709"/>
        <w:jc w:val="both"/>
        <w:rPr>
          <w:rFonts w:ascii="Times New Roman" w:eastAsia="Times New Roman" w:hAnsi="Times New Roman" w:cs="Times New Roman"/>
          <w:b/>
          <w:bCs/>
          <w:sz w:val="28"/>
          <w:szCs w:val="28"/>
          <w:lang w:eastAsia="zh-CN" w:bidi="hi-IN"/>
        </w:rPr>
      </w:pPr>
      <w:r>
        <w:rPr>
          <w:rFonts w:ascii="Times New Roman" w:hAnsi="Times New Roman" w:cs="Times New Roman"/>
          <w:b/>
          <w:bCs/>
          <w:sz w:val="28"/>
          <w:szCs w:val="28"/>
        </w:rPr>
        <w:t xml:space="preserve">3.1.1.3 </w:t>
      </w:r>
      <w:r>
        <w:rPr>
          <w:rFonts w:ascii="Times New Roman" w:eastAsia="Times New Roman" w:hAnsi="Times New Roman" w:cs="Times New Roman"/>
          <w:b/>
          <w:bCs/>
          <w:sz w:val="28"/>
          <w:szCs w:val="28"/>
          <w:lang w:eastAsia="zh-CN" w:bidi="hi-IN"/>
        </w:rPr>
        <w:t>Оптимизация состава ферментационной среды для получения бактериальной целлюлозы со  стандартными структурно-механическими свойствами</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Состав ферментационной среды оказывает существенное влияние не только на продуктивность, но и на </w:t>
      </w:r>
      <w:r>
        <w:rPr>
          <w:rStyle w:val="a7"/>
          <w:rFonts w:ascii="Times New Roman" w:hAnsi="Times New Roman" w:cs="Times New Roman"/>
          <w:b w:val="0"/>
          <w:sz w:val="28"/>
          <w:szCs w:val="28"/>
        </w:rPr>
        <w:t>морфологию и структуру бактериальной целлюлозы (БЦ)</w:t>
      </w:r>
      <w:r>
        <w:rPr>
          <w:rFonts w:ascii="Times New Roman" w:hAnsi="Times New Roman" w:cs="Times New Roman"/>
          <w:sz w:val="28"/>
          <w:szCs w:val="28"/>
        </w:rPr>
        <w:t xml:space="preserve"> [</w:t>
      </w:r>
      <w:r>
        <w:rPr>
          <w:rFonts w:ascii="Times New Roman" w:eastAsia="DejaVu Sans" w:hAnsi="Times New Roman" w:cs="Times New Roman"/>
          <w:sz w:val="28"/>
          <w:szCs w:val="28"/>
          <w:lang w:eastAsia="zh-CN" w:bidi="hi-IN"/>
        </w:rPr>
        <w:t>184</w:t>
      </w:r>
      <w:r>
        <w:rPr>
          <w:rFonts w:ascii="Times New Roman" w:hAnsi="Times New Roman" w:cs="Times New Roman"/>
          <w:sz w:val="28"/>
          <w:szCs w:val="28"/>
        </w:rPr>
        <w:t xml:space="preserve">]. Для выявления возможных различий в микроструктуре </w:t>
      </w:r>
      <w:proofErr w:type="gramStart"/>
      <w:r>
        <w:rPr>
          <w:rFonts w:ascii="Times New Roman" w:hAnsi="Times New Roman" w:cs="Times New Roman"/>
          <w:sz w:val="28"/>
          <w:szCs w:val="28"/>
        </w:rPr>
        <w:t>гель-пленок</w:t>
      </w:r>
      <w:proofErr w:type="gramEnd"/>
      <w:r>
        <w:rPr>
          <w:rFonts w:ascii="Times New Roman" w:hAnsi="Times New Roman" w:cs="Times New Roman"/>
          <w:sz w:val="28"/>
          <w:szCs w:val="28"/>
        </w:rPr>
        <w:t xml:space="preserve"> были проведены исследования методом </w:t>
      </w:r>
      <w:r>
        <w:rPr>
          <w:rStyle w:val="a7"/>
          <w:rFonts w:ascii="Times New Roman" w:hAnsi="Times New Roman" w:cs="Times New Roman"/>
          <w:b w:val="0"/>
          <w:sz w:val="28"/>
          <w:szCs w:val="28"/>
        </w:rPr>
        <w:t>сканирующей электронной микроскопии (СЭМ)</w:t>
      </w:r>
      <w:r>
        <w:rPr>
          <w:rFonts w:ascii="Times New Roman" w:hAnsi="Times New Roman" w:cs="Times New Roman"/>
          <w:b/>
          <w:sz w:val="28"/>
          <w:szCs w:val="28"/>
        </w:rPr>
        <w:t xml:space="preserve"> </w:t>
      </w:r>
      <w:r>
        <w:rPr>
          <w:rFonts w:ascii="Times New Roman" w:hAnsi="Times New Roman" w:cs="Times New Roman"/>
          <w:sz w:val="28"/>
          <w:szCs w:val="28"/>
        </w:rPr>
        <w:t>(рисунок 8).</w:t>
      </w:r>
    </w:p>
    <w:p w:rsidR="00E17FE1" w:rsidRDefault="00E17FE1">
      <w:pPr>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shd w:val="clear" w:color="auto" w:fill="FFFFFF"/>
        <w:spacing w:after="0" w:line="240" w:lineRule="auto"/>
        <w:ind w:firstLine="567"/>
        <w:jc w:val="both"/>
        <w:rPr>
          <w:rFonts w:ascii="Times New Roman" w:eastAsia="Times New Roman" w:hAnsi="Times New Roman" w:cs="Times New Roman"/>
          <w:sz w:val="28"/>
          <w:szCs w:val="28"/>
          <w:lang w:eastAsia="ru-RU" w:bidi="hi-IN"/>
        </w:rPr>
      </w:pPr>
      <w:r>
        <w:rPr>
          <w:rFonts w:ascii="Times New Roman" w:eastAsia="Times New Roman" w:hAnsi="Times New Roman" w:cs="Times New Roman"/>
          <w:noProof/>
          <w:sz w:val="28"/>
          <w:szCs w:val="28"/>
          <w:lang w:eastAsia="ru-RU"/>
        </w:rPr>
        <w:drawing>
          <wp:inline distT="0" distB="0" distL="0" distR="0">
            <wp:extent cx="5239385" cy="3079115"/>
            <wp:effectExtent l="19050" t="0" r="0" b="0"/>
            <wp:docPr id="849036402" name="Рисунок 1" descr="C:\Users\sava\Desktop\Диссертация\23.06.2025\СЭМ для диссера\12345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402" name="Рисунок 1" descr="C:\Users\sava\Desktop\Диссертация\23.06.2025\СЭМ для диссера\123456.bmp"/>
                    <pic:cNvPicPr>
                      <a:picLocks noChangeAspect="1" noChangeArrowheads="1"/>
                    </pic:cNvPicPr>
                  </pic:nvPicPr>
                  <pic:blipFill>
                    <a:blip r:embed="rId18" cstate="print"/>
                    <a:srcRect/>
                    <a:stretch>
                      <a:fillRect/>
                    </a:stretch>
                  </pic:blipFill>
                  <pic:spPr>
                    <a:xfrm>
                      <a:off x="0" y="0"/>
                      <a:ext cx="5254367" cy="3087902"/>
                    </a:xfrm>
                    <a:prstGeom prst="rect">
                      <a:avLst/>
                    </a:prstGeom>
                    <a:noFill/>
                    <a:ln w="9525">
                      <a:noFill/>
                      <a:miter lim="800000"/>
                      <a:headEnd/>
                      <a:tailEnd/>
                    </a:ln>
                  </pic:spPr>
                </pic:pic>
              </a:graphicData>
            </a:graphic>
          </wp:inline>
        </w:drawing>
      </w:r>
    </w:p>
    <w:p w:rsidR="00E17FE1" w:rsidRDefault="00BB58D7">
      <w:pPr>
        <w:shd w:val="clear" w:color="auto" w:fill="FFFFFF"/>
        <w:spacing w:after="0" w:line="240" w:lineRule="auto"/>
        <w:ind w:firstLine="567"/>
        <w:jc w:val="center"/>
        <w:rPr>
          <w:rFonts w:ascii="Times New Roman" w:eastAsia="Times New Roman" w:hAnsi="Times New Roman" w:cs="Times New Roman"/>
          <w:sz w:val="28"/>
          <w:szCs w:val="28"/>
          <w:lang w:eastAsia="ru-RU" w:bidi="hi-IN"/>
        </w:rPr>
      </w:pPr>
      <w:proofErr w:type="gramStart"/>
      <w:r>
        <w:rPr>
          <w:rFonts w:ascii="Times New Roman" w:eastAsia="Times New Roman" w:hAnsi="Times New Roman" w:cs="Times New Roman"/>
          <w:sz w:val="28"/>
          <w:szCs w:val="28"/>
          <w:lang w:eastAsia="ru-RU" w:bidi="hi-IN"/>
        </w:rPr>
        <w:t xml:space="preserve">Рисунок 8 – СЭМ изображения пленок БЦ, синтезированной штаммом </w:t>
      </w:r>
      <w:r>
        <w:rPr>
          <w:rFonts w:ascii="Times New Roman" w:eastAsia="Times New Roman" w:hAnsi="Times New Roman" w:cs="Times New Roman"/>
          <w:i/>
          <w:sz w:val="28"/>
          <w:szCs w:val="28"/>
          <w:lang w:val="en-US" w:eastAsia="ru-RU" w:bidi="hi-IN"/>
        </w:rPr>
        <w:t>Komagataeibacter</w:t>
      </w:r>
      <w:r>
        <w:rPr>
          <w:rFonts w:ascii="Times New Roman" w:eastAsia="Times New Roman" w:hAnsi="Times New Roman" w:cs="Times New Roman"/>
          <w:i/>
          <w:sz w:val="28"/>
          <w:szCs w:val="28"/>
          <w:lang w:eastAsia="ru-RU" w:bidi="hi-IN"/>
        </w:rPr>
        <w:t xml:space="preserve"> </w:t>
      </w:r>
      <w:r>
        <w:rPr>
          <w:rFonts w:ascii="Times New Roman" w:eastAsia="Times New Roman" w:hAnsi="Times New Roman" w:cs="Times New Roman"/>
          <w:i/>
          <w:sz w:val="28"/>
          <w:szCs w:val="28"/>
          <w:lang w:val="en-US" w:eastAsia="ru-RU" w:bidi="hi-IN"/>
        </w:rPr>
        <w:t>xylinus</w:t>
      </w:r>
      <w:r>
        <w:rPr>
          <w:rFonts w:ascii="Times New Roman" w:eastAsia="Times New Roman" w:hAnsi="Times New Roman" w:cs="Times New Roman"/>
          <w:sz w:val="28"/>
          <w:szCs w:val="28"/>
          <w:lang w:eastAsia="ru-RU" w:bidi="hi-IN"/>
        </w:rPr>
        <w:t xml:space="preserve"> </w:t>
      </w:r>
      <w:r>
        <w:rPr>
          <w:rFonts w:ascii="Times New Roman" w:eastAsia="Times New Roman" w:hAnsi="Times New Roman" w:cs="Times New Roman"/>
          <w:sz w:val="28"/>
          <w:szCs w:val="28"/>
          <w:lang w:val="en-US" w:eastAsia="ru-RU" w:bidi="hi-IN"/>
        </w:rPr>
        <w:t>C</w:t>
      </w:r>
      <w:r>
        <w:rPr>
          <w:rFonts w:ascii="Times New Roman" w:eastAsia="Times New Roman" w:hAnsi="Times New Roman" w:cs="Times New Roman"/>
          <w:sz w:val="28"/>
          <w:szCs w:val="28"/>
          <w:lang w:eastAsia="ru-RU" w:bidi="hi-IN"/>
        </w:rPr>
        <w:t>-3</w:t>
      </w:r>
      <w:r>
        <w:rPr>
          <w:rFonts w:ascii="Times New Roman" w:eastAsia="Times New Roman" w:hAnsi="Times New Roman" w:cs="Times New Roman"/>
          <w:i/>
          <w:sz w:val="28"/>
          <w:szCs w:val="28"/>
          <w:lang w:eastAsia="ar-SA" w:bidi="hi-IN"/>
        </w:rPr>
        <w:t xml:space="preserve"> </w:t>
      </w:r>
      <w:r>
        <w:rPr>
          <w:rFonts w:ascii="Times New Roman" w:eastAsia="Times New Roman" w:hAnsi="Times New Roman" w:cs="Times New Roman"/>
          <w:sz w:val="28"/>
          <w:szCs w:val="28"/>
          <w:lang w:eastAsia="ar-SA" w:bidi="hi-IN"/>
        </w:rPr>
        <w:t>на среде:</w:t>
      </w:r>
      <w:proofErr w:type="gramEnd"/>
      <w:r>
        <w:rPr>
          <w:rFonts w:ascii="Times New Roman" w:eastAsia="Times New Roman" w:hAnsi="Times New Roman" w:cs="Times New Roman"/>
          <w:sz w:val="28"/>
          <w:szCs w:val="28"/>
          <w:lang w:eastAsia="ar-SA" w:bidi="hi-IN"/>
        </w:rPr>
        <w:t xml:space="preserve"> </w:t>
      </w:r>
      <w:r>
        <w:rPr>
          <w:rFonts w:ascii="Times New Roman" w:eastAsia="Times New Roman" w:hAnsi="Times New Roman" w:cs="Times New Roman"/>
          <w:sz w:val="28"/>
          <w:szCs w:val="28"/>
          <w:lang w:eastAsia="ru-RU" w:bidi="hi-IN"/>
        </w:rPr>
        <w:t>А – HS модиф</w:t>
      </w:r>
      <w:r>
        <w:rPr>
          <w:rFonts w:ascii="Times New Roman" w:eastAsia="Times New Roman" w:hAnsi="Times New Roman" w:cs="Times New Roman"/>
          <w:sz w:val="28"/>
          <w:szCs w:val="28"/>
          <w:lang w:val="kk-KZ" w:eastAsia="ru-RU" w:bidi="hi-IN"/>
        </w:rPr>
        <w:t>ицированная</w:t>
      </w:r>
      <w:r>
        <w:rPr>
          <w:rFonts w:ascii="Times New Roman" w:eastAsia="Times New Roman" w:hAnsi="Times New Roman" w:cs="Times New Roman"/>
          <w:sz w:val="28"/>
          <w:szCs w:val="28"/>
          <w:lang w:eastAsia="ru-RU" w:bidi="hi-IN"/>
        </w:rPr>
        <w:t xml:space="preserve">; Б – ПС-1; В – ПС-2; </w:t>
      </w:r>
      <w:proofErr w:type="gramStart"/>
      <w:r>
        <w:rPr>
          <w:rFonts w:ascii="Times New Roman" w:eastAsia="Times New Roman" w:hAnsi="Times New Roman" w:cs="Times New Roman"/>
          <w:sz w:val="28"/>
          <w:szCs w:val="28"/>
          <w:lang w:eastAsia="ru-RU" w:bidi="hi-IN"/>
        </w:rPr>
        <w:t>Г-</w:t>
      </w:r>
      <w:proofErr w:type="gramEnd"/>
      <w:r>
        <w:rPr>
          <w:rFonts w:ascii="Times New Roman" w:eastAsia="Times New Roman" w:hAnsi="Times New Roman" w:cs="Times New Roman"/>
          <w:sz w:val="28"/>
          <w:szCs w:val="28"/>
          <w:lang w:eastAsia="ru-RU" w:bidi="hi-IN"/>
        </w:rPr>
        <w:t xml:space="preserve"> ПС-3; Д – ПС-4 (увеличение х25 000)</w:t>
      </w:r>
    </w:p>
    <w:p w:rsidR="00E17FE1" w:rsidRDefault="00E17FE1">
      <w:pPr>
        <w:spacing w:after="0" w:line="240" w:lineRule="auto"/>
        <w:ind w:firstLine="567"/>
        <w:jc w:val="both"/>
        <w:rPr>
          <w:rFonts w:ascii="Times New Roman" w:eastAsia="Times New Roman" w:hAnsi="Times New Roman" w:cs="Times New Roman"/>
          <w:spacing w:val="-2"/>
          <w:sz w:val="28"/>
          <w:szCs w:val="28"/>
          <w:lang w:eastAsia="zh-CN" w:bidi="hi-IN"/>
        </w:rPr>
      </w:pP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На СЭМ-изображениях (рис. 13 A–Д) отчётливо видна развитая нанофибриллярная структура, характерная для БЦ, </w:t>
      </w:r>
      <w:proofErr w:type="gramStart"/>
      <w:r>
        <w:rPr>
          <w:rFonts w:ascii="Times New Roman" w:eastAsia="Times New Roman" w:hAnsi="Times New Roman" w:cs="Times New Roman"/>
          <w:sz w:val="28"/>
          <w:szCs w:val="28"/>
        </w:rPr>
        <w:t>синтезированной</w:t>
      </w:r>
      <w:proofErr w:type="gramEnd"/>
      <w:r>
        <w:rPr>
          <w:rFonts w:ascii="Times New Roman" w:eastAsia="Times New Roman" w:hAnsi="Times New Roman" w:cs="Times New Roman"/>
          <w:sz w:val="28"/>
          <w:szCs w:val="28"/>
        </w:rPr>
        <w:t xml:space="preserve"> штаммом </w:t>
      </w:r>
      <w:r>
        <w:rPr>
          <w:rFonts w:ascii="Times New Roman" w:eastAsia="Times New Roman" w:hAnsi="Times New Roman" w:cs="Times New Roman"/>
          <w:i/>
          <w:iCs/>
          <w:sz w:val="28"/>
          <w:szCs w:val="28"/>
        </w:rPr>
        <w:t>Komagataeibacter xylinus C-3</w:t>
      </w:r>
      <w:r>
        <w:rPr>
          <w:rFonts w:ascii="Times New Roman" w:eastAsia="Times New Roman" w:hAnsi="Times New Roman" w:cs="Times New Roman"/>
          <w:sz w:val="28"/>
          <w:szCs w:val="28"/>
        </w:rPr>
        <w:t xml:space="preserve"> на различных питательных средах.</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Все образцы представляют собой плотные взаимосвязанные сети микрофибрилл, формирующие пористую матрицу с большой поверхностной площадью. Средний диаметр элементарных волокон, рассчитанный на основе не менее 100 измерений в программе OriginPro 9.1, составил 30 ± 5 нм, что в 100 раз меньше диаметра микрофибрилл растительной целлюлозы. Их толщина составляла 15–150 нм, что соответствует значениям, полученным другими авторами для БЦ, </w:t>
      </w:r>
      <w:proofErr w:type="gramStart"/>
      <w:r>
        <w:rPr>
          <w:rFonts w:ascii="Times New Roman" w:eastAsia="Times New Roman" w:hAnsi="Times New Roman" w:cs="Times New Roman"/>
          <w:sz w:val="28"/>
          <w:szCs w:val="28"/>
        </w:rPr>
        <w:t>выращенной</w:t>
      </w:r>
      <w:proofErr w:type="gramEnd"/>
      <w:r>
        <w:rPr>
          <w:rFonts w:ascii="Times New Roman" w:eastAsia="Times New Roman" w:hAnsi="Times New Roman" w:cs="Times New Roman"/>
          <w:sz w:val="28"/>
          <w:szCs w:val="28"/>
        </w:rPr>
        <w:t xml:space="preserve"> при статическом культивировании [41].</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Поверхность всех пленок отличалась гладкостью и равномерной текстурой, что указывает на стабильные условия полимеризации и отсутствие грубых дефектов при формировании геля. Такая структура способствует высокой паропроницаемости и способности к удержанию биологически активных веществ внутри волоконной матрицы, что важно при разработке биомедицинских и упаковочных материалов.</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количественной оценки прочностных характеристик </w:t>
      </w:r>
      <w:proofErr w:type="gramStart"/>
      <w:r>
        <w:rPr>
          <w:rFonts w:ascii="Times New Roman" w:eastAsia="Times New Roman" w:hAnsi="Times New Roman" w:cs="Times New Roman"/>
          <w:sz w:val="28"/>
          <w:szCs w:val="28"/>
        </w:rPr>
        <w:t>гель-пленок</w:t>
      </w:r>
      <w:proofErr w:type="gramEnd"/>
      <w:r>
        <w:rPr>
          <w:rFonts w:ascii="Times New Roman" w:eastAsia="Times New Roman" w:hAnsi="Times New Roman" w:cs="Times New Roman"/>
          <w:sz w:val="28"/>
          <w:szCs w:val="28"/>
        </w:rPr>
        <w:t xml:space="preserve"> БЦ использовали универсальную разрывную машину </w:t>
      </w:r>
      <w:r>
        <w:rPr>
          <w:rFonts w:ascii="Times New Roman" w:eastAsia="Times New Roman" w:hAnsi="Times New Roman" w:cs="Times New Roman"/>
          <w:i/>
          <w:iCs/>
          <w:sz w:val="28"/>
          <w:szCs w:val="28"/>
        </w:rPr>
        <w:t>Instron</w:t>
      </w:r>
      <w:r>
        <w:rPr>
          <w:rFonts w:ascii="Times New Roman" w:eastAsia="Times New Roman" w:hAnsi="Times New Roman" w:cs="Times New Roman"/>
          <w:sz w:val="28"/>
          <w:szCs w:val="28"/>
        </w:rPr>
        <w:t xml:space="preserve"> в одноосном режиме. Были определены показатели прочности на разрыв (МПа) и относительного удлинения при разрыве</w:t>
      </w:r>
      <w:proofErr w:type="gramStart"/>
      <w:r>
        <w:rPr>
          <w:rFonts w:ascii="Times New Roman" w:eastAsia="Times New Roman" w:hAnsi="Times New Roman" w:cs="Times New Roman"/>
          <w:sz w:val="28"/>
          <w:szCs w:val="28"/>
        </w:rPr>
        <w:t xml:space="preserve"> (%) (</w:t>
      </w:r>
      <w:proofErr w:type="gramEnd"/>
      <w:r>
        <w:rPr>
          <w:rFonts w:ascii="Times New Roman" w:eastAsia="Times New Roman" w:hAnsi="Times New Roman" w:cs="Times New Roman"/>
          <w:sz w:val="28"/>
          <w:szCs w:val="28"/>
        </w:rPr>
        <w:t>Рисунок 9).</w:t>
      </w:r>
    </w:p>
    <w:p w:rsidR="00E17FE1" w:rsidRDefault="00E17FE1">
      <w:pPr>
        <w:spacing w:after="0" w:line="240" w:lineRule="auto"/>
        <w:ind w:firstLine="567"/>
        <w:jc w:val="both"/>
        <w:rPr>
          <w:rFonts w:ascii="Times New Roman" w:eastAsia="Times New Roman" w:hAnsi="Times New Roman" w:cs="Times New Roman"/>
          <w:sz w:val="28"/>
          <w:szCs w:val="28"/>
        </w:rPr>
      </w:pPr>
    </w:p>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eastAsia="ru-RU"/>
        </w:rPr>
        <w:drawing>
          <wp:inline distT="0" distB="0" distL="0" distR="0">
            <wp:extent cx="5779770" cy="3352800"/>
            <wp:effectExtent l="19050" t="0" r="10885" b="0"/>
            <wp:docPr id="849036403"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17FE1" w:rsidRDefault="00E17FE1">
      <w:pPr>
        <w:spacing w:after="0" w:line="240" w:lineRule="auto"/>
        <w:ind w:firstLine="720"/>
        <w:jc w:val="both"/>
        <w:rPr>
          <w:rFonts w:ascii="Times New Roman" w:eastAsia="Times New Roman" w:hAnsi="Times New Roman" w:cs="Times New Roman"/>
          <w:sz w:val="28"/>
          <w:szCs w:val="28"/>
        </w:rPr>
      </w:pPr>
    </w:p>
    <w:p w:rsidR="00E17FE1" w:rsidRDefault="00BB58D7">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9 – Механические свойства БЦ, </w:t>
      </w:r>
      <w:proofErr w:type="gramStart"/>
      <w:r>
        <w:rPr>
          <w:rFonts w:ascii="Times New Roman" w:eastAsia="Times New Roman" w:hAnsi="Times New Roman" w:cs="Times New Roman"/>
          <w:sz w:val="28"/>
          <w:szCs w:val="28"/>
        </w:rPr>
        <w:t>образованной</w:t>
      </w:r>
      <w:proofErr w:type="gramEnd"/>
      <w:r>
        <w:rPr>
          <w:rFonts w:ascii="Times New Roman" w:eastAsia="Times New Roman" w:hAnsi="Times New Roman" w:cs="Times New Roman"/>
          <w:sz w:val="28"/>
          <w:szCs w:val="28"/>
        </w:rPr>
        <w:t xml:space="preserve"> на различных питательных средах</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Из данных рисунка видно, что образцы, выращенные на среде с мелассой (ПС-2), демонстрировали наибольшую прочность на разрыв </w:t>
      </w:r>
      <w:r w:rsidR="004764F9" w:rsidRPr="004764F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37,12 </w:t>
      </w:r>
      <w:r>
        <w:rPr>
          <w:rFonts w:ascii="Times New Roman" w:eastAsia="Times New Roman" w:hAnsi="Times New Roman" w:cs="Times New Roman"/>
          <w:sz w:val="28"/>
          <w:szCs w:val="28"/>
        </w:rPr>
        <w:lastRenderedPageBreak/>
        <w:t>± 0,2 МПа, что в 2,2 раза выше, чем у пленок, полученных на модифицированной HS-среде. Однако при этом наблюдалось снижение относительного удлинения, что типично для материалов с высокой степенью кристалличности и плотной упаковкой микрофибрилл.</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образцов, выращенных на среде с молочной сывороткой (ПС-1) и глицерином (ПС-4), прочностные характеристики были умеренными (26,16 и 24,01 МПа соответственно), что связано с менее упорядоченной укладкой волокон. Пленки, полученные на среде ПС-3 (гидролизаты злаков), обладали промежуточными свойствами — умеренной прочностью и эластичностью, что делает их перспективными </w:t>
      </w:r>
      <w:proofErr w:type="gramStart"/>
      <w:r>
        <w:rPr>
          <w:rFonts w:ascii="Times New Roman" w:eastAsia="Times New Roman" w:hAnsi="Times New Roman" w:cs="Times New Roman"/>
          <w:sz w:val="28"/>
          <w:szCs w:val="28"/>
        </w:rPr>
        <w:t>для</w:t>
      </w:r>
      <w:proofErr w:type="gramEnd"/>
      <w:r>
        <w:rPr>
          <w:rFonts w:ascii="Times New Roman" w:eastAsia="Times New Roman" w:hAnsi="Times New Roman" w:cs="Times New Roman"/>
          <w:sz w:val="28"/>
          <w:szCs w:val="28"/>
        </w:rPr>
        <w:t xml:space="preserve"> гибких био-покрытий.</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Высокие значения прочности при использовании мелассы могут быть обусловлены образованием дополнительных водородных связей между гидроксильными группами целлюлозы и полифенольными соединениями, присутствующими в составе мелассы. Аналогичные результаты приведены в исследованиях </w:t>
      </w:r>
      <w:r>
        <w:rPr>
          <w:rFonts w:ascii="Times New Roman" w:hAnsi="Times New Roman" w:cs="Times New Roman"/>
          <w:sz w:val="28"/>
          <w:szCs w:val="28"/>
        </w:rPr>
        <w:t>Heydorn</w:t>
      </w:r>
      <w:r>
        <w:rPr>
          <w:rFonts w:ascii="Times New Roman" w:eastAsia="Times New Roman" w:hAnsi="Times New Roman" w:cs="Times New Roman"/>
          <w:iCs/>
          <w:sz w:val="28"/>
          <w:szCs w:val="28"/>
        </w:rPr>
        <w:t xml:space="preserve"> и др.</w:t>
      </w:r>
      <w:r>
        <w:rPr>
          <w:rFonts w:ascii="Times New Roman" w:eastAsia="Times New Roman" w:hAnsi="Times New Roman" w:cs="Times New Roman"/>
          <w:sz w:val="28"/>
          <w:szCs w:val="28"/>
        </w:rPr>
        <w:t xml:space="preserve">, где добавление сахарсодержащих побочных продуктов усиливало межфибриллярные взаимодействия и повышало кристалличность БЦ [185]. Согласно данным </w:t>
      </w:r>
      <w:r w:rsidRPr="004764F9">
        <w:rPr>
          <w:rFonts w:ascii="Times New Roman" w:eastAsia="Times New Roman" w:hAnsi="Times New Roman" w:cs="Times New Roman"/>
          <w:iCs/>
          <w:sz w:val="28"/>
          <w:szCs w:val="28"/>
        </w:rPr>
        <w:t>Hu и др.</w:t>
      </w:r>
      <w:r>
        <w:rPr>
          <w:rFonts w:ascii="Times New Roman" w:eastAsia="Times New Roman" w:hAnsi="Times New Roman" w:cs="Times New Roman"/>
          <w:sz w:val="28"/>
          <w:szCs w:val="28"/>
        </w:rPr>
        <w:t xml:space="preserve"> [170], механические свойства БЦ напрямую зависят от прочности водородной связи между нанофибриллами и плотностью их упаковки в матрице. </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можно заключить, что среда на основе мелассы обеспечивает оптимальное сочетание высокой прочности и структурной целостности пленок БЦ, что делает её наиболее перспективной для промышленного и биомедицинского применения.</w:t>
      </w:r>
    </w:p>
    <w:p w:rsidR="00E17FE1" w:rsidRDefault="00E17FE1">
      <w:pPr>
        <w:spacing w:after="0" w:line="240" w:lineRule="auto"/>
        <w:ind w:firstLine="720"/>
        <w:jc w:val="both"/>
        <w:rPr>
          <w:rFonts w:ascii="Times New Roman" w:eastAsia="Times New Roman" w:hAnsi="Times New Roman" w:cs="Times New Roman"/>
          <w:sz w:val="28"/>
          <w:szCs w:val="28"/>
        </w:rPr>
      </w:pPr>
    </w:p>
    <w:p w:rsidR="00E17FE1" w:rsidRDefault="00BB58D7">
      <w:pPr>
        <w:spacing w:after="0" w:line="240" w:lineRule="auto"/>
        <w:ind w:firstLine="720"/>
        <w:jc w:val="both"/>
        <w:outlineLvl w:val="2"/>
        <w:rPr>
          <w:rFonts w:ascii="Times New Roman" w:eastAsia="Times New Roman" w:hAnsi="Times New Roman" w:cs="Times New Roman"/>
          <w:b/>
          <w:bCs/>
          <w:sz w:val="28"/>
          <w:szCs w:val="28"/>
        </w:rPr>
      </w:pPr>
      <w:r>
        <w:rPr>
          <w:rFonts w:ascii="Times New Roman" w:hAnsi="Times New Roman" w:cs="Times New Roman"/>
          <w:b/>
          <w:bCs/>
          <w:sz w:val="28"/>
          <w:szCs w:val="28"/>
        </w:rPr>
        <w:t xml:space="preserve">3.1.1.4 </w:t>
      </w:r>
      <w:r>
        <w:rPr>
          <w:rFonts w:ascii="Times New Roman" w:eastAsia="Times New Roman" w:hAnsi="Times New Roman" w:cs="Times New Roman"/>
          <w:b/>
          <w:bCs/>
          <w:sz w:val="28"/>
          <w:szCs w:val="28"/>
        </w:rPr>
        <w:t>Экономическая оценка эффективности производственных сред</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из ключевых факторов масштабирования биотехнологического производства бактериальной целлюлозы (БЦ) является экономическая эффективность ферментационной среды, доля которой может составлять до 50 % себестоимости конечного продукта. В этой связи был проведён сравнительный анализ стоимости стандартной среды HS и модифицированной среды ПС-2 на основе мелассы (табл. 3).</w:t>
      </w:r>
    </w:p>
    <w:p w:rsidR="00E17FE1" w:rsidRDefault="00E17FE1">
      <w:pPr>
        <w:spacing w:after="0" w:line="240" w:lineRule="auto"/>
        <w:jc w:val="both"/>
        <w:rPr>
          <w:rFonts w:ascii="Times New Roman" w:eastAsia="DejaVu Sans" w:hAnsi="Times New Roman" w:cs="Times New Roman"/>
          <w:spacing w:val="-4"/>
          <w:sz w:val="28"/>
          <w:szCs w:val="28"/>
          <w:lang w:eastAsia="zh-CN" w:bidi="hi-IN"/>
        </w:rPr>
      </w:pPr>
    </w:p>
    <w:p w:rsidR="00E17FE1" w:rsidRDefault="00BB58D7">
      <w:pPr>
        <w:spacing w:after="0" w:line="240" w:lineRule="auto"/>
        <w:jc w:val="both"/>
        <w:rPr>
          <w:rFonts w:ascii="Times New Roman" w:eastAsia="DejaVu Sans" w:hAnsi="Times New Roman" w:cs="Times New Roman"/>
          <w:spacing w:val="-4"/>
          <w:sz w:val="28"/>
          <w:szCs w:val="28"/>
          <w:lang w:eastAsia="zh-CN" w:bidi="hi-IN"/>
        </w:rPr>
      </w:pPr>
      <w:r>
        <w:rPr>
          <w:rFonts w:ascii="Times New Roman" w:eastAsia="DejaVu Sans" w:hAnsi="Times New Roman" w:cs="Times New Roman"/>
          <w:spacing w:val="-4"/>
          <w:sz w:val="28"/>
          <w:szCs w:val="28"/>
          <w:lang w:eastAsia="zh-CN" w:bidi="hi-IN"/>
        </w:rPr>
        <w:t>Таблица 3 – Расчет стоимости сред (</w:t>
      </w:r>
      <w:proofErr w:type="gramStart"/>
      <w:r>
        <w:rPr>
          <w:rFonts w:ascii="Times New Roman" w:eastAsia="DejaVu Sans" w:hAnsi="Times New Roman" w:cs="Times New Roman"/>
          <w:spacing w:val="-4"/>
          <w:sz w:val="28"/>
          <w:szCs w:val="28"/>
          <w:lang w:eastAsia="zh-CN" w:bidi="hi-IN"/>
        </w:rPr>
        <w:t>на конец</w:t>
      </w:r>
      <w:proofErr w:type="gramEnd"/>
      <w:r>
        <w:rPr>
          <w:rFonts w:ascii="Times New Roman" w:eastAsia="DejaVu Sans" w:hAnsi="Times New Roman" w:cs="Times New Roman"/>
          <w:spacing w:val="-4"/>
          <w:sz w:val="28"/>
          <w:szCs w:val="28"/>
          <w:lang w:eastAsia="zh-CN" w:bidi="hi-IN"/>
        </w:rPr>
        <w:t xml:space="preserve"> 2025 года) </w:t>
      </w:r>
    </w:p>
    <w:p w:rsidR="00E17FE1" w:rsidRDefault="00E17FE1">
      <w:pPr>
        <w:spacing w:after="0" w:line="240" w:lineRule="auto"/>
        <w:jc w:val="both"/>
        <w:rPr>
          <w:rFonts w:ascii="Times New Roman" w:eastAsia="DejaVu Sans" w:hAnsi="Times New Roman" w:cs="Times New Roman"/>
          <w:spacing w:val="-4"/>
          <w:sz w:val="28"/>
          <w:szCs w:val="28"/>
          <w:lang w:eastAsia="zh-C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30"/>
        <w:gridCol w:w="1854"/>
        <w:gridCol w:w="1276"/>
        <w:gridCol w:w="1985"/>
        <w:gridCol w:w="1405"/>
      </w:tblGrid>
      <w:tr w:rsidR="00E17FE1">
        <w:trPr>
          <w:jc w:val="center"/>
        </w:trPr>
        <w:tc>
          <w:tcPr>
            <w:tcW w:w="2530"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Наименование </w:t>
            </w:r>
          </w:p>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среды</w:t>
            </w: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Компоненты </w:t>
            </w:r>
          </w:p>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среды</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Цена </w:t>
            </w:r>
          </w:p>
          <w:p w:rsidR="00E17FE1" w:rsidRDefault="00BB58D7" w:rsidP="0077689B">
            <w:p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t xml:space="preserve">(в тг за </w:t>
            </w:r>
            <w:proofErr w:type="gramEnd"/>
          </w:p>
          <w:p w:rsidR="00E17FE1" w:rsidRDefault="00BB58D7" w:rsidP="0077689B">
            <w:pPr>
              <w:spacing w:after="0" w:line="240" w:lineRule="auto"/>
              <w:rPr>
                <w:rFonts w:ascii="Times New Roman" w:hAnsi="Times New Roman" w:cs="Times New Roman"/>
                <w:sz w:val="28"/>
                <w:szCs w:val="28"/>
              </w:rPr>
            </w:pPr>
            <w:proofErr w:type="gramStart"/>
            <w:r>
              <w:rPr>
                <w:rFonts w:ascii="Times New Roman" w:hAnsi="Times New Roman" w:cs="Times New Roman"/>
                <w:sz w:val="28"/>
                <w:szCs w:val="28"/>
              </w:rPr>
              <w:t>1 кг)</w:t>
            </w:r>
            <w:proofErr w:type="gramEnd"/>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Количество ингредиентов </w:t>
            </w:r>
          </w:p>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/л)</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Цена </w:t>
            </w:r>
          </w:p>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(в тг на 1 л среды)</w:t>
            </w:r>
          </w:p>
        </w:tc>
      </w:tr>
      <w:tr w:rsidR="00E17FE1">
        <w:trPr>
          <w:jc w:val="center"/>
        </w:trPr>
        <w:tc>
          <w:tcPr>
            <w:tcW w:w="2530" w:type="dxa"/>
            <w:vMerge w:val="restart"/>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Классическая </w:t>
            </w:r>
          </w:p>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среда HS</w:t>
            </w: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глюкоза</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8 400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20</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168</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гидрофосфат натрия</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124 560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2,7</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337</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пептон</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58 530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5</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293</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дрожжевой экстракт</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31 680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5</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158</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лимонная кислота</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6 840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1,15</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8</w:t>
            </w:r>
          </w:p>
        </w:tc>
      </w:tr>
      <w:tr w:rsidR="00E17FE1">
        <w:trPr>
          <w:jc w:val="center"/>
        </w:trPr>
        <w:tc>
          <w:tcPr>
            <w:tcW w:w="2530" w:type="dxa"/>
            <w:shd w:val="clear" w:color="auto" w:fill="EEECE1" w:themeFill="background2"/>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6520" w:type="dxa"/>
            <w:gridSpan w:val="4"/>
            <w:shd w:val="clear" w:color="auto" w:fill="EEECE1" w:themeFill="background2"/>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964 тг / л</w:t>
            </w:r>
          </w:p>
        </w:tc>
      </w:tr>
      <w:tr w:rsidR="00E17FE1">
        <w:trPr>
          <w:jc w:val="center"/>
        </w:trPr>
        <w:tc>
          <w:tcPr>
            <w:tcW w:w="2530" w:type="dxa"/>
            <w:vMerge w:val="restart"/>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Среда ПС-2 </w:t>
            </w:r>
          </w:p>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с мелассой</w:t>
            </w: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меласса</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20</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0</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гидрофосфат натрия</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124 560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2,7</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337</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дрожжевой экстракт</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31 680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5</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158</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лимонная кислота</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6 840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1,15</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8</w:t>
            </w:r>
          </w:p>
        </w:tc>
      </w:tr>
      <w:tr w:rsidR="00E17FE1">
        <w:trPr>
          <w:jc w:val="center"/>
        </w:trPr>
        <w:tc>
          <w:tcPr>
            <w:tcW w:w="2530" w:type="dxa"/>
            <w:vMerge/>
          </w:tcPr>
          <w:p w:rsidR="00E17FE1" w:rsidRDefault="00E17FE1" w:rsidP="0077689B">
            <w:pPr>
              <w:spacing w:after="0" w:line="240" w:lineRule="auto"/>
              <w:rPr>
                <w:rFonts w:ascii="Times New Roman" w:hAnsi="Times New Roman" w:cs="Times New Roman"/>
                <w:sz w:val="28"/>
                <w:szCs w:val="28"/>
              </w:rPr>
            </w:pPr>
          </w:p>
        </w:tc>
        <w:tc>
          <w:tcPr>
            <w:tcW w:w="1854"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этанол</w:t>
            </w:r>
          </w:p>
        </w:tc>
        <w:tc>
          <w:tcPr>
            <w:tcW w:w="1276"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2 400</w:t>
            </w:r>
          </w:p>
        </w:tc>
        <w:tc>
          <w:tcPr>
            <w:tcW w:w="198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10</w:t>
            </w:r>
          </w:p>
        </w:tc>
        <w:tc>
          <w:tcPr>
            <w:tcW w:w="1405" w:type="dxa"/>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24</w:t>
            </w:r>
          </w:p>
        </w:tc>
      </w:tr>
      <w:tr w:rsidR="00E17FE1">
        <w:trPr>
          <w:trHeight w:val="69"/>
          <w:jc w:val="center"/>
        </w:trPr>
        <w:tc>
          <w:tcPr>
            <w:tcW w:w="2530" w:type="dxa"/>
            <w:shd w:val="clear" w:color="auto" w:fill="EEECE1" w:themeFill="background2"/>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Итого</w:t>
            </w:r>
          </w:p>
        </w:tc>
        <w:tc>
          <w:tcPr>
            <w:tcW w:w="6520" w:type="dxa"/>
            <w:gridSpan w:val="4"/>
            <w:shd w:val="clear" w:color="auto" w:fill="EEECE1" w:themeFill="background2"/>
          </w:tcPr>
          <w:p w:rsidR="00E17FE1" w:rsidRDefault="00BB58D7" w:rsidP="0077689B">
            <w:pPr>
              <w:spacing w:after="0" w:line="240" w:lineRule="auto"/>
              <w:rPr>
                <w:rFonts w:ascii="Times New Roman" w:hAnsi="Times New Roman" w:cs="Times New Roman"/>
                <w:sz w:val="28"/>
                <w:szCs w:val="28"/>
              </w:rPr>
            </w:pPr>
            <w:r>
              <w:rPr>
                <w:rFonts w:ascii="Times New Roman" w:hAnsi="Times New Roman" w:cs="Times New Roman"/>
                <w:sz w:val="28"/>
                <w:szCs w:val="28"/>
              </w:rPr>
              <w:t>527 тг / л</w:t>
            </w:r>
          </w:p>
        </w:tc>
      </w:tr>
    </w:tbl>
    <w:p w:rsidR="00E17FE1" w:rsidRDefault="00E17FE1" w:rsidP="0077689B">
      <w:pPr>
        <w:spacing w:after="0" w:line="240" w:lineRule="auto"/>
        <w:ind w:firstLine="720"/>
        <w:jc w:val="both"/>
        <w:rPr>
          <w:rFonts w:ascii="Times New Roman" w:eastAsia="DejaVu Sans" w:hAnsi="Times New Roman" w:cs="Times New Roman"/>
          <w:spacing w:val="-4"/>
          <w:sz w:val="28"/>
          <w:szCs w:val="28"/>
          <w:lang w:eastAsia="zh-CN" w:bidi="hi-IN"/>
        </w:rPr>
      </w:pPr>
    </w:p>
    <w:p w:rsidR="00E17FE1" w:rsidRDefault="00BB58D7" w:rsidP="0077689B">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Стоимость 1 л среды ПС-2 оказалась почти в два раза ниже, чем </w:t>
      </w:r>
      <w:proofErr w:type="gramStart"/>
      <w:r>
        <w:rPr>
          <w:rFonts w:ascii="Times New Roman" w:eastAsia="Times New Roman" w:hAnsi="Times New Roman" w:cs="Times New Roman"/>
          <w:sz w:val="28"/>
          <w:szCs w:val="28"/>
        </w:rPr>
        <w:t>у</w:t>
      </w:r>
      <w:proofErr w:type="gramEnd"/>
      <w:r>
        <w:rPr>
          <w:rFonts w:ascii="Times New Roman" w:eastAsia="Times New Roman" w:hAnsi="Times New Roman" w:cs="Times New Roman"/>
          <w:sz w:val="28"/>
          <w:szCs w:val="28"/>
        </w:rPr>
        <w:t xml:space="preserve"> стандартной HS (527 тг против 964 тг). Такое снижение объясняется использованием мелассы — побочного продукта сахарного производства, не требующего дополнительной очистки и доступного в больших объёмах.</w:t>
      </w:r>
    </w:p>
    <w:p w:rsidR="00E17FE1" w:rsidRDefault="00E17FE1" w:rsidP="0077689B">
      <w:pPr>
        <w:spacing w:after="0" w:line="240" w:lineRule="auto"/>
        <w:jc w:val="both"/>
        <w:rPr>
          <w:rFonts w:ascii="Times New Roman" w:eastAsia="DejaVu Sans" w:hAnsi="Times New Roman" w:cs="Times New Roman"/>
          <w:spacing w:val="-4"/>
          <w:sz w:val="28"/>
          <w:szCs w:val="28"/>
          <w:lang w:eastAsia="zh-CN" w:bidi="hi-IN"/>
        </w:rPr>
      </w:pPr>
    </w:p>
    <w:p w:rsidR="00E17FE1" w:rsidRDefault="00BB58D7" w:rsidP="0077689B">
      <w:pPr>
        <w:spacing w:after="0" w:line="240" w:lineRule="auto"/>
        <w:jc w:val="both"/>
        <w:rPr>
          <w:rFonts w:ascii="Times New Roman" w:eastAsia="DejaVu Sans" w:hAnsi="Times New Roman" w:cs="Times New Roman"/>
          <w:spacing w:val="-4"/>
          <w:sz w:val="28"/>
          <w:szCs w:val="28"/>
          <w:lang w:eastAsia="zh-CN" w:bidi="hi-IN"/>
        </w:rPr>
      </w:pPr>
      <w:r>
        <w:rPr>
          <w:rFonts w:ascii="Times New Roman" w:eastAsia="DejaVu Sans" w:hAnsi="Times New Roman" w:cs="Times New Roman"/>
          <w:spacing w:val="-4"/>
          <w:sz w:val="28"/>
          <w:szCs w:val="28"/>
          <w:lang w:eastAsia="zh-CN" w:bidi="hi-IN"/>
        </w:rPr>
        <w:t>Таблица 4 – Расчет себестоимости БЦ на разных средах</w:t>
      </w:r>
    </w:p>
    <w:p w:rsidR="00E17FE1" w:rsidRDefault="00E17FE1" w:rsidP="0077689B">
      <w:pPr>
        <w:spacing w:after="0" w:line="240" w:lineRule="auto"/>
        <w:jc w:val="both"/>
        <w:rPr>
          <w:rFonts w:ascii="Times New Roman" w:eastAsia="DejaVu Sans" w:hAnsi="Times New Roman" w:cs="Times New Roman"/>
          <w:spacing w:val="-4"/>
          <w:sz w:val="28"/>
          <w:szCs w:val="28"/>
          <w:lang w:eastAsia="zh-CN" w:bidi="hi-IN"/>
        </w:rPr>
      </w:pPr>
    </w:p>
    <w:tbl>
      <w:tblPr>
        <w:tblW w:w="0" w:type="auto"/>
        <w:tblLook w:val="04A0"/>
      </w:tblPr>
      <w:tblGrid>
        <w:gridCol w:w="2966"/>
        <w:gridCol w:w="2056"/>
        <w:gridCol w:w="2337"/>
        <w:gridCol w:w="2212"/>
      </w:tblGrid>
      <w:tr w:rsidR="00E17FE1">
        <w:tc>
          <w:tcPr>
            <w:tcW w:w="3065"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Среды</w:t>
            </w:r>
          </w:p>
        </w:tc>
        <w:tc>
          <w:tcPr>
            <w:tcW w:w="2146"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Выход БЦ на средах (</w:t>
            </w:r>
            <w:proofErr w:type="gramStart"/>
            <w:r>
              <w:rPr>
                <w:rFonts w:ascii="Times New Roman" w:hAnsi="Times New Roman" w:cs="Times New Roman"/>
                <w:spacing w:val="-4"/>
                <w:sz w:val="28"/>
                <w:szCs w:val="28"/>
              </w:rPr>
              <w:t>г</w:t>
            </w:r>
            <w:proofErr w:type="gramEnd"/>
            <w:r>
              <w:rPr>
                <w:rFonts w:ascii="Times New Roman" w:hAnsi="Times New Roman" w:cs="Times New Roman"/>
                <w:spacing w:val="-4"/>
                <w:sz w:val="28"/>
                <w:szCs w:val="28"/>
              </w:rPr>
              <w:t>/л)</w:t>
            </w:r>
          </w:p>
        </w:tc>
        <w:tc>
          <w:tcPr>
            <w:tcW w:w="2410"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Стоимость среды (в тг за 1 л)</w:t>
            </w:r>
          </w:p>
        </w:tc>
        <w:tc>
          <w:tcPr>
            <w:tcW w:w="2233"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Себестоимость БЦ (в тг за 1 г/л)</w:t>
            </w:r>
          </w:p>
        </w:tc>
      </w:tr>
      <w:tr w:rsidR="00E17FE1">
        <w:tc>
          <w:tcPr>
            <w:tcW w:w="3065"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both"/>
              <w:rPr>
                <w:rFonts w:ascii="Times New Roman" w:hAnsi="Times New Roman" w:cs="Times New Roman"/>
                <w:spacing w:val="-4"/>
                <w:sz w:val="28"/>
                <w:szCs w:val="28"/>
              </w:rPr>
            </w:pPr>
            <w:r>
              <w:rPr>
                <w:rFonts w:ascii="Times New Roman" w:eastAsia="Calibri" w:hAnsi="Times New Roman" w:cs="Times New Roman"/>
                <w:spacing w:val="-4"/>
                <w:sz w:val="28"/>
                <w:szCs w:val="28"/>
              </w:rPr>
              <w:t>Классическая среда HS</w:t>
            </w:r>
          </w:p>
        </w:tc>
        <w:tc>
          <w:tcPr>
            <w:tcW w:w="2146"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4,56</w:t>
            </w:r>
          </w:p>
        </w:tc>
        <w:tc>
          <w:tcPr>
            <w:tcW w:w="2410"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964</w:t>
            </w:r>
          </w:p>
        </w:tc>
        <w:tc>
          <w:tcPr>
            <w:tcW w:w="2233"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211,4 тг</w:t>
            </w:r>
          </w:p>
        </w:tc>
      </w:tr>
      <w:tr w:rsidR="00E17FE1">
        <w:tc>
          <w:tcPr>
            <w:tcW w:w="3065"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both"/>
              <w:rPr>
                <w:rFonts w:ascii="Times New Roman" w:eastAsia="Calibri" w:hAnsi="Times New Roman" w:cs="Times New Roman"/>
                <w:spacing w:val="-4"/>
                <w:sz w:val="28"/>
                <w:szCs w:val="28"/>
              </w:rPr>
            </w:pPr>
            <w:r>
              <w:rPr>
                <w:rFonts w:ascii="Times New Roman" w:eastAsia="Calibri" w:hAnsi="Times New Roman" w:cs="Times New Roman"/>
                <w:spacing w:val="-4"/>
                <w:sz w:val="28"/>
                <w:szCs w:val="28"/>
              </w:rPr>
              <w:t>Среда ПС-2 с мелассой</w:t>
            </w:r>
          </w:p>
        </w:tc>
        <w:tc>
          <w:tcPr>
            <w:tcW w:w="2146"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12,8</w:t>
            </w:r>
          </w:p>
        </w:tc>
        <w:tc>
          <w:tcPr>
            <w:tcW w:w="2410"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527</w:t>
            </w:r>
          </w:p>
        </w:tc>
        <w:tc>
          <w:tcPr>
            <w:tcW w:w="2233" w:type="dxa"/>
            <w:tcBorders>
              <w:top w:val="single" w:sz="4" w:space="0" w:color="auto"/>
              <w:left w:val="single" w:sz="4" w:space="0" w:color="auto"/>
              <w:bottom w:val="single" w:sz="4" w:space="0" w:color="auto"/>
              <w:right w:val="single" w:sz="4" w:space="0" w:color="auto"/>
            </w:tcBorders>
          </w:tcPr>
          <w:p w:rsidR="00E17FE1" w:rsidRDefault="00BB58D7" w:rsidP="0077689B">
            <w:pPr>
              <w:spacing w:line="240" w:lineRule="auto"/>
              <w:jc w:val="center"/>
              <w:rPr>
                <w:rFonts w:ascii="Times New Roman" w:hAnsi="Times New Roman" w:cs="Times New Roman"/>
                <w:spacing w:val="-4"/>
                <w:sz w:val="28"/>
                <w:szCs w:val="28"/>
              </w:rPr>
            </w:pPr>
            <w:r>
              <w:rPr>
                <w:rFonts w:ascii="Times New Roman" w:hAnsi="Times New Roman" w:cs="Times New Roman"/>
                <w:spacing w:val="-4"/>
                <w:sz w:val="28"/>
                <w:szCs w:val="28"/>
              </w:rPr>
              <w:t>41,2 тг</w:t>
            </w:r>
          </w:p>
        </w:tc>
      </w:tr>
    </w:tbl>
    <w:p w:rsidR="00E17FE1" w:rsidRDefault="00E17FE1">
      <w:pPr>
        <w:spacing w:after="0" w:line="240" w:lineRule="auto"/>
        <w:jc w:val="both"/>
        <w:rPr>
          <w:rFonts w:ascii="Times New Roman" w:eastAsia="Times New Roman" w:hAnsi="Times New Roman" w:cs="Times New Roman"/>
          <w:sz w:val="28"/>
          <w:szCs w:val="28"/>
        </w:rPr>
      </w:pP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себестоимость 1 г БЦ при использовании среды с мелассой составила всего 41 тг, что в 5 раз дешевле, чем при применении стандартной HS-среды. Это демонстрирует высокую экономическую и технологическую целесообразность замены коммерческих источников углерода на вторичные субстраты.</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Снижение стоимости при одновременном росте выхода продукта соответствует данным, полученным в работах </w:t>
      </w:r>
      <w:r>
        <w:rPr>
          <w:rFonts w:ascii="Times New Roman" w:eastAsia="Times New Roman" w:hAnsi="Times New Roman" w:cs="Times New Roman"/>
          <w:iCs/>
          <w:sz w:val="28"/>
          <w:szCs w:val="28"/>
          <w:lang w:val="en-US"/>
        </w:rPr>
        <w:t>Sharma</w:t>
      </w:r>
      <w:r>
        <w:rPr>
          <w:rFonts w:ascii="Times New Roman" w:eastAsia="Times New Roman" w:hAnsi="Times New Roman" w:cs="Times New Roman"/>
          <w:iCs/>
          <w:sz w:val="28"/>
          <w:szCs w:val="28"/>
        </w:rPr>
        <w:t xml:space="preserve"> и др. </w:t>
      </w:r>
      <w:r>
        <w:rPr>
          <w:rFonts w:ascii="Times New Roman" w:eastAsia="Times New Roman" w:hAnsi="Times New Roman" w:cs="Times New Roman"/>
          <w:sz w:val="28"/>
          <w:szCs w:val="28"/>
        </w:rPr>
        <w:t xml:space="preserve">[186] и </w:t>
      </w:r>
      <w:r>
        <w:rPr>
          <w:rFonts w:ascii="Times New Roman" w:hAnsi="Times New Roman" w:cs="Times New Roman"/>
          <w:sz w:val="28"/>
          <w:szCs w:val="28"/>
        </w:rPr>
        <w:t>Quijano</w:t>
      </w:r>
      <w:r>
        <w:rPr>
          <w:rFonts w:ascii="Times New Roman" w:eastAsia="Times New Roman" w:hAnsi="Times New Roman" w:cs="Times New Roman"/>
          <w:iCs/>
          <w:sz w:val="28"/>
          <w:szCs w:val="28"/>
        </w:rPr>
        <w:t xml:space="preserve"> и др. </w:t>
      </w:r>
      <w:r>
        <w:rPr>
          <w:rFonts w:ascii="Times New Roman" w:eastAsia="Times New Roman" w:hAnsi="Times New Roman" w:cs="Times New Roman"/>
          <w:sz w:val="28"/>
          <w:szCs w:val="28"/>
        </w:rPr>
        <w:t>[187], где использование побочных продуктов сахарной, молочной и пивной промышленности позволило снизить себестоимость БЦ на 60–85 % при сохранении или повышении её качества.</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Меласса является не только дешёвым источником углерода, но и дополнительным источником аминокислот, витаминов и микроэлементов, что стимулирует рост клеток </w:t>
      </w:r>
      <w:r>
        <w:rPr>
          <w:rFonts w:ascii="Times New Roman" w:eastAsia="Times New Roman" w:hAnsi="Times New Roman" w:cs="Times New Roman"/>
          <w:i/>
          <w:iCs/>
          <w:sz w:val="28"/>
          <w:szCs w:val="28"/>
        </w:rPr>
        <w:t>Komagataeibacter xylinus</w:t>
      </w:r>
      <w:r>
        <w:rPr>
          <w:rFonts w:ascii="Times New Roman" w:eastAsia="Times New Roman" w:hAnsi="Times New Roman" w:cs="Times New Roman"/>
          <w:sz w:val="28"/>
          <w:szCs w:val="28"/>
        </w:rPr>
        <w:t xml:space="preserve"> без добавления пептона и дрожжевого экстракта [184]. Кроме того, благодаря естественному буферному эффекту мелассы, pH среды остаётся стабильным в течение культивации, что снижает затраты на коррекцию кислотности и уменьшает образование побочных продуктов (например, глюконовой кислоты).</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Исследования </w:t>
      </w:r>
      <w:r>
        <w:rPr>
          <w:rFonts w:ascii="Times New Roman" w:hAnsi="Times New Roman" w:cs="Times New Roman"/>
          <w:sz w:val="28"/>
          <w:szCs w:val="28"/>
        </w:rPr>
        <w:t>Quijano</w:t>
      </w:r>
      <w:r>
        <w:rPr>
          <w:rFonts w:ascii="Times New Roman" w:eastAsia="Times New Roman" w:hAnsi="Times New Roman" w:cs="Times New Roman"/>
          <w:sz w:val="28"/>
          <w:szCs w:val="28"/>
        </w:rPr>
        <w:t xml:space="preserve"> </w:t>
      </w:r>
      <w:r>
        <w:rPr>
          <w:rFonts w:ascii="Times New Roman" w:eastAsia="Times New Roman" w:hAnsi="Times New Roman" w:cs="Times New Roman"/>
          <w:iCs/>
          <w:sz w:val="28"/>
          <w:szCs w:val="28"/>
        </w:rPr>
        <w:t xml:space="preserve">и др. </w:t>
      </w:r>
      <w:r>
        <w:rPr>
          <w:rFonts w:ascii="Times New Roman" w:eastAsia="Times New Roman" w:hAnsi="Times New Roman" w:cs="Times New Roman"/>
          <w:sz w:val="28"/>
          <w:szCs w:val="28"/>
        </w:rPr>
        <w:t>[187] подтверждают, что включение побочных продуктов агропищевой промышленности в состав ферментационных сред является важным направлением циркулярной биоэкономики, позволяющим сочетать снижение себестоимости с экологическими преимуществами — сокращением количества отходов и выбросов CO</w:t>
      </w:r>
      <w:r>
        <w:rPr>
          <w:rFonts w:ascii="Cambria Math" w:eastAsia="Times New Roman" w:hAnsi="Cambria Math" w:cs="Cambria Math"/>
          <w:sz w:val="28"/>
          <w:szCs w:val="28"/>
        </w:rPr>
        <w:t>₂</w:t>
      </w:r>
      <w:r>
        <w:rPr>
          <w:rFonts w:ascii="Times New Roman" w:eastAsia="Times New Roman" w:hAnsi="Times New Roman" w:cs="Times New Roman"/>
          <w:sz w:val="28"/>
          <w:szCs w:val="28"/>
        </w:rPr>
        <w:t>.</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среда ПС-2 на основе мелассы обеспечивает не только высокий уровень биосинтеза БЦ (12,8 г/л), но и значительное снижение производственных затрат, что делает её наиболее перспективной для масштабного промышленного применения. Использование подобных отходов, доступных в Казахстане, открывает широкие перспективы для создания экономически и экологически устойчивых биотехнологических процессов, интегрированных в концепцию «Zero Waste Biomanufacturing».</w:t>
      </w:r>
    </w:p>
    <w:p w:rsidR="00E17FE1" w:rsidRDefault="00E17FE1">
      <w:pPr>
        <w:spacing w:after="0" w:line="240" w:lineRule="auto"/>
        <w:jc w:val="both"/>
        <w:rPr>
          <w:rFonts w:ascii="Times New Roman" w:hAnsi="Times New Roman" w:cs="Times New Roman"/>
          <w:sz w:val="28"/>
          <w:szCs w:val="28"/>
          <w:lang w:val="kk-KZ"/>
        </w:rPr>
      </w:pPr>
    </w:p>
    <w:p w:rsidR="00E17FE1" w:rsidRDefault="00BB58D7">
      <w:pPr>
        <w:spacing w:after="0" w:line="240" w:lineRule="auto"/>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3.1.2 Синтез функциональных составляющих композита: </w:t>
      </w:r>
      <w:r>
        <w:rPr>
          <w:rFonts w:ascii="Times New Roman" w:eastAsia="Times New Roman" w:hAnsi="Times New Roman" w:cs="Times New Roman"/>
          <w:b/>
          <w:sz w:val="28"/>
          <w:szCs w:val="28"/>
          <w:lang w:val="en-US" w:eastAsia="ru-RU"/>
        </w:rPr>
        <w:t>Ti</w:t>
      </w:r>
      <w:r>
        <w:rPr>
          <w:rFonts w:ascii="Times New Roman" w:eastAsia="Times New Roman" w:hAnsi="Times New Roman" w:cs="Times New Roman"/>
          <w:b/>
          <w:sz w:val="28"/>
          <w:szCs w:val="28"/>
          <w:vertAlign w:val="subscript"/>
          <w:lang w:eastAsia="ru-RU"/>
        </w:rPr>
        <w:t>3</w:t>
      </w:r>
      <w:r>
        <w:rPr>
          <w:rFonts w:ascii="Times New Roman" w:eastAsia="Times New Roman" w:hAnsi="Times New Roman" w:cs="Times New Roman"/>
          <w:b/>
          <w:sz w:val="28"/>
          <w:szCs w:val="28"/>
          <w:lang w:val="en-US" w:eastAsia="ru-RU"/>
        </w:rPr>
        <w:t>C</w:t>
      </w:r>
      <w:r>
        <w:rPr>
          <w:rFonts w:ascii="Times New Roman" w:eastAsia="Times New Roman" w:hAnsi="Times New Roman" w:cs="Times New Roman"/>
          <w:b/>
          <w:sz w:val="28"/>
          <w:szCs w:val="28"/>
          <w:vertAlign w:val="subscript"/>
          <w:lang w:eastAsia="ru-RU"/>
        </w:rPr>
        <w:t>2</w:t>
      </w:r>
      <w:r>
        <w:rPr>
          <w:rFonts w:ascii="Times New Roman" w:eastAsia="Times New Roman" w:hAnsi="Times New Roman" w:cs="Times New Roman"/>
          <w:b/>
          <w:sz w:val="28"/>
          <w:szCs w:val="28"/>
          <w:lang w:val="en-US" w:eastAsia="ru-RU"/>
        </w:rPr>
        <w:t>T</w:t>
      </w:r>
      <w:r w:rsidRPr="00025A8F">
        <w:rPr>
          <w:rFonts w:ascii="Times New Roman" w:eastAsia="Times New Roman" w:hAnsi="Times New Roman" w:cs="Times New Roman"/>
          <w:b/>
          <w:sz w:val="28"/>
          <w:szCs w:val="28"/>
          <w:vertAlign w:val="subscript"/>
          <w:lang w:val="en-US" w:eastAsia="ru-RU"/>
        </w:rPr>
        <w:t>x</w:t>
      </w:r>
      <w:r>
        <w:rPr>
          <w:rFonts w:ascii="Times New Roman" w:eastAsia="Times New Roman" w:hAnsi="Times New Roman" w:cs="Times New Roman"/>
          <w:b/>
          <w:sz w:val="28"/>
          <w:szCs w:val="28"/>
          <w:lang w:eastAsia="ru-RU"/>
        </w:rPr>
        <w:t>МХ и ГАП</w:t>
      </w:r>
    </w:p>
    <w:p w:rsidR="00E17FE1" w:rsidRDefault="00BB58D7">
      <w:pPr>
        <w:pStyle w:val="ac"/>
        <w:spacing w:after="0"/>
        <w:ind w:firstLine="567"/>
        <w:jc w:val="both"/>
        <w:rPr>
          <w:rFonts w:eastAsia="Times New Roman" w:cs="Times New Roman"/>
          <w:sz w:val="28"/>
          <w:szCs w:val="28"/>
          <w:lang w:eastAsia="ru-RU"/>
        </w:rPr>
      </w:pPr>
      <w:r>
        <w:rPr>
          <w:rFonts w:cs="Times New Roman"/>
          <w:sz w:val="28"/>
          <w:szCs w:val="28"/>
        </w:rPr>
        <w:t>Основная функция БЦ в раневых покрытиях заключается в изоляции повреждённой области и выполнении барьерной роли</w:t>
      </w:r>
      <w:r>
        <w:rPr>
          <w:rFonts w:eastAsia="Times New Roman" w:cs="Times New Roman"/>
          <w:sz w:val="28"/>
          <w:szCs w:val="28"/>
          <w:lang w:eastAsia="ru-RU"/>
        </w:rPr>
        <w:t>, но уникальная структура — пористая сеть нановолокон с большой удельной поверхностью делает её оптимальной платформой для включения антимикробных агентов и других функциональных компонентов, что сможет обеспечить формирование композитов с выраженными антисептическими и антибиоплёночными характеристиками.</w:t>
      </w:r>
    </w:p>
    <w:p w:rsidR="00E17FE1" w:rsidRDefault="00BB58D7">
      <w:pPr>
        <w:pStyle w:val="ac"/>
        <w:spacing w:after="0"/>
        <w:ind w:firstLine="567"/>
        <w:jc w:val="both"/>
        <w:rPr>
          <w:rFonts w:cs="Times New Roman"/>
          <w:sz w:val="28"/>
          <w:szCs w:val="28"/>
        </w:rPr>
      </w:pPr>
      <w:r>
        <w:rPr>
          <w:rFonts w:cs="Times New Roman"/>
          <w:sz w:val="28"/>
          <w:szCs w:val="28"/>
        </w:rPr>
        <w:t xml:space="preserve">Одним из компонентов такой платформы могут быть MXenes. Это </w:t>
      </w:r>
      <w:proofErr w:type="gramStart"/>
      <w:r>
        <w:rPr>
          <w:rFonts w:cs="Times New Roman"/>
          <w:sz w:val="28"/>
          <w:szCs w:val="28"/>
        </w:rPr>
        <w:t>двухмерные</w:t>
      </w:r>
      <w:proofErr w:type="gramEnd"/>
      <w:r>
        <w:rPr>
          <w:rFonts w:cs="Times New Roman"/>
          <w:sz w:val="28"/>
          <w:szCs w:val="28"/>
        </w:rPr>
        <w:t xml:space="preserve"> (2D) наноматериалы, относящиеся к  семейству карбидов, нитридов и карбо-нитридов переходных металлов. </w:t>
      </w:r>
    </w:p>
    <w:p w:rsidR="00E17FE1" w:rsidRDefault="00BB58D7">
      <w:pPr>
        <w:pStyle w:val="ac"/>
        <w:spacing w:after="0"/>
        <w:ind w:firstLine="567"/>
        <w:jc w:val="both"/>
        <w:rPr>
          <w:rFonts w:cs="Times New Roman"/>
          <w:sz w:val="28"/>
          <w:szCs w:val="28"/>
        </w:rPr>
      </w:pPr>
      <w:r>
        <w:rPr>
          <w:rFonts w:cs="Times New Roman"/>
          <w:sz w:val="28"/>
          <w:szCs w:val="28"/>
        </w:rPr>
        <w:t xml:space="preserve">Начиная с 2016 года, когда в статье </w:t>
      </w:r>
      <w:r>
        <w:rPr>
          <w:rFonts w:cs="Times New Roman"/>
          <w:sz w:val="28"/>
          <w:szCs w:val="28"/>
          <w:lang w:val="en-US"/>
        </w:rPr>
        <w:t>Rasool</w:t>
      </w:r>
      <w:r>
        <w:rPr>
          <w:rFonts w:cs="Times New Roman"/>
          <w:sz w:val="28"/>
          <w:szCs w:val="28"/>
        </w:rPr>
        <w:t xml:space="preserve"> и др. [6] были впервые описа</w:t>
      </w:r>
      <w:r>
        <w:rPr>
          <w:rFonts w:cs="Times New Roman"/>
          <w:sz w:val="28"/>
          <w:szCs w:val="28"/>
          <w:lang w:val="kk-KZ"/>
        </w:rPr>
        <w:t>ны</w:t>
      </w:r>
      <w:r>
        <w:rPr>
          <w:rFonts w:cs="Times New Roman"/>
          <w:sz w:val="28"/>
          <w:szCs w:val="28"/>
        </w:rPr>
        <w:t xml:space="preserve"> антибактериальные свойства MXenes, с тех пор работы в этом направлении начали нарастать с каскадной скоростью. Информация о них суммирована в нескольких обзорах [92, 188, 189]. Имеются   сведения о том, что MXenes или материалы с ними препятствуют образованию биопленок и даже способствуют их   деструкции [</w:t>
      </w:r>
      <w:r>
        <w:rPr>
          <w:rFonts w:cs="Times New Roman"/>
          <w:sz w:val="28"/>
          <w:szCs w:val="28"/>
          <w:lang w:eastAsia="ru-RU"/>
        </w:rPr>
        <w:t>7]</w:t>
      </w:r>
      <w:r>
        <w:rPr>
          <w:rFonts w:cs="Times New Roman"/>
          <w:sz w:val="28"/>
          <w:szCs w:val="28"/>
        </w:rPr>
        <w:t xml:space="preserve">. </w:t>
      </w:r>
    </w:p>
    <w:p w:rsidR="00E17FE1" w:rsidRDefault="00BB58D7">
      <w:pPr>
        <w:pStyle w:val="ac"/>
        <w:spacing w:after="0"/>
        <w:ind w:firstLine="567"/>
        <w:jc w:val="both"/>
        <w:rPr>
          <w:rFonts w:cs="Times New Roman"/>
          <w:sz w:val="28"/>
          <w:szCs w:val="28"/>
        </w:rPr>
      </w:pPr>
      <w:r>
        <w:rPr>
          <w:rFonts w:cs="Times New Roman"/>
          <w:sz w:val="28"/>
          <w:szCs w:val="28"/>
        </w:rPr>
        <w:t>Среди всех других MXenes, Ti</w:t>
      </w:r>
      <w:r>
        <w:rPr>
          <w:rFonts w:cs="Times New Roman"/>
          <w:sz w:val="28"/>
          <w:szCs w:val="28"/>
          <w:vertAlign w:val="subscript"/>
        </w:rPr>
        <w:t>3</w:t>
      </w:r>
      <w:r>
        <w:rPr>
          <w:rFonts w:cs="Times New Roman"/>
          <w:sz w:val="28"/>
          <w:szCs w:val="28"/>
        </w:rPr>
        <w:t>C</w:t>
      </w:r>
      <w:r>
        <w:rPr>
          <w:rFonts w:cs="Times New Roman"/>
          <w:sz w:val="28"/>
          <w:szCs w:val="28"/>
          <w:vertAlign w:val="subscript"/>
        </w:rPr>
        <w:t>2</w:t>
      </w:r>
      <w:r>
        <w:rPr>
          <w:rFonts w:cs="Times New Roman"/>
          <w:sz w:val="28"/>
          <w:szCs w:val="28"/>
        </w:rPr>
        <w:t>T</w:t>
      </w:r>
      <w:r>
        <w:rPr>
          <w:rFonts w:cs="Times New Roman"/>
          <w:sz w:val="28"/>
          <w:szCs w:val="28"/>
          <w:vertAlign w:val="subscript"/>
        </w:rPr>
        <w:t>x</w:t>
      </w:r>
      <w:r>
        <w:rPr>
          <w:rFonts w:cs="Times New Roman"/>
          <w:sz w:val="28"/>
          <w:szCs w:val="28"/>
        </w:rPr>
        <w:t>MXene является наиболее изученны</w:t>
      </w:r>
      <w:r>
        <w:rPr>
          <w:rFonts w:cs="Times New Roman"/>
          <w:sz w:val="28"/>
          <w:szCs w:val="28"/>
          <w:lang w:val="kk-KZ"/>
        </w:rPr>
        <w:t xml:space="preserve"> </w:t>
      </w:r>
      <w:r>
        <w:rPr>
          <w:rFonts w:cs="Times New Roman"/>
          <w:sz w:val="28"/>
          <w:szCs w:val="28"/>
        </w:rPr>
        <w:t>Ti</w:t>
      </w:r>
      <w:r>
        <w:rPr>
          <w:rFonts w:cs="Times New Roman"/>
          <w:sz w:val="28"/>
          <w:szCs w:val="28"/>
          <w:vertAlign w:val="subscript"/>
        </w:rPr>
        <w:t>3</w:t>
      </w:r>
      <w:r>
        <w:rPr>
          <w:rFonts w:cs="Times New Roman"/>
          <w:sz w:val="28"/>
          <w:szCs w:val="28"/>
        </w:rPr>
        <w:t>C</w:t>
      </w:r>
      <w:r>
        <w:rPr>
          <w:rFonts w:cs="Times New Roman"/>
          <w:sz w:val="28"/>
          <w:szCs w:val="28"/>
          <w:vertAlign w:val="subscript"/>
        </w:rPr>
        <w:t>2</w:t>
      </w:r>
      <w:r>
        <w:rPr>
          <w:rFonts w:cs="Times New Roman"/>
          <w:sz w:val="28"/>
          <w:szCs w:val="28"/>
        </w:rPr>
        <w:t>T</w:t>
      </w:r>
      <w:r>
        <w:rPr>
          <w:rFonts w:cs="Times New Roman"/>
          <w:sz w:val="28"/>
          <w:szCs w:val="28"/>
          <w:vertAlign w:val="subscript"/>
        </w:rPr>
        <w:t>x</w:t>
      </w:r>
      <w:r>
        <w:rPr>
          <w:rFonts w:cs="Times New Roman"/>
          <w:sz w:val="28"/>
          <w:szCs w:val="28"/>
        </w:rPr>
        <w:t>MXene. Двумерный карбид титана MXene (Ti</w:t>
      </w:r>
      <w:r>
        <w:rPr>
          <w:rFonts w:cs="Times New Roman"/>
          <w:sz w:val="28"/>
          <w:szCs w:val="28"/>
          <w:vertAlign w:val="subscript"/>
        </w:rPr>
        <w:t>3</w:t>
      </w:r>
      <w:r>
        <w:rPr>
          <w:rFonts w:cs="Times New Roman"/>
          <w:sz w:val="28"/>
          <w:szCs w:val="28"/>
        </w:rPr>
        <w:t>C</w:t>
      </w:r>
      <w:r>
        <w:rPr>
          <w:rFonts w:cs="Times New Roman"/>
          <w:sz w:val="28"/>
          <w:szCs w:val="28"/>
          <w:vertAlign w:val="subscript"/>
        </w:rPr>
        <w:t>2</w:t>
      </w:r>
      <w:r>
        <w:rPr>
          <w:rFonts w:cs="Times New Roman"/>
          <w:sz w:val="28"/>
          <w:szCs w:val="28"/>
        </w:rPr>
        <w:t>T</w:t>
      </w:r>
      <w:r>
        <w:rPr>
          <w:rFonts w:cs="Times New Roman"/>
          <w:sz w:val="28"/>
          <w:szCs w:val="28"/>
          <w:vertAlign w:val="subscript"/>
        </w:rPr>
        <w:t>x</w:t>
      </w:r>
      <w:r>
        <w:rPr>
          <w:rFonts w:cs="Times New Roman"/>
          <w:sz w:val="28"/>
          <w:szCs w:val="28"/>
        </w:rPr>
        <w:t>MXene) был первым синтезированным MXene, о котором сообщили в 2011 году [190], и с тех пор с ним проводится более 70 % всех исследований MXene на сегодняшний день [</w:t>
      </w:r>
      <w:hyperlink r:id="rId20" w:tgtFrame="_blank" w:tooltip="Persistent link using digital object identifier" w:history="1">
        <w:r>
          <w:rPr>
            <w:rStyle w:val="anchor-text"/>
            <w:rFonts w:cs="Times New Roman"/>
            <w:sz w:val="28"/>
            <w:szCs w:val="28"/>
          </w:rPr>
          <w:t>191</w:t>
        </w:r>
      </w:hyperlink>
      <w:r>
        <w:rPr>
          <w:rFonts w:cs="Times New Roman"/>
          <w:sz w:val="28"/>
          <w:szCs w:val="28"/>
        </w:rPr>
        <w:t xml:space="preserve">]. Поэтому именно такой тип MXene был получен в данной работе. Общая схема его синтеза представлена на рисунке 10. </w:t>
      </w:r>
    </w:p>
    <w:p w:rsidR="00E17FE1" w:rsidRDefault="00BB58D7">
      <w:pPr>
        <w:pStyle w:val="ac"/>
        <w:spacing w:after="0"/>
        <w:ind w:firstLine="567"/>
        <w:jc w:val="both"/>
        <w:rPr>
          <w:rFonts w:cs="Times New Roman"/>
          <w:sz w:val="28"/>
          <w:szCs w:val="28"/>
        </w:rPr>
      </w:pPr>
      <w:proofErr w:type="gramStart"/>
      <w:r>
        <w:rPr>
          <w:rFonts w:cs="Times New Roman"/>
          <w:sz w:val="28"/>
          <w:szCs w:val="28"/>
        </w:rPr>
        <w:t>Процесс включает несколько ключевых этапов: 1 - селективное удаление алюминия с помощью образующегося HF; 2 - формирование многослойных структур Ti</w:t>
      </w:r>
      <w:r>
        <w:rPr>
          <w:rFonts w:ascii="Cambria Math" w:hAnsi="Cambria Math" w:cs="Times New Roman"/>
          <w:sz w:val="28"/>
          <w:szCs w:val="28"/>
        </w:rPr>
        <w:t>₃</w:t>
      </w:r>
      <w:r>
        <w:rPr>
          <w:rFonts w:cs="Times New Roman"/>
          <w:sz w:val="28"/>
          <w:szCs w:val="28"/>
        </w:rPr>
        <w:t>C</w:t>
      </w:r>
      <w:r>
        <w:rPr>
          <w:rFonts w:ascii="Cambria Math" w:hAnsi="Cambria Math" w:cs="Times New Roman"/>
          <w:sz w:val="28"/>
          <w:szCs w:val="28"/>
        </w:rPr>
        <w:t>₂</w:t>
      </w:r>
      <w:r>
        <w:rPr>
          <w:rFonts w:cs="Times New Roman"/>
          <w:sz w:val="28"/>
          <w:szCs w:val="28"/>
        </w:rPr>
        <w:t>T</w:t>
      </w:r>
      <w:r w:rsidRPr="00025A8F">
        <w:rPr>
          <w:rFonts w:cs="Times New Roman"/>
          <w:sz w:val="28"/>
          <w:szCs w:val="28"/>
          <w:vertAlign w:val="subscript"/>
        </w:rPr>
        <w:t>x</w:t>
      </w:r>
      <w:r>
        <w:rPr>
          <w:rFonts w:cs="Times New Roman"/>
          <w:sz w:val="28"/>
          <w:szCs w:val="28"/>
        </w:rPr>
        <w:t>; 3 - последующее расслоение до отдельных нанолистов под действием ультразвука.</w:t>
      </w:r>
      <w:proofErr w:type="gramEnd"/>
    </w:p>
    <w:p w:rsidR="00E17FE1" w:rsidRDefault="00E17FE1">
      <w:pPr>
        <w:pStyle w:val="ac"/>
        <w:spacing w:after="0"/>
        <w:ind w:right="-1" w:firstLine="567"/>
        <w:jc w:val="both"/>
        <w:rPr>
          <w:sz w:val="28"/>
          <w:szCs w:val="28"/>
          <w:highlight w:val="lightGray"/>
        </w:rPr>
      </w:pPr>
    </w:p>
    <w:p w:rsidR="00E17FE1" w:rsidRDefault="00BB58D7">
      <w:pPr>
        <w:pStyle w:val="ac"/>
        <w:ind w:right="145"/>
        <w:rPr>
          <w:rFonts w:cs="Times New Roman"/>
          <w:sz w:val="28"/>
          <w:szCs w:val="28"/>
          <w:highlight w:val="lightGray"/>
          <w:lang w:val="en-US"/>
        </w:rPr>
      </w:pPr>
      <w:r>
        <w:rPr>
          <w:rFonts w:cs="Times New Roman"/>
          <w:noProof/>
          <w:sz w:val="28"/>
          <w:szCs w:val="28"/>
          <w:highlight w:val="lightGray"/>
          <w:lang w:eastAsia="ru-RU" w:bidi="ar-SA"/>
        </w:rPr>
        <w:lastRenderedPageBreak/>
        <w:drawing>
          <wp:inline distT="0" distB="0" distL="0" distR="0">
            <wp:extent cx="6229350" cy="3167380"/>
            <wp:effectExtent l="19050" t="0" r="0" b="0"/>
            <wp:docPr id="849036404" name="Рисунок 1" descr="C:\Users\sava\Desktop\Диссертация\23.06.2025\Фотки\Получение Максен.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404" name="Рисунок 1" descr="C:\Users\sava\Desktop\Диссертация\23.06.2025\Фотки\Получение Максен.bmp"/>
                    <pic:cNvPicPr>
                      <a:picLocks noChangeAspect="1" noChangeArrowheads="1"/>
                    </pic:cNvPicPr>
                  </pic:nvPicPr>
                  <pic:blipFill>
                    <a:blip r:embed="rId21" cstate="print"/>
                    <a:srcRect/>
                    <a:stretch>
                      <a:fillRect/>
                    </a:stretch>
                  </pic:blipFill>
                  <pic:spPr>
                    <a:xfrm>
                      <a:off x="0" y="0"/>
                      <a:ext cx="6227978" cy="3167044"/>
                    </a:xfrm>
                    <a:prstGeom prst="rect">
                      <a:avLst/>
                    </a:prstGeom>
                    <a:noFill/>
                    <a:ln w="9525">
                      <a:noFill/>
                      <a:miter lim="800000"/>
                      <a:headEnd/>
                      <a:tailEnd/>
                    </a:ln>
                  </pic:spPr>
                </pic:pic>
              </a:graphicData>
            </a:graphic>
          </wp:inline>
        </w:drawing>
      </w:r>
    </w:p>
    <w:p w:rsidR="00E17FE1" w:rsidRDefault="00E17FE1">
      <w:pPr>
        <w:pStyle w:val="ac"/>
        <w:spacing w:after="0"/>
        <w:ind w:right="145"/>
        <w:jc w:val="center"/>
        <w:rPr>
          <w:rFonts w:cs="Times New Roman"/>
          <w:sz w:val="28"/>
          <w:szCs w:val="28"/>
        </w:rPr>
      </w:pPr>
    </w:p>
    <w:p w:rsidR="00E17FE1" w:rsidRDefault="00BB58D7">
      <w:pPr>
        <w:pStyle w:val="ac"/>
        <w:spacing w:after="0"/>
        <w:ind w:right="145"/>
        <w:jc w:val="center"/>
        <w:rPr>
          <w:rFonts w:cs="Times New Roman"/>
          <w:sz w:val="28"/>
          <w:szCs w:val="28"/>
          <w:lang w:val="kk-KZ"/>
        </w:rPr>
      </w:pPr>
      <w:r>
        <w:rPr>
          <w:rFonts w:cs="Times New Roman"/>
          <w:sz w:val="28"/>
          <w:szCs w:val="28"/>
        </w:rPr>
        <w:t>Рисунок 10</w:t>
      </w:r>
      <w:r w:rsidR="006737E3">
        <w:rPr>
          <w:rFonts w:eastAsia="Times New Roman" w:cs="Times New Roman"/>
          <w:sz w:val="28"/>
          <w:szCs w:val="28"/>
          <w:lang w:eastAsia="ru-RU"/>
        </w:rPr>
        <w:t xml:space="preserve"> </w:t>
      </w:r>
      <w:r w:rsidR="006737E3" w:rsidRPr="00A551EF">
        <w:rPr>
          <w:rFonts w:cs="Times New Roman"/>
          <w:bCs/>
          <w:iCs/>
          <w:sz w:val="28"/>
          <w:szCs w:val="28"/>
        </w:rPr>
        <w:sym w:font="Symbol" w:char="F02D"/>
      </w:r>
      <w:r w:rsidR="006737E3">
        <w:rPr>
          <w:rFonts w:eastAsia="Times New Roman" w:cs="Times New Roman"/>
          <w:sz w:val="28"/>
          <w:szCs w:val="28"/>
          <w:lang w:eastAsia="ru-RU"/>
        </w:rPr>
        <w:t xml:space="preserve"> </w:t>
      </w:r>
      <w:r>
        <w:rPr>
          <w:rFonts w:cs="Times New Roman"/>
          <w:sz w:val="28"/>
          <w:szCs w:val="28"/>
          <w:lang w:val="kk-KZ"/>
        </w:rPr>
        <w:t xml:space="preserve">Схема синтеза </w:t>
      </w:r>
      <w:r>
        <w:rPr>
          <w:rFonts w:cs="Times New Roman"/>
          <w:bCs/>
          <w:sz w:val="28"/>
          <w:szCs w:val="28"/>
          <w:lang w:val="en-US"/>
        </w:rPr>
        <w:t>Ti</w:t>
      </w:r>
      <w:r>
        <w:rPr>
          <w:rFonts w:cs="Times New Roman"/>
          <w:bCs/>
          <w:sz w:val="28"/>
          <w:szCs w:val="28"/>
          <w:vertAlign w:val="subscript"/>
        </w:rPr>
        <w:t>3</w:t>
      </w:r>
      <w:r>
        <w:rPr>
          <w:rFonts w:cs="Times New Roman"/>
          <w:bCs/>
          <w:sz w:val="28"/>
          <w:szCs w:val="28"/>
          <w:lang w:val="en-US"/>
        </w:rPr>
        <w:t>C</w:t>
      </w:r>
      <w:r>
        <w:rPr>
          <w:rFonts w:cs="Times New Roman"/>
          <w:bCs/>
          <w:sz w:val="28"/>
          <w:szCs w:val="28"/>
          <w:vertAlign w:val="subscript"/>
        </w:rPr>
        <w:t>2</w:t>
      </w:r>
      <w:r>
        <w:rPr>
          <w:rFonts w:cs="Times New Roman"/>
          <w:bCs/>
          <w:sz w:val="28"/>
          <w:szCs w:val="28"/>
          <w:lang w:val="en-US"/>
        </w:rPr>
        <w:t>T</w:t>
      </w:r>
      <w:r>
        <w:rPr>
          <w:rFonts w:cs="Times New Roman"/>
          <w:bCs/>
          <w:sz w:val="28"/>
          <w:szCs w:val="28"/>
          <w:vertAlign w:val="subscript"/>
          <w:lang w:val="en-US"/>
        </w:rPr>
        <w:t>x</w:t>
      </w:r>
      <w:r>
        <w:rPr>
          <w:rFonts w:cs="Times New Roman"/>
          <w:bCs/>
          <w:sz w:val="28"/>
          <w:szCs w:val="28"/>
          <w:lang w:val="en-US"/>
        </w:rPr>
        <w:t>MXene</w:t>
      </w:r>
    </w:p>
    <w:p w:rsidR="00E17FE1" w:rsidRDefault="00E17FE1">
      <w:pPr>
        <w:pStyle w:val="ac"/>
        <w:spacing w:after="0"/>
        <w:ind w:right="145" w:firstLine="567"/>
        <w:jc w:val="both"/>
        <w:rPr>
          <w:rFonts w:cs="Times New Roman"/>
          <w:sz w:val="28"/>
          <w:szCs w:val="28"/>
        </w:rPr>
      </w:pPr>
      <w:bookmarkStart w:id="9" w:name="_Hlk211860719"/>
    </w:p>
    <w:p w:rsidR="00E17FE1" w:rsidRDefault="00BB58D7">
      <w:pPr>
        <w:pStyle w:val="ac"/>
        <w:spacing w:after="0"/>
        <w:ind w:right="-1" w:firstLine="567"/>
        <w:jc w:val="both"/>
        <w:rPr>
          <w:rFonts w:cs="Times New Roman"/>
          <w:sz w:val="28"/>
          <w:szCs w:val="28"/>
        </w:rPr>
      </w:pPr>
      <w:r>
        <w:rPr>
          <w:rFonts w:cs="Times New Roman"/>
          <w:sz w:val="28"/>
          <w:szCs w:val="28"/>
        </w:rPr>
        <w:t>На первой стадии слоистый карбид титана Ti</w:t>
      </w:r>
      <w:r>
        <w:rPr>
          <w:rFonts w:ascii="Cambria Math" w:hAnsi="Cambria Math" w:cs="Cambria Math"/>
          <w:sz w:val="28"/>
          <w:szCs w:val="28"/>
        </w:rPr>
        <w:t>₃</w:t>
      </w:r>
      <w:r>
        <w:rPr>
          <w:rFonts w:cs="Times New Roman"/>
          <w:sz w:val="28"/>
          <w:szCs w:val="28"/>
        </w:rPr>
        <w:t>C</w:t>
      </w:r>
      <w:r>
        <w:rPr>
          <w:rFonts w:ascii="Cambria Math" w:hAnsi="Cambria Math" w:cs="Cambria Math"/>
          <w:sz w:val="28"/>
          <w:szCs w:val="28"/>
        </w:rPr>
        <w:t>₂</w:t>
      </w:r>
      <w:r>
        <w:rPr>
          <w:rFonts w:cs="Times New Roman"/>
          <w:sz w:val="28"/>
          <w:szCs w:val="28"/>
        </w:rPr>
        <w:t>TxMXene был получен из MAX-фазы Ti</w:t>
      </w:r>
      <w:r>
        <w:rPr>
          <w:rFonts w:ascii="Cambria Math" w:hAnsi="Cambria Math" w:cs="Cambria Math"/>
          <w:sz w:val="28"/>
          <w:szCs w:val="28"/>
        </w:rPr>
        <w:t>₃</w:t>
      </w:r>
      <w:r>
        <w:rPr>
          <w:rFonts w:cs="Times New Roman"/>
          <w:sz w:val="28"/>
          <w:szCs w:val="28"/>
        </w:rPr>
        <w:t>AlC</w:t>
      </w:r>
      <w:r>
        <w:rPr>
          <w:rFonts w:ascii="Cambria Math" w:hAnsi="Cambria Math" w:cs="Cambria Math"/>
          <w:sz w:val="28"/>
          <w:szCs w:val="28"/>
        </w:rPr>
        <w:t>₂</w:t>
      </w:r>
      <w:r>
        <w:rPr>
          <w:rFonts w:cs="Times New Roman"/>
          <w:sz w:val="28"/>
          <w:szCs w:val="28"/>
        </w:rPr>
        <w:t xml:space="preserve"> (Carbon-Ukraine Ltd.) методом селективного химического травления. Для создания травящей среды использовали раствор, содержащий HCl и LiF. При взаимодействии LiF с HCl в растворе формировался активный травящий агент — HF. В классическом методе синтеза MXene алюминий вытравливают непосредственно в растворе HF, однако чистый HF не позволяет достичь полноценного расслоения MXene. Однако</w:t>
      </w:r>
      <w:proofErr w:type="gramStart"/>
      <w:r>
        <w:rPr>
          <w:rFonts w:cs="Times New Roman"/>
          <w:sz w:val="28"/>
          <w:szCs w:val="28"/>
        </w:rPr>
        <w:t>,</w:t>
      </w:r>
      <w:proofErr w:type="gramEnd"/>
      <w:r>
        <w:rPr>
          <w:rFonts w:cs="Times New Roman"/>
          <w:sz w:val="28"/>
          <w:szCs w:val="28"/>
        </w:rPr>
        <w:t xml:space="preserve"> при использовании комплекса HCl-LiF не требуется дальнейшее интеркалирование, поскольку Li</w:t>
      </w:r>
      <w:r>
        <w:rPr>
          <w:rFonts w:cs="Times New Roman"/>
          <w:sz w:val="28"/>
          <w:szCs w:val="28"/>
          <w:vertAlign w:val="superscript"/>
        </w:rPr>
        <w:t>+</w:t>
      </w:r>
      <w:r>
        <w:rPr>
          <w:rFonts w:cs="Times New Roman"/>
          <w:sz w:val="28"/>
          <w:szCs w:val="28"/>
        </w:rPr>
        <w:t xml:space="preserve"> можно напрямую использовать в качестве расслаивающего агента, и после повышения pH до нейтрального можно получить однослойный чешуйчатый MXene с несколькими слоями [192].   </w:t>
      </w:r>
    </w:p>
    <w:p w:rsidR="00E17FE1" w:rsidRDefault="00BB58D7">
      <w:pPr>
        <w:pStyle w:val="ac"/>
        <w:spacing w:after="0"/>
        <w:ind w:right="-1" w:firstLine="567"/>
        <w:jc w:val="both"/>
        <w:rPr>
          <w:rFonts w:cs="Times New Roman"/>
          <w:sz w:val="28"/>
          <w:szCs w:val="28"/>
        </w:rPr>
      </w:pPr>
      <w:r>
        <w:rPr>
          <w:rFonts w:cs="Times New Roman"/>
          <w:sz w:val="28"/>
          <w:szCs w:val="28"/>
        </w:rPr>
        <w:t>На этапе химического травления структура MAX-фазы претерпевает трансформацию: алюминий удаляется из гексагональной решётки, и формируются многослойные «хлопья» 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r>
        <w:rPr>
          <w:rFonts w:cs="Times New Roman"/>
          <w:sz w:val="28"/>
          <w:szCs w:val="28"/>
        </w:rPr>
        <w:t xml:space="preserve"> с терминальными функциональными группами (–F, –O, –OH). Наличие этих функциональных групп у </w:t>
      </w:r>
      <w:r>
        <w:rPr>
          <w:rFonts w:cs="Times New Roman"/>
          <w:sz w:val="28"/>
          <w:szCs w:val="28"/>
          <w:lang w:val="en-US"/>
        </w:rPr>
        <w:t>MXenes</w:t>
      </w:r>
      <w:r>
        <w:rPr>
          <w:rFonts w:cs="Times New Roman"/>
          <w:sz w:val="28"/>
          <w:szCs w:val="28"/>
        </w:rPr>
        <w:t xml:space="preserve"> позволяет взаимодействовать с клеточными мембранами бактерий. Обильные гидроксильные группы на поверхности MXene могут образовывать водородные связи с мембранами бактериальных клеток, в то время как его поверхностный заряд может генерировать электростатические силы, которые усиливают контакт с бактериями, увеличивая вероятность уничтожения бактерий [</w:t>
      </w:r>
      <w:r>
        <w:rPr>
          <w:sz w:val="28"/>
          <w:szCs w:val="28"/>
        </w:rPr>
        <w:t>193</w:t>
      </w:r>
      <w:r>
        <w:rPr>
          <w:rFonts w:cs="Times New Roman"/>
          <w:sz w:val="28"/>
          <w:szCs w:val="28"/>
        </w:rPr>
        <w:t xml:space="preserve">]. </w:t>
      </w:r>
    </w:p>
    <w:p w:rsidR="00E17FE1" w:rsidRDefault="00BB58D7">
      <w:pPr>
        <w:pStyle w:val="ac"/>
        <w:spacing w:after="0"/>
        <w:ind w:right="-1" w:firstLine="567"/>
        <w:jc w:val="both"/>
        <w:rPr>
          <w:rFonts w:cs="Times New Roman"/>
          <w:sz w:val="28"/>
          <w:szCs w:val="28"/>
        </w:rPr>
      </w:pPr>
      <w:r>
        <w:rPr>
          <w:rFonts w:cs="Times New Roman"/>
          <w:sz w:val="28"/>
          <w:szCs w:val="28"/>
        </w:rPr>
        <w:t xml:space="preserve">Полученный материал должен быть стабилизирован для предотвращения последующих структурных изменений. С этой целью проводили серию циклов центрифугирования с последовательным промыванием дистиллированной водой до достижения значения pH 5,0–5,5,  </w:t>
      </w:r>
      <w:r>
        <w:rPr>
          <w:rFonts w:cs="Times New Roman"/>
          <w:sz w:val="28"/>
          <w:szCs w:val="28"/>
        </w:rPr>
        <w:lastRenderedPageBreak/>
        <w:t>что свидетельствовало о полном удалении кислотных остатков и побочных ионов (например, Al³</w:t>
      </w:r>
      <w:r>
        <w:rPr>
          <w:rFonts w:ascii="Cambria Math" w:hAnsi="Cambria Math" w:cs="Cambria Math"/>
          <w:sz w:val="28"/>
          <w:szCs w:val="28"/>
        </w:rPr>
        <w:t>⁺</w:t>
      </w:r>
      <w:r>
        <w:rPr>
          <w:rFonts w:cs="Times New Roman"/>
          <w:sz w:val="28"/>
          <w:szCs w:val="28"/>
        </w:rPr>
        <w:t xml:space="preserve"> и Cl</w:t>
      </w:r>
      <w:r>
        <w:rPr>
          <w:rFonts w:ascii="Cambria Math" w:hAnsi="Cambria Math" w:cs="Cambria Math"/>
          <w:sz w:val="28"/>
          <w:szCs w:val="28"/>
        </w:rPr>
        <w:t>⁻</w:t>
      </w:r>
      <w:r>
        <w:rPr>
          <w:rFonts w:cs="Times New Roman"/>
          <w:sz w:val="28"/>
          <w:szCs w:val="28"/>
        </w:rPr>
        <w:t>). Для расслоения хлопьев 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r>
        <w:rPr>
          <w:rFonts w:cs="Times New Roman"/>
          <w:sz w:val="28"/>
          <w:szCs w:val="28"/>
        </w:rPr>
        <w:t xml:space="preserve"> и получения отдельных нанолистов применяли ультразвуковую обработку. Под действием ультразвука возникают кавитационные процессы, приводящие к разрушению межслоевых связей и формированию отдельных нанолистов толщиной в несколько нанометров. </w:t>
      </w:r>
      <w:r>
        <w:rPr>
          <w:rFonts w:eastAsia="Times New Roman" w:cs="Times New Roman"/>
          <w:sz w:val="28"/>
          <w:szCs w:val="28"/>
          <w:lang w:eastAsia="ru-RU"/>
        </w:rPr>
        <w:t xml:space="preserve">Известно, что более эффективное предотвращение образования биопленок достигается за счет меньшего размера и более высокого соотношения площади поверхности к массе [194]. Например, в работе [195] сообщается, что антибактериальная активность MXenes сильно зависит от размера нанолистов, а применение ультразвука позволяет достичь их равномерного диспергирования. </w:t>
      </w:r>
    </w:p>
    <w:p w:rsidR="00E17FE1" w:rsidRDefault="00BB58D7">
      <w:pPr>
        <w:pStyle w:val="ac"/>
        <w:spacing w:after="0"/>
        <w:ind w:right="-1" w:firstLine="567"/>
        <w:jc w:val="both"/>
        <w:rPr>
          <w:rFonts w:cs="Times New Roman"/>
          <w:sz w:val="28"/>
          <w:szCs w:val="28"/>
        </w:rPr>
      </w:pPr>
      <w:r>
        <w:rPr>
          <w:rFonts w:cs="Times New Roman"/>
          <w:sz w:val="28"/>
          <w:szCs w:val="28"/>
        </w:rPr>
        <w:t>Концентрацию полученного коллоидного раствора 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r>
        <w:rPr>
          <w:rFonts w:cs="Times New Roman"/>
          <w:sz w:val="28"/>
          <w:szCs w:val="28"/>
        </w:rPr>
        <w:t xml:space="preserve"> определяли методом вакуумной фильтрации через мембрану PVdF с диаметром пор 0,45 мкм, с последующей сушкой при 110 °C в течение 12 ч. [196]. </w:t>
      </w:r>
      <w:r>
        <w:rPr>
          <w:rFonts w:cs="Times New Roman"/>
          <w:sz w:val="28"/>
          <w:szCs w:val="28"/>
          <w:lang w:val="kk-KZ"/>
        </w:rPr>
        <w:t>К</w:t>
      </w:r>
      <w:r>
        <w:rPr>
          <w:rFonts w:cs="Times New Roman"/>
          <w:sz w:val="28"/>
          <w:szCs w:val="28"/>
        </w:rPr>
        <w:t>онцентрация 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r>
        <w:rPr>
          <w:rFonts w:cs="Times New Roman"/>
          <w:sz w:val="28"/>
          <w:szCs w:val="28"/>
        </w:rPr>
        <w:t xml:space="preserve"> в дисперсии составила 11,5 мг/мл.</w:t>
      </w:r>
    </w:p>
    <w:p w:rsidR="00E17FE1" w:rsidRDefault="00BB58D7">
      <w:pPr>
        <w:pStyle w:val="ac"/>
        <w:spacing w:after="0"/>
        <w:ind w:right="-1" w:firstLine="567"/>
        <w:jc w:val="both"/>
        <w:rPr>
          <w:rFonts w:cs="Times New Roman"/>
          <w:sz w:val="28"/>
          <w:szCs w:val="28"/>
        </w:rPr>
      </w:pPr>
      <w:r>
        <w:rPr>
          <w:rFonts w:cs="Times New Roman"/>
          <w:sz w:val="28"/>
          <w:szCs w:val="28"/>
        </w:rPr>
        <w:t>В совокупности этот методический протокол обеспечивает получение стабильной водной дисперсии MXene с высокими функциональными возможностями [196].</w:t>
      </w:r>
    </w:p>
    <w:p w:rsidR="00E17FE1" w:rsidRDefault="00BB58D7">
      <w:pPr>
        <w:pStyle w:val="ac"/>
        <w:spacing w:after="0"/>
        <w:ind w:right="-1" w:firstLine="567"/>
        <w:jc w:val="both"/>
        <w:rPr>
          <w:rFonts w:cs="Times New Roman"/>
          <w:sz w:val="28"/>
          <w:szCs w:val="28"/>
        </w:rPr>
      </w:pPr>
      <w:r>
        <w:rPr>
          <w:rFonts w:cs="Times New Roman"/>
          <w:sz w:val="28"/>
          <w:szCs w:val="28"/>
        </w:rPr>
        <w:t>Важно отметить, что тип травителя и условия травления (такие как температура и время) играют важную роль в управлении кинетикой селективного травления фазы MAX и, таким образом, свойствами полученного MXene (размером чешуек, химией поверхности чешуек, электропроводностью) [197]. При вытравливании алюминия из структуры MAX-фазы с использованием кислотно-фторидной системы образуются дефекты и активные поверхности, обогащенные функциональными группами (–OH, –F, –O). Наличие таких участков значительно повышает химическую активность и ускоряет процессы окисления в водных суспензиях [198]. Титан в составе 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r>
        <w:rPr>
          <w:rFonts w:cs="Times New Roman"/>
          <w:sz w:val="28"/>
          <w:szCs w:val="28"/>
        </w:rPr>
        <w:t>MXene при окислении взаимодействует с кислородом, образуя устойчивую оксидную фазу TiO</w:t>
      </w:r>
      <w:r>
        <w:rPr>
          <w:rFonts w:ascii="Cambria Math" w:hAnsi="Cambria Math" w:cs="Cambria Math"/>
          <w:sz w:val="28"/>
          <w:szCs w:val="28"/>
        </w:rPr>
        <w:t>₂</w:t>
      </w:r>
      <w:r>
        <w:rPr>
          <w:rFonts w:cs="Times New Roman"/>
          <w:sz w:val="28"/>
          <w:szCs w:val="28"/>
        </w:rPr>
        <w:t>. Углеродные слои при этом окисляются до CO или CO</w:t>
      </w:r>
      <w:r>
        <w:rPr>
          <w:rFonts w:ascii="Cambria Math" w:hAnsi="Cambria Math" w:cs="Cambria Math"/>
          <w:sz w:val="28"/>
          <w:szCs w:val="28"/>
        </w:rPr>
        <w:t>₂</w:t>
      </w:r>
      <w:r>
        <w:rPr>
          <w:rFonts w:cs="Times New Roman"/>
          <w:sz w:val="28"/>
          <w:szCs w:val="28"/>
        </w:rPr>
        <w:t xml:space="preserve"> и удаляются, что приводит к полной переработке материала в диоксид титана. </w:t>
      </w:r>
    </w:p>
    <w:p w:rsidR="00E17FE1" w:rsidRDefault="00BB58D7">
      <w:pPr>
        <w:pStyle w:val="ac"/>
        <w:spacing w:after="0"/>
        <w:ind w:right="-1" w:firstLine="567"/>
        <w:jc w:val="both"/>
        <w:rPr>
          <w:rFonts w:cs="Times New Roman"/>
          <w:sz w:val="28"/>
          <w:szCs w:val="28"/>
        </w:rPr>
      </w:pPr>
      <w:proofErr w:type="gramStart"/>
      <w:r>
        <w:rPr>
          <w:rFonts w:cs="Times New Roman"/>
          <w:sz w:val="28"/>
          <w:szCs w:val="28"/>
        </w:rPr>
        <w:t xml:space="preserve">Размер, форма и морфология поверхности </w:t>
      </w:r>
      <w:r>
        <w:rPr>
          <w:rFonts w:cs="Times New Roman"/>
          <w:sz w:val="28"/>
          <w:szCs w:val="28"/>
          <w:lang w:val="en-US"/>
        </w:rPr>
        <w:t>Ti</w:t>
      </w:r>
      <w:r w:rsidRPr="00AC0D2B">
        <w:rPr>
          <w:rFonts w:cs="Times New Roman"/>
          <w:sz w:val="28"/>
          <w:szCs w:val="28"/>
          <w:vertAlign w:val="subscript"/>
        </w:rPr>
        <w:t>3</w:t>
      </w:r>
      <w:r>
        <w:rPr>
          <w:rFonts w:cs="Times New Roman"/>
          <w:sz w:val="28"/>
          <w:szCs w:val="28"/>
          <w:lang w:val="en-US"/>
        </w:rPr>
        <w:t>C</w:t>
      </w:r>
      <w:r>
        <w:rPr>
          <w:rFonts w:cs="Times New Roman"/>
          <w:sz w:val="28"/>
          <w:szCs w:val="28"/>
          <w:vertAlign w:val="subscript"/>
        </w:rPr>
        <w:t>2</w:t>
      </w:r>
      <w:r>
        <w:rPr>
          <w:rFonts w:cs="Times New Roman"/>
          <w:sz w:val="28"/>
          <w:szCs w:val="28"/>
          <w:lang w:val="en-US"/>
        </w:rPr>
        <w:t>T</w:t>
      </w:r>
      <w:r>
        <w:rPr>
          <w:rFonts w:cs="Times New Roman"/>
          <w:sz w:val="28"/>
          <w:szCs w:val="28"/>
          <w:vertAlign w:val="subscript"/>
          <w:lang w:val="en-US"/>
        </w:rPr>
        <w:t>x</w:t>
      </w:r>
      <w:r>
        <w:rPr>
          <w:rFonts w:cs="Times New Roman"/>
          <w:sz w:val="28"/>
          <w:szCs w:val="28"/>
          <w:lang w:val="en-US"/>
        </w:rPr>
        <w:t>MXene</w:t>
      </w:r>
      <w:r>
        <w:rPr>
          <w:rFonts w:cs="Times New Roman"/>
          <w:sz w:val="28"/>
          <w:szCs w:val="28"/>
        </w:rPr>
        <w:t xml:space="preserve"> и синтезированных TiO</w:t>
      </w:r>
      <w:r>
        <w:rPr>
          <w:rFonts w:cs="Times New Roman"/>
          <w:sz w:val="28"/>
          <w:szCs w:val="28"/>
          <w:vertAlign w:val="subscript"/>
        </w:rPr>
        <w:t>2</w:t>
      </w:r>
      <w:r>
        <w:rPr>
          <w:rFonts w:cs="Times New Roman"/>
          <w:sz w:val="28"/>
          <w:szCs w:val="28"/>
        </w:rPr>
        <w:t xml:space="preserve"> были исследованы на СЭМ и представлены на рисунке </w:t>
      </w:r>
      <w:r w:rsidR="004764F9" w:rsidRPr="004764F9">
        <w:rPr>
          <w:rFonts w:cs="Times New Roman"/>
          <w:sz w:val="28"/>
          <w:szCs w:val="28"/>
        </w:rPr>
        <w:t xml:space="preserve">11 </w:t>
      </w:r>
      <w:r>
        <w:rPr>
          <w:rFonts w:cs="Times New Roman"/>
          <w:sz w:val="28"/>
          <w:szCs w:val="28"/>
        </w:rPr>
        <w:t xml:space="preserve">Б. На  электронограммах отчётливо прослеживается изменение морфологии нанолистов </w:t>
      </w:r>
      <w:r w:rsidR="00AC0D2B">
        <w:rPr>
          <w:rFonts w:cs="Times New Roman"/>
          <w:sz w:val="28"/>
          <w:szCs w:val="28"/>
          <w:lang w:val="en-US"/>
        </w:rPr>
        <w:t>Ti</w:t>
      </w:r>
      <w:r w:rsidR="00AC0D2B" w:rsidRPr="00AC0D2B">
        <w:rPr>
          <w:rFonts w:cs="Times New Roman"/>
          <w:sz w:val="28"/>
          <w:szCs w:val="28"/>
          <w:vertAlign w:val="subscript"/>
        </w:rPr>
        <w:t>3</w:t>
      </w:r>
      <w:r w:rsidR="00AC0D2B">
        <w:rPr>
          <w:rFonts w:cs="Times New Roman"/>
          <w:sz w:val="28"/>
          <w:szCs w:val="28"/>
          <w:lang w:val="en-US"/>
        </w:rPr>
        <w:t>C</w:t>
      </w:r>
      <w:r w:rsidR="00AC0D2B">
        <w:rPr>
          <w:rFonts w:cs="Times New Roman"/>
          <w:sz w:val="28"/>
          <w:szCs w:val="28"/>
          <w:vertAlign w:val="subscript"/>
        </w:rPr>
        <w:t>2</w:t>
      </w:r>
      <w:r w:rsidR="00AC0D2B">
        <w:rPr>
          <w:rFonts w:cs="Times New Roman"/>
          <w:sz w:val="28"/>
          <w:szCs w:val="28"/>
          <w:lang w:val="en-US"/>
        </w:rPr>
        <w:t>T</w:t>
      </w:r>
      <w:r w:rsidR="00AC0D2B">
        <w:rPr>
          <w:rFonts w:cs="Times New Roman"/>
          <w:sz w:val="28"/>
          <w:szCs w:val="28"/>
          <w:vertAlign w:val="subscript"/>
          <w:lang w:val="en-US"/>
        </w:rPr>
        <w:t>x</w:t>
      </w:r>
      <w:r w:rsidR="00AC0D2B">
        <w:rPr>
          <w:rFonts w:cs="Times New Roman"/>
          <w:sz w:val="28"/>
          <w:szCs w:val="28"/>
          <w:lang w:val="en-US"/>
        </w:rPr>
        <w:t>MXene</w:t>
      </w:r>
      <w:r>
        <w:rPr>
          <w:rFonts w:cs="Times New Roman"/>
          <w:sz w:val="28"/>
          <w:szCs w:val="28"/>
        </w:rPr>
        <w:t xml:space="preserve"> в зависимости от времени наблюдения: в свежеприготовленном состоянии поверхность остаётся однородной, тогда как уже через 2 дня фиксируются признаки окисления, проявляющиеся в появлении наночастиц TiO</w:t>
      </w:r>
      <w:r>
        <w:rPr>
          <w:rFonts w:ascii="Cambria Math" w:hAnsi="Cambria Math" w:cs="Cambria Math"/>
          <w:sz w:val="28"/>
          <w:szCs w:val="28"/>
        </w:rPr>
        <w:t>₂</w:t>
      </w:r>
      <w:r>
        <w:rPr>
          <w:rFonts w:cs="Times New Roman"/>
          <w:sz w:val="28"/>
          <w:szCs w:val="28"/>
        </w:rPr>
        <w:t xml:space="preserve"> размером 90-100 нм на поверхности MXene.</w:t>
      </w:r>
      <w:proofErr w:type="gramEnd"/>
    </w:p>
    <w:p w:rsidR="00E17FE1" w:rsidRDefault="00BB58D7">
      <w:pPr>
        <w:pStyle w:val="ac"/>
        <w:spacing w:after="0"/>
        <w:ind w:right="-1" w:firstLine="567"/>
        <w:jc w:val="both"/>
        <w:rPr>
          <w:rFonts w:cs="Times New Roman"/>
          <w:sz w:val="28"/>
          <w:szCs w:val="28"/>
        </w:rPr>
      </w:pPr>
      <w:r>
        <w:rPr>
          <w:rFonts w:cs="Times New Roman"/>
          <w:sz w:val="28"/>
          <w:szCs w:val="28"/>
        </w:rPr>
        <w:t>Наличие TiO</w:t>
      </w:r>
      <w:r>
        <w:rPr>
          <w:rFonts w:cs="Times New Roman"/>
          <w:sz w:val="28"/>
          <w:szCs w:val="28"/>
          <w:vertAlign w:val="subscript"/>
        </w:rPr>
        <w:t xml:space="preserve">2 </w:t>
      </w:r>
      <w:r>
        <w:rPr>
          <w:rFonts w:cs="Times New Roman"/>
          <w:sz w:val="28"/>
          <w:szCs w:val="28"/>
        </w:rPr>
        <w:t>было подтверждено также данными</w:t>
      </w:r>
      <w:r>
        <w:rPr>
          <w:rFonts w:cs="Times New Roman"/>
          <w:sz w:val="28"/>
          <w:szCs w:val="28"/>
          <w:vertAlign w:val="subscript"/>
        </w:rPr>
        <w:t xml:space="preserve"> </w:t>
      </w:r>
      <w:r>
        <w:rPr>
          <w:rFonts w:cs="Times New Roman"/>
          <w:sz w:val="28"/>
          <w:szCs w:val="28"/>
        </w:rPr>
        <w:t>рамановской спектроскопии (рис.11). Появление сигналов TiO</w:t>
      </w:r>
      <w:r>
        <w:rPr>
          <w:rFonts w:ascii="Cambria Math" w:hAnsi="Cambria Math" w:cs="Cambria Math"/>
          <w:sz w:val="28"/>
          <w:szCs w:val="28"/>
        </w:rPr>
        <w:t>₂</w:t>
      </w:r>
      <w:r>
        <w:rPr>
          <w:rFonts w:cs="Times New Roman"/>
          <w:sz w:val="28"/>
          <w:szCs w:val="28"/>
        </w:rPr>
        <w:t xml:space="preserve"> в рамановском спектре свидетельствует об изменении структуры MXene в процессе хранения. Для свежеприготовленного образца спектр характеризуется сравнительно низкой интенсивностью и сглаженным профилем, что согласуется с литературными </w:t>
      </w:r>
      <w:r>
        <w:rPr>
          <w:rFonts w:cs="Times New Roman"/>
          <w:sz w:val="28"/>
          <w:szCs w:val="28"/>
        </w:rPr>
        <w:lastRenderedPageBreak/>
        <w:t>данными для хорошо расслоенного Ti</w:t>
      </w:r>
      <w:r>
        <w:rPr>
          <w:rFonts w:ascii="Cambria Math" w:hAnsi="Cambria Math" w:cs="Cambria Math"/>
          <w:sz w:val="28"/>
          <w:szCs w:val="28"/>
        </w:rPr>
        <w:t>₃</w:t>
      </w:r>
      <w:r>
        <w:rPr>
          <w:rFonts w:cs="Times New Roman"/>
          <w:sz w:val="28"/>
          <w:szCs w:val="28"/>
        </w:rPr>
        <w:t>C</w:t>
      </w:r>
      <w:r>
        <w:rPr>
          <w:rFonts w:ascii="Cambria Math" w:hAnsi="Cambria Math" w:cs="Cambria Math"/>
          <w:sz w:val="28"/>
          <w:szCs w:val="28"/>
        </w:rPr>
        <w:t>₂</w:t>
      </w:r>
      <w:r>
        <w:rPr>
          <w:rFonts w:cs="Times New Roman"/>
          <w:sz w:val="28"/>
          <w:szCs w:val="28"/>
        </w:rPr>
        <w:t>Tₓ. Отсутствие выраженных полос в области 200–300 см</w:t>
      </w:r>
      <w:r>
        <w:rPr>
          <w:rFonts w:ascii="Cambria Math" w:hAnsi="Cambria Math" w:cs="Cambria Math"/>
          <w:sz w:val="28"/>
          <w:szCs w:val="28"/>
        </w:rPr>
        <w:t>⁻</w:t>
      </w:r>
      <w:r>
        <w:rPr>
          <w:rFonts w:cs="Times New Roman"/>
          <w:sz w:val="28"/>
          <w:szCs w:val="28"/>
        </w:rPr>
        <w:t xml:space="preserve">¹ указывает на минимальное содержание оксидных фаз. </w:t>
      </w:r>
      <w:proofErr w:type="gramStart"/>
      <w:r>
        <w:rPr>
          <w:rFonts w:cs="Times New Roman"/>
          <w:sz w:val="28"/>
          <w:szCs w:val="28"/>
        </w:rPr>
        <w:t>После выдерживания в течение двух суток (окисленный) наблюдается существенное изменение спектральной картины: регистрируется резкое увеличение интенсивности в области ~ 151см</w:t>
      </w:r>
      <w:r>
        <w:rPr>
          <w:rFonts w:ascii="Cambria Math" w:hAnsi="Cambria Math" w:cs="Cambria Math"/>
          <w:sz w:val="28"/>
          <w:szCs w:val="28"/>
        </w:rPr>
        <w:t>⁻</w:t>
      </w:r>
      <w:r>
        <w:rPr>
          <w:rFonts w:cs="Times New Roman"/>
          <w:sz w:val="28"/>
          <w:szCs w:val="28"/>
        </w:rPr>
        <w:t>¹, сопровождающееся появлением дополнительных полос в интервале 500–700 см</w:t>
      </w:r>
      <w:r>
        <w:rPr>
          <w:rFonts w:ascii="Cambria Math" w:hAnsi="Cambria Math" w:cs="Cambria Math"/>
          <w:sz w:val="28"/>
          <w:szCs w:val="28"/>
        </w:rPr>
        <w:t>⁻</w:t>
      </w:r>
      <w:r>
        <w:rPr>
          <w:rFonts w:cs="Times New Roman"/>
          <w:sz w:val="28"/>
          <w:szCs w:val="28"/>
        </w:rPr>
        <w:t>¹. Указанные частоты коррелируют с колебаниями Ti–O в структурах TiO</w:t>
      </w:r>
      <w:r>
        <w:rPr>
          <w:rFonts w:ascii="Cambria Math" w:hAnsi="Cambria Math" w:cs="Cambria Math"/>
          <w:sz w:val="28"/>
          <w:szCs w:val="28"/>
        </w:rPr>
        <w:t>₂</w:t>
      </w:r>
      <w:r>
        <w:rPr>
          <w:rFonts w:cs="Times New Roman"/>
          <w:sz w:val="28"/>
          <w:szCs w:val="28"/>
        </w:rPr>
        <w:t xml:space="preserve"> (анатаз или рутил), что позволяет интерпретировать данный эффект как результат поверхностного окисления MXene с образованием оксидной фазы титана. </w:t>
      </w:r>
      <w:proofErr w:type="gramEnd"/>
    </w:p>
    <w:p w:rsidR="00E17FE1" w:rsidRDefault="00E17FE1">
      <w:pPr>
        <w:pStyle w:val="ac"/>
        <w:spacing w:after="0"/>
        <w:ind w:right="-1" w:firstLine="567"/>
        <w:jc w:val="both"/>
        <w:rPr>
          <w:rFonts w:cs="Times New Roman"/>
          <w:sz w:val="28"/>
          <w:szCs w:val="28"/>
        </w:rPr>
      </w:pPr>
    </w:p>
    <w:p w:rsidR="00E17FE1" w:rsidRDefault="00796FFB" w:rsidP="00796FFB">
      <w:pPr>
        <w:pStyle w:val="ac"/>
        <w:spacing w:after="0"/>
        <w:ind w:right="145"/>
        <w:jc w:val="center"/>
        <w:rPr>
          <w:rFonts w:cs="Times New Roman"/>
          <w:sz w:val="28"/>
          <w:szCs w:val="28"/>
          <w:highlight w:val="lightGray"/>
        </w:rPr>
      </w:pPr>
      <w:r>
        <w:rPr>
          <w:rFonts w:cs="Times New Roman"/>
          <w:noProof/>
          <w:sz w:val="28"/>
          <w:szCs w:val="28"/>
          <w:lang w:eastAsia="ru-RU" w:bidi="ar-SA"/>
        </w:rPr>
        <w:drawing>
          <wp:inline distT="0" distB="0" distL="0" distR="0">
            <wp:extent cx="4169801" cy="2688937"/>
            <wp:effectExtent l="19050" t="0" r="2149"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srcRect/>
                    <a:stretch>
                      <a:fillRect/>
                    </a:stretch>
                  </pic:blipFill>
                  <pic:spPr bwMode="auto">
                    <a:xfrm>
                      <a:off x="0" y="0"/>
                      <a:ext cx="4173662" cy="2691427"/>
                    </a:xfrm>
                    <a:prstGeom prst="rect">
                      <a:avLst/>
                    </a:prstGeom>
                    <a:noFill/>
                    <a:ln w="9525">
                      <a:noFill/>
                      <a:miter lim="800000"/>
                      <a:headEnd/>
                      <a:tailEnd/>
                    </a:ln>
                  </pic:spPr>
                </pic:pic>
              </a:graphicData>
            </a:graphic>
          </wp:inline>
        </w:drawing>
      </w:r>
    </w:p>
    <w:p w:rsidR="00E17FE1" w:rsidRDefault="00BB58D7" w:rsidP="00796FFB">
      <w:pPr>
        <w:pStyle w:val="ac"/>
        <w:spacing w:after="0"/>
        <w:ind w:right="145"/>
        <w:jc w:val="center"/>
        <w:rPr>
          <w:rFonts w:cs="Times New Roman"/>
          <w:sz w:val="28"/>
          <w:szCs w:val="28"/>
        </w:rPr>
      </w:pPr>
      <w:r w:rsidRPr="00796FFB">
        <w:rPr>
          <w:rFonts w:cs="Times New Roman"/>
          <w:sz w:val="28"/>
          <w:szCs w:val="28"/>
        </w:rPr>
        <w:t>Рисунок 11</w:t>
      </w:r>
      <w:r w:rsidR="006737E3">
        <w:rPr>
          <w:rFonts w:eastAsia="Times New Roman" w:cs="Times New Roman"/>
          <w:sz w:val="28"/>
          <w:szCs w:val="28"/>
          <w:lang w:eastAsia="ru-RU"/>
        </w:rPr>
        <w:t xml:space="preserve"> </w:t>
      </w:r>
      <w:r w:rsidR="006737E3" w:rsidRPr="00A551EF">
        <w:rPr>
          <w:rFonts w:cs="Times New Roman"/>
          <w:bCs/>
          <w:iCs/>
          <w:sz w:val="28"/>
          <w:szCs w:val="28"/>
        </w:rPr>
        <w:sym w:font="Symbol" w:char="F02D"/>
      </w:r>
      <w:r w:rsidR="006737E3">
        <w:rPr>
          <w:rFonts w:eastAsia="Times New Roman" w:cs="Times New Roman"/>
          <w:sz w:val="28"/>
          <w:szCs w:val="28"/>
          <w:lang w:eastAsia="ru-RU"/>
        </w:rPr>
        <w:t xml:space="preserve"> </w:t>
      </w:r>
      <w:r w:rsidRPr="00796FFB">
        <w:rPr>
          <w:rFonts w:cs="Times New Roman"/>
          <w:sz w:val="28"/>
          <w:szCs w:val="28"/>
        </w:rPr>
        <w:t>Рамановская спектроскопия</w:t>
      </w:r>
      <w:r w:rsidRPr="00796FFB">
        <w:rPr>
          <w:rFonts w:cs="Times New Roman"/>
          <w:sz w:val="28"/>
          <w:szCs w:val="28"/>
          <w:lang w:val="kk-KZ"/>
        </w:rPr>
        <w:t xml:space="preserve"> </w:t>
      </w:r>
      <w:r w:rsidRPr="00796FFB">
        <w:rPr>
          <w:rFonts w:cs="Times New Roman"/>
          <w:sz w:val="28"/>
          <w:szCs w:val="28"/>
        </w:rPr>
        <w:t xml:space="preserve">(А) </w:t>
      </w:r>
      <w:r w:rsidRPr="00796FFB">
        <w:rPr>
          <w:rFonts w:cs="Times New Roman"/>
          <w:sz w:val="28"/>
          <w:szCs w:val="28"/>
          <w:lang w:val="kk-KZ"/>
        </w:rPr>
        <w:t xml:space="preserve">и </w:t>
      </w:r>
      <w:r w:rsidRPr="00796FFB">
        <w:rPr>
          <w:rFonts w:cs="Times New Roman"/>
          <w:sz w:val="28"/>
          <w:szCs w:val="28"/>
        </w:rPr>
        <w:t>СЭМ изображени</w:t>
      </w:r>
      <w:r w:rsidRPr="00796FFB">
        <w:rPr>
          <w:rFonts w:cs="Times New Roman"/>
          <w:sz w:val="28"/>
          <w:szCs w:val="28"/>
          <w:lang w:val="kk-KZ"/>
        </w:rPr>
        <w:t>я</w:t>
      </w:r>
      <w:r w:rsidRPr="00796FFB">
        <w:rPr>
          <w:rFonts w:cs="Times New Roman"/>
          <w:sz w:val="28"/>
          <w:szCs w:val="28"/>
        </w:rPr>
        <w:t xml:space="preserve"> (Б) </w:t>
      </w:r>
      <w:proofErr w:type="gramStart"/>
      <w:r w:rsidRPr="00796FFB">
        <w:rPr>
          <w:rFonts w:cs="Times New Roman"/>
          <w:sz w:val="28"/>
          <w:szCs w:val="28"/>
        </w:rPr>
        <w:t>свежих</w:t>
      </w:r>
      <w:proofErr w:type="gramEnd"/>
      <w:r w:rsidRPr="00796FFB">
        <w:rPr>
          <w:rFonts w:cs="Times New Roman"/>
          <w:sz w:val="28"/>
          <w:szCs w:val="28"/>
        </w:rPr>
        <w:t xml:space="preserve"> и окисленных нанолистов </w:t>
      </w:r>
      <w:r w:rsidRPr="00796FFB">
        <w:rPr>
          <w:rFonts w:cs="Times New Roman"/>
          <w:sz w:val="28"/>
          <w:szCs w:val="28"/>
          <w:lang w:val="en-US"/>
        </w:rPr>
        <w:t>Ti</w:t>
      </w:r>
      <w:r w:rsidRPr="00796FFB">
        <w:rPr>
          <w:rFonts w:cs="Times New Roman"/>
          <w:sz w:val="28"/>
          <w:szCs w:val="28"/>
          <w:vertAlign w:val="subscript"/>
        </w:rPr>
        <w:t>3</w:t>
      </w:r>
      <w:r w:rsidRPr="00796FFB">
        <w:rPr>
          <w:rFonts w:cs="Times New Roman"/>
          <w:sz w:val="28"/>
          <w:szCs w:val="28"/>
          <w:lang w:val="en-US"/>
        </w:rPr>
        <w:t>C</w:t>
      </w:r>
      <w:r w:rsidRPr="00796FFB">
        <w:rPr>
          <w:rFonts w:cs="Times New Roman"/>
          <w:sz w:val="28"/>
          <w:szCs w:val="28"/>
          <w:vertAlign w:val="subscript"/>
        </w:rPr>
        <w:t>2</w:t>
      </w:r>
      <w:r w:rsidRPr="00796FFB">
        <w:rPr>
          <w:rFonts w:cs="Times New Roman"/>
          <w:sz w:val="28"/>
          <w:szCs w:val="28"/>
          <w:lang w:val="en-US"/>
        </w:rPr>
        <w:t>T</w:t>
      </w:r>
      <w:r w:rsidRPr="00796FFB">
        <w:rPr>
          <w:rFonts w:cs="Times New Roman"/>
          <w:sz w:val="28"/>
          <w:szCs w:val="28"/>
          <w:vertAlign w:val="subscript"/>
          <w:lang w:val="en-US"/>
        </w:rPr>
        <w:t>x</w:t>
      </w:r>
      <w:r w:rsidRPr="00796FFB">
        <w:rPr>
          <w:rFonts w:cs="Times New Roman"/>
          <w:sz w:val="28"/>
          <w:szCs w:val="28"/>
          <w:lang w:val="en-US"/>
        </w:rPr>
        <w:t>MXene</w:t>
      </w:r>
    </w:p>
    <w:p w:rsidR="00E17FE1" w:rsidRDefault="00E17FE1" w:rsidP="00796FFB">
      <w:pPr>
        <w:pStyle w:val="ac"/>
        <w:spacing w:after="0"/>
        <w:ind w:right="145" w:firstLine="567"/>
        <w:jc w:val="both"/>
        <w:rPr>
          <w:rFonts w:cs="Times New Roman"/>
          <w:sz w:val="28"/>
          <w:szCs w:val="28"/>
        </w:rPr>
      </w:pPr>
    </w:p>
    <w:p w:rsidR="00E17FE1" w:rsidRDefault="00BB58D7" w:rsidP="00796FFB">
      <w:pPr>
        <w:pStyle w:val="ac"/>
        <w:spacing w:after="0"/>
        <w:ind w:right="-1" w:firstLine="567"/>
        <w:jc w:val="both"/>
        <w:rPr>
          <w:rFonts w:cs="Times New Roman"/>
          <w:sz w:val="28"/>
          <w:szCs w:val="28"/>
        </w:rPr>
      </w:pPr>
      <w:r>
        <w:rPr>
          <w:rFonts w:cs="Times New Roman"/>
          <w:sz w:val="28"/>
          <w:szCs w:val="28"/>
        </w:rPr>
        <w:t>Таким образом, оба проведенных анализа подтверждают высокую химическую чувствительность 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r>
        <w:rPr>
          <w:rFonts w:cs="Times New Roman"/>
          <w:sz w:val="28"/>
          <w:szCs w:val="28"/>
        </w:rPr>
        <w:t>MXene к условиям хранения и его склонность к окислению. Формирование полос, характерных для TiO</w:t>
      </w:r>
      <w:r>
        <w:rPr>
          <w:rFonts w:ascii="Cambria Math" w:hAnsi="Cambria Math" w:cs="Cambria Math"/>
          <w:sz w:val="28"/>
          <w:szCs w:val="28"/>
        </w:rPr>
        <w:t>₂</w:t>
      </w:r>
      <w:r>
        <w:rPr>
          <w:rFonts w:cs="Times New Roman"/>
          <w:sz w:val="28"/>
          <w:szCs w:val="28"/>
        </w:rPr>
        <w:t>, свидетельствует о частичной деградации карбидной структуры, что необходимо учитывать при разработке технологий модификации MXene и его дальнейшего применения в составе композитных систем.</w:t>
      </w:r>
    </w:p>
    <w:p w:rsidR="00E17FE1" w:rsidRDefault="00BB58D7">
      <w:pPr>
        <w:pStyle w:val="ac"/>
        <w:spacing w:after="0"/>
        <w:ind w:right="-1" w:firstLine="567"/>
        <w:jc w:val="both"/>
        <w:rPr>
          <w:rFonts w:cs="Times New Roman"/>
          <w:sz w:val="28"/>
          <w:szCs w:val="28"/>
        </w:rPr>
      </w:pPr>
      <w:r>
        <w:rPr>
          <w:rFonts w:cs="Times New Roman"/>
          <w:sz w:val="28"/>
          <w:szCs w:val="28"/>
        </w:rPr>
        <w:t xml:space="preserve">Интенсивное поверхностное преобразование MXene объясняется их высокой химической активностью, приводящей к постепенной деструкции материала. Подобные трансформации согласуются с литературными данными, где указывается на высокую чувствительность наночастиц к условиям окружающей среды и их склонность к постепенной модификации структуры при хранении [199]. </w:t>
      </w:r>
    </w:p>
    <w:p w:rsidR="00E17FE1" w:rsidRDefault="00BB58D7">
      <w:pPr>
        <w:pStyle w:val="ac"/>
        <w:spacing w:after="0"/>
        <w:ind w:right="-1" w:firstLine="567"/>
        <w:jc w:val="both"/>
        <w:rPr>
          <w:rFonts w:cs="Times New Roman"/>
          <w:sz w:val="28"/>
          <w:szCs w:val="28"/>
        </w:rPr>
      </w:pPr>
      <w:r>
        <w:rPr>
          <w:sz w:val="28"/>
          <w:szCs w:val="28"/>
        </w:rPr>
        <w:t xml:space="preserve">Кроме того, есть информация, что MXenes могут проявлять цитотоксичность и повреждать клетки в высоких концентрациях, что ограничивает их использование в </w:t>
      </w:r>
      <w:r>
        <w:rPr>
          <w:rFonts w:cs="Times New Roman"/>
          <w:sz w:val="28"/>
          <w:szCs w:val="28"/>
        </w:rPr>
        <w:t xml:space="preserve">некоторых медицинских приложениях [200].  Это обьясняется тем, что </w:t>
      </w:r>
      <w:r>
        <w:rPr>
          <w:rFonts w:eastAsia="Times New Roman" w:cs="Times New Roman"/>
          <w:sz w:val="28"/>
          <w:szCs w:val="28"/>
        </w:rPr>
        <w:t xml:space="preserve">на поверхности </w:t>
      </w:r>
      <w:r>
        <w:rPr>
          <w:rFonts w:cs="Times New Roman"/>
          <w:sz w:val="28"/>
          <w:szCs w:val="28"/>
        </w:rPr>
        <w:t>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r>
        <w:rPr>
          <w:rFonts w:eastAsia="Times New Roman" w:cs="Times New Roman"/>
          <w:sz w:val="28"/>
          <w:szCs w:val="28"/>
          <w:lang w:val="en-US"/>
        </w:rPr>
        <w:t>Mxen</w:t>
      </w:r>
      <w:proofErr w:type="gramStart"/>
      <w:r>
        <w:rPr>
          <w:rFonts w:eastAsia="Times New Roman" w:cs="Times New Roman"/>
          <w:sz w:val="28"/>
          <w:szCs w:val="28"/>
          <w:lang w:val="kk-KZ"/>
        </w:rPr>
        <w:t>е</w:t>
      </w:r>
      <w:proofErr w:type="gramEnd"/>
      <w:r>
        <w:rPr>
          <w:rFonts w:eastAsia="Times New Roman" w:cs="Times New Roman"/>
          <w:sz w:val="28"/>
          <w:szCs w:val="28"/>
        </w:rPr>
        <w:t xml:space="preserve"> при контакте с водой, физиологическими жидкостями и воздухом образуются свободные радикалы, в том числе супероксидные (O</w:t>
      </w:r>
      <w:r>
        <w:rPr>
          <w:rFonts w:eastAsia="Times New Roman" w:cs="Times New Roman"/>
          <w:sz w:val="28"/>
          <w:szCs w:val="28"/>
          <w:vertAlign w:val="subscript"/>
        </w:rPr>
        <w:t>2−</w:t>
      </w:r>
      <w:r>
        <w:rPr>
          <w:rFonts w:eastAsia="Times New Roman" w:cs="Times New Roman"/>
          <w:sz w:val="28"/>
          <w:szCs w:val="28"/>
        </w:rPr>
        <w:t>) и пероксидные (H</w:t>
      </w:r>
      <w:r>
        <w:rPr>
          <w:rFonts w:eastAsia="Times New Roman" w:cs="Times New Roman"/>
          <w:sz w:val="28"/>
          <w:szCs w:val="28"/>
          <w:vertAlign w:val="subscript"/>
        </w:rPr>
        <w:t>2</w:t>
      </w:r>
      <w:r>
        <w:rPr>
          <w:rFonts w:eastAsia="Times New Roman" w:cs="Times New Roman"/>
          <w:sz w:val="28"/>
          <w:szCs w:val="28"/>
        </w:rPr>
        <w:t>O</w:t>
      </w:r>
      <w:r>
        <w:rPr>
          <w:rFonts w:eastAsia="Times New Roman" w:cs="Times New Roman"/>
          <w:sz w:val="28"/>
          <w:szCs w:val="28"/>
          <w:vertAlign w:val="subscript"/>
        </w:rPr>
        <w:t>2</w:t>
      </w:r>
      <w:r>
        <w:rPr>
          <w:rFonts w:eastAsia="Times New Roman" w:cs="Times New Roman"/>
          <w:sz w:val="28"/>
          <w:szCs w:val="28"/>
        </w:rPr>
        <w:t xml:space="preserve">). </w:t>
      </w:r>
      <w:r>
        <w:rPr>
          <w:rFonts w:cs="Times New Roman"/>
          <w:sz w:val="28"/>
          <w:szCs w:val="28"/>
        </w:rPr>
        <w:t xml:space="preserve">В связи с </w:t>
      </w:r>
      <w:r>
        <w:rPr>
          <w:rFonts w:cs="Times New Roman"/>
          <w:sz w:val="28"/>
          <w:szCs w:val="28"/>
        </w:rPr>
        <w:lastRenderedPageBreak/>
        <w:t xml:space="preserve">этим в разрабатываемый композит целесообразно было включить материал, который способен не только модифицировать структуру и поверхность  MXene,  </w:t>
      </w:r>
      <w:r>
        <w:rPr>
          <w:rFonts w:eastAsia="Times New Roman" w:cs="Times New Roman"/>
          <w:sz w:val="28"/>
          <w:szCs w:val="28"/>
          <w:lang w:eastAsia="ru-RU"/>
        </w:rPr>
        <w:t xml:space="preserve">предотвращая  процесс оксиления и агрегации, но и </w:t>
      </w:r>
      <w:r>
        <w:rPr>
          <w:rFonts w:cs="Times New Roman"/>
          <w:sz w:val="28"/>
          <w:szCs w:val="28"/>
        </w:rPr>
        <w:t>снижая его цитотоксичность засчет нали</w:t>
      </w:r>
      <w:r>
        <w:rPr>
          <w:rFonts w:cs="Times New Roman"/>
          <w:sz w:val="28"/>
          <w:szCs w:val="28"/>
          <w:lang w:val="kk-KZ"/>
        </w:rPr>
        <w:t>чи</w:t>
      </w:r>
      <w:r>
        <w:rPr>
          <w:rFonts w:cs="Times New Roman"/>
          <w:sz w:val="28"/>
          <w:szCs w:val="28"/>
        </w:rPr>
        <w:t xml:space="preserve">я антиоксидантной активности [201]. В принципе для минимизации процессов окисления </w:t>
      </w:r>
      <w:r>
        <w:rPr>
          <w:rFonts w:cs="Times New Roman"/>
          <w:sz w:val="28"/>
          <w:szCs w:val="28"/>
          <w:lang w:val="en-US"/>
        </w:rPr>
        <w:t>Ti</w:t>
      </w:r>
      <w:r>
        <w:rPr>
          <w:rFonts w:cs="Times New Roman"/>
          <w:sz w:val="28"/>
          <w:szCs w:val="28"/>
          <w:vertAlign w:val="subscript"/>
        </w:rPr>
        <w:t>3</w:t>
      </w:r>
      <w:r>
        <w:rPr>
          <w:rFonts w:cs="Times New Roman"/>
          <w:sz w:val="28"/>
          <w:szCs w:val="28"/>
          <w:lang w:val="en-US"/>
        </w:rPr>
        <w:t>C</w:t>
      </w:r>
      <w:r>
        <w:rPr>
          <w:rFonts w:cs="Times New Roman"/>
          <w:sz w:val="28"/>
          <w:szCs w:val="28"/>
          <w:vertAlign w:val="subscript"/>
        </w:rPr>
        <w:t>2</w:t>
      </w:r>
      <w:r>
        <w:rPr>
          <w:rFonts w:cs="Times New Roman"/>
          <w:sz w:val="28"/>
          <w:szCs w:val="28"/>
          <w:lang w:val="en-US"/>
        </w:rPr>
        <w:t>T</w:t>
      </w:r>
      <w:r>
        <w:rPr>
          <w:rFonts w:cs="Times New Roman"/>
          <w:sz w:val="28"/>
          <w:szCs w:val="28"/>
          <w:vertAlign w:val="subscript"/>
          <w:lang w:val="en-US"/>
        </w:rPr>
        <w:t>x</w:t>
      </w:r>
      <w:r>
        <w:rPr>
          <w:rFonts w:cs="Times New Roman"/>
          <w:sz w:val="28"/>
          <w:szCs w:val="28"/>
          <w:lang w:val="en-US"/>
        </w:rPr>
        <w:t>MXene</w:t>
      </w:r>
      <w:r>
        <w:rPr>
          <w:rFonts w:cs="Times New Roman"/>
          <w:sz w:val="28"/>
          <w:szCs w:val="28"/>
        </w:rPr>
        <w:t xml:space="preserve"> могут применяться поливиниловый спирт, полистирол, полианилин, альгинат натрия, гидроксиапатит, в том числе и ГАП, который является стабилизатором   [153]. Но не только, поскольку ГАП обладает несколькими видами биоактивности и способности к взаимодействию с биологическими системами.</w:t>
      </w:r>
    </w:p>
    <w:p w:rsidR="00E17FE1" w:rsidRDefault="00BB58D7">
      <w:pPr>
        <w:pStyle w:val="ac"/>
        <w:spacing w:after="0"/>
        <w:ind w:right="-1" w:firstLine="567"/>
        <w:jc w:val="both"/>
        <w:rPr>
          <w:rFonts w:cs="Times New Roman"/>
          <w:sz w:val="28"/>
          <w:szCs w:val="28"/>
          <w:highlight w:val="lightGray"/>
        </w:rPr>
      </w:pPr>
      <w:r>
        <w:rPr>
          <w:rFonts w:cs="Times New Roman"/>
          <w:sz w:val="28"/>
          <w:szCs w:val="28"/>
        </w:rPr>
        <w:t xml:space="preserve">Иными словами, включение ГАП вносит дополнительную функциональность в композит. Синтез </w:t>
      </w:r>
      <w:r>
        <w:rPr>
          <w:rFonts w:cs="Times New Roman"/>
          <w:sz w:val="28"/>
          <w:szCs w:val="28"/>
          <w:lang w:val="kk-KZ"/>
        </w:rPr>
        <w:t xml:space="preserve">ГАП </w:t>
      </w:r>
      <w:r>
        <w:rPr>
          <w:rFonts w:cs="Times New Roman"/>
          <w:sz w:val="28"/>
          <w:szCs w:val="28"/>
        </w:rPr>
        <w:t>может осущес</w:t>
      </w:r>
      <w:r>
        <w:rPr>
          <w:rFonts w:cs="Times New Roman"/>
          <w:sz w:val="28"/>
          <w:szCs w:val="28"/>
          <w:lang w:val="kk-KZ"/>
        </w:rPr>
        <w:t>т</w:t>
      </w:r>
      <w:r>
        <w:rPr>
          <w:rFonts w:cs="Times New Roman"/>
          <w:sz w:val="28"/>
          <w:szCs w:val="28"/>
        </w:rPr>
        <w:t xml:space="preserve">вляться несколькими способами: сухие методы (твердофазный синтез и механохимический процесс), «мокрые» методы (традиционное химическое осаждение, гидролитический, гидротермальный, эмульсионный, золь-гель и сонохимический), высокотемпературные процессы (метод горения и пиролиз), микроволновая обработка, синтез из биогенных источников, а также комбинированные подходы [202]. </w:t>
      </w:r>
    </w:p>
    <w:p w:rsidR="00E17FE1" w:rsidRDefault="00BB58D7">
      <w:pPr>
        <w:pStyle w:val="ac"/>
        <w:spacing w:after="0"/>
        <w:ind w:right="-1" w:firstLine="567"/>
        <w:jc w:val="both"/>
        <w:rPr>
          <w:rFonts w:cs="Times New Roman"/>
          <w:sz w:val="28"/>
          <w:szCs w:val="28"/>
        </w:rPr>
      </w:pPr>
      <w:r>
        <w:rPr>
          <w:rFonts w:eastAsia="Times New Roman" w:cs="Times New Roman"/>
          <w:bCs/>
          <w:sz w:val="28"/>
          <w:szCs w:val="28"/>
          <w:lang w:eastAsia="ru-RU"/>
        </w:rPr>
        <w:t>Метод химического осаждения наиболее популярен, поскольку он универсален и имеет определенные экономические преимущества</w:t>
      </w:r>
      <w:r>
        <w:rPr>
          <w:rFonts w:eastAsia="Times New Roman" w:cs="Times New Roman"/>
          <w:sz w:val="28"/>
          <w:szCs w:val="28"/>
          <w:lang w:eastAsia="ru-RU"/>
        </w:rPr>
        <w:t xml:space="preserve"> [203]. В нем </w:t>
      </w:r>
      <w:r>
        <w:rPr>
          <w:rFonts w:cs="Times New Roman"/>
          <w:sz w:val="28"/>
          <w:szCs w:val="28"/>
        </w:rPr>
        <w:t xml:space="preserve">растворы кальциевых и фосфатных соединений смешиваются при контролируемом значении pH и температуры, что приводит к выпадению аморфного или малокристаллического осадка ГАП. Этот подход отличается технологической простотой и возможностью масштабирования, однако зачастую требует последующей термообработки для повышения степени кристалличности. Более однородную структуру можно получить при использовании золь-гель метода: в этом случае из </w:t>
      </w:r>
      <w:proofErr w:type="gramStart"/>
      <w:r>
        <w:rPr>
          <w:rFonts w:cs="Times New Roman"/>
          <w:sz w:val="28"/>
          <w:szCs w:val="28"/>
        </w:rPr>
        <w:t>органо-неорганических</w:t>
      </w:r>
      <w:proofErr w:type="gramEnd"/>
      <w:r>
        <w:rPr>
          <w:rFonts w:cs="Times New Roman"/>
          <w:sz w:val="28"/>
          <w:szCs w:val="28"/>
        </w:rPr>
        <w:t xml:space="preserve"> прекурсоров формируется золь, переходящий в гель, который после высушивания и прокаливания превращается в ГАП с контролируемой наноструктурой. </w:t>
      </w:r>
      <w:proofErr w:type="gramStart"/>
      <w:r>
        <w:rPr>
          <w:rFonts w:cs="Times New Roman"/>
          <w:sz w:val="28"/>
          <w:szCs w:val="28"/>
        </w:rPr>
        <w:t>Для получения высококристаллических частиц с заданной морфологией, например, в виде стержней или наноигл, применяется гидротермальный синтез, основанный на обработке реакционной смеси при повышенных давлении и температуре в автоклаве.</w:t>
      </w:r>
      <w:proofErr w:type="gramEnd"/>
    </w:p>
    <w:p w:rsidR="00E17FE1" w:rsidRDefault="00BB58D7">
      <w:pPr>
        <w:pStyle w:val="ac"/>
        <w:spacing w:after="0"/>
        <w:ind w:right="-1" w:firstLine="567"/>
        <w:jc w:val="both"/>
        <w:rPr>
          <w:rFonts w:cs="Times New Roman"/>
          <w:sz w:val="28"/>
          <w:szCs w:val="28"/>
        </w:rPr>
      </w:pPr>
      <w:r>
        <w:rPr>
          <w:rFonts w:cs="Times New Roman"/>
          <w:sz w:val="28"/>
          <w:szCs w:val="28"/>
        </w:rPr>
        <w:t xml:space="preserve">Высокотемпературным вариантом является твёрдофазный синтез, при котором порошки CaO и фосфатных соединений подвергаются прокаливанию при 800–1200 °C. Этот метод обеспечивает высокую термическую стабильность материала, но приводит к укрупнению частиц и ограниченному контролю морфологии. Более энергоёмким считается механохимический подход, при котором исходные реагенты подвергаются интенсивному измельчению в планетарной мельнице, что инициирует химическую реакцию без участия растворителей. В последние годы активно развиваются альтернативные энергоэффективные подходы, такие как </w:t>
      </w:r>
      <w:proofErr w:type="gramStart"/>
      <w:r>
        <w:rPr>
          <w:rFonts w:cs="Times New Roman"/>
          <w:sz w:val="28"/>
          <w:szCs w:val="28"/>
        </w:rPr>
        <w:t>микроволновой</w:t>
      </w:r>
      <w:proofErr w:type="gramEnd"/>
      <w:r>
        <w:rPr>
          <w:rFonts w:cs="Times New Roman"/>
          <w:sz w:val="28"/>
          <w:szCs w:val="28"/>
        </w:rPr>
        <w:t xml:space="preserve"> и ультразвуковой синтез. При микроволновом воздействии реакционная смесь нагревается объемно, что обеспечивает быструю </w:t>
      </w:r>
      <w:r>
        <w:rPr>
          <w:rFonts w:cs="Times New Roman"/>
          <w:sz w:val="28"/>
          <w:szCs w:val="28"/>
        </w:rPr>
        <w:lastRenderedPageBreak/>
        <w:t xml:space="preserve">кристаллизацию материала. Ультразвуковое осаждение основано на кавитационных процессах, приводящих к локальным скачкам давления и температуры, способствующим формированию более мелких и однородных частиц. </w:t>
      </w:r>
    </w:p>
    <w:p w:rsidR="00E17FE1" w:rsidRDefault="00BB58D7">
      <w:pPr>
        <w:pStyle w:val="ac"/>
        <w:spacing w:after="0"/>
        <w:ind w:right="-1" w:firstLine="567"/>
        <w:jc w:val="both"/>
        <w:rPr>
          <w:rFonts w:cs="Times New Roman"/>
          <w:sz w:val="28"/>
          <w:szCs w:val="28"/>
        </w:rPr>
      </w:pPr>
      <w:r>
        <w:rPr>
          <w:rFonts w:eastAsia="Times New Roman" w:cs="Times New Roman"/>
          <w:sz w:val="28"/>
          <w:szCs w:val="28"/>
          <w:lang w:eastAsia="ru-RU"/>
        </w:rPr>
        <w:t xml:space="preserve">При этом следует учитывать, что одной из ключевых тенденций современных исследований выступает разработка подходов к экологически обоснованной утилизации отходов и их трансформации в продукты с высокой добавленной стоимостью. Поэтому </w:t>
      </w:r>
      <w:r>
        <w:rPr>
          <w:rFonts w:cs="Times New Roman"/>
          <w:sz w:val="28"/>
          <w:szCs w:val="28"/>
        </w:rPr>
        <w:t>особый интерес представляют биогенные методы, базирующиеся на использовании природных источников кальция</w:t>
      </w:r>
      <w:r w:rsidR="006737E3">
        <w:rPr>
          <w:rFonts w:eastAsia="Times New Roman" w:cs="Times New Roman"/>
          <w:sz w:val="28"/>
          <w:szCs w:val="28"/>
          <w:lang w:eastAsia="ru-RU"/>
        </w:rPr>
        <w:t xml:space="preserve"> </w:t>
      </w:r>
      <w:r w:rsidR="006737E3" w:rsidRPr="00A551EF">
        <w:rPr>
          <w:rFonts w:cs="Times New Roman"/>
          <w:bCs/>
          <w:iCs/>
          <w:sz w:val="28"/>
          <w:szCs w:val="28"/>
        </w:rPr>
        <w:sym w:font="Symbol" w:char="F02D"/>
      </w:r>
      <w:r w:rsidR="006737E3">
        <w:rPr>
          <w:rFonts w:eastAsia="Times New Roman" w:cs="Times New Roman"/>
          <w:sz w:val="28"/>
          <w:szCs w:val="28"/>
          <w:lang w:eastAsia="ru-RU"/>
        </w:rPr>
        <w:t xml:space="preserve"> </w:t>
      </w:r>
      <w:r>
        <w:rPr>
          <w:rFonts w:cs="Times New Roman"/>
          <w:sz w:val="28"/>
          <w:szCs w:val="28"/>
        </w:rPr>
        <w:t xml:space="preserve">яичной скорлупы, рыбьих костей или раковин моллюсков </w:t>
      </w:r>
      <w:r>
        <w:rPr>
          <w:rFonts w:eastAsia="Times New Roman" w:cs="Times New Roman"/>
          <w:sz w:val="28"/>
          <w:szCs w:val="28"/>
          <w:lang w:eastAsia="ru-RU"/>
        </w:rPr>
        <w:t>для получения ГАП [204,</w:t>
      </w:r>
      <w:r>
        <w:t xml:space="preserve"> </w:t>
      </w:r>
      <w:r>
        <w:rPr>
          <w:rFonts w:eastAsia="Times New Roman" w:cs="Times New Roman"/>
          <w:sz w:val="28"/>
          <w:szCs w:val="28"/>
          <w:lang w:eastAsia="ru-RU"/>
        </w:rPr>
        <w:t>205].</w:t>
      </w:r>
      <w:r>
        <w:rPr>
          <w:rFonts w:cs="Times New Roman"/>
          <w:sz w:val="28"/>
          <w:szCs w:val="28"/>
        </w:rPr>
        <w:t xml:space="preserve"> </w:t>
      </w:r>
      <w:proofErr w:type="gramStart"/>
      <w:r>
        <w:rPr>
          <w:rFonts w:cs="Times New Roman"/>
          <w:sz w:val="28"/>
          <w:szCs w:val="28"/>
        </w:rPr>
        <w:t>После растворения или кальцинации такого сырья полученный кальцийсодержащий прекурсор взаимодействует с фосфатами с образованием ГА</w:t>
      </w:r>
      <w:r>
        <w:rPr>
          <w:rFonts w:cs="Times New Roman"/>
          <w:sz w:val="28"/>
          <w:szCs w:val="28"/>
          <w:lang w:val="kk-KZ"/>
        </w:rPr>
        <w:t>П</w:t>
      </w:r>
      <w:r>
        <w:rPr>
          <w:rFonts w:cs="Times New Roman"/>
          <w:sz w:val="28"/>
          <w:szCs w:val="28"/>
        </w:rPr>
        <w:t>, что делает процесс экономичным и экологически ориентированным.</w:t>
      </w:r>
      <w:proofErr w:type="gramEnd"/>
    </w:p>
    <w:p w:rsidR="00E17FE1" w:rsidRDefault="00BB58D7">
      <w:pPr>
        <w:pStyle w:val="ac"/>
        <w:spacing w:after="0"/>
        <w:ind w:right="-1" w:firstLine="567"/>
        <w:jc w:val="both"/>
        <w:rPr>
          <w:rFonts w:cs="Times New Roman"/>
          <w:sz w:val="28"/>
          <w:szCs w:val="28"/>
        </w:rPr>
      </w:pPr>
      <w:r>
        <w:rPr>
          <w:rFonts w:cs="Times New Roman"/>
          <w:sz w:val="28"/>
          <w:szCs w:val="28"/>
        </w:rPr>
        <w:t xml:space="preserve">В данной работе синтез гидроксиапатита осуществлён традиционным методом химического осаждения с использованием яичной скорлупы в качестве исходного сырья. </w:t>
      </w:r>
    </w:p>
    <w:p w:rsidR="00E17FE1" w:rsidRDefault="00BB58D7">
      <w:pPr>
        <w:spacing w:after="0" w:line="240" w:lineRule="auto"/>
        <w:ind w:right="-1"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Применение такого подхода обеспечивает рациональное использование биологических отходов, одновременно придавая процессу экологическую устойчивость и экономическую эффективность за счёт замены дорогостоящих химических реагентов.</w:t>
      </w:r>
      <w:r>
        <w:rPr>
          <w:rFonts w:ascii="Times New Roman" w:eastAsia="Times New Roman" w:hAnsi="Times New Roman" w:cs="Times New Roman"/>
          <w:sz w:val="28"/>
          <w:szCs w:val="28"/>
          <w:lang w:val="kk-KZ" w:eastAsia="ru-RU"/>
        </w:rPr>
        <w:t xml:space="preserve"> </w:t>
      </w: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Схема получения ГАП из яичной скорлупы методом химического осаждения представлена на рисунке 12. </w:t>
      </w:r>
    </w:p>
    <w:p w:rsidR="00E17FE1" w:rsidRDefault="00E17FE1">
      <w:pPr>
        <w:pStyle w:val="ac"/>
        <w:spacing w:after="0"/>
        <w:ind w:right="145" w:firstLine="567"/>
        <w:jc w:val="both"/>
        <w:rPr>
          <w:rFonts w:cs="Times New Roman"/>
          <w:sz w:val="28"/>
          <w:szCs w:val="28"/>
          <w:highlight w:val="lightGray"/>
        </w:rPr>
      </w:pPr>
    </w:p>
    <w:p w:rsidR="00E17FE1" w:rsidRDefault="00BB58D7">
      <w:pPr>
        <w:pStyle w:val="ac"/>
        <w:spacing w:after="0"/>
        <w:ind w:right="145" w:firstLine="567"/>
        <w:jc w:val="center"/>
        <w:rPr>
          <w:rFonts w:cs="Times New Roman"/>
          <w:sz w:val="28"/>
          <w:szCs w:val="28"/>
          <w:highlight w:val="lightGray"/>
          <w:lang w:val="en-US"/>
        </w:rPr>
      </w:pPr>
      <w:r>
        <w:rPr>
          <w:rFonts w:cs="Times New Roman"/>
          <w:noProof/>
          <w:sz w:val="28"/>
          <w:szCs w:val="28"/>
          <w:highlight w:val="lightGray"/>
          <w:lang w:eastAsia="ru-RU" w:bidi="ar-SA"/>
        </w:rPr>
        <w:drawing>
          <wp:inline distT="0" distB="0" distL="0" distR="0">
            <wp:extent cx="4659549" cy="3790506"/>
            <wp:effectExtent l="19050" t="0" r="7701" b="0"/>
            <wp:docPr id="84903640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407" name="Рисунок 4"/>
                    <pic:cNvPicPr>
                      <a:picLocks noChangeAspect="1" noChangeArrowheads="1"/>
                    </pic:cNvPicPr>
                  </pic:nvPicPr>
                  <pic:blipFill>
                    <a:blip r:embed="rId23"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4664874" cy="3794838"/>
                    </a:xfrm>
                    <a:prstGeom prst="rect">
                      <a:avLst/>
                    </a:prstGeom>
                    <a:noFill/>
                    <a:ln>
                      <a:noFill/>
                    </a:ln>
                  </pic:spPr>
                </pic:pic>
              </a:graphicData>
            </a:graphic>
          </wp:inline>
        </w:drawing>
      </w:r>
    </w:p>
    <w:p w:rsidR="00E17FE1" w:rsidRDefault="00E17FE1">
      <w:pPr>
        <w:pStyle w:val="ac"/>
        <w:spacing w:after="0"/>
        <w:ind w:right="145"/>
        <w:jc w:val="center"/>
        <w:rPr>
          <w:rFonts w:cs="Times New Roman"/>
          <w:sz w:val="28"/>
          <w:szCs w:val="28"/>
        </w:rPr>
      </w:pPr>
    </w:p>
    <w:p w:rsidR="00E17FE1" w:rsidRDefault="00BB58D7">
      <w:pPr>
        <w:pStyle w:val="ac"/>
        <w:spacing w:after="0"/>
        <w:ind w:right="145"/>
        <w:jc w:val="center"/>
        <w:rPr>
          <w:rFonts w:cs="Times New Roman"/>
          <w:sz w:val="28"/>
          <w:szCs w:val="28"/>
        </w:rPr>
      </w:pPr>
      <w:r>
        <w:rPr>
          <w:rFonts w:cs="Times New Roman"/>
          <w:sz w:val="28"/>
          <w:szCs w:val="28"/>
        </w:rPr>
        <w:t>Рисунок 12</w:t>
      </w:r>
      <w:r w:rsidR="006737E3">
        <w:rPr>
          <w:rFonts w:eastAsia="Times New Roman" w:cs="Times New Roman"/>
          <w:sz w:val="28"/>
          <w:szCs w:val="28"/>
          <w:lang w:eastAsia="ru-RU"/>
        </w:rPr>
        <w:t xml:space="preserve"> </w:t>
      </w:r>
      <w:r w:rsidR="006737E3" w:rsidRPr="00A551EF">
        <w:rPr>
          <w:rFonts w:cs="Times New Roman"/>
          <w:bCs/>
          <w:iCs/>
          <w:sz w:val="28"/>
          <w:szCs w:val="28"/>
        </w:rPr>
        <w:sym w:font="Symbol" w:char="F02D"/>
      </w:r>
      <w:r w:rsidR="006737E3">
        <w:rPr>
          <w:rFonts w:eastAsia="Times New Roman" w:cs="Times New Roman"/>
          <w:sz w:val="28"/>
          <w:szCs w:val="28"/>
          <w:lang w:eastAsia="ru-RU"/>
        </w:rPr>
        <w:t xml:space="preserve"> </w:t>
      </w:r>
      <w:r>
        <w:rPr>
          <w:rFonts w:cs="Times New Roman"/>
          <w:sz w:val="28"/>
          <w:szCs w:val="28"/>
        </w:rPr>
        <w:t>Схема получения ГАП из яйчной скорлупы</w:t>
      </w:r>
    </w:p>
    <w:p w:rsidR="00E17FE1" w:rsidRDefault="00BB58D7">
      <w:pPr>
        <w:pStyle w:val="ac"/>
        <w:spacing w:after="0"/>
        <w:ind w:right="145" w:firstLine="567"/>
        <w:jc w:val="both"/>
        <w:rPr>
          <w:rFonts w:cs="Times New Roman"/>
          <w:sz w:val="28"/>
          <w:szCs w:val="28"/>
        </w:rPr>
      </w:pPr>
      <w:r>
        <w:rPr>
          <w:rFonts w:cs="Times New Roman"/>
          <w:sz w:val="28"/>
          <w:szCs w:val="28"/>
          <w:lang w:val="kk-KZ"/>
        </w:rPr>
        <w:lastRenderedPageBreak/>
        <w:t xml:space="preserve">Для получения ГАП из этого сырья необходимо было удалить органические примеси и перевести присутствующий в яйцах кальций в активную форму </w:t>
      </w:r>
      <w:r>
        <w:rPr>
          <w:rFonts w:cs="Times New Roman"/>
          <w:sz w:val="28"/>
          <w:szCs w:val="28"/>
        </w:rPr>
        <w:t>-</w:t>
      </w:r>
      <w:r>
        <w:rPr>
          <w:rFonts w:cs="Times New Roman"/>
          <w:sz w:val="28"/>
          <w:szCs w:val="28"/>
          <w:lang w:val="kk-KZ"/>
        </w:rPr>
        <w:t xml:space="preserve"> </w:t>
      </w:r>
      <w:r>
        <w:rPr>
          <w:rFonts w:cs="Times New Roman"/>
          <w:sz w:val="28"/>
          <w:szCs w:val="28"/>
          <w:lang w:val="en-US"/>
        </w:rPr>
        <w:t>Ca</w:t>
      </w:r>
      <w:r>
        <w:rPr>
          <w:rFonts w:cs="Times New Roman"/>
          <w:sz w:val="28"/>
          <w:szCs w:val="28"/>
          <w:lang w:val="kk-KZ"/>
        </w:rPr>
        <w:t xml:space="preserve">О. </w:t>
      </w:r>
      <w:r>
        <w:rPr>
          <w:rFonts w:cs="Times New Roman"/>
          <w:sz w:val="28"/>
          <w:szCs w:val="28"/>
        </w:rPr>
        <w:t xml:space="preserve">На этом этапе </w:t>
      </w:r>
      <w:r>
        <w:rPr>
          <w:rFonts w:cs="Times New Roman"/>
          <w:sz w:val="28"/>
          <w:szCs w:val="28"/>
          <w:lang w:val="kk-KZ"/>
        </w:rPr>
        <w:t xml:space="preserve">карбонат кальция превращали в оксид кальция. Для этого </w:t>
      </w:r>
      <w:r>
        <w:rPr>
          <w:rFonts w:cs="Times New Roman"/>
          <w:sz w:val="28"/>
          <w:szCs w:val="28"/>
        </w:rPr>
        <w:t>сырьё подвергали отжигу при 950 °C в течение двух часов, в результате чего CaCO</w:t>
      </w:r>
      <w:r>
        <w:rPr>
          <w:rFonts w:ascii="Cambria Math" w:hAnsi="Cambria Math" w:cs="Cambria Math"/>
          <w:sz w:val="28"/>
          <w:szCs w:val="28"/>
          <w:vertAlign w:val="subscript"/>
        </w:rPr>
        <w:t>₃</w:t>
      </w:r>
      <w:r>
        <w:rPr>
          <w:rFonts w:cs="Times New Roman"/>
          <w:sz w:val="28"/>
          <w:szCs w:val="28"/>
        </w:rPr>
        <w:t xml:space="preserve"> разлагался с образованием реакционноспособного оксида кальция (CaO) и выделением CO</w:t>
      </w:r>
      <w:r>
        <w:rPr>
          <w:rFonts w:ascii="Cambria Math" w:hAnsi="Cambria Math" w:cs="Cambria Math"/>
          <w:sz w:val="28"/>
          <w:szCs w:val="28"/>
        </w:rPr>
        <w:t>₂</w:t>
      </w:r>
      <w:r>
        <w:rPr>
          <w:rFonts w:cs="Times New Roman"/>
          <w:sz w:val="28"/>
          <w:szCs w:val="28"/>
        </w:rPr>
        <w:t xml:space="preserve">. Термообработка не только обеспечивает перевод кальция в активную форму, но и удаляет органические примеси, придавая материалу дополнительную чистоту и стерильность. </w:t>
      </w:r>
      <w:r>
        <w:rPr>
          <w:rFonts w:cs="Times New Roman"/>
          <w:sz w:val="28"/>
          <w:szCs w:val="28"/>
          <w:lang w:val="kk-KZ"/>
        </w:rPr>
        <w:t>П</w:t>
      </w:r>
      <w:r>
        <w:rPr>
          <w:rFonts w:cs="Times New Roman"/>
          <w:sz w:val="28"/>
          <w:szCs w:val="28"/>
        </w:rPr>
        <w:t>олученный оксид кальция диспергировали в водной среде и постепенно вводили раствор ортофосфорной кислоты. При взаимодействии CaO с H</w:t>
      </w:r>
      <w:r>
        <w:rPr>
          <w:rFonts w:ascii="Cambria Math" w:hAnsi="Cambria Math" w:cs="Cambria Math"/>
          <w:sz w:val="28"/>
          <w:szCs w:val="28"/>
          <w:vertAlign w:val="subscript"/>
        </w:rPr>
        <w:t>₃</w:t>
      </w:r>
      <w:r>
        <w:rPr>
          <w:rFonts w:cs="Times New Roman"/>
          <w:sz w:val="28"/>
          <w:szCs w:val="28"/>
        </w:rPr>
        <w:t>PO</w:t>
      </w:r>
      <w:r>
        <w:rPr>
          <w:rFonts w:ascii="Cambria Math" w:hAnsi="Cambria Math" w:cs="Cambria Math"/>
          <w:sz w:val="28"/>
          <w:szCs w:val="28"/>
          <w:vertAlign w:val="subscript"/>
        </w:rPr>
        <w:t>₄</w:t>
      </w:r>
      <w:r>
        <w:rPr>
          <w:rFonts w:cs="Times New Roman"/>
          <w:sz w:val="28"/>
          <w:szCs w:val="28"/>
        </w:rPr>
        <w:t xml:space="preserve"> происходит последовательное растворение оксида с образованием ионов Ca²</w:t>
      </w:r>
      <w:r>
        <w:rPr>
          <w:rFonts w:ascii="Cambria Math" w:hAnsi="Cambria Math" w:cs="Cambria Math"/>
          <w:sz w:val="28"/>
          <w:szCs w:val="28"/>
        </w:rPr>
        <w:t>⁺</w:t>
      </w:r>
      <w:r>
        <w:rPr>
          <w:rFonts w:cs="Times New Roman"/>
          <w:sz w:val="28"/>
          <w:szCs w:val="28"/>
        </w:rPr>
        <w:t xml:space="preserve"> и дальнейшая их реакция с фосфа</w:t>
      </w:r>
      <w:proofErr w:type="gramStart"/>
      <w:r>
        <w:rPr>
          <w:rFonts w:cs="Times New Roman"/>
          <w:sz w:val="28"/>
          <w:szCs w:val="28"/>
        </w:rPr>
        <w:t>т-</w:t>
      </w:r>
      <w:proofErr w:type="gramEnd"/>
      <w:r>
        <w:rPr>
          <w:rFonts w:cs="Times New Roman"/>
          <w:sz w:val="28"/>
          <w:szCs w:val="28"/>
        </w:rPr>
        <w:t xml:space="preserve"> и гидроксид-ионами, присутствующими в растворе. В результате протекает реакция кристаллизации фазы гидроксиапатита по следующему общему уравнению: 10</w:t>
      </w:r>
      <w:r>
        <w:rPr>
          <w:rFonts w:cs="Times New Roman"/>
          <w:sz w:val="28"/>
          <w:szCs w:val="28"/>
          <w:lang w:val="en-US"/>
        </w:rPr>
        <w:t>Ca</w:t>
      </w:r>
      <w:r>
        <w:rPr>
          <w:rFonts w:cs="Times New Roman"/>
          <w:sz w:val="28"/>
          <w:szCs w:val="28"/>
        </w:rPr>
        <w:t>(</w:t>
      </w:r>
      <w:r>
        <w:rPr>
          <w:rFonts w:cs="Times New Roman"/>
          <w:sz w:val="28"/>
          <w:szCs w:val="28"/>
          <w:lang w:val="en-US"/>
        </w:rPr>
        <w:t>OH</w:t>
      </w:r>
      <w:r>
        <w:rPr>
          <w:rFonts w:cs="Times New Roman"/>
          <w:sz w:val="28"/>
          <w:szCs w:val="28"/>
        </w:rPr>
        <w:t>)</w:t>
      </w:r>
      <w:r>
        <w:rPr>
          <w:rFonts w:cs="Times New Roman"/>
          <w:sz w:val="28"/>
          <w:szCs w:val="28"/>
          <w:vertAlign w:val="subscript"/>
        </w:rPr>
        <w:t>2</w:t>
      </w:r>
      <w:r>
        <w:rPr>
          <w:rFonts w:cs="Times New Roman"/>
          <w:sz w:val="28"/>
          <w:szCs w:val="28"/>
        </w:rPr>
        <w:t xml:space="preserve"> +6 </w:t>
      </w:r>
      <w:r>
        <w:rPr>
          <w:rFonts w:cs="Times New Roman"/>
          <w:sz w:val="28"/>
          <w:szCs w:val="28"/>
          <w:lang w:val="en-US"/>
        </w:rPr>
        <w:t>H</w:t>
      </w:r>
      <w:r>
        <w:rPr>
          <w:rFonts w:cs="Times New Roman"/>
          <w:sz w:val="28"/>
          <w:szCs w:val="28"/>
          <w:vertAlign w:val="subscript"/>
        </w:rPr>
        <w:t>3</w:t>
      </w:r>
      <w:r>
        <w:rPr>
          <w:rFonts w:cs="Times New Roman"/>
          <w:sz w:val="28"/>
          <w:szCs w:val="28"/>
          <w:lang w:val="en-US"/>
        </w:rPr>
        <w:t>PO</w:t>
      </w:r>
      <w:r>
        <w:rPr>
          <w:rFonts w:cs="Times New Roman"/>
          <w:sz w:val="28"/>
          <w:szCs w:val="28"/>
          <w:vertAlign w:val="subscript"/>
        </w:rPr>
        <w:t>4</w:t>
      </w:r>
      <w:r>
        <w:rPr>
          <w:rFonts w:cs="Times New Roman"/>
          <w:sz w:val="28"/>
          <w:szCs w:val="28"/>
        </w:rPr>
        <w:t>→</w:t>
      </w:r>
      <w:r>
        <w:rPr>
          <w:rFonts w:cs="Times New Roman"/>
          <w:sz w:val="28"/>
          <w:szCs w:val="28"/>
          <w:lang w:val="en-US"/>
        </w:rPr>
        <w:t>Ca</w:t>
      </w:r>
      <w:r>
        <w:rPr>
          <w:rFonts w:cs="Times New Roman"/>
          <w:sz w:val="28"/>
          <w:szCs w:val="28"/>
          <w:vertAlign w:val="subscript"/>
        </w:rPr>
        <w:t>10</w:t>
      </w:r>
      <w:r>
        <w:rPr>
          <w:rFonts w:cs="Times New Roman"/>
          <w:sz w:val="28"/>
          <w:szCs w:val="28"/>
        </w:rPr>
        <w:t>(</w:t>
      </w:r>
      <w:r>
        <w:rPr>
          <w:rFonts w:cs="Times New Roman"/>
          <w:sz w:val="28"/>
          <w:szCs w:val="28"/>
          <w:lang w:val="en-US"/>
        </w:rPr>
        <w:t>PO</w:t>
      </w:r>
      <w:r>
        <w:rPr>
          <w:rFonts w:cs="Times New Roman"/>
          <w:sz w:val="28"/>
          <w:szCs w:val="28"/>
          <w:vertAlign w:val="subscript"/>
        </w:rPr>
        <w:t>4</w:t>
      </w:r>
      <w:r>
        <w:rPr>
          <w:rFonts w:cs="Times New Roman"/>
          <w:sz w:val="28"/>
          <w:szCs w:val="28"/>
        </w:rPr>
        <w:t>)</w:t>
      </w:r>
      <w:r>
        <w:rPr>
          <w:rFonts w:cs="Times New Roman"/>
          <w:sz w:val="28"/>
          <w:szCs w:val="28"/>
          <w:vertAlign w:val="subscript"/>
        </w:rPr>
        <w:t>6</w:t>
      </w:r>
      <w:r>
        <w:rPr>
          <w:rFonts w:cs="Times New Roman"/>
          <w:sz w:val="28"/>
          <w:szCs w:val="28"/>
        </w:rPr>
        <w:t>(</w:t>
      </w:r>
      <w:r>
        <w:rPr>
          <w:rFonts w:cs="Times New Roman"/>
          <w:sz w:val="28"/>
          <w:szCs w:val="28"/>
          <w:lang w:val="en-US"/>
        </w:rPr>
        <w:t>OH</w:t>
      </w:r>
      <w:r>
        <w:rPr>
          <w:rFonts w:cs="Times New Roman"/>
          <w:sz w:val="28"/>
          <w:szCs w:val="28"/>
        </w:rPr>
        <w:t>)</w:t>
      </w:r>
      <w:r>
        <w:rPr>
          <w:rFonts w:cs="Times New Roman"/>
          <w:sz w:val="28"/>
          <w:szCs w:val="28"/>
          <w:vertAlign w:val="subscript"/>
        </w:rPr>
        <w:t>2</w:t>
      </w:r>
      <w:r>
        <w:rPr>
          <w:rFonts w:cs="Times New Roman"/>
          <w:sz w:val="28"/>
          <w:szCs w:val="28"/>
        </w:rPr>
        <w:t>+18</w:t>
      </w:r>
      <w:r>
        <w:rPr>
          <w:rFonts w:cs="Times New Roman"/>
          <w:sz w:val="28"/>
          <w:szCs w:val="28"/>
          <w:lang w:val="en-US"/>
        </w:rPr>
        <w:t>H</w:t>
      </w:r>
      <w:r>
        <w:rPr>
          <w:rFonts w:cs="Times New Roman"/>
          <w:sz w:val="28"/>
          <w:szCs w:val="28"/>
          <w:vertAlign w:val="subscript"/>
        </w:rPr>
        <w:t>2</w:t>
      </w:r>
      <w:r>
        <w:rPr>
          <w:rFonts w:cs="Times New Roman"/>
          <w:sz w:val="28"/>
          <w:szCs w:val="28"/>
          <w:lang w:val="en-US"/>
        </w:rPr>
        <w:t>O</w:t>
      </w:r>
      <w:r>
        <w:rPr>
          <w:rFonts w:cs="Times New Roman"/>
          <w:sz w:val="28"/>
          <w:szCs w:val="28"/>
        </w:rPr>
        <w:t xml:space="preserve">. Таким образом, уже на втором этапе формируется малорастворимый осадок </w:t>
      </w:r>
      <w:proofErr w:type="gramStart"/>
      <w:r>
        <w:rPr>
          <w:rFonts w:cs="Times New Roman"/>
          <w:sz w:val="28"/>
          <w:szCs w:val="28"/>
        </w:rPr>
        <w:t>стехиометрического</w:t>
      </w:r>
      <w:proofErr w:type="gramEnd"/>
      <w:r>
        <w:rPr>
          <w:rFonts w:cs="Times New Roman"/>
          <w:sz w:val="28"/>
          <w:szCs w:val="28"/>
        </w:rPr>
        <w:t xml:space="preserve"> гидроксиапатита, обладающий высокой термодинамической стабильностью. На заключительном этапе для повышения эффективности процесса полученную смесь подвергали ультразвуковой обработке. Обработка УЗ способствует  равномерному диспергированию и образованию мелкодисперсных однородных частиц гидроксиапатита.  Конечный продукт сушили в вакууме при температуре 110</w:t>
      </w:r>
      <w:proofErr w:type="gramStart"/>
      <w:r>
        <w:rPr>
          <w:rFonts w:cs="Times New Roman"/>
          <w:sz w:val="28"/>
          <w:szCs w:val="28"/>
        </w:rPr>
        <w:t xml:space="preserve"> °С</w:t>
      </w:r>
      <w:proofErr w:type="gramEnd"/>
      <w:r>
        <w:rPr>
          <w:rFonts w:cs="Times New Roman"/>
          <w:sz w:val="28"/>
          <w:szCs w:val="28"/>
        </w:rPr>
        <w:t xml:space="preserve"> в течение 24 часа. </w:t>
      </w:r>
    </w:p>
    <w:p w:rsidR="00E17FE1" w:rsidRDefault="00BB58D7">
      <w:pPr>
        <w:pStyle w:val="ac"/>
        <w:ind w:right="145" w:firstLine="567"/>
        <w:jc w:val="both"/>
        <w:rPr>
          <w:rFonts w:cs="Times New Roman"/>
          <w:sz w:val="28"/>
          <w:szCs w:val="28"/>
        </w:rPr>
      </w:pPr>
      <w:r>
        <w:rPr>
          <w:rFonts w:cs="Times New Roman"/>
          <w:sz w:val="28"/>
          <w:szCs w:val="28"/>
        </w:rPr>
        <w:t>Таким образом, в результате проведенных исследований были получены два фунциональных агента, предназначенных для включения в матрицу БЦ: Ti</w:t>
      </w:r>
      <w:r>
        <w:rPr>
          <w:rFonts w:ascii="Cambria Math" w:hAnsi="Cambria Math" w:cs="Cambria Math"/>
          <w:sz w:val="28"/>
          <w:szCs w:val="28"/>
          <w:vertAlign w:val="subscript"/>
        </w:rPr>
        <w:t>₃</w:t>
      </w:r>
      <w:r>
        <w:rPr>
          <w:rFonts w:cs="Times New Roman"/>
          <w:sz w:val="28"/>
          <w:szCs w:val="28"/>
        </w:rPr>
        <w:t>C</w:t>
      </w:r>
      <w:r>
        <w:rPr>
          <w:rFonts w:ascii="Cambria Math" w:hAnsi="Cambria Math" w:cs="Cambria Math"/>
          <w:sz w:val="28"/>
          <w:szCs w:val="28"/>
          <w:vertAlign w:val="subscript"/>
        </w:rPr>
        <w:t>₂</w:t>
      </w:r>
      <w:r>
        <w:rPr>
          <w:rFonts w:cs="Times New Roman"/>
          <w:sz w:val="28"/>
          <w:szCs w:val="28"/>
        </w:rPr>
        <w:t>T</w:t>
      </w:r>
      <w:r>
        <w:rPr>
          <w:rFonts w:cs="Times New Roman"/>
          <w:sz w:val="28"/>
          <w:szCs w:val="28"/>
          <w:vertAlign w:val="subscript"/>
        </w:rPr>
        <w:t>x</w:t>
      </w:r>
      <w:proofErr w:type="gramStart"/>
      <w:r>
        <w:rPr>
          <w:rFonts w:cs="Times New Roman"/>
          <w:sz w:val="28"/>
          <w:szCs w:val="28"/>
        </w:rPr>
        <w:t>МХ</w:t>
      </w:r>
      <w:proofErr w:type="gramEnd"/>
      <w:r>
        <w:rPr>
          <w:rFonts w:cs="Times New Roman"/>
          <w:sz w:val="28"/>
          <w:szCs w:val="28"/>
          <w:lang w:val="en-US"/>
        </w:rPr>
        <w:t>ene</w:t>
      </w:r>
      <w:r>
        <w:rPr>
          <w:rFonts w:cs="Times New Roman"/>
          <w:sz w:val="28"/>
          <w:szCs w:val="28"/>
        </w:rPr>
        <w:t xml:space="preserve"> и ГАП. </w:t>
      </w:r>
    </w:p>
    <w:bookmarkEnd w:id="9"/>
    <w:p w:rsidR="00E17FE1" w:rsidRDefault="00E17FE1">
      <w:pPr>
        <w:spacing w:after="0" w:line="240" w:lineRule="auto"/>
        <w:ind w:right="-1" w:firstLine="567"/>
        <w:jc w:val="both"/>
        <w:rPr>
          <w:rFonts w:ascii="Times New Roman" w:eastAsia="Times New Roman" w:hAnsi="Times New Roman" w:cs="Times New Roman"/>
          <w:b/>
          <w:bCs/>
          <w:sz w:val="28"/>
          <w:szCs w:val="28"/>
          <w:highlight w:val="lightGray"/>
          <w:lang w:eastAsia="ru-RU"/>
        </w:rPr>
      </w:pPr>
    </w:p>
    <w:p w:rsidR="00E17FE1" w:rsidRDefault="00BB58D7">
      <w:pPr>
        <w:spacing w:after="0" w:line="240" w:lineRule="auto"/>
        <w:ind w:right="-1" w:firstLine="567"/>
        <w:jc w:val="both"/>
        <w:rPr>
          <w:rFonts w:ascii="Times New Roman" w:eastAsia="DejaVu Sans" w:hAnsi="Times New Roman" w:cs="Times New Roman"/>
          <w:b/>
          <w:bCs/>
          <w:sz w:val="28"/>
          <w:szCs w:val="28"/>
          <w:lang w:eastAsia="zh-CN" w:bidi="hi-IN"/>
        </w:rPr>
      </w:pPr>
      <w:r>
        <w:rPr>
          <w:rFonts w:ascii="Times New Roman" w:eastAsia="Times New Roman" w:hAnsi="Times New Roman" w:cs="Times New Roman"/>
          <w:b/>
          <w:bCs/>
          <w:sz w:val="28"/>
          <w:szCs w:val="28"/>
          <w:lang w:eastAsia="ru-RU"/>
        </w:rPr>
        <w:t>3.1.</w:t>
      </w:r>
      <w:r w:rsidR="00025A8F">
        <w:rPr>
          <w:rFonts w:ascii="Times New Roman" w:eastAsia="Times New Roman" w:hAnsi="Times New Roman" w:cs="Times New Roman"/>
          <w:b/>
          <w:bCs/>
          <w:sz w:val="28"/>
          <w:szCs w:val="28"/>
          <w:lang w:eastAsia="ru-RU"/>
        </w:rPr>
        <w:t>3</w:t>
      </w:r>
      <w:r>
        <w:rPr>
          <w:rFonts w:ascii="Times New Roman" w:eastAsia="Times New Roman" w:hAnsi="Times New Roman" w:cs="Times New Roman"/>
          <w:b/>
          <w:bCs/>
          <w:sz w:val="28"/>
          <w:szCs w:val="28"/>
          <w:lang w:eastAsia="ru-RU"/>
        </w:rPr>
        <w:t xml:space="preserve"> Получение </w:t>
      </w:r>
      <w:proofErr w:type="gramStart"/>
      <w:r>
        <w:rPr>
          <w:rFonts w:ascii="Times New Roman" w:eastAsia="Times New Roman" w:hAnsi="Times New Roman" w:cs="Times New Roman"/>
          <w:b/>
          <w:bCs/>
          <w:sz w:val="28"/>
          <w:szCs w:val="28"/>
          <w:lang w:eastAsia="ru-RU"/>
        </w:rPr>
        <w:t>комплексного</w:t>
      </w:r>
      <w:proofErr w:type="gramEnd"/>
      <w:r>
        <w:rPr>
          <w:rFonts w:ascii="Times New Roman" w:eastAsia="Times New Roman" w:hAnsi="Times New Roman" w:cs="Times New Roman"/>
          <w:b/>
          <w:bCs/>
          <w:sz w:val="28"/>
          <w:szCs w:val="28"/>
          <w:lang w:eastAsia="ru-RU"/>
        </w:rPr>
        <w:t xml:space="preserve"> наноматериала </w:t>
      </w:r>
      <w:r>
        <w:rPr>
          <w:rFonts w:ascii="Times New Roman" w:eastAsia="DejaVu Sans" w:hAnsi="Times New Roman" w:cs="Times New Roman"/>
          <w:b/>
          <w:bCs/>
          <w:sz w:val="28"/>
          <w:szCs w:val="28"/>
          <w:lang w:eastAsia="zh-CN" w:bidi="hi-IN"/>
        </w:rPr>
        <w:t>БЦ/ГАП/</w:t>
      </w:r>
      <w:r>
        <w:rPr>
          <w:rFonts w:ascii="Times New Roman" w:eastAsia="DejaVu Sans" w:hAnsi="Times New Roman" w:cs="Times New Roman"/>
          <w:b/>
          <w:bCs/>
          <w:sz w:val="28"/>
          <w:szCs w:val="28"/>
          <w:lang w:val="en-US" w:eastAsia="zh-CN" w:bidi="hi-IN"/>
        </w:rPr>
        <w:t>MXene</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Модификация, или как еще принято говорить «функционализация» БЦ осуществляется двумя способами. Стратегия «</w:t>
      </w:r>
      <w:r>
        <w:rPr>
          <w:rFonts w:ascii="Times New Roman" w:eastAsia="Times New Roman" w:hAnsi="Times New Roman" w:cs="Times New Roman"/>
          <w:i/>
          <w:sz w:val="28"/>
          <w:szCs w:val="28"/>
          <w:lang w:eastAsia="ru-RU"/>
        </w:rPr>
        <w:t>in situ»</w:t>
      </w:r>
      <w:r>
        <w:rPr>
          <w:rFonts w:ascii="Times New Roman" w:eastAsia="Times New Roman" w:hAnsi="Times New Roman" w:cs="Times New Roman"/>
          <w:sz w:val="28"/>
          <w:szCs w:val="28"/>
          <w:lang w:eastAsia="ru-RU"/>
        </w:rPr>
        <w:t xml:space="preserve"> (в месте нахождения, естественной среде) предполагает добавление функционального агента в культуральную среду для продуцента, т.е. этот агент включается в созревающие волокна целлюлозы в процессе ее синтеза [</w:t>
      </w:r>
      <w:r>
        <w:rPr>
          <w:rStyle w:val="typographytypographycrpwo"/>
          <w:rFonts w:ascii="Times New Roman" w:hAnsi="Times New Roman" w:cs="Times New Roman"/>
          <w:sz w:val="28"/>
          <w:szCs w:val="28"/>
        </w:rPr>
        <w:t xml:space="preserve">206, </w:t>
      </w:r>
      <w:r>
        <w:rPr>
          <w:rFonts w:ascii="Times New Roman" w:hAnsi="Times New Roman" w:cs="Times New Roman"/>
          <w:color w:val="2E2E2E"/>
          <w:sz w:val="28"/>
          <w:szCs w:val="28"/>
          <w:shd w:val="clear" w:color="auto" w:fill="FFFFFF"/>
        </w:rPr>
        <w:t>207</w:t>
      </w:r>
      <w:r>
        <w:rPr>
          <w:rFonts w:ascii="Times New Roman" w:eastAsia="Times New Roman" w:hAnsi="Times New Roman" w:cs="Times New Roman"/>
          <w:sz w:val="28"/>
          <w:szCs w:val="28"/>
          <w:lang w:eastAsia="ru-RU"/>
        </w:rPr>
        <w:t>]. Второй способ – «</w:t>
      </w:r>
      <w:r>
        <w:rPr>
          <w:rFonts w:ascii="Times New Roman" w:eastAsia="Times New Roman" w:hAnsi="Times New Roman" w:cs="Times New Roman"/>
          <w:i/>
          <w:sz w:val="28"/>
          <w:szCs w:val="28"/>
          <w:lang w:eastAsia="ru-RU"/>
        </w:rPr>
        <w:t xml:space="preserve">ex situ» </w:t>
      </w:r>
      <w:r>
        <w:rPr>
          <w:rFonts w:ascii="Times New Roman" w:eastAsia="Times New Roman" w:hAnsi="Times New Roman" w:cs="Times New Roman"/>
          <w:iCs/>
          <w:sz w:val="28"/>
          <w:szCs w:val="28"/>
          <w:lang w:eastAsia="ru-RU"/>
        </w:rPr>
        <w:t xml:space="preserve">(вне, за пределами исходного места) предполагает включение дополнительного агента в уже </w:t>
      </w:r>
      <w:proofErr w:type="gramStart"/>
      <w:r>
        <w:rPr>
          <w:rFonts w:ascii="Times New Roman" w:eastAsia="Times New Roman" w:hAnsi="Times New Roman" w:cs="Times New Roman"/>
          <w:iCs/>
          <w:sz w:val="28"/>
          <w:szCs w:val="28"/>
          <w:lang w:eastAsia="ru-RU"/>
        </w:rPr>
        <w:t>готовую</w:t>
      </w:r>
      <w:proofErr w:type="gramEnd"/>
      <w:r>
        <w:rPr>
          <w:rFonts w:ascii="Times New Roman" w:eastAsia="Times New Roman" w:hAnsi="Times New Roman" w:cs="Times New Roman"/>
          <w:iCs/>
          <w:sz w:val="28"/>
          <w:szCs w:val="28"/>
          <w:lang w:eastAsia="ru-RU"/>
        </w:rPr>
        <w:t xml:space="preserve"> БЦ. </w:t>
      </w:r>
      <w:r>
        <w:rPr>
          <w:rFonts w:ascii="Times New Roman" w:eastAsia="Times New Roman" w:hAnsi="Times New Roman" w:cs="Times New Roman"/>
          <w:sz w:val="28"/>
          <w:szCs w:val="28"/>
          <w:lang w:eastAsia="ru-RU"/>
        </w:rPr>
        <w:t>Она осуществляется либо химическими, либо физическими методами [41]. В случае химической модификации БЦ обычно сначала фосфорилируют, а затем модифицируют с помощью привитой сополимеризации или реакций сшивания [</w:t>
      </w:r>
      <w:r>
        <w:rPr>
          <w:rStyle w:val="typographytypographycrpwo"/>
          <w:rFonts w:ascii="Times New Roman" w:hAnsi="Times New Roman" w:cs="Times New Roman"/>
          <w:sz w:val="28"/>
          <w:szCs w:val="28"/>
        </w:rPr>
        <w:t>119</w:t>
      </w:r>
      <w:r>
        <w:rPr>
          <w:rFonts w:ascii="Times New Roman" w:eastAsia="Times New Roman" w:hAnsi="Times New Roman" w:cs="Times New Roman"/>
          <w:sz w:val="28"/>
          <w:szCs w:val="28"/>
          <w:lang w:eastAsia="ru-RU"/>
        </w:rPr>
        <w:t xml:space="preserve">]. Физическая модификация </w:t>
      </w:r>
      <w:r>
        <w:rPr>
          <w:rFonts w:ascii="Times New Roman" w:eastAsia="Times New Roman" w:hAnsi="Times New Roman" w:cs="Times New Roman"/>
          <w:i/>
          <w:sz w:val="28"/>
          <w:szCs w:val="28"/>
          <w:lang w:eastAsia="ru-RU"/>
        </w:rPr>
        <w:t>ex situ</w:t>
      </w:r>
      <w:r>
        <w:rPr>
          <w:rFonts w:ascii="Times New Roman" w:eastAsia="Times New Roman" w:hAnsi="Times New Roman" w:cs="Times New Roman"/>
          <w:sz w:val="28"/>
          <w:szCs w:val="28"/>
          <w:lang w:eastAsia="ru-RU"/>
        </w:rPr>
        <w:t xml:space="preserve"> традиционно осуществляется посредством физической адсорбции - пористая матрица БЦ может быть заполнена растворами или суспензиями частиц. Успешность этого процесса обусловлена  наличием обильных гидроксильных групп в целлюлозных цепях, что обеспечивает образование прочных водородных связей между молекулами БЦ и абсорбированными молекулами [</w:t>
      </w:r>
      <w:r>
        <w:rPr>
          <w:rFonts w:ascii="Times New Roman" w:hAnsi="Times New Roman" w:cs="Times New Roman"/>
          <w:sz w:val="28"/>
          <w:szCs w:val="28"/>
          <w:shd w:val="clear" w:color="auto" w:fill="FFFFFF"/>
        </w:rPr>
        <w:t>208</w:t>
      </w:r>
      <w:r>
        <w:rPr>
          <w:rFonts w:ascii="Times New Roman" w:eastAsia="Times New Roman" w:hAnsi="Times New Roman" w:cs="Times New Roman"/>
          <w:sz w:val="28"/>
          <w:szCs w:val="28"/>
          <w:lang w:eastAsia="ru-RU"/>
        </w:rPr>
        <w:t xml:space="preserve">]. Поэтому стратегия </w:t>
      </w:r>
      <w:r>
        <w:rPr>
          <w:rFonts w:ascii="Times New Roman" w:eastAsia="Times New Roman" w:hAnsi="Times New Roman" w:cs="Times New Roman"/>
          <w:i/>
          <w:sz w:val="28"/>
          <w:szCs w:val="28"/>
          <w:lang w:eastAsia="ru-RU"/>
        </w:rPr>
        <w:lastRenderedPageBreak/>
        <w:t>ex situ</w:t>
      </w:r>
      <w:r>
        <w:rPr>
          <w:rFonts w:ascii="Times New Roman" w:eastAsia="Times New Roman" w:hAnsi="Times New Roman" w:cs="Times New Roman"/>
          <w:sz w:val="28"/>
          <w:szCs w:val="28"/>
          <w:lang w:eastAsia="ru-RU"/>
        </w:rPr>
        <w:t xml:space="preserve"> посредством адсорбции гораздо проще и универсальнее, чем метод модификации </w:t>
      </w:r>
      <w:r>
        <w:rPr>
          <w:rFonts w:ascii="Times New Roman" w:eastAsia="Times New Roman" w:hAnsi="Times New Roman" w:cs="Times New Roman"/>
          <w:i/>
          <w:sz w:val="28"/>
          <w:szCs w:val="28"/>
          <w:lang w:eastAsia="ru-RU"/>
        </w:rPr>
        <w:t>in situ</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shd w:val="clear" w:color="auto" w:fill="FFFFFF"/>
        </w:rPr>
        <w:t>209</w:t>
      </w:r>
      <w:r>
        <w:rPr>
          <w:rFonts w:ascii="Times New Roman" w:eastAsia="Times New Roman" w:hAnsi="Times New Roman" w:cs="Times New Roman"/>
          <w:sz w:val="28"/>
          <w:szCs w:val="28"/>
          <w:lang w:eastAsia="ru-RU"/>
        </w:rPr>
        <w:t>].</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w:t>
      </w:r>
      <w:proofErr w:type="gramStart"/>
      <w:r>
        <w:rPr>
          <w:rFonts w:ascii="Times New Roman" w:hAnsi="Times New Roman" w:cs="Times New Roman"/>
          <w:sz w:val="28"/>
          <w:szCs w:val="28"/>
        </w:rPr>
        <w:t>сегодняшний</w:t>
      </w:r>
      <w:proofErr w:type="gramEnd"/>
      <w:r>
        <w:rPr>
          <w:rFonts w:ascii="Times New Roman" w:hAnsi="Times New Roman" w:cs="Times New Roman"/>
          <w:sz w:val="28"/>
          <w:szCs w:val="28"/>
        </w:rPr>
        <w:t xml:space="preserve"> в доступной литературы не обнаружены композиты, объединяющие БЦ, ГАП и MXene. Ранее сообщалось лишь о двукомпонентных системах БЦ/MXene и БЦ/ГАП [</w:t>
      </w:r>
      <w:r>
        <w:rPr>
          <w:rFonts w:ascii="Times New Roman" w:hAnsi="Times New Roman"/>
          <w:sz w:val="28"/>
          <w:szCs w:val="28"/>
        </w:rPr>
        <w:t>14-17</w:t>
      </w:r>
      <w:r>
        <w:rPr>
          <w:rFonts w:ascii="Times New Roman" w:hAnsi="Times New Roman" w:cs="Times New Roman"/>
          <w:sz w:val="28"/>
          <w:szCs w:val="28"/>
        </w:rPr>
        <w:t xml:space="preserve">]. </w:t>
      </w:r>
      <w:r>
        <w:rPr>
          <w:rFonts w:ascii="Times New Roman" w:hAnsi="Times New Roman" w:cs="Times New Roman"/>
          <w:sz w:val="28"/>
          <w:szCs w:val="28"/>
          <w:lang w:val="kk-KZ"/>
        </w:rPr>
        <w:t>Материалы БЦ/</w:t>
      </w:r>
      <w:r>
        <w:rPr>
          <w:rFonts w:ascii="Times New Roman" w:hAnsi="Times New Roman" w:cs="Times New Roman"/>
          <w:sz w:val="28"/>
          <w:szCs w:val="28"/>
          <w:lang w:val="en-US"/>
        </w:rPr>
        <w:t>MXene</w:t>
      </w:r>
      <w:r>
        <w:rPr>
          <w:rFonts w:ascii="Times New Roman" w:hAnsi="Times New Roman" w:cs="Times New Roman"/>
          <w:sz w:val="28"/>
          <w:szCs w:val="28"/>
        </w:rPr>
        <w:t xml:space="preserve"> обычно получают методами вакуумной фильтрации, сублимационной сушки и термического отжига [48] . Эти подходы обеспечивают прочную фиксацию </w:t>
      </w:r>
      <w:r>
        <w:rPr>
          <w:rFonts w:ascii="Times New Roman" w:hAnsi="Times New Roman" w:cs="Times New Roman"/>
          <w:sz w:val="28"/>
          <w:szCs w:val="28"/>
          <w:lang w:val="en-US"/>
        </w:rPr>
        <w:t>MXene</w:t>
      </w:r>
      <w:r>
        <w:rPr>
          <w:rFonts w:ascii="Times New Roman" w:hAnsi="Times New Roman" w:cs="Times New Roman"/>
          <w:sz w:val="28"/>
          <w:szCs w:val="28"/>
        </w:rPr>
        <w:t xml:space="preserve"> в матрице БЦ, </w:t>
      </w:r>
      <w:r>
        <w:rPr>
          <w:rFonts w:ascii="Times New Roman" w:hAnsi="Times New Roman" w:cs="Times New Roman"/>
          <w:bCs/>
          <w:sz w:val="28"/>
          <w:szCs w:val="28"/>
        </w:rPr>
        <w:t xml:space="preserve">однако приводят к потере гидрогелевой формы материала. </w:t>
      </w:r>
      <w:r>
        <w:rPr>
          <w:rFonts w:ascii="Times New Roman" w:hAnsi="Times New Roman" w:cs="Times New Roman"/>
          <w:sz w:val="28"/>
          <w:szCs w:val="28"/>
        </w:rPr>
        <w:t xml:space="preserve">Сохранить гидратированную структуру возможно при использовании способов </w:t>
      </w:r>
      <w:r>
        <w:rPr>
          <w:rFonts w:ascii="Times New Roman" w:hAnsi="Times New Roman" w:cs="Times New Roman"/>
          <w:i/>
          <w:sz w:val="28"/>
          <w:szCs w:val="28"/>
          <w:lang w:val="en-US"/>
        </w:rPr>
        <w:t>in</w:t>
      </w:r>
      <w:r>
        <w:rPr>
          <w:rFonts w:ascii="Times New Roman" w:hAnsi="Times New Roman" w:cs="Times New Roman"/>
          <w:i/>
          <w:sz w:val="28"/>
          <w:szCs w:val="28"/>
        </w:rPr>
        <w:t xml:space="preserve"> </w:t>
      </w:r>
      <w:r>
        <w:rPr>
          <w:rFonts w:ascii="Times New Roman" w:hAnsi="Times New Roman" w:cs="Times New Roman"/>
          <w:i/>
          <w:sz w:val="28"/>
          <w:szCs w:val="28"/>
          <w:lang w:val="en-US"/>
        </w:rPr>
        <w:t>situ</w:t>
      </w:r>
      <w:r>
        <w:rPr>
          <w:rFonts w:ascii="Times New Roman" w:hAnsi="Times New Roman" w:cs="Times New Roman"/>
          <w:sz w:val="28"/>
          <w:szCs w:val="28"/>
        </w:rPr>
        <w:t xml:space="preserve"> и </w:t>
      </w:r>
      <w:r>
        <w:rPr>
          <w:rFonts w:ascii="Times New Roman" w:hAnsi="Times New Roman" w:cs="Times New Roman"/>
          <w:i/>
          <w:sz w:val="28"/>
          <w:szCs w:val="28"/>
          <w:lang w:val="en-US"/>
        </w:rPr>
        <w:t>ex</w:t>
      </w:r>
      <w:r>
        <w:rPr>
          <w:rFonts w:ascii="Times New Roman" w:hAnsi="Times New Roman" w:cs="Times New Roman"/>
          <w:i/>
          <w:sz w:val="28"/>
          <w:szCs w:val="28"/>
        </w:rPr>
        <w:t xml:space="preserve"> </w:t>
      </w:r>
      <w:r>
        <w:rPr>
          <w:rFonts w:ascii="Times New Roman" w:hAnsi="Times New Roman" w:cs="Times New Roman"/>
          <w:i/>
          <w:sz w:val="28"/>
          <w:szCs w:val="28"/>
          <w:lang w:val="en-US"/>
        </w:rPr>
        <w:t>situ</w:t>
      </w:r>
      <w:r>
        <w:rPr>
          <w:rFonts w:ascii="Times New Roman" w:hAnsi="Times New Roman" w:cs="Times New Roman"/>
          <w:sz w:val="28"/>
          <w:szCs w:val="28"/>
        </w:rPr>
        <w:t>. Как правило, эти два процесса протекают в водной среде. Известно, что MXene склонны к окислению в присутствии воды и кислорода, что приводит к постепенному разрушению их структуры. Кроме того, прямое введение MXene в процессе биосинтеза (</w:t>
      </w:r>
      <w:r>
        <w:rPr>
          <w:rFonts w:ascii="Times New Roman" w:hAnsi="Times New Roman" w:cs="Times New Roman"/>
          <w:i/>
          <w:sz w:val="28"/>
          <w:szCs w:val="28"/>
        </w:rPr>
        <w:t>in situ</w:t>
      </w:r>
      <w:r>
        <w:rPr>
          <w:rFonts w:ascii="Times New Roman" w:hAnsi="Times New Roman" w:cs="Times New Roman"/>
          <w:sz w:val="28"/>
          <w:szCs w:val="28"/>
        </w:rPr>
        <w:t xml:space="preserve">) затруднено из-за его потенциальной антибактериальной активности, подавляющей рост продуцента БЦ. Учитывая это, предварительное введение стабилизирующего компонента (ГАП) в скаффолд, представляется необходимым для предотвращения структурных изменений </w:t>
      </w:r>
      <w:r>
        <w:rPr>
          <w:rFonts w:ascii="Times New Roman" w:hAnsi="Times New Roman" w:cs="Times New Roman"/>
          <w:sz w:val="28"/>
          <w:szCs w:val="28"/>
          <w:lang w:val="en-US"/>
        </w:rPr>
        <w:t>MXene</w:t>
      </w:r>
      <w:r>
        <w:rPr>
          <w:rFonts w:ascii="Times New Roman" w:hAnsi="Times New Roman" w:cs="Times New Roman"/>
          <w:sz w:val="28"/>
          <w:szCs w:val="28"/>
        </w:rPr>
        <w:t>.</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Структурированный материал БЦ/ГАП преимущественно получают и </w:t>
      </w:r>
      <w:r>
        <w:rPr>
          <w:rFonts w:ascii="Times New Roman" w:hAnsi="Times New Roman" w:cs="Times New Roman"/>
          <w:i/>
          <w:sz w:val="28"/>
          <w:szCs w:val="28"/>
          <w:lang w:val="en-US"/>
        </w:rPr>
        <w:t>in</w:t>
      </w:r>
      <w:r>
        <w:rPr>
          <w:rFonts w:ascii="Times New Roman" w:hAnsi="Times New Roman" w:cs="Times New Roman"/>
          <w:i/>
          <w:sz w:val="28"/>
          <w:szCs w:val="28"/>
        </w:rPr>
        <w:t xml:space="preserve"> </w:t>
      </w:r>
      <w:r>
        <w:rPr>
          <w:rFonts w:ascii="Times New Roman" w:hAnsi="Times New Roman" w:cs="Times New Roman"/>
          <w:i/>
          <w:sz w:val="28"/>
          <w:szCs w:val="28"/>
          <w:lang w:val="en-US"/>
        </w:rPr>
        <w:t>situ</w:t>
      </w:r>
      <w:r>
        <w:rPr>
          <w:rFonts w:ascii="Times New Roman" w:hAnsi="Times New Roman" w:cs="Times New Roman"/>
          <w:i/>
          <w:sz w:val="28"/>
          <w:szCs w:val="28"/>
        </w:rPr>
        <w:t xml:space="preserve">, </w:t>
      </w:r>
      <w:r>
        <w:rPr>
          <w:rFonts w:ascii="Times New Roman" w:hAnsi="Times New Roman" w:cs="Times New Roman"/>
          <w:sz w:val="28"/>
          <w:szCs w:val="28"/>
        </w:rPr>
        <w:t xml:space="preserve"> и </w:t>
      </w:r>
      <w:r>
        <w:rPr>
          <w:rFonts w:ascii="Times New Roman" w:hAnsi="Times New Roman" w:cs="Times New Roman"/>
          <w:i/>
          <w:sz w:val="28"/>
          <w:szCs w:val="28"/>
          <w:lang w:val="en-US"/>
        </w:rPr>
        <w:t>ex</w:t>
      </w:r>
      <w:r>
        <w:rPr>
          <w:rFonts w:ascii="Times New Roman" w:hAnsi="Times New Roman" w:cs="Times New Roman"/>
          <w:i/>
          <w:sz w:val="28"/>
          <w:szCs w:val="28"/>
        </w:rPr>
        <w:t xml:space="preserve"> </w:t>
      </w:r>
      <w:r>
        <w:rPr>
          <w:rFonts w:ascii="Times New Roman" w:hAnsi="Times New Roman" w:cs="Times New Roman"/>
          <w:i/>
          <w:sz w:val="28"/>
          <w:szCs w:val="28"/>
          <w:lang w:val="en-US"/>
        </w:rPr>
        <w:t>situ</w:t>
      </w:r>
      <w:r>
        <w:rPr>
          <w:rFonts w:ascii="Times New Roman" w:hAnsi="Times New Roman" w:cs="Times New Roman"/>
          <w:i/>
          <w:sz w:val="28"/>
          <w:szCs w:val="28"/>
        </w:rPr>
        <w:t xml:space="preserve"> </w:t>
      </w:r>
      <w:r>
        <w:rPr>
          <w:rFonts w:ascii="Times New Roman" w:hAnsi="Times New Roman" w:cs="Times New Roman"/>
          <w:sz w:val="28"/>
          <w:szCs w:val="28"/>
        </w:rPr>
        <w:t xml:space="preserve">путями. </w:t>
      </w:r>
      <w:r>
        <w:rPr>
          <w:rFonts w:ascii="Times New Roman" w:eastAsia="Times New Roman" w:hAnsi="Times New Roman" w:cs="Times New Roman"/>
          <w:color w:val="000000" w:themeColor="text1"/>
          <w:sz w:val="28"/>
          <w:szCs w:val="28"/>
          <w:lang w:eastAsia="ru-RU"/>
        </w:rPr>
        <w:t xml:space="preserve">Комплексный материал БЦ с ГАП, предназначенный для регенерации костей созданный способом </w:t>
      </w:r>
      <w:r>
        <w:rPr>
          <w:rFonts w:ascii="Times New Roman" w:eastAsia="Times New Roman" w:hAnsi="Times New Roman" w:cs="Times New Roman"/>
          <w:i/>
          <w:color w:val="000000" w:themeColor="text1"/>
          <w:sz w:val="28"/>
          <w:szCs w:val="28"/>
          <w:lang w:eastAsia="ru-RU"/>
        </w:rPr>
        <w:t>ex situ</w:t>
      </w:r>
      <w:r>
        <w:rPr>
          <w:rFonts w:ascii="Times New Roman" w:eastAsia="Times New Roman" w:hAnsi="Times New Roman" w:cs="Times New Roman"/>
          <w:color w:val="000000" w:themeColor="text1"/>
          <w:sz w:val="28"/>
          <w:szCs w:val="28"/>
          <w:lang w:eastAsia="ru-RU"/>
        </w:rPr>
        <w:t xml:space="preserve"> описан в целом ряде исследований [210- 212]. В них было продемонстрировано</w:t>
      </w:r>
      <w:r>
        <w:rPr>
          <w:rFonts w:ascii="Times New Roman" w:eastAsia="Times New Roman" w:hAnsi="Times New Roman" w:cs="Times New Roman"/>
          <w:sz w:val="28"/>
          <w:szCs w:val="28"/>
          <w:lang w:eastAsia="ru-RU"/>
        </w:rPr>
        <w:t>, что композитный материал БЦ/ГАП стимулировал пролиферацию остеобластов и дифференцировку мезенхимальных стволовых клеток без использования внешних остеогенных факторов. Кроме того, Zimmermann и др. сообщили о синтезе пленок и трубок БЦ с гидроксиапатитом с дефицитом кальция (</w:t>
      </w:r>
      <w:r>
        <w:rPr>
          <w:rFonts w:ascii="Times New Roman" w:eastAsia="Times New Roman" w:hAnsi="Times New Roman" w:cs="Times New Roman"/>
          <w:sz w:val="28"/>
          <w:szCs w:val="28"/>
          <w:lang w:val="kk-KZ" w:eastAsia="ru-RU"/>
        </w:rPr>
        <w:t>БЦ</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ГАП</w:t>
      </w:r>
      <w:r>
        <w:rPr>
          <w:rFonts w:ascii="Times New Roman" w:eastAsia="Times New Roman" w:hAnsi="Times New Roman" w:cs="Times New Roman"/>
          <w:sz w:val="28"/>
          <w:szCs w:val="28"/>
          <w:lang w:eastAsia="ru-RU"/>
        </w:rPr>
        <w:t xml:space="preserve">) для применения в инженерии костной ткани [213]. Авторы показали, что наличие кристаллов на поверхности </w:t>
      </w:r>
      <w:r>
        <w:rPr>
          <w:rFonts w:ascii="Times New Roman" w:eastAsia="Times New Roman" w:hAnsi="Times New Roman" w:cs="Times New Roman"/>
          <w:sz w:val="28"/>
          <w:szCs w:val="28"/>
          <w:lang w:val="kk-KZ" w:eastAsia="ru-RU"/>
        </w:rPr>
        <w:t>БЦ</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kk-KZ" w:eastAsia="ru-RU"/>
        </w:rPr>
        <w:t xml:space="preserve">ГАП </w:t>
      </w:r>
      <w:r>
        <w:rPr>
          <w:rFonts w:ascii="Times New Roman" w:eastAsia="Times New Roman" w:hAnsi="Times New Roman" w:cs="Times New Roman"/>
          <w:sz w:val="28"/>
          <w:szCs w:val="28"/>
          <w:lang w:eastAsia="ru-RU"/>
        </w:rPr>
        <w:t>приводит к увеличению адгезии остеогенных клеток-предшественников [213]. Результаты данного исследования свидетельствуют о том, что БЦ/ГАП является жизнеспособным вариантом материала для костного каркаса и заслуживает дальнейшего изучения [214].</w:t>
      </w:r>
    </w:p>
    <w:p w:rsidR="00E17FE1" w:rsidRDefault="00BB58D7">
      <w:pPr>
        <w:spacing w:after="0" w:line="240" w:lineRule="auto"/>
        <w:ind w:firstLine="567"/>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 xml:space="preserve">В работе </w:t>
      </w:r>
      <w:r>
        <w:rPr>
          <w:rFonts w:ascii="Times New Roman" w:eastAsia="Times New Roman" w:hAnsi="Times New Roman" w:cs="Times New Roman"/>
          <w:bCs/>
          <w:sz w:val="28"/>
          <w:szCs w:val="28"/>
          <w:lang w:val="en-US" w:eastAsia="ru-RU"/>
        </w:rPr>
        <w:t>Nicoara</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val="kk-KZ" w:eastAsia="ru-RU"/>
        </w:rPr>
        <w:t>и др.</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215</w:t>
      </w:r>
      <w:r>
        <w:rPr>
          <w:rFonts w:ascii="Times New Roman" w:eastAsia="Times New Roman" w:hAnsi="Times New Roman" w:cs="Times New Roman"/>
          <w:bCs/>
          <w:sz w:val="28"/>
          <w:szCs w:val="28"/>
          <w:lang w:eastAsia="ru-RU"/>
        </w:rPr>
        <w:t xml:space="preserve">] сообщается о композите БЦ/ГА, полученным обоими способами: и </w:t>
      </w:r>
      <w:r>
        <w:rPr>
          <w:rFonts w:ascii="Times New Roman" w:eastAsia="Times New Roman" w:hAnsi="Times New Roman" w:cs="Times New Roman"/>
          <w:bCs/>
          <w:i/>
          <w:sz w:val="28"/>
          <w:szCs w:val="28"/>
          <w:lang w:eastAsia="ru-RU"/>
        </w:rPr>
        <w:t xml:space="preserve">in situ, </w:t>
      </w:r>
      <w:r>
        <w:rPr>
          <w:rFonts w:ascii="Times New Roman" w:eastAsia="Times New Roman" w:hAnsi="Times New Roman" w:cs="Times New Roman"/>
          <w:bCs/>
          <w:sz w:val="28"/>
          <w:szCs w:val="28"/>
          <w:lang w:eastAsia="ru-RU"/>
        </w:rPr>
        <w:t xml:space="preserve">и </w:t>
      </w:r>
      <w:r>
        <w:rPr>
          <w:rFonts w:ascii="Times New Roman" w:eastAsia="Times New Roman" w:hAnsi="Times New Roman" w:cs="Times New Roman"/>
          <w:bCs/>
          <w:i/>
          <w:sz w:val="28"/>
          <w:szCs w:val="28"/>
          <w:lang w:eastAsia="ru-RU"/>
        </w:rPr>
        <w:t>ex situ</w:t>
      </w:r>
      <w:r>
        <w:rPr>
          <w:rFonts w:ascii="Times New Roman" w:eastAsia="Times New Roman" w:hAnsi="Times New Roman" w:cs="Times New Roman"/>
          <w:bCs/>
          <w:sz w:val="28"/>
          <w:szCs w:val="28"/>
          <w:lang w:eastAsia="ru-RU"/>
        </w:rPr>
        <w:t xml:space="preserve">. Наиболее эффективными с точки зрения потенциальных биомедицинских применений были образцы, полученные в условиях </w:t>
      </w:r>
      <w:r>
        <w:rPr>
          <w:rFonts w:ascii="Times New Roman" w:eastAsia="Times New Roman" w:hAnsi="Times New Roman" w:cs="Times New Roman"/>
          <w:bCs/>
          <w:i/>
          <w:sz w:val="28"/>
          <w:szCs w:val="28"/>
          <w:lang w:eastAsia="ru-RU"/>
        </w:rPr>
        <w:t>in situ</w:t>
      </w:r>
      <w:r>
        <w:rPr>
          <w:rFonts w:ascii="Times New Roman" w:eastAsia="Times New Roman" w:hAnsi="Times New Roman" w:cs="Times New Roman"/>
          <w:bCs/>
          <w:sz w:val="28"/>
          <w:szCs w:val="28"/>
          <w:lang w:eastAsia="ru-RU"/>
        </w:rPr>
        <w:t xml:space="preserve">. Схожая комбинированная стратегия была предпринята и группой </w:t>
      </w:r>
      <w:r>
        <w:rPr>
          <w:rFonts w:ascii="Times New Roman" w:eastAsia="Times New Roman" w:hAnsi="Times New Roman" w:cs="Times New Roman"/>
          <w:sz w:val="28"/>
          <w:szCs w:val="28"/>
          <w:lang w:val="en-US" w:eastAsia="ru-RU"/>
        </w:rPr>
        <w:t>Orelma</w:t>
      </w:r>
      <w:r>
        <w:rPr>
          <w:rFonts w:ascii="Times New Roman" w:eastAsia="Times New Roman" w:hAnsi="Times New Roman" w:cs="Times New Roman"/>
          <w:sz w:val="28"/>
          <w:szCs w:val="28"/>
          <w:lang w:eastAsia="ru-RU"/>
        </w:rPr>
        <w:t xml:space="preserve"> и др. [216]. Для модификации </w:t>
      </w:r>
      <w:r>
        <w:rPr>
          <w:rFonts w:ascii="Times New Roman" w:eastAsia="Times New Roman" w:hAnsi="Times New Roman" w:cs="Times New Roman"/>
          <w:i/>
          <w:sz w:val="28"/>
          <w:szCs w:val="28"/>
          <w:lang w:eastAsia="ru-RU"/>
        </w:rPr>
        <w:t>in situ</w:t>
      </w:r>
      <w:r>
        <w:rPr>
          <w:rFonts w:ascii="Times New Roman" w:eastAsia="Times New Roman" w:hAnsi="Times New Roman" w:cs="Times New Roman"/>
          <w:sz w:val="28"/>
          <w:szCs w:val="28"/>
          <w:lang w:eastAsia="ru-RU"/>
        </w:rPr>
        <w:t xml:space="preserve"> КМЦ сначала добавляли в культуру БЦ для получения пленок БЦ/КМЦ. Полученный композит БЦ/КМЦ затем модифицировали </w:t>
      </w:r>
      <w:r>
        <w:rPr>
          <w:rFonts w:ascii="Times New Roman" w:eastAsia="Times New Roman" w:hAnsi="Times New Roman" w:cs="Times New Roman"/>
          <w:i/>
          <w:sz w:val="28"/>
          <w:szCs w:val="28"/>
          <w:lang w:eastAsia="ru-RU"/>
        </w:rPr>
        <w:t>ex situ</w:t>
      </w:r>
      <w:r>
        <w:rPr>
          <w:rFonts w:ascii="Times New Roman" w:eastAsia="Times New Roman" w:hAnsi="Times New Roman" w:cs="Times New Roman"/>
          <w:sz w:val="28"/>
          <w:szCs w:val="28"/>
          <w:lang w:eastAsia="ru-RU"/>
        </w:rPr>
        <w:t xml:space="preserve"> путем ковалентной конъюгации с антителом против человеческого сывороточного альбумина (HSA) с помощью химии EDC/NHS. </w:t>
      </w: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sz w:val="28"/>
          <w:szCs w:val="28"/>
          <w:lang w:eastAsia="ru-RU"/>
        </w:rPr>
        <w:t xml:space="preserve">Кроме того, </w:t>
      </w:r>
      <w:r>
        <w:rPr>
          <w:rFonts w:ascii="Times New Roman" w:eastAsia="Times New Roman" w:hAnsi="Times New Roman" w:cs="Times New Roman"/>
          <w:sz w:val="28"/>
          <w:szCs w:val="28"/>
          <w:lang w:val="en-US" w:eastAsia="ru-RU"/>
        </w:rPr>
        <w:t>Van</w:t>
      </w:r>
      <w:r>
        <w:rPr>
          <w:rFonts w:ascii="Times New Roman" w:eastAsia="Times New Roman" w:hAnsi="Times New Roman" w:cs="Times New Roman"/>
          <w:sz w:val="28"/>
          <w:szCs w:val="28"/>
          <w:lang w:eastAsia="ru-RU"/>
        </w:rPr>
        <w:t xml:space="preserve"> и соавторы использовали метод </w:t>
      </w:r>
      <w:r>
        <w:rPr>
          <w:rFonts w:ascii="Times New Roman" w:eastAsia="Times New Roman" w:hAnsi="Times New Roman" w:cs="Times New Roman"/>
          <w:i/>
          <w:sz w:val="28"/>
          <w:szCs w:val="28"/>
          <w:lang w:eastAsia="ru-RU"/>
        </w:rPr>
        <w:t>in situ</w:t>
      </w:r>
      <w:r>
        <w:rPr>
          <w:rFonts w:ascii="Times New Roman" w:eastAsia="Times New Roman" w:hAnsi="Times New Roman" w:cs="Times New Roman"/>
          <w:sz w:val="28"/>
          <w:szCs w:val="28"/>
          <w:lang w:eastAsia="ru-RU"/>
        </w:rPr>
        <w:t xml:space="preserve"> для модификации БЦ хитозаном (ХС) для получения композита БЦ/ХС, который впоследствии был модифицирован </w:t>
      </w:r>
      <w:r>
        <w:rPr>
          <w:rFonts w:ascii="Times New Roman" w:eastAsia="Times New Roman" w:hAnsi="Times New Roman" w:cs="Times New Roman"/>
          <w:i/>
          <w:sz w:val="28"/>
          <w:szCs w:val="28"/>
          <w:lang w:eastAsia="ru-RU"/>
        </w:rPr>
        <w:t>ex situ</w:t>
      </w:r>
      <w:r>
        <w:rPr>
          <w:rFonts w:ascii="Times New Roman" w:eastAsia="Times New Roman" w:hAnsi="Times New Roman" w:cs="Times New Roman"/>
          <w:sz w:val="28"/>
          <w:szCs w:val="28"/>
          <w:lang w:eastAsia="ru-RU"/>
        </w:rPr>
        <w:t xml:space="preserve"> путем химического связывания гепарина (Геп) с БЦ/ХС для получения </w:t>
      </w:r>
      <w:r>
        <w:rPr>
          <w:rFonts w:ascii="Times New Roman" w:eastAsia="Times New Roman" w:hAnsi="Times New Roman" w:cs="Times New Roman"/>
          <w:sz w:val="28"/>
          <w:szCs w:val="28"/>
          <w:lang w:eastAsia="ru-RU"/>
        </w:rPr>
        <w:lastRenderedPageBreak/>
        <w:t>композита БЦ/ХС/Геп. Композит продемонстрировал превосходные антимикробные и антикоагулянтные свойства, а также высокую механическую прочность. Более того, анализы МТТ показали, что композит БЦ/ХС/Геп обладает превосходной биосовместимостью, что предполагает его потенциальное применение в тканевой инженерии [217]. Хотя эти исследования были разработано для обнаружения и разделения специфических целевых белков, а не специально для включения антимикробного материала в мембраны БЦ, подходы, которые использовались для введения антител в нативную БЦ, были полезны для создания композита 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Отталкиваясь от этой информации, в нашей работе были использованы два способа сборки композита 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Первый - комбинация стратегии </w:t>
      </w:r>
      <w:r>
        <w:rPr>
          <w:rFonts w:ascii="Times New Roman" w:eastAsia="Times New Roman" w:hAnsi="Times New Roman" w:cs="Times New Roman"/>
          <w:i/>
          <w:sz w:val="28"/>
          <w:szCs w:val="28"/>
          <w:lang w:eastAsia="ru-RU"/>
        </w:rPr>
        <w:t>in situ</w:t>
      </w:r>
      <w:r>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i/>
          <w:sz w:val="28"/>
          <w:szCs w:val="28"/>
          <w:lang w:eastAsia="ru-RU"/>
        </w:rPr>
        <w:t>ex situ</w:t>
      </w:r>
      <w:r>
        <w:rPr>
          <w:rFonts w:ascii="Times New Roman" w:eastAsia="Times New Roman" w:hAnsi="Times New Roman" w:cs="Times New Roman"/>
          <w:sz w:val="28"/>
          <w:szCs w:val="28"/>
          <w:lang w:eastAsia="ru-RU"/>
        </w:rPr>
        <w:t>. Второй – включение комплекса 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в матрицу БЦ методом </w:t>
      </w:r>
      <w:r>
        <w:rPr>
          <w:rFonts w:ascii="Times New Roman" w:eastAsia="Times New Roman" w:hAnsi="Times New Roman" w:cs="Times New Roman"/>
          <w:i/>
          <w:sz w:val="28"/>
          <w:szCs w:val="28"/>
          <w:lang w:eastAsia="ru-RU"/>
        </w:rPr>
        <w:t>ex situ</w:t>
      </w:r>
      <w:r>
        <w:rPr>
          <w:rFonts w:ascii="Times New Roman" w:eastAsia="Times New Roman" w:hAnsi="Times New Roman" w:cs="Times New Roman"/>
          <w:sz w:val="28"/>
          <w:szCs w:val="28"/>
          <w:lang w:eastAsia="ru-RU"/>
        </w:rPr>
        <w:t xml:space="preserve">. </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первом случае, на начальном этапе был получен полимерно-керамический комплекс БЦ/ГАП, который в свою очередь, создавали тоже двумя методами: и </w:t>
      </w:r>
      <w:r>
        <w:rPr>
          <w:rFonts w:ascii="Times New Roman" w:eastAsia="Times New Roman" w:hAnsi="Times New Roman" w:cs="Times New Roman"/>
          <w:i/>
          <w:sz w:val="28"/>
          <w:szCs w:val="28"/>
          <w:lang w:val="en-US" w:eastAsia="ru-RU"/>
        </w:rPr>
        <w:t>ex</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val="en-US" w:eastAsia="ru-RU"/>
        </w:rPr>
        <w:t>situ</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Cs/>
          <w:sz w:val="28"/>
          <w:szCs w:val="28"/>
          <w:lang w:eastAsia="ru-RU"/>
        </w:rPr>
        <w:t xml:space="preserve"> </w:t>
      </w:r>
      <w:r>
        <w:rPr>
          <w:rFonts w:ascii="Times New Roman" w:eastAsia="Times New Roman" w:hAnsi="Times New Roman" w:cs="Times New Roman"/>
          <w:iCs/>
          <w:sz w:val="28"/>
          <w:szCs w:val="28"/>
          <w:lang w:val="kk-KZ" w:eastAsia="ru-RU"/>
        </w:rPr>
        <w:t>и</w:t>
      </w:r>
      <w:r>
        <w:rPr>
          <w:rFonts w:ascii="Times New Roman" w:eastAsia="Times New Roman" w:hAnsi="Times New Roman" w:cs="Times New Roman"/>
          <w:i/>
          <w:sz w:val="28"/>
          <w:szCs w:val="28"/>
          <w:lang w:val="kk-KZ" w:eastAsia="ru-RU"/>
        </w:rPr>
        <w:t xml:space="preserve"> </w:t>
      </w:r>
      <w:r>
        <w:rPr>
          <w:rFonts w:ascii="Times New Roman" w:eastAsia="Times New Roman" w:hAnsi="Times New Roman" w:cs="Times New Roman"/>
          <w:i/>
          <w:sz w:val="28"/>
          <w:szCs w:val="28"/>
          <w:lang w:eastAsia="ru-RU"/>
        </w:rPr>
        <w:t>in situ.</w:t>
      </w:r>
      <w:r>
        <w:rPr>
          <w:rFonts w:ascii="Times New Roman" w:eastAsia="Times New Roman" w:hAnsi="Times New Roman" w:cs="Times New Roman"/>
          <w:sz w:val="28"/>
          <w:szCs w:val="28"/>
          <w:lang w:eastAsia="ru-RU"/>
        </w:rPr>
        <w:t xml:space="preserve"> </w:t>
      </w:r>
    </w:p>
    <w:p w:rsidR="00E17FE1" w:rsidRDefault="00BB58D7" w:rsidP="0077689B">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варианте </w:t>
      </w:r>
      <w:r>
        <w:rPr>
          <w:rFonts w:ascii="Times New Roman" w:eastAsia="Times New Roman" w:hAnsi="Times New Roman"/>
          <w:i/>
          <w:iCs/>
          <w:sz w:val="28"/>
          <w:szCs w:val="28"/>
          <w:lang w:eastAsia="ru-RU"/>
        </w:rPr>
        <w:t>ex situ</w:t>
      </w:r>
      <w:r>
        <w:rPr>
          <w:rFonts w:ascii="Times New Roman" w:eastAsia="Times New Roman" w:hAnsi="Times New Roman"/>
          <w:sz w:val="28"/>
          <w:szCs w:val="28"/>
          <w:lang w:eastAsia="ru-RU"/>
        </w:rPr>
        <w:t xml:space="preserve"> формирование композита осуществлялось путём пропитывания заранее синтезированной плёнки БЦ 3% суспензией ГАП </w:t>
      </w:r>
      <w:r>
        <w:rPr>
          <w:rFonts w:ascii="Times New Roman" w:eastAsia="Times New Roman" w:hAnsi="Times New Roman" w:cs="Times New Roman"/>
          <w:sz w:val="28"/>
          <w:szCs w:val="28"/>
          <w:lang w:eastAsia="ru-RU"/>
        </w:rPr>
        <w:t xml:space="preserve">(Рисунок 13). </w:t>
      </w:r>
      <w:r>
        <w:rPr>
          <w:rFonts w:ascii="Times New Roman" w:eastAsia="Times New Roman" w:hAnsi="Times New Roman"/>
          <w:sz w:val="28"/>
          <w:szCs w:val="28"/>
          <w:lang w:eastAsia="ru-RU"/>
        </w:rPr>
        <w:t xml:space="preserve">При этом происходит адсорбция и закрепление частиц ГАП на поверхности и внутри волокнистой сети БЦ. Это обусловлено физико-химическими взаимодействиями, главным образом водородными связями и электростатическим притяжением между гидроксильными группами целлюлозы и ионами кальция и фосфата.  </w:t>
      </w:r>
    </w:p>
    <w:p w:rsidR="00E17FE1" w:rsidRDefault="00E17FE1" w:rsidP="0077689B">
      <w:pPr>
        <w:spacing w:after="0" w:line="240" w:lineRule="auto"/>
        <w:ind w:firstLine="567"/>
        <w:jc w:val="both"/>
        <w:rPr>
          <w:rFonts w:ascii="Times New Roman" w:eastAsia="Times New Roman" w:hAnsi="Times New Roman"/>
          <w:sz w:val="28"/>
          <w:szCs w:val="28"/>
          <w:lang w:eastAsia="ru-RU"/>
        </w:rPr>
      </w:pPr>
    </w:p>
    <w:p w:rsidR="0077689B" w:rsidRDefault="0077689B" w:rsidP="00025A8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116952" cy="3424136"/>
            <wp:effectExtent l="19050" t="0" r="7498" b="0"/>
            <wp:docPr id="15" name="Рисунок 15" descr="C:\Users\sava\Desktop\Диссертация\23.06.2025\Фотки\БЦГА экс ситу.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ava\Desktop\Диссертация\23.06.2025\Фотки\БЦГА экс ситу.bmp"/>
                    <pic:cNvPicPr>
                      <a:picLocks noChangeAspect="1" noChangeArrowheads="1"/>
                    </pic:cNvPicPr>
                  </pic:nvPicPr>
                  <pic:blipFill>
                    <a:blip r:embed="rId24" cstate="print"/>
                    <a:srcRect/>
                    <a:stretch>
                      <a:fillRect/>
                    </a:stretch>
                  </pic:blipFill>
                  <pic:spPr bwMode="auto">
                    <a:xfrm>
                      <a:off x="0" y="0"/>
                      <a:ext cx="5116804" cy="3424037"/>
                    </a:xfrm>
                    <a:prstGeom prst="rect">
                      <a:avLst/>
                    </a:prstGeom>
                    <a:noFill/>
                    <a:ln w="9525">
                      <a:noFill/>
                      <a:miter lim="800000"/>
                      <a:headEnd/>
                      <a:tailEnd/>
                    </a:ln>
                  </pic:spPr>
                </pic:pic>
              </a:graphicData>
            </a:graphic>
          </wp:inline>
        </w:drawing>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eastAsia="Times New Roman" w:hAnsi="Times New Roman" w:cs="Times New Roman"/>
          <w:sz w:val="28"/>
          <w:szCs w:val="28"/>
          <w:lang w:eastAsia="ru-RU"/>
        </w:rPr>
      </w:pPr>
      <w:r w:rsidRPr="00025A8F">
        <w:rPr>
          <w:rFonts w:ascii="Times New Roman" w:eastAsia="Times New Roman" w:hAnsi="Times New Roman" w:cs="Times New Roman"/>
          <w:sz w:val="28"/>
          <w:szCs w:val="28"/>
          <w:lang w:eastAsia="ru-RU"/>
        </w:rPr>
        <w:t>Рисунок 13</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sidRPr="00025A8F">
        <w:rPr>
          <w:rFonts w:ascii="Times New Roman" w:eastAsia="Times New Roman" w:hAnsi="Times New Roman" w:cs="Times New Roman"/>
          <w:sz w:val="28"/>
          <w:szCs w:val="28"/>
          <w:lang w:eastAsia="ru-RU"/>
        </w:rPr>
        <w:t>Схема получения</w:t>
      </w:r>
      <w:r>
        <w:rPr>
          <w:rFonts w:ascii="Times New Roman" w:eastAsia="Times New Roman" w:hAnsi="Times New Roman" w:cs="Times New Roman"/>
          <w:sz w:val="28"/>
          <w:szCs w:val="28"/>
          <w:lang w:eastAsia="ru-RU"/>
        </w:rPr>
        <w:t xml:space="preserve"> нано-гель-пленки БЦ/ГАП методом </w:t>
      </w:r>
      <w:r>
        <w:rPr>
          <w:rFonts w:ascii="Times New Roman" w:eastAsia="Times New Roman" w:hAnsi="Times New Roman" w:cs="Times New Roman"/>
          <w:i/>
          <w:sz w:val="28"/>
          <w:szCs w:val="28"/>
          <w:lang w:val="en-US" w:eastAsia="ru-RU"/>
        </w:rPr>
        <w:t>ex</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val="en-US" w:eastAsia="ru-RU"/>
        </w:rPr>
        <w:t>situ</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В целом ряде исследований указывается, что такой </w:t>
      </w:r>
      <w:proofErr w:type="gramStart"/>
      <w:r>
        <w:rPr>
          <w:rFonts w:ascii="Times New Roman" w:eastAsia="Times New Roman" w:hAnsi="Times New Roman" w:cs="Times New Roman"/>
          <w:sz w:val="28"/>
          <w:szCs w:val="28"/>
          <w:lang w:eastAsia="ru-RU"/>
        </w:rPr>
        <w:t>методический подход</w:t>
      </w:r>
      <w:proofErr w:type="gramEnd"/>
      <w:r>
        <w:rPr>
          <w:rFonts w:ascii="Times New Roman" w:eastAsia="Times New Roman" w:hAnsi="Times New Roman" w:cs="Times New Roman"/>
          <w:sz w:val="28"/>
          <w:szCs w:val="28"/>
          <w:lang w:eastAsia="ru-RU"/>
        </w:rPr>
        <w:t xml:space="preserve"> позволяет целенаправленно регулировать структуру и свойства дополнительного компонента, а также более точно контролировать степень его взаимодействия с полимерной фазой и равномерность распределения в объёме композита [218</w:t>
      </w:r>
      <w:r>
        <w:rPr>
          <w:rFonts w:ascii="Times New Roman" w:eastAsia="Times New Roman" w:hAnsi="Times New Roman" w:cs="Times New Roman"/>
          <w:sz w:val="28"/>
          <w:szCs w:val="28"/>
          <w:lang w:val="kk-KZ" w:eastAsia="ru-RU"/>
        </w:rPr>
        <w:t>-220</w:t>
      </w:r>
      <w:r>
        <w:rPr>
          <w:rFonts w:ascii="Times New Roman" w:eastAsia="Times New Roman" w:hAnsi="Times New Roman" w:cs="Times New Roman"/>
          <w:sz w:val="28"/>
          <w:szCs w:val="28"/>
          <w:lang w:eastAsia="ru-RU"/>
        </w:rPr>
        <w:t>].</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193540" cy="3307080"/>
            <wp:effectExtent l="19050" t="0" r="0" b="0"/>
            <wp:docPr id="849036409" name="Рисунок 4" descr="C:\Users\sava\Desktop\Диссертация\23.06.2025\СЭМ для диссера\БЦ ГАП агрег.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409" name="Рисунок 4" descr="C:\Users\sava\Desktop\Диссертация\23.06.2025\СЭМ для диссера\БЦ ГАП агрег.bmp"/>
                    <pic:cNvPicPr>
                      <a:picLocks noChangeAspect="1" noChangeArrowheads="1"/>
                    </pic:cNvPicPr>
                  </pic:nvPicPr>
                  <pic:blipFill>
                    <a:blip r:embed="rId25" cstate="print"/>
                    <a:srcRect l="3258"/>
                    <a:stretch>
                      <a:fillRect/>
                    </a:stretch>
                  </pic:blipFill>
                  <pic:spPr>
                    <a:xfrm>
                      <a:off x="0" y="0"/>
                      <a:ext cx="4197596" cy="3310036"/>
                    </a:xfrm>
                    <a:prstGeom prst="rect">
                      <a:avLst/>
                    </a:prstGeom>
                    <a:noFill/>
                    <a:ln w="9525">
                      <a:noFill/>
                      <a:miter lim="800000"/>
                      <a:headEnd/>
                      <a:tailEnd/>
                    </a:ln>
                  </pic:spPr>
                </pic:pic>
              </a:graphicData>
            </a:graphic>
          </wp:inline>
        </w:drawing>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14</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Нано-гель-плёнка БЦ/ГАП, полученная методом </w:t>
      </w:r>
      <w:r>
        <w:rPr>
          <w:rFonts w:ascii="Times New Roman" w:hAnsi="Times New Roman" w:cs="Times New Roman"/>
          <w:i/>
          <w:sz w:val="28"/>
          <w:szCs w:val="28"/>
        </w:rPr>
        <w:t>ex situ</w:t>
      </w:r>
      <w:r>
        <w:rPr>
          <w:rFonts w:ascii="Times New Roman" w:hAnsi="Times New Roman" w:cs="Times New Roman"/>
          <w:sz w:val="28"/>
          <w:szCs w:val="28"/>
        </w:rPr>
        <w:t xml:space="preserve">  и её микроструктура;  агрегированные кластеры ГАП отмечены красным цветом</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Однако в полученном этим способом материале БЦ/ГАП наблюдается агрегация частиц ГАП, формирующих кластеры различного размера (Рисунок 14). При этом снижается размер эффективной площади межфазного контакта ГАП с матрицей БЦ, что делает данный подход не подходящим. Неравномерное распределение частиц может затруднить внедрение дополнительного материала, снизить воспроизводимость свойств композита и ограничить эффективность интерфейсного взаимодействия компонентов.</w:t>
      </w:r>
      <w:r>
        <w:rPr>
          <w:rFonts w:ascii="Times New Roman" w:eastAsia="Times New Roman" w:hAnsi="Times New Roman" w:cs="Times New Roman"/>
          <w:color w:val="FF0000"/>
          <w:sz w:val="28"/>
          <w:szCs w:val="28"/>
          <w:lang w:eastAsia="ru-RU"/>
        </w:rPr>
        <w:t xml:space="preserve"> </w:t>
      </w:r>
    </w:p>
    <w:p w:rsidR="00E17FE1" w:rsidRPr="00F603E2" w:rsidRDefault="00BB58D7" w:rsidP="00F603E2">
      <w:pPr>
        <w:spacing w:after="0" w:line="240" w:lineRule="auto"/>
        <w:ind w:firstLine="567"/>
        <w:jc w:val="both"/>
      </w:pPr>
      <w:r>
        <w:rPr>
          <w:rFonts w:ascii="Times New Roman" w:eastAsia="Times New Roman" w:hAnsi="Times New Roman" w:cs="Times New Roman"/>
          <w:sz w:val="28"/>
          <w:szCs w:val="28"/>
          <w:lang w:eastAsia="ru-RU"/>
        </w:rPr>
        <w:t xml:space="preserve">В варианте </w:t>
      </w:r>
      <w:r>
        <w:rPr>
          <w:rFonts w:ascii="Times New Roman" w:eastAsia="Times New Roman" w:hAnsi="Times New Roman" w:cs="Times New Roman"/>
          <w:i/>
          <w:sz w:val="28"/>
          <w:szCs w:val="28"/>
          <w:lang w:eastAsia="ru-RU"/>
        </w:rPr>
        <w:t xml:space="preserve">in situ </w:t>
      </w:r>
      <w:r>
        <w:rPr>
          <w:rFonts w:ascii="Times New Roman" w:eastAsia="Times New Roman" w:hAnsi="Times New Roman" w:cs="Times New Roman"/>
          <w:sz w:val="28"/>
          <w:szCs w:val="28"/>
          <w:lang w:eastAsia="ru-RU"/>
        </w:rPr>
        <w:t xml:space="preserve">синтез БЦ  осуществлялся в присутствии ГАП в питательной среде, при этом происходила его интеграция в </w:t>
      </w:r>
      <w:proofErr w:type="gramStart"/>
      <w:r>
        <w:rPr>
          <w:rFonts w:ascii="Times New Roman" w:eastAsia="Times New Roman" w:hAnsi="Times New Roman" w:cs="Times New Roman"/>
          <w:sz w:val="28"/>
          <w:szCs w:val="28"/>
          <w:lang w:eastAsia="ru-RU"/>
        </w:rPr>
        <w:t>формирующуюся</w:t>
      </w:r>
      <w:proofErr w:type="gramEnd"/>
      <w:r>
        <w:rPr>
          <w:rFonts w:ascii="Times New Roman" w:eastAsia="Times New Roman" w:hAnsi="Times New Roman" w:cs="Times New Roman"/>
          <w:sz w:val="28"/>
          <w:szCs w:val="28"/>
          <w:lang w:eastAsia="ru-RU"/>
        </w:rPr>
        <w:t xml:space="preserve"> гель-пленку в процессе  статического  культивирования. Т.е. </w:t>
      </w:r>
      <w:proofErr w:type="gramStart"/>
      <w:r>
        <w:rPr>
          <w:rFonts w:ascii="Times New Roman" w:eastAsia="Times New Roman" w:hAnsi="Times New Roman" w:cs="Times New Roman"/>
          <w:sz w:val="28"/>
          <w:szCs w:val="28"/>
          <w:lang w:eastAsia="ru-RU"/>
        </w:rPr>
        <w:t>в</w:t>
      </w:r>
      <w:proofErr w:type="gramEnd"/>
      <w:r>
        <w:rPr>
          <w:rFonts w:ascii="Times New Roman" w:eastAsia="Times New Roman" w:hAnsi="Times New Roman" w:cs="Times New Roman"/>
          <w:sz w:val="28"/>
          <w:szCs w:val="28"/>
          <w:lang w:eastAsia="ru-RU"/>
        </w:rPr>
        <w:t xml:space="preserve"> включение ГАП в </w:t>
      </w:r>
      <w:r w:rsidRPr="00F603E2">
        <w:rPr>
          <w:rFonts w:ascii="Times New Roman" w:eastAsia="Times New Roman" w:hAnsi="Times New Roman" w:cs="Times New Roman"/>
          <w:sz w:val="28"/>
          <w:szCs w:val="28"/>
          <w:lang w:eastAsia="ru-RU"/>
        </w:rPr>
        <w:t xml:space="preserve">волокна БЦ происходило в процессе их образования. По  завершению  биосинтеза  </w:t>
      </w:r>
      <w:r w:rsidR="00F603E2">
        <w:rPr>
          <w:rFonts w:ascii="Times New Roman" w:hAnsi="Times New Roman" w:cs="Times New Roman"/>
          <w:sz w:val="28"/>
          <w:szCs w:val="28"/>
        </w:rPr>
        <w:t>п</w:t>
      </w:r>
      <w:r w:rsidR="00F603E2" w:rsidRPr="00F603E2">
        <w:rPr>
          <w:rFonts w:ascii="Times New Roman" w:hAnsi="Times New Roman" w:cs="Times New Roman"/>
          <w:sz w:val="28"/>
          <w:szCs w:val="28"/>
        </w:rPr>
        <w:t>олученные плёнки промывали деионизированной водой для удаления компонентов питательной среды, после чего подвергали обработке 5%-ным раствором NaHCO</w:t>
      </w:r>
      <w:r w:rsidR="00F603E2" w:rsidRPr="00F603E2">
        <w:rPr>
          <w:rFonts w:cs="Times New Roman"/>
          <w:sz w:val="28"/>
          <w:szCs w:val="28"/>
        </w:rPr>
        <w:t>₃</w:t>
      </w:r>
      <w:r w:rsidR="00F603E2" w:rsidRPr="00F603E2">
        <w:rPr>
          <w:rFonts w:ascii="Times New Roman" w:hAnsi="Times New Roman" w:cs="Times New Roman"/>
          <w:sz w:val="28"/>
          <w:szCs w:val="28"/>
        </w:rPr>
        <w:t xml:space="preserve"> в течение трёх суток в четыре этапа с поэтапным чередованием</w:t>
      </w:r>
      <w:r w:rsidR="00F603E2">
        <w:rPr>
          <w:rFonts w:ascii="Times New Roman" w:hAnsi="Times New Roman" w:cs="Times New Roman"/>
          <w:sz w:val="28"/>
          <w:szCs w:val="28"/>
        </w:rPr>
        <w:t xml:space="preserve"> о</w:t>
      </w:r>
      <w:r w:rsidR="00F603E2" w:rsidRPr="00F603E2">
        <w:rPr>
          <w:rFonts w:ascii="Times New Roman" w:hAnsi="Times New Roman" w:cs="Times New Roman"/>
          <w:sz w:val="28"/>
          <w:szCs w:val="28"/>
        </w:rPr>
        <w:t>бработки раствором и промывки деионизированной водой</w:t>
      </w:r>
      <w:r w:rsidR="00F603E2">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(Рисунок 15). </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E17FE1">
      <w:pPr>
        <w:spacing w:after="0" w:line="240" w:lineRule="auto"/>
        <w:jc w:val="center"/>
        <w:rPr>
          <w:rFonts w:ascii="Times New Roman" w:eastAsia="Times New Roman" w:hAnsi="Times New Roman" w:cs="Times New Roman"/>
          <w:sz w:val="28"/>
          <w:szCs w:val="28"/>
          <w:lang w:eastAsia="ru-RU"/>
        </w:rPr>
      </w:pPr>
    </w:p>
    <w:p w:rsidR="0077689B" w:rsidRDefault="0077689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940425" cy="2032245"/>
            <wp:effectExtent l="19050" t="0" r="3175" b="0"/>
            <wp:docPr id="16" name="Рисунок 16" descr="C:\Users\sava\Desktop\Диссертация\23.06.2025\Фотки\Новый точечный рисунок (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ava\Desktop\Диссертация\23.06.2025\Фотки\Новый точечный рисунок (4).bmp"/>
                    <pic:cNvPicPr>
                      <a:picLocks noChangeAspect="1" noChangeArrowheads="1"/>
                    </pic:cNvPicPr>
                  </pic:nvPicPr>
                  <pic:blipFill>
                    <a:blip r:embed="rId26" cstate="print"/>
                    <a:srcRect/>
                    <a:stretch>
                      <a:fillRect/>
                    </a:stretch>
                  </pic:blipFill>
                  <pic:spPr bwMode="auto">
                    <a:xfrm>
                      <a:off x="0" y="0"/>
                      <a:ext cx="5940425" cy="2032245"/>
                    </a:xfrm>
                    <a:prstGeom prst="rect">
                      <a:avLst/>
                    </a:prstGeom>
                    <a:noFill/>
                    <a:ln w="9525">
                      <a:noFill/>
                      <a:miter lim="800000"/>
                      <a:headEnd/>
                      <a:tailEnd/>
                    </a:ln>
                  </pic:spPr>
                </pic:pic>
              </a:graphicData>
            </a:graphic>
          </wp:inline>
        </w:drawing>
      </w:r>
    </w:p>
    <w:p w:rsidR="00E17FE1" w:rsidRDefault="00E17FE1">
      <w:pPr>
        <w:spacing w:after="0" w:line="240" w:lineRule="auto"/>
        <w:ind w:firstLine="567"/>
        <w:jc w:val="center"/>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eastAsia="Times New Roman" w:hAnsi="Times New Roman" w:cs="Times New Roman"/>
          <w:sz w:val="28"/>
          <w:szCs w:val="28"/>
          <w:lang w:eastAsia="ru-RU"/>
        </w:rPr>
      </w:pPr>
      <w:r w:rsidRPr="0077689B">
        <w:rPr>
          <w:rFonts w:ascii="Times New Roman" w:eastAsia="Times New Roman" w:hAnsi="Times New Roman" w:cs="Times New Roman"/>
          <w:sz w:val="28"/>
          <w:szCs w:val="28"/>
          <w:lang w:eastAsia="ru-RU"/>
        </w:rPr>
        <w:t>Рисунок 15</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sidRPr="0077689B">
        <w:rPr>
          <w:rFonts w:ascii="Times New Roman" w:eastAsia="Times New Roman" w:hAnsi="Times New Roman" w:cs="Times New Roman"/>
          <w:sz w:val="28"/>
          <w:szCs w:val="28"/>
          <w:lang w:eastAsia="ru-RU"/>
        </w:rPr>
        <w:t>Схема получения</w:t>
      </w:r>
      <w:r>
        <w:rPr>
          <w:rFonts w:ascii="Times New Roman" w:eastAsia="Times New Roman" w:hAnsi="Times New Roman" w:cs="Times New Roman"/>
          <w:sz w:val="28"/>
          <w:szCs w:val="28"/>
          <w:lang w:eastAsia="ru-RU"/>
        </w:rPr>
        <w:t xml:space="preserve"> нано-гель-пленки БЦ/ГАП методом </w:t>
      </w:r>
      <w:r>
        <w:rPr>
          <w:rFonts w:ascii="Times New Roman" w:eastAsia="Times New Roman" w:hAnsi="Times New Roman" w:cs="Times New Roman"/>
          <w:i/>
          <w:sz w:val="28"/>
          <w:szCs w:val="28"/>
          <w:lang w:val="en-US" w:eastAsia="ru-RU"/>
        </w:rPr>
        <w:t>in</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val="en-US" w:eastAsia="ru-RU"/>
        </w:rPr>
        <w:t>situ</w:t>
      </w:r>
    </w:p>
    <w:p w:rsidR="00E17FE1" w:rsidRDefault="00E17FE1">
      <w:pPr>
        <w:spacing w:after="0" w:line="240" w:lineRule="auto"/>
        <w:ind w:firstLine="567"/>
        <w:jc w:val="both"/>
        <w:rPr>
          <w:rFonts w:ascii="Times New Roman" w:eastAsia="Times New Roman" w:hAnsi="Times New Roman" w:cs="Times New Roman"/>
          <w:color w:val="C00000"/>
          <w:sz w:val="28"/>
          <w:szCs w:val="28"/>
          <w:lang w:val="kk-KZ" w:eastAsia="ru-RU"/>
        </w:rPr>
      </w:pP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Включение ГАП в матрицу БЦ оценивалось гравиметрически (по изменению массы полученных образцов) (Рисунок 16). </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noProof/>
          <w:sz w:val="28"/>
          <w:szCs w:val="28"/>
          <w:lang w:eastAsia="ru-RU"/>
        </w:rPr>
        <w:drawing>
          <wp:inline distT="0" distB="0" distL="0" distR="0">
            <wp:extent cx="4260850" cy="2176145"/>
            <wp:effectExtent l="0" t="0" r="0" b="0"/>
            <wp:docPr id="84903641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17FE1" w:rsidRDefault="00E17FE1">
      <w:pPr>
        <w:spacing w:after="0" w:line="240" w:lineRule="auto"/>
        <w:ind w:firstLine="567"/>
        <w:jc w:val="center"/>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16 </w:t>
      </w:r>
      <w:r w:rsidR="006737E3" w:rsidRPr="00A551EF">
        <w:rPr>
          <w:rFonts w:cs="Times New Roman"/>
          <w:bCs/>
          <w:iCs/>
          <w:sz w:val="28"/>
          <w:szCs w:val="28"/>
        </w:rPr>
        <w:sym w:font="Symbol" w:char="F02D"/>
      </w:r>
      <w:r>
        <w:rPr>
          <w:rFonts w:ascii="Times New Roman" w:eastAsia="Times New Roman" w:hAnsi="Times New Roman" w:cs="Times New Roman"/>
          <w:sz w:val="28"/>
          <w:szCs w:val="28"/>
          <w:lang w:eastAsia="ru-RU"/>
        </w:rPr>
        <w:t xml:space="preserve"> Масса дегидратированной гел</w:t>
      </w:r>
      <w:proofErr w:type="gramStart"/>
      <w:r>
        <w:rPr>
          <w:rFonts w:ascii="Times New Roman" w:eastAsia="Times New Roman" w:hAnsi="Times New Roman" w:cs="Times New Roman"/>
          <w:sz w:val="28"/>
          <w:szCs w:val="28"/>
          <w:lang w:eastAsia="ru-RU"/>
        </w:rPr>
        <w:t>ь-</w:t>
      </w:r>
      <w:proofErr w:type="gramEnd"/>
      <w:r>
        <w:rPr>
          <w:rFonts w:ascii="Times New Roman" w:eastAsia="Times New Roman" w:hAnsi="Times New Roman" w:cs="Times New Roman"/>
          <w:sz w:val="28"/>
          <w:szCs w:val="28"/>
          <w:lang w:eastAsia="ru-RU"/>
        </w:rPr>
        <w:t xml:space="preserve"> пленки БЦ и БЦ/ГАП  </w:t>
      </w:r>
    </w:p>
    <w:p w:rsidR="00E17FE1" w:rsidRDefault="00E17FE1">
      <w:pPr>
        <w:spacing w:after="0" w:line="240" w:lineRule="auto"/>
        <w:ind w:firstLine="567"/>
        <w:jc w:val="both"/>
        <w:rPr>
          <w:rFonts w:ascii="Times New Roman" w:eastAsia="Times New Roman" w:hAnsi="Times New Roman" w:cs="Times New Roman"/>
          <w:sz w:val="28"/>
          <w:szCs w:val="28"/>
          <w:highlight w:val="yellow"/>
          <w:lang w:eastAsia="ru-RU"/>
        </w:rPr>
      </w:pPr>
    </w:p>
    <w:p w:rsidR="00E17FE1" w:rsidRDefault="00BB58D7">
      <w:pPr>
        <w:spacing w:after="0" w:line="240" w:lineRule="auto"/>
        <w:ind w:firstLine="567"/>
        <w:jc w:val="both"/>
        <w:rPr>
          <w:rFonts w:ascii="Times New Roman" w:hAnsi="Times New Roman" w:cs="Times New Roman"/>
          <w:sz w:val="28"/>
          <w:szCs w:val="28"/>
          <w:highlight w:val="green"/>
          <w:lang w:eastAsia="ru-RU"/>
        </w:rPr>
      </w:pPr>
      <w:r>
        <w:rPr>
          <w:rFonts w:ascii="Times New Roman" w:hAnsi="Times New Roman" w:cs="Times New Roman"/>
          <w:sz w:val="28"/>
          <w:szCs w:val="28"/>
        </w:rPr>
        <w:t>Увеличение массы композита БЦ/ГАП свидетельствует об успешной интеграции неорганического компонента в БЦ.</w:t>
      </w:r>
      <w:r>
        <w:rPr>
          <w:rFonts w:ascii="Times New Roman" w:hAnsi="Times New Roman" w:cs="Times New Roman"/>
          <w:color w:val="FF0000"/>
          <w:sz w:val="28"/>
          <w:szCs w:val="28"/>
        </w:rPr>
        <w:t xml:space="preserve"> </w:t>
      </w:r>
      <w:r>
        <w:rPr>
          <w:rFonts w:ascii="Times New Roman" w:hAnsi="Times New Roman"/>
          <w:sz w:val="28"/>
          <w:szCs w:val="28"/>
        </w:rPr>
        <w:t>Оптимальным сроком культивирования для формирования композита является 5 суток, поскольку именно на этом этапе образуется менее плотная и более проницаемая структура БЦ. При дальнейшем удлинении периода культивирования (до 7 суток) матрица целлюлозы уплотняется, что ограничивает диффузию ионов ГАП.</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Включение наночастиц ГАП в матрицу БЦ и их пространственное распределение были исследованы методом сканирующей электронной микроскопии </w:t>
      </w:r>
      <w:r>
        <w:rPr>
          <w:rFonts w:ascii="Times New Roman" w:eastAsia="Times New Roman" w:hAnsi="Times New Roman" w:cs="Times New Roman"/>
          <w:sz w:val="28"/>
          <w:szCs w:val="28"/>
          <w:lang w:eastAsia="ru-RU"/>
        </w:rPr>
        <w:t>(рисунок</w:t>
      </w:r>
      <w:r>
        <w:rPr>
          <w:rFonts w:ascii="Times New Roman" w:eastAsia="Times New Roman" w:hAnsi="Times New Roman" w:cs="Times New Roman"/>
          <w:sz w:val="28"/>
          <w:szCs w:val="28"/>
          <w:lang w:val="kk-KZ" w:eastAsia="ru-RU"/>
        </w:rPr>
        <w:t xml:space="preserve"> 17</w:t>
      </w:r>
      <w:r>
        <w:rPr>
          <w:rFonts w:ascii="Times New Roman" w:eastAsia="Times New Roman" w:hAnsi="Times New Roman" w:cs="Times New Roman"/>
          <w:sz w:val="28"/>
          <w:szCs w:val="28"/>
          <w:lang w:eastAsia="ru-RU"/>
        </w:rPr>
        <w:t>).</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E17FE1">
      <w:pPr>
        <w:spacing w:after="0" w:line="240" w:lineRule="auto"/>
        <w:ind w:firstLine="567"/>
        <w:jc w:val="center"/>
        <w:rPr>
          <w:rFonts w:ascii="Times New Roman" w:eastAsia="Times New Roman" w:hAnsi="Times New Roman" w:cs="Times New Roman"/>
          <w:sz w:val="28"/>
          <w:szCs w:val="28"/>
          <w:lang w:eastAsia="ru-RU"/>
        </w:rPr>
      </w:pPr>
    </w:p>
    <w:p w:rsidR="00E17FE1" w:rsidRDefault="00BC1637">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5165090" cy="360870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5165090" cy="3608705"/>
                    </a:xfrm>
                    <a:prstGeom prst="rect">
                      <a:avLst/>
                    </a:prstGeom>
                    <a:noFill/>
                    <a:ln w="9525">
                      <a:noFill/>
                      <a:miter lim="800000"/>
                      <a:headEnd/>
                      <a:tailEnd/>
                    </a:ln>
                  </pic:spPr>
                </pic:pic>
              </a:graphicData>
            </a:graphic>
          </wp:inline>
        </w:drawing>
      </w:r>
    </w:p>
    <w:p w:rsidR="00E17FE1" w:rsidRDefault="00BB58D7">
      <w:pPr>
        <w:spacing w:after="0" w:line="240" w:lineRule="auto"/>
        <w:ind w:firstLine="567"/>
        <w:jc w:val="center"/>
        <w:rPr>
          <w:rFonts w:ascii="Times New Roman" w:eastAsia="Times New Roman" w:hAnsi="Times New Roman" w:cs="Times New Roman"/>
          <w:bCs/>
          <w:sz w:val="28"/>
          <w:szCs w:val="28"/>
          <w:lang w:eastAsia="ru-RU"/>
        </w:rPr>
      </w:pPr>
      <w:r w:rsidRPr="00BC1637">
        <w:rPr>
          <w:rFonts w:ascii="Times New Roman" w:eastAsia="Times New Roman" w:hAnsi="Times New Roman" w:cs="Times New Roman"/>
          <w:sz w:val="28"/>
          <w:szCs w:val="28"/>
          <w:lang w:eastAsia="ru-RU"/>
        </w:rPr>
        <w:t>Рисунок 17</w:t>
      </w:r>
      <w:r w:rsidR="006737E3" w:rsidRP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Pr="00BC1637">
        <w:rPr>
          <w:rFonts w:ascii="Times New Roman" w:eastAsia="Times New Roman" w:hAnsi="Times New Roman" w:cs="Times New Roman"/>
          <w:sz w:val="28"/>
          <w:szCs w:val="28"/>
          <w:lang w:eastAsia="ru-RU"/>
        </w:rPr>
        <w:t xml:space="preserve"> Нано-гель-пленки БЦ и БЦ/ГАП и их </w:t>
      </w:r>
      <w:r w:rsidRPr="00BC1637">
        <w:rPr>
          <w:rFonts w:ascii="Times New Roman" w:eastAsia="Times New Roman" w:hAnsi="Times New Roman" w:cs="Times New Roman"/>
          <w:bCs/>
          <w:sz w:val="28"/>
          <w:szCs w:val="28"/>
          <w:lang w:eastAsia="ru-RU"/>
        </w:rPr>
        <w:t>СЭМ изображения, А – морфология поверхности</w:t>
      </w:r>
      <w:r>
        <w:rPr>
          <w:rFonts w:ascii="Times New Roman" w:eastAsia="Times New Roman" w:hAnsi="Times New Roman" w:cs="Times New Roman"/>
          <w:bCs/>
          <w:sz w:val="28"/>
          <w:szCs w:val="28"/>
          <w:lang w:eastAsia="ru-RU"/>
        </w:rPr>
        <w:t>, Б - морфология поперечного среза; наночастицы ГАП обозначены красным цветом</w:t>
      </w:r>
    </w:p>
    <w:p w:rsidR="00E17FE1" w:rsidRDefault="00E17FE1">
      <w:pPr>
        <w:spacing w:after="0" w:line="240" w:lineRule="auto"/>
        <w:ind w:firstLine="567"/>
        <w:jc w:val="center"/>
        <w:rPr>
          <w:rFonts w:ascii="Times New Roman" w:eastAsia="Times New Roman" w:hAnsi="Times New Roman" w:cs="Times New Roman"/>
          <w:bCs/>
          <w:sz w:val="28"/>
          <w:szCs w:val="28"/>
          <w:lang w:eastAsia="ru-RU"/>
        </w:rPr>
      </w:pP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результате </w:t>
      </w:r>
      <w:r>
        <w:rPr>
          <w:rFonts w:ascii="Times New Roman" w:eastAsia="Times New Roman" w:hAnsi="Times New Roman" w:cs="Times New Roman"/>
          <w:sz w:val="28"/>
          <w:szCs w:val="28"/>
          <w:lang w:val="kk-KZ" w:eastAsia="ru-RU"/>
        </w:rPr>
        <w:t>со-культивирования</w:t>
      </w:r>
      <w:r>
        <w:rPr>
          <w:rFonts w:ascii="Times New Roman" w:eastAsia="Times New Roman" w:hAnsi="Times New Roman" w:cs="Times New Roman"/>
          <w:sz w:val="28"/>
          <w:szCs w:val="28"/>
          <w:lang w:eastAsia="ru-RU"/>
        </w:rPr>
        <w:t xml:space="preserve"> БЦ </w:t>
      </w:r>
      <w:r>
        <w:rPr>
          <w:rFonts w:ascii="Times New Roman" w:eastAsia="Times New Roman" w:hAnsi="Times New Roman" w:cs="Times New Roman"/>
          <w:sz w:val="28"/>
          <w:szCs w:val="28"/>
          <w:lang w:val="kk-KZ" w:eastAsia="ru-RU"/>
        </w:rPr>
        <w:t xml:space="preserve">с ГАП </w:t>
      </w:r>
      <w:r>
        <w:rPr>
          <w:rFonts w:ascii="Times New Roman" w:eastAsia="Times New Roman" w:hAnsi="Times New Roman" w:cs="Times New Roman"/>
          <w:sz w:val="28"/>
          <w:szCs w:val="28"/>
          <w:lang w:eastAsia="ru-RU"/>
        </w:rPr>
        <w:t xml:space="preserve">были получены гидрогелевые плёнки с нанофибриллярной трёхмерной структурой. Частицы </w:t>
      </w:r>
      <w:r>
        <w:rPr>
          <w:rFonts w:ascii="Times New Roman" w:eastAsia="Times New Roman" w:hAnsi="Times New Roman" w:cs="Times New Roman"/>
          <w:sz w:val="28"/>
          <w:szCs w:val="28"/>
          <w:lang w:val="kk-KZ" w:eastAsia="ru-RU"/>
        </w:rPr>
        <w:t xml:space="preserve">ГАП </w:t>
      </w:r>
      <w:r>
        <w:rPr>
          <w:rFonts w:ascii="Times New Roman" w:eastAsia="Times New Roman" w:hAnsi="Times New Roman" w:cs="Times New Roman"/>
          <w:sz w:val="28"/>
          <w:szCs w:val="28"/>
          <w:lang w:eastAsia="ru-RU"/>
        </w:rPr>
        <w:t xml:space="preserve">располагаются как на поверхности фибрилл  БЦ,  так  и  в  межфибриллярном  пространстве (Рисунок 7В). Наблюдается  различие  в  количестве  и  размерах  кластеров  наночастиц ГАП, адсорбированных  на  нижней  и  верхней поверхностях  пленок,  что  связано  с особенностями морфологии  БЦ, формирующейся в процессе биосинтеза. Равномерное распределение ГАП в структуре БЦ, а также их размер  являются важными факторами, определяющие однородность и воспроизводимость свойств полученного композита. Согласно данным СЭМ, размер наночастиц ГАП находится в диапазоне 50–100 нм, что соответствует нанометровому уровню. Такая дисперсность способствует улучшению взаимодействия ГАП с матрицей БЦ за счёт многочисленных межфазных контактов. </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Учитывая эти недостатки, для дальнейшего этапа исследования был выбран композит, полученный методом </w:t>
      </w:r>
      <w:r>
        <w:rPr>
          <w:rFonts w:ascii="Times New Roman" w:eastAsia="Times New Roman" w:hAnsi="Times New Roman" w:cs="Times New Roman"/>
          <w:i/>
          <w:iCs/>
          <w:sz w:val="28"/>
          <w:szCs w:val="28"/>
          <w:lang w:eastAsia="ru-RU"/>
        </w:rPr>
        <w:t>in situ</w:t>
      </w:r>
      <w:r>
        <w:rPr>
          <w:rFonts w:ascii="Times New Roman" w:eastAsia="Times New Roman" w:hAnsi="Times New Roman" w:cs="Times New Roman"/>
          <w:sz w:val="28"/>
          <w:szCs w:val="28"/>
          <w:lang w:eastAsia="ru-RU"/>
        </w:rPr>
        <w:t xml:space="preserve">, в котором наблюдается равномерное распределение ГАП. Этот гибридный материал был исследован методом </w:t>
      </w:r>
      <w:proofErr w:type="gramStart"/>
      <w:r>
        <w:rPr>
          <w:rFonts w:ascii="Times New Roman" w:eastAsia="Times New Roman" w:hAnsi="Times New Roman" w:cs="Times New Roman"/>
          <w:sz w:val="28"/>
          <w:szCs w:val="28"/>
          <w:lang w:eastAsia="ru-RU"/>
        </w:rPr>
        <w:t>ИК-спектроскопии</w:t>
      </w:r>
      <w:proofErr w:type="gramEnd"/>
      <w:r>
        <w:rPr>
          <w:rFonts w:ascii="Times New Roman" w:eastAsia="Times New Roman" w:hAnsi="Times New Roman" w:cs="Times New Roman"/>
          <w:sz w:val="28"/>
          <w:szCs w:val="28"/>
          <w:lang w:eastAsia="ru-RU"/>
        </w:rPr>
        <w:t xml:space="preserve"> Фурье для подтверждения химического взаимодействия между БЦ и ГАП (рисунок 18). </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tbl>
      <w:tblPr>
        <w:tblW w:w="0" w:type="auto"/>
        <w:jc w:val="center"/>
        <w:tblLook w:val="04A0"/>
      </w:tblPr>
      <w:tblGrid>
        <w:gridCol w:w="6199"/>
      </w:tblGrid>
      <w:tr w:rsidR="00E17FE1">
        <w:trPr>
          <w:jc w:val="center"/>
        </w:trPr>
        <w:tc>
          <w:tcPr>
            <w:tcW w:w="5188" w:type="dxa"/>
          </w:tcPr>
          <w:p w:rsidR="00E17FE1" w:rsidRDefault="00BB58D7">
            <w:pPr>
              <w:jc w:val="both"/>
              <w:rPr>
                <w:rFonts w:eastAsia="Times New Roman" w:cs="Times New Roman"/>
                <w:sz w:val="28"/>
                <w:szCs w:val="28"/>
                <w:lang w:eastAsia="ru-RU"/>
              </w:rPr>
            </w:pPr>
            <w:r>
              <w:rPr>
                <w:noProof/>
                <w:sz w:val="28"/>
                <w:szCs w:val="28"/>
                <w:lang w:eastAsia="ru-RU"/>
              </w:rPr>
              <w:lastRenderedPageBreak/>
              <w:drawing>
                <wp:inline distT="0" distB="0" distL="0" distR="0">
                  <wp:extent cx="3780155" cy="2588895"/>
                  <wp:effectExtent l="19050" t="0" r="0" b="0"/>
                  <wp:docPr id="8490364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413" name="Рисунок 1"/>
                          <pic:cNvPicPr>
                            <a:picLocks noChangeAspect="1" noChangeArrowheads="1"/>
                          </pic:cNvPicPr>
                        </pic:nvPicPr>
                        <pic:blipFill>
                          <a:blip r:embed="rId29"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903"/>
                          <a:stretch>
                            <a:fillRect/>
                          </a:stretch>
                        </pic:blipFill>
                        <pic:spPr>
                          <a:xfrm>
                            <a:off x="0" y="0"/>
                            <a:ext cx="3802963" cy="2604302"/>
                          </a:xfrm>
                          <a:prstGeom prst="rect">
                            <a:avLst/>
                          </a:prstGeom>
                          <a:noFill/>
                          <a:ln>
                            <a:noFill/>
                          </a:ln>
                        </pic:spPr>
                      </pic:pic>
                    </a:graphicData>
                  </a:graphic>
                </wp:inline>
              </w:drawing>
            </w:r>
          </w:p>
        </w:tc>
      </w:tr>
    </w:tbl>
    <w:p w:rsidR="00E17FE1" w:rsidRDefault="00E17FE1">
      <w:pPr>
        <w:spacing w:after="0" w:line="240" w:lineRule="auto"/>
        <w:ind w:firstLine="567"/>
        <w:jc w:val="center"/>
        <w:rPr>
          <w:rFonts w:ascii="Times New Roman" w:eastAsia="Times New Roman" w:hAnsi="Times New Roman" w:cs="Times New Roman"/>
          <w:sz w:val="28"/>
          <w:szCs w:val="28"/>
          <w:lang w:eastAsia="ru-RU"/>
        </w:rPr>
      </w:pPr>
    </w:p>
    <w:p w:rsidR="00E17FE1" w:rsidRPr="004764F9" w:rsidRDefault="00BB58D7">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18</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ИК-спектр композита БЦ/ГА</w:t>
      </w:r>
      <w:r w:rsidR="004764F9">
        <w:rPr>
          <w:rFonts w:ascii="Times New Roman" w:eastAsia="Times New Roman" w:hAnsi="Times New Roman" w:cs="Times New Roman"/>
          <w:sz w:val="28"/>
          <w:szCs w:val="28"/>
          <w:lang w:eastAsia="ru-RU"/>
        </w:rPr>
        <w:t>П</w:t>
      </w:r>
    </w:p>
    <w:p w:rsidR="00E17FE1" w:rsidRDefault="00E17FE1">
      <w:pPr>
        <w:spacing w:after="0" w:line="240" w:lineRule="auto"/>
        <w:ind w:firstLine="567"/>
        <w:jc w:val="center"/>
        <w:rPr>
          <w:rFonts w:ascii="Times New Roman" w:eastAsia="Times New Roman" w:hAnsi="Times New Roman" w:cs="Times New Roman"/>
          <w:sz w:val="28"/>
          <w:szCs w:val="28"/>
          <w:lang w:eastAsia="ru-RU"/>
        </w:rPr>
      </w:pP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ИК-спектр двукомпонентной системы БЦ/ГАП </w:t>
      </w:r>
      <w:r>
        <w:rPr>
          <w:rFonts w:ascii="Times New Roman" w:hAnsi="Times New Roman" w:cs="Times New Roman"/>
          <w:sz w:val="28"/>
          <w:szCs w:val="28"/>
        </w:rPr>
        <w:t>демонстрирует совокупность характерных полос обоих компонентов, подтверждая их совместное присутствие в структуре.</w:t>
      </w:r>
      <w:r>
        <w:rPr>
          <w:rFonts w:ascii="Times New Roman" w:eastAsia="Times New Roman" w:hAnsi="Times New Roman" w:cs="Times New Roman"/>
          <w:sz w:val="28"/>
          <w:szCs w:val="28"/>
          <w:lang w:eastAsia="ru-RU"/>
        </w:rPr>
        <w:t xml:space="preserve"> Широкая интенсивная полоса в области 3600–3200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соответствует валентным колебаниям гидроксильных групп (O–H), присутствующих в структуре БЦ, а также связанных с водой и гидроксильными группами ГАП. Слабые пики в диапазоне 2950–2850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относятся к растяжению связей C–H в метиленовых и метиновых группах целлюлозы, что подтверждает наличие полисахаридной матрицы.  Полоса около 1640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отражает деформационные колебания H–O–H адсорбированной воды. Наиболее информативные изменения наблюдаются в диапазоне 1200–900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где фиксируются интенсивные полосы при 1030 и 960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соответствующие симметричным</w:t>
      </w:r>
      <w:proofErr w:type="gramStart"/>
      <w:r>
        <w:rPr>
          <w:rFonts w:ascii="Times New Roman" w:eastAsia="Times New Roman" w:hAnsi="Times New Roman" w:cs="Times New Roman"/>
          <w:sz w:val="28"/>
          <w:szCs w:val="28"/>
          <w:lang w:eastAsia="ru-RU"/>
        </w:rPr>
        <w:t xml:space="preserve"> (ν</w:t>
      </w:r>
      <w:r>
        <w:rPr>
          <w:rFonts w:ascii="Cambria Math" w:eastAsia="Times New Roman" w:hAnsi="Cambria Math" w:cs="Cambria Math"/>
          <w:sz w:val="28"/>
          <w:szCs w:val="28"/>
          <w:lang w:eastAsia="ru-RU"/>
        </w:rPr>
        <w:t>₁</w:t>
      </w:r>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и асимметричным (ν</w:t>
      </w:r>
      <w:r>
        <w:rPr>
          <w:rFonts w:ascii="Cambria Math" w:eastAsia="Times New Roman" w:hAnsi="Cambria Math" w:cs="Cambria Math"/>
          <w:sz w:val="28"/>
          <w:szCs w:val="28"/>
          <w:lang w:eastAsia="ru-RU"/>
        </w:rPr>
        <w:t>₃</w:t>
      </w:r>
      <w:r>
        <w:rPr>
          <w:rFonts w:ascii="Times New Roman" w:eastAsia="Times New Roman" w:hAnsi="Times New Roman" w:cs="Times New Roman"/>
          <w:sz w:val="28"/>
          <w:szCs w:val="28"/>
          <w:lang w:eastAsia="ru-RU"/>
        </w:rPr>
        <w:t>) валентным колебаниям фосфатных групп (PO</w:t>
      </w:r>
      <w:r>
        <w:rPr>
          <w:rFonts w:ascii="Cambria Math" w:eastAsia="Times New Roman" w:hAnsi="Cambria Math" w:cs="Cambria Math"/>
          <w:sz w:val="28"/>
          <w:szCs w:val="28"/>
          <w:lang w:eastAsia="ru-RU"/>
        </w:rPr>
        <w:t>₄</w:t>
      </w:r>
      <w:r>
        <w:rPr>
          <w:rFonts w:ascii="Times New Roman" w:eastAsia="Times New Roman" w:hAnsi="Times New Roman" w:cs="Times New Roman"/>
          <w:sz w:val="28"/>
          <w:szCs w:val="28"/>
          <w:lang w:eastAsia="ru-RU"/>
        </w:rPr>
        <w:t>³</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 характерным для ГАП. Дополнительные пики при 603 и 563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относятся к деформационным колебаниям ν</w:t>
      </w:r>
      <w:r>
        <w:rPr>
          <w:rFonts w:ascii="Cambria Math" w:eastAsia="Times New Roman" w:hAnsi="Cambria Math" w:cs="Cambria Math"/>
          <w:sz w:val="28"/>
          <w:szCs w:val="28"/>
          <w:lang w:eastAsia="ru-RU"/>
        </w:rPr>
        <w:t>₄</w:t>
      </w:r>
      <w:r>
        <w:rPr>
          <w:rFonts w:ascii="Times New Roman" w:eastAsia="Times New Roman" w:hAnsi="Times New Roman" w:cs="Times New Roman"/>
          <w:sz w:val="28"/>
          <w:szCs w:val="28"/>
          <w:lang w:eastAsia="ru-RU"/>
        </w:rPr>
        <w:t>(PO</w:t>
      </w:r>
      <w:r>
        <w:rPr>
          <w:rFonts w:ascii="Cambria Math" w:eastAsia="Times New Roman" w:hAnsi="Cambria Math" w:cs="Cambria Math"/>
          <w:sz w:val="28"/>
          <w:szCs w:val="28"/>
          <w:lang w:eastAsia="ru-RU"/>
        </w:rPr>
        <w:t>₄</w:t>
      </w:r>
      <w:r>
        <w:rPr>
          <w:rFonts w:ascii="Times New Roman" w:eastAsia="Times New Roman" w:hAnsi="Times New Roman" w:cs="Times New Roman"/>
          <w:sz w:val="28"/>
          <w:szCs w:val="28"/>
          <w:lang w:eastAsia="ru-RU"/>
        </w:rPr>
        <w:t>³</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 также типичным для фосфатных соединений кальция.</w:t>
      </w:r>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Наличие указанных полос подтверждает успешное включение частиц гидроксиапатита в структуру БЦ. При этом смещение полосы O–H указывает на образование водородных связей между гидроксильными группами целлюлозы и фосфатными группами ГАП, что свидетельствует о хорошем межфазном взаимодействии между компонентами композита. </w:t>
      </w:r>
      <w:proofErr w:type="gramStart"/>
      <w:r>
        <w:rPr>
          <w:rFonts w:ascii="Times New Roman" w:eastAsia="Times New Roman" w:hAnsi="Times New Roman" w:cs="Times New Roman"/>
          <w:sz w:val="28"/>
          <w:szCs w:val="28"/>
          <w:lang w:eastAsia="ru-RU"/>
        </w:rPr>
        <w:t>Таким образом, данные FTIR-анализа подтверждают, что синтезированный материал БЦ/ГАП представляет собой композит с прочным взаимодействием между органической (БЦ) и неорганической (ГАП) фазами.</w:t>
      </w:r>
      <w:proofErr w:type="gramEnd"/>
    </w:p>
    <w:p w:rsidR="00E17FE1" w:rsidRDefault="00BB58D7">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следующем этапе получали трехкомпонентный материал </w:t>
      </w:r>
      <w:r>
        <w:rPr>
          <w:rFonts w:ascii="Times New Roman" w:hAnsi="Times New Roman" w:cs="Times New Roman"/>
          <w:sz w:val="28"/>
          <w:szCs w:val="28"/>
        </w:rPr>
        <w:t>БЦ/ГА/</w:t>
      </w:r>
      <w:r>
        <w:rPr>
          <w:rFonts w:ascii="Times New Roman" w:hAnsi="Times New Roman" w:cs="Times New Roman"/>
          <w:sz w:val="28"/>
          <w:szCs w:val="28"/>
          <w:lang w:val="en-US"/>
        </w:rPr>
        <w:t>MXene</w:t>
      </w:r>
      <w:r>
        <w:rPr>
          <w:rFonts w:ascii="Times New Roman" w:eastAsia="Times New Roman" w:hAnsi="Times New Roman" w:cs="Times New Roman"/>
          <w:sz w:val="28"/>
          <w:szCs w:val="28"/>
          <w:lang w:eastAsia="ru-RU"/>
        </w:rPr>
        <w:t xml:space="preserve">. Для этого нано-гель-пленки </w:t>
      </w:r>
      <w:r>
        <w:rPr>
          <w:rFonts w:ascii="Times New Roman" w:eastAsia="Times New Roman" w:hAnsi="Times New Roman" w:cs="Times New Roman"/>
          <w:sz w:val="28"/>
          <w:szCs w:val="28"/>
          <w:lang w:val="kk-KZ" w:eastAsia="ru-RU"/>
        </w:rPr>
        <w:t>БЦ/ГАП погружали в 2</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 xml:space="preserve">коллоидный раствор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и инкубировали при комнатной температуре в течение 6 часов на орбитальном шейкере. Затем пленки промывали в </w:t>
      </w:r>
      <w:r>
        <w:rPr>
          <w:rFonts w:ascii="Times New Roman" w:eastAsia="Times New Roman" w:hAnsi="Times New Roman" w:cs="Times New Roman"/>
          <w:sz w:val="28"/>
          <w:szCs w:val="28"/>
          <w:lang w:eastAsia="ru-RU"/>
        </w:rPr>
        <w:lastRenderedPageBreak/>
        <w:t xml:space="preserve">дистиллированной воде для удаления несвязавщихся наночастиц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(Рисунок 19). </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right="-1" w:hanging="284"/>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043170" cy="3420745"/>
            <wp:effectExtent l="19050" t="0" r="4909" b="0"/>
            <wp:docPr id="849036414" name="Рисунок 5" descr="C:\Users\sava\Desktop\Диссертация\23.06.2025\Фотки\БЦ 2% экс ситу - копия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414" name="Рисунок 5" descr="C:\Users\sava\Desktop\Диссертация\23.06.2025\Фотки\БЦ 2% экс ситу - копия (2).bmp"/>
                    <pic:cNvPicPr>
                      <a:picLocks noChangeAspect="1" noChangeArrowheads="1"/>
                    </pic:cNvPicPr>
                  </pic:nvPicPr>
                  <pic:blipFill>
                    <a:blip r:embed="rId30" cstate="print"/>
                    <a:srcRect t="6210" b="2141"/>
                    <a:stretch>
                      <a:fillRect/>
                    </a:stretch>
                  </pic:blipFill>
                  <pic:spPr>
                    <a:xfrm>
                      <a:off x="0" y="0"/>
                      <a:ext cx="5043341" cy="3420954"/>
                    </a:xfrm>
                    <a:prstGeom prst="rect">
                      <a:avLst/>
                    </a:prstGeom>
                    <a:noFill/>
                    <a:ln w="9525">
                      <a:noFill/>
                      <a:miter lim="800000"/>
                      <a:headEnd/>
                      <a:tailEnd/>
                    </a:ln>
                  </pic:spPr>
                </pic:pic>
              </a:graphicData>
            </a:graphic>
          </wp:inline>
        </w:drawing>
      </w:r>
    </w:p>
    <w:p w:rsidR="00E17FE1" w:rsidRDefault="00E17FE1">
      <w:pPr>
        <w:spacing w:after="0" w:line="240" w:lineRule="auto"/>
        <w:ind w:right="-1" w:hanging="284"/>
        <w:jc w:val="center"/>
        <w:rPr>
          <w:rFonts w:ascii="Times New Roman" w:hAnsi="Times New Roman" w:cs="Times New Roman"/>
          <w:sz w:val="28"/>
          <w:szCs w:val="28"/>
        </w:rPr>
      </w:pPr>
    </w:p>
    <w:p w:rsidR="00E17FE1" w:rsidRDefault="00BB58D7">
      <w:pPr>
        <w:spacing w:after="0" w:line="240" w:lineRule="auto"/>
        <w:ind w:right="-1"/>
        <w:jc w:val="center"/>
        <w:rPr>
          <w:rFonts w:ascii="Times New Roman" w:hAnsi="Times New Roman" w:cs="Times New Roman"/>
          <w:sz w:val="28"/>
          <w:szCs w:val="28"/>
        </w:rPr>
      </w:pPr>
      <w:r>
        <w:rPr>
          <w:rFonts w:ascii="Times New Roman" w:hAnsi="Times New Roman" w:cs="Times New Roman"/>
          <w:sz w:val="28"/>
          <w:szCs w:val="28"/>
        </w:rPr>
        <w:t>Рисунок 19</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Схема получения </w:t>
      </w:r>
      <w:r>
        <w:rPr>
          <w:rFonts w:ascii="Times New Roman" w:hAnsi="Times New Roman" w:cs="Times New Roman"/>
          <w:sz w:val="28"/>
          <w:szCs w:val="28"/>
          <w:lang w:val="kk-KZ"/>
        </w:rPr>
        <w:t>композитного</w:t>
      </w:r>
      <w:r>
        <w:rPr>
          <w:rFonts w:ascii="Times New Roman" w:hAnsi="Times New Roman" w:cs="Times New Roman"/>
          <w:sz w:val="28"/>
          <w:szCs w:val="28"/>
        </w:rPr>
        <w:t xml:space="preserve"> материала БЦ/ГА/</w:t>
      </w:r>
      <w:r>
        <w:rPr>
          <w:rFonts w:ascii="Times New Roman" w:hAnsi="Times New Roman" w:cs="Times New Roman"/>
          <w:sz w:val="28"/>
          <w:szCs w:val="28"/>
          <w:lang w:val="en-US"/>
        </w:rPr>
        <w:t>MXene</w:t>
      </w:r>
      <w:r>
        <w:rPr>
          <w:rFonts w:ascii="Times New Roman" w:hAnsi="Times New Roman" w:cs="Times New Roman"/>
          <w:sz w:val="28"/>
          <w:szCs w:val="28"/>
        </w:rPr>
        <w:t xml:space="preserve"> путем комбинации </w:t>
      </w:r>
      <w:r>
        <w:rPr>
          <w:rFonts w:ascii="Times New Roman" w:eastAsia="Times New Roman" w:hAnsi="Times New Roman" w:cs="Times New Roman"/>
          <w:i/>
          <w:sz w:val="28"/>
          <w:szCs w:val="28"/>
          <w:lang w:eastAsia="ru-RU"/>
        </w:rPr>
        <w:t>in situ</w:t>
      </w:r>
      <w:r>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i/>
          <w:sz w:val="28"/>
          <w:szCs w:val="28"/>
          <w:lang w:eastAsia="ru-RU"/>
        </w:rPr>
        <w:t>ex situ</w:t>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Однако</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 xml:space="preserve"> при формировании материала этим способом </w:t>
      </w:r>
      <w:r>
        <w:rPr>
          <w:rFonts w:ascii="Times New Roman" w:eastAsia="Times New Roman" w:hAnsi="Times New Roman" w:cs="Times New Roman"/>
          <w:sz w:val="28"/>
          <w:szCs w:val="28"/>
          <w:lang w:val="kk-KZ" w:eastAsia="ru-RU"/>
        </w:rPr>
        <w:t xml:space="preserve">обнаружено </w:t>
      </w:r>
      <w:r>
        <w:rPr>
          <w:rFonts w:ascii="Times New Roman" w:eastAsia="Times New Roman" w:hAnsi="Times New Roman" w:cs="Times New Roman"/>
          <w:sz w:val="28"/>
          <w:szCs w:val="28"/>
          <w:lang w:eastAsia="ru-RU"/>
        </w:rPr>
        <w:t xml:space="preserve">неравномерное распределение MXene и формирование агрегатов на поверхности матрицы в виде тёмных скоплений, характерных для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Что указывает на их недостаточную стабилизацию в полимерной среде (рис.19). Это</w:t>
      </w: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 xml:space="preserve">может негативно влиять на равномерность распределения активных центров в композите, что, в свою очередь, способно снижать его антибактериальные свойства и ухудшать физико-механические характеристики. В частности, такие скопления могут препятствовать эффективному взаимодействию наночастиц с микробными клетками. Известно, что агрегированные частицы, например </w:t>
      </w:r>
      <w:r>
        <w:rPr>
          <w:rFonts w:ascii="Times New Roman" w:eastAsia="Times New Roman" w:hAnsi="Times New Roman" w:cs="Times New Roman"/>
          <w:sz w:val="28"/>
          <w:szCs w:val="28"/>
          <w:lang w:val="en-US" w:eastAsia="ru-RU"/>
        </w:rPr>
        <w:t>AgNPs</w:t>
      </w:r>
      <w:r>
        <w:rPr>
          <w:rFonts w:ascii="Times New Roman" w:eastAsia="Times New Roman" w:hAnsi="Times New Roman" w:cs="Times New Roman"/>
          <w:sz w:val="28"/>
          <w:szCs w:val="28"/>
          <w:lang w:eastAsia="ru-RU"/>
        </w:rPr>
        <w:t>, могут снижать антибактериальную активность по сравнению с отдельными частицами. Считается, что агрегация уменьшает площадь поверхности, что, вероятно, снижает эффективность высвобождения активных ионов Ag+ и взаимодействие с клеточной стенкой бактерий, приводя к ослаблению антимикробного эффекта. Это особенно актуально в физиологических условиях или в биопленках, где белки, соли и другие биомолекулы могут вызывать кластеризацию наночастиц [221, 222].</w:t>
      </w: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Возможно, наблюдаемая агрегация связана с тем, что в процессе инкубирования пленки БЦ/ГАП в коллоидном растворе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расположенные на поверхности ГАП ионы </w:t>
      </w:r>
      <w:r>
        <w:rPr>
          <w:rFonts w:ascii="Times New Roman" w:hAnsi="Times New Roman" w:cs="Times New Roman"/>
          <w:sz w:val="28"/>
          <w:szCs w:val="28"/>
        </w:rPr>
        <w:t>Ca²</w:t>
      </w:r>
      <w:r>
        <w:rPr>
          <w:rFonts w:ascii="Cambria Math" w:hAnsi="Cambria Math" w:cs="Cambria Math"/>
          <w:sz w:val="28"/>
          <w:szCs w:val="28"/>
        </w:rPr>
        <w:t>⁺</w:t>
      </w:r>
      <w:r>
        <w:rPr>
          <w:rFonts w:ascii="Cambria Math" w:hAnsi="Cambria Math" w:cs="Cambria Math"/>
          <w:sz w:val="28"/>
          <w:szCs w:val="28"/>
          <w:lang w:val="kk-KZ"/>
        </w:rPr>
        <w:t xml:space="preserve"> </w:t>
      </w:r>
      <w:r>
        <w:rPr>
          <w:rFonts w:ascii="Times New Roman" w:eastAsia="Times New Roman" w:hAnsi="Times New Roman" w:cs="Times New Roman"/>
          <w:sz w:val="28"/>
          <w:szCs w:val="28"/>
          <w:lang w:val="kk-KZ" w:eastAsia="ru-RU"/>
        </w:rPr>
        <w:t>высвобождаются</w:t>
      </w:r>
      <w:r>
        <w:rPr>
          <w:rFonts w:ascii="Times New Roman" w:eastAsia="Times New Roman" w:hAnsi="Times New Roman" w:cs="Times New Roman"/>
          <w:sz w:val="28"/>
          <w:szCs w:val="28"/>
          <w:lang w:eastAsia="ru-RU"/>
        </w:rPr>
        <w:t xml:space="preserve"> из матрицы. </w:t>
      </w:r>
      <w:r>
        <w:rPr>
          <w:rFonts w:ascii="Times New Roman" w:hAnsi="Times New Roman" w:cs="Times New Roman"/>
          <w:sz w:val="28"/>
          <w:szCs w:val="28"/>
        </w:rPr>
        <w:t>В присутств</w:t>
      </w:r>
      <w:proofErr w:type="gramStart"/>
      <w:r>
        <w:rPr>
          <w:rFonts w:ascii="Times New Roman" w:hAnsi="Times New Roman" w:cs="Times New Roman"/>
          <w:sz w:val="28"/>
          <w:szCs w:val="28"/>
        </w:rPr>
        <w:t>ии ио</w:t>
      </w:r>
      <w:proofErr w:type="gramEnd"/>
      <w:r>
        <w:rPr>
          <w:rFonts w:ascii="Times New Roman" w:hAnsi="Times New Roman" w:cs="Times New Roman"/>
          <w:sz w:val="28"/>
          <w:szCs w:val="28"/>
        </w:rPr>
        <w:t xml:space="preserve">нов кальция происходит частичная нейтрализация </w:t>
      </w:r>
      <w:r>
        <w:rPr>
          <w:rFonts w:ascii="Times New Roman" w:hAnsi="Times New Roman" w:cs="Times New Roman"/>
          <w:sz w:val="28"/>
          <w:szCs w:val="28"/>
        </w:rPr>
        <w:lastRenderedPageBreak/>
        <w:t>отрицательного заряда MXene [</w:t>
      </w:r>
      <w:r>
        <w:rPr>
          <w:rFonts w:ascii="Times New Roman" w:eastAsia="SimSun" w:hAnsi="Times New Roman" w:cs="Times New Roman"/>
          <w:sz w:val="28"/>
          <w:szCs w:val="28"/>
        </w:rPr>
        <w:t>223</w:t>
      </w:r>
      <w:r>
        <w:rPr>
          <w:rFonts w:ascii="Times New Roman" w:hAnsi="Times New Roman" w:cs="Times New Roman"/>
          <w:sz w:val="28"/>
          <w:szCs w:val="28"/>
        </w:rPr>
        <w:t xml:space="preserve">].  Это приводит к дестабилизации электростатического отталкивания между нанолистами </w:t>
      </w:r>
      <w:r>
        <w:rPr>
          <w:rFonts w:ascii="Times New Roman" w:hAnsi="Times New Roman" w:cs="Times New Roman"/>
          <w:sz w:val="28"/>
          <w:szCs w:val="28"/>
          <w:lang w:val="en-US"/>
        </w:rPr>
        <w:t>MXene</w:t>
      </w:r>
      <w:r>
        <w:rPr>
          <w:rFonts w:ascii="Times New Roman" w:hAnsi="Times New Roman" w:cs="Times New Roman"/>
          <w:sz w:val="28"/>
          <w:szCs w:val="28"/>
        </w:rPr>
        <w:t xml:space="preserve"> и их слипанию. Наряду с этим, MXene могут связываться с </w:t>
      </w:r>
      <w:proofErr w:type="gramStart"/>
      <w:r>
        <w:rPr>
          <w:rFonts w:ascii="Times New Roman" w:hAnsi="Times New Roman" w:cs="Times New Roman"/>
          <w:sz w:val="28"/>
          <w:szCs w:val="28"/>
        </w:rPr>
        <w:t>отдельными</w:t>
      </w:r>
      <w:proofErr w:type="gramEnd"/>
      <w:r>
        <w:rPr>
          <w:rFonts w:ascii="Times New Roman" w:hAnsi="Times New Roman" w:cs="Times New Roman"/>
          <w:sz w:val="28"/>
          <w:szCs w:val="28"/>
        </w:rPr>
        <w:t xml:space="preserve"> кластерам ГАП и оседать неравномерно на их поверхностях, формируя аггломераты.</w:t>
      </w:r>
      <w:r>
        <w:rPr>
          <w:rFonts w:ascii="Times New Roman" w:eastAsia="Times New Roman" w:hAnsi="Times New Roman" w:cs="Times New Roman"/>
          <w:sz w:val="28"/>
          <w:szCs w:val="28"/>
          <w:lang w:eastAsia="ru-RU"/>
        </w:rPr>
        <w:t xml:space="preserve"> Наночастицы ГАП и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обладают высоким сродством друг к другу и связываются за счет высокой поверхностной энергии и выраженными Ван-дер-Ваальсовыми и электростатическими взаимодействиями. Многочисленные </w:t>
      </w:r>
      <w:r>
        <w:rPr>
          <w:rFonts w:ascii="Times New Roman" w:eastAsia="Times New Roman" w:hAnsi="Times New Roman" w:cs="Times New Roman"/>
          <w:sz w:val="28"/>
          <w:szCs w:val="28"/>
          <w:lang w:val="kk-KZ" w:eastAsia="ru-RU"/>
        </w:rPr>
        <w:t>терминальные концы</w:t>
      </w:r>
      <w:r>
        <w:rPr>
          <w:rFonts w:ascii="Times New Roman" w:eastAsia="Times New Roman" w:hAnsi="Times New Roman" w:cs="Times New Roman"/>
          <w:sz w:val="28"/>
          <w:szCs w:val="28"/>
          <w:lang w:eastAsia="ru-RU"/>
        </w:rPr>
        <w:t xml:space="preserve"> (-F, =O, -OH) MXene связываются с активными гидроксильными группами (-OH) ГА, образуя водородные связи. Например, в работе [18], сообщается о сильном взаимодействии между ГАП и нанолистами MXene за счет водородных связей и сил Ван-дер-Ваальса. Существенную роль в этом комплексе играет присутствие ионов Ca²</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 которые благодаря высокому сродству к TiNₓOᵧ [224] активно адсорбируются на поверхности MXene.</w:t>
      </w:r>
    </w:p>
    <w:p w:rsidR="00E17FE1" w:rsidRDefault="00BB58D7">
      <w:pPr>
        <w:spacing w:after="0" w:line="240" w:lineRule="auto"/>
        <w:ind w:right="-1" w:firstLine="567"/>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Таким образом, возникает необходимость разработки альтернативной стратегии, которая позволит сохранить равномерное распределение наностиц в матрице и минимизировать риск агрегации.</w:t>
      </w: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sz w:val="28"/>
          <w:szCs w:val="28"/>
          <w:lang w:eastAsia="ru-RU"/>
        </w:rPr>
        <w:t xml:space="preserve">В этом случае процесс получения композита был организован по другой схеме, при которой на первом этапе формировался устойчивый композит на основе наночастиц ГАП и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а лишь затем полученная система вводилась в матрицу БЦ.  </w:t>
      </w:r>
    </w:p>
    <w:p w:rsidR="00E17FE1" w:rsidRDefault="00BB58D7">
      <w:pPr>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Несмотря на большую популярность ГАП, лишь несколько публикаций посвящены конструированию композитов ГАП/МХ: создание имплантата для костной регенерации [18] и адсорбента ядерных отходов [153].</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eastAsia="ru-RU"/>
        </w:rPr>
        <w:t xml:space="preserve">Согласно литературным данным, соотношение </w:t>
      </w:r>
      <w:r>
        <w:rPr>
          <w:rFonts w:ascii="Times New Roman" w:eastAsia="Times New Roman" w:hAnsi="Times New Roman" w:cs="Times New Roman"/>
          <w:sz w:val="28"/>
          <w:szCs w:val="28"/>
          <w:lang w:val="kk-KZ" w:eastAsia="ru-RU"/>
        </w:rPr>
        <w:t xml:space="preserve">ГАП к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val="kk-KZ" w:eastAsia="ru-RU"/>
        </w:rPr>
        <w:t xml:space="preserve"> в композитных материалах</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варьируется</w:t>
      </w:r>
      <w:r>
        <w:rPr>
          <w:rFonts w:ascii="Times New Roman" w:eastAsia="Times New Roman" w:hAnsi="Times New Roman" w:cs="Times New Roman"/>
          <w:sz w:val="28"/>
          <w:szCs w:val="28"/>
          <w:lang w:eastAsia="ru-RU"/>
        </w:rPr>
        <w:t xml:space="preserve"> от </w:t>
      </w:r>
      <w:r>
        <w:rPr>
          <w:rFonts w:ascii="Times New Roman" w:eastAsia="Times New Roman" w:hAnsi="Times New Roman" w:cs="Times New Roman"/>
          <w:sz w:val="28"/>
          <w:szCs w:val="28"/>
          <w:lang w:val="kk-KZ" w:eastAsia="ru-RU"/>
        </w:rPr>
        <w:t xml:space="preserve">5% </w:t>
      </w:r>
      <w:r>
        <w:rPr>
          <w:rFonts w:ascii="Times New Roman" w:eastAsia="Times New Roman" w:hAnsi="Times New Roman" w:cs="Times New Roman"/>
          <w:sz w:val="28"/>
          <w:szCs w:val="28"/>
          <w:lang w:eastAsia="ru-RU"/>
        </w:rPr>
        <w:t xml:space="preserve"> до </w:t>
      </w:r>
      <w:r>
        <w:rPr>
          <w:rFonts w:ascii="Times New Roman" w:eastAsia="Times New Roman" w:hAnsi="Times New Roman" w:cs="Times New Roman"/>
          <w:sz w:val="28"/>
          <w:szCs w:val="28"/>
          <w:lang w:val="kk-KZ" w:eastAsia="ru-RU"/>
        </w:rPr>
        <w:t>80%</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kk-KZ" w:eastAsia="ru-RU"/>
        </w:rPr>
        <w:t>Композиты</w:t>
      </w:r>
      <w:r>
        <w:rPr>
          <w:rFonts w:ascii="Times New Roman" w:eastAsia="Times New Roman" w:hAnsi="Times New Roman" w:cs="Times New Roman"/>
          <w:sz w:val="28"/>
          <w:szCs w:val="28"/>
          <w:lang w:eastAsia="ru-RU"/>
        </w:rPr>
        <w:t xml:space="preserve"> с соотношением 10:90 (ГАП/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нашли применение в области костной инженерии благодаря своей биосовместимости и остеокондуктивности, тогда как соотношение 60:40 (ГАП/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рассматривалось с позиции повышения стабильности структуры </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Такое соотношение использовалась и в данной работе. Для этого в 4 мл коллоидного раствора MXene добавляли </w:t>
      </w:r>
      <w:r>
        <w:rPr>
          <w:rFonts w:ascii="Times New Roman" w:hAnsi="Times New Roman" w:cs="Times New Roman"/>
          <w:sz w:val="28"/>
          <w:szCs w:val="28"/>
          <w:lang w:val="kk-KZ"/>
        </w:rPr>
        <w:t>40,6 мг ГАП</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Эту взвесь </w:t>
      </w:r>
      <w:r>
        <w:rPr>
          <w:rFonts w:ascii="Times New Roman" w:hAnsi="Times New Roman" w:cs="Times New Roman"/>
          <w:sz w:val="28"/>
          <w:szCs w:val="28"/>
        </w:rPr>
        <w:t>выдерживали на магнитной мешалке 2 ч для достижения равномерного распределения компонентов.</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Твердую фазу отделяли от дисперсионной среды и высушивали до постоянной массы.</w:t>
      </w:r>
      <w:r>
        <w:rPr>
          <w:rFonts w:ascii="Times New Roman" w:hAnsi="Times New Roman" w:cs="Times New Roman"/>
          <w:color w:val="FF0000"/>
          <w:sz w:val="28"/>
          <w:szCs w:val="28"/>
        </w:rPr>
        <w:t xml:space="preserve"> </w:t>
      </w:r>
      <w:r>
        <w:rPr>
          <w:rFonts w:ascii="Times New Roman" w:eastAsia="Times New Roman" w:hAnsi="Times New Roman" w:cs="Times New Roman"/>
          <w:sz w:val="28"/>
          <w:szCs w:val="28"/>
          <w:lang w:eastAsia="ru-RU"/>
        </w:rPr>
        <w:t>Контакт между ГАП и MXene происходит преимущественно за счёт высокой поверхностной энергии и совокупности Ван-дер-Ваальсовых и электростатических взаимодействий, что обеспечивает их эффективное связывание [153]. Функциональные группы поверхности MXene (–F, =O, –OH) активно взаимодействуют с гидроксильными концами (–OH) ГАП, формируя сеть водородных связей. Помимо этого, в</w:t>
      </w:r>
      <w:r>
        <w:rPr>
          <w:rFonts w:ascii="Times New Roman" w:hAnsi="Times New Roman" w:cs="Times New Roman"/>
          <w:sz w:val="28"/>
          <w:szCs w:val="28"/>
        </w:rPr>
        <w:t>ажную роль в формировании данного комплекса играет наличие ионов Ca²</w:t>
      </w:r>
      <w:r>
        <w:rPr>
          <w:rFonts w:ascii="Times New Roman" w:hAnsi="Cambria Math" w:cs="Times New Roman"/>
          <w:sz w:val="28"/>
          <w:szCs w:val="28"/>
        </w:rPr>
        <w:t>⁺</w:t>
      </w:r>
      <w:r>
        <w:rPr>
          <w:rFonts w:ascii="Times New Roman" w:hAnsi="Times New Roman" w:cs="Times New Roman"/>
          <w:sz w:val="28"/>
          <w:szCs w:val="28"/>
        </w:rPr>
        <w:t>, которые, обладая высоким сродством к TiNₓOᵧ [225], активно адсорбируются на поверхности MXene.</w:t>
      </w: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Параллельно осуществлялся синтез БЦ по  традиционной  методике  в процессе  статического  культивирования, как описано в разделе 3.1.1.1. </w:t>
      </w:r>
      <w:proofErr w:type="gramStart"/>
      <w:r>
        <w:rPr>
          <w:rFonts w:ascii="Times New Roman" w:eastAsia="Times New Roman" w:hAnsi="Times New Roman" w:cs="Times New Roman"/>
          <w:sz w:val="28"/>
          <w:szCs w:val="28"/>
          <w:lang w:eastAsia="ru-RU"/>
        </w:rPr>
        <w:t>На втором этапе готовые гель-пленки БЦ погружали в 3% раствор ГА/</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eastAsia="ru-RU"/>
        </w:rPr>
        <w:lastRenderedPageBreak/>
        <w:t>инкубировали на орбитальной шейкере,  после чего образцы тщательно промывали дистиллированной водой для удаления несвязанных наночастиц.</w:t>
      </w:r>
      <w:proofErr w:type="gramEnd"/>
      <w:r>
        <w:rPr>
          <w:rFonts w:ascii="Times New Roman" w:eastAsia="Times New Roman" w:hAnsi="Times New Roman" w:cs="Times New Roman"/>
          <w:sz w:val="28"/>
          <w:szCs w:val="28"/>
          <w:lang w:eastAsia="ru-RU"/>
        </w:rPr>
        <w:t xml:space="preserve"> Схема получения композита 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этим способом представлена на рисунке 20.</w:t>
      </w: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использовании данного подхода был получен однородный композит</w:t>
      </w:r>
      <w:r>
        <w:rPr>
          <w:rFonts w:ascii="Times New Roman" w:eastAsia="Times New Roman" w:hAnsi="Times New Roman" w:cs="Times New Roman"/>
          <w:sz w:val="28"/>
          <w:szCs w:val="28"/>
          <w:lang w:val="kk-KZ" w:eastAsia="ru-RU"/>
        </w:rPr>
        <w:t xml:space="preserve"> 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без признаков агрегации на поверхности матрицы. При</w:t>
      </w:r>
      <w:r>
        <w:rPr>
          <w:rFonts w:ascii="Times New Roman" w:hAnsi="Times New Roman" w:cs="Times New Roman"/>
          <w:sz w:val="28"/>
          <w:szCs w:val="28"/>
        </w:rPr>
        <w:t xml:space="preserve"> предварительном синтезе ГАП/MXene частицы ГАП осаждаются на поверхности MXene и экранируют активные группы (–O, –OH, –F). Это уменьшает прямой контакт </w:t>
      </w:r>
      <w:proofErr w:type="gramStart"/>
      <w:r>
        <w:rPr>
          <w:rFonts w:ascii="Times New Roman" w:hAnsi="Times New Roman" w:cs="Times New Roman"/>
          <w:sz w:val="28"/>
          <w:szCs w:val="28"/>
        </w:rPr>
        <w:t>свободного</w:t>
      </w:r>
      <w:proofErr w:type="gramEnd"/>
      <w:r>
        <w:rPr>
          <w:rFonts w:ascii="Times New Roman" w:hAnsi="Times New Roman" w:cs="Times New Roman"/>
          <w:sz w:val="28"/>
          <w:szCs w:val="28"/>
        </w:rPr>
        <w:t xml:space="preserve"> Ti</w:t>
      </w:r>
      <w:r>
        <w:rPr>
          <w:rFonts w:ascii="Cambria Math" w:hAnsi="Cambria Math" w:cs="Cambria Math"/>
          <w:sz w:val="28"/>
          <w:szCs w:val="28"/>
        </w:rPr>
        <w:t>₃</w:t>
      </w:r>
      <w:r>
        <w:rPr>
          <w:rFonts w:ascii="Times New Roman" w:hAnsi="Times New Roman" w:cs="Times New Roman"/>
          <w:sz w:val="28"/>
          <w:szCs w:val="28"/>
        </w:rPr>
        <w:t>C</w:t>
      </w:r>
      <w:r>
        <w:rPr>
          <w:rFonts w:ascii="Cambria Math" w:hAnsi="Cambria Math" w:cs="Cambria Math"/>
          <w:sz w:val="28"/>
          <w:szCs w:val="28"/>
        </w:rPr>
        <w:t>₂</w:t>
      </w:r>
      <w:r>
        <w:rPr>
          <w:rFonts w:ascii="Times New Roman" w:hAnsi="Times New Roman" w:cs="Times New Roman"/>
          <w:sz w:val="28"/>
          <w:szCs w:val="28"/>
        </w:rPr>
        <w:t>Tₓ с ионами Ca²</w:t>
      </w:r>
      <w:r>
        <w:rPr>
          <w:rFonts w:ascii="Cambria Math" w:hAnsi="Cambria Math" w:cs="Cambria Math"/>
          <w:sz w:val="28"/>
          <w:szCs w:val="28"/>
        </w:rPr>
        <w:t>⁺</w:t>
      </w:r>
      <w:r>
        <w:rPr>
          <w:rFonts w:ascii="Times New Roman" w:hAnsi="Times New Roman" w:cs="Times New Roman"/>
          <w:sz w:val="28"/>
          <w:szCs w:val="28"/>
        </w:rPr>
        <w:t>, что исключает дальнейшую их коагуляцию [</w:t>
      </w:r>
      <w:r>
        <w:rPr>
          <w:rFonts w:ascii="Times New Roman" w:hAnsi="Times New Roman"/>
          <w:sz w:val="28"/>
          <w:szCs w:val="28"/>
        </w:rPr>
        <w:t>223</w:t>
      </w:r>
      <w:r>
        <w:rPr>
          <w:rFonts w:ascii="Times New Roman" w:hAnsi="Times New Roman" w:cs="Times New Roman"/>
          <w:sz w:val="28"/>
          <w:szCs w:val="28"/>
        </w:rPr>
        <w:t xml:space="preserve">]. После интеграции гибридного материала ГАП/MXene в БЦ масса образца увеличилась на 5%. </w:t>
      </w:r>
      <w:r>
        <w:rPr>
          <w:rFonts w:ascii="Times New Roman" w:eastAsia="Times New Roman" w:hAnsi="Times New Roman" w:cs="Times New Roman"/>
          <w:sz w:val="28"/>
          <w:szCs w:val="28"/>
          <w:lang w:eastAsia="ru-RU"/>
        </w:rPr>
        <w:t>Это указывает на успешное насыщение матрицы комплексом 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w:t>
      </w:r>
    </w:p>
    <w:p w:rsidR="00E17FE1" w:rsidRDefault="00E17FE1">
      <w:pPr>
        <w:spacing w:after="0" w:line="240" w:lineRule="auto"/>
        <w:ind w:right="-1" w:firstLine="567"/>
        <w:jc w:val="both"/>
        <w:rPr>
          <w:rFonts w:ascii="Times New Roman" w:eastAsia="Times New Roman" w:hAnsi="Times New Roman" w:cs="Times New Roman"/>
          <w:sz w:val="28"/>
          <w:szCs w:val="28"/>
          <w:lang w:eastAsia="ru-RU"/>
        </w:rPr>
      </w:pPr>
    </w:p>
    <w:p w:rsidR="00E17FE1" w:rsidRDefault="00BB58D7">
      <w:pPr>
        <w:spacing w:after="0" w:line="240" w:lineRule="auto"/>
        <w:ind w:right="-1"/>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777865" cy="3504565"/>
            <wp:effectExtent l="19050" t="0" r="0" b="0"/>
            <wp:docPr id="849036415" name="Рисунок 6" descr="C:\Users\sava\Desktop\Диссертация\23.06.2025\Фотки\3 материала компози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415" name="Рисунок 6" descr="C:\Users\sava\Desktop\Диссертация\23.06.2025\Фотки\3 материала композит.bmp"/>
                    <pic:cNvPicPr>
                      <a:picLocks noChangeAspect="1" noChangeArrowheads="1"/>
                    </pic:cNvPicPr>
                  </pic:nvPicPr>
                  <pic:blipFill>
                    <a:blip r:embed="rId31" cstate="print"/>
                    <a:srcRect/>
                    <a:stretch>
                      <a:fillRect/>
                    </a:stretch>
                  </pic:blipFill>
                  <pic:spPr>
                    <a:xfrm>
                      <a:off x="0" y="0"/>
                      <a:ext cx="5781736" cy="3506845"/>
                    </a:xfrm>
                    <a:prstGeom prst="rect">
                      <a:avLst/>
                    </a:prstGeom>
                    <a:noFill/>
                    <a:ln w="9525">
                      <a:noFill/>
                      <a:miter lim="800000"/>
                      <a:headEnd/>
                      <a:tailEnd/>
                    </a:ln>
                  </pic:spPr>
                </pic:pic>
              </a:graphicData>
            </a:graphic>
          </wp:inline>
        </w:drawing>
      </w:r>
    </w:p>
    <w:p w:rsidR="00E17FE1" w:rsidRDefault="00E17FE1">
      <w:pPr>
        <w:spacing w:after="0" w:line="240" w:lineRule="auto"/>
        <w:ind w:right="-1" w:firstLine="567"/>
        <w:jc w:val="both"/>
        <w:rPr>
          <w:rFonts w:ascii="Times New Roman" w:eastAsia="Times New Roman" w:hAnsi="Times New Roman" w:cs="Times New Roman"/>
          <w:sz w:val="28"/>
          <w:szCs w:val="28"/>
          <w:lang w:eastAsia="ru-RU"/>
        </w:rPr>
      </w:pPr>
    </w:p>
    <w:p w:rsidR="00E17FE1" w:rsidRDefault="00BB58D7">
      <w:pPr>
        <w:spacing w:after="0" w:line="240" w:lineRule="auto"/>
        <w:ind w:right="-1"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20</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Схема получения композита </w:t>
      </w:r>
      <w:r>
        <w:rPr>
          <w:rFonts w:ascii="Times New Roman" w:eastAsia="Times New Roman" w:hAnsi="Times New Roman" w:cs="Times New Roman"/>
          <w:sz w:val="28"/>
          <w:szCs w:val="28"/>
          <w:lang w:val="kk-KZ" w:eastAsia="ru-RU"/>
        </w:rPr>
        <w:t>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методом </w:t>
      </w:r>
      <w:r>
        <w:rPr>
          <w:rFonts w:ascii="Times New Roman" w:eastAsia="Times New Roman" w:hAnsi="Times New Roman" w:cs="Times New Roman"/>
          <w:i/>
          <w:sz w:val="28"/>
          <w:szCs w:val="28"/>
          <w:lang w:val="en-US" w:eastAsia="ru-RU"/>
        </w:rPr>
        <w:t>ex</w:t>
      </w:r>
      <w:r>
        <w:rPr>
          <w:rFonts w:ascii="Times New Roman" w:eastAsia="Times New Roman" w:hAnsi="Times New Roman" w:cs="Times New Roman"/>
          <w:i/>
          <w:sz w:val="28"/>
          <w:szCs w:val="28"/>
          <w:lang w:eastAsia="ru-RU"/>
        </w:rPr>
        <w:t xml:space="preserve"> </w:t>
      </w:r>
      <w:r>
        <w:rPr>
          <w:rFonts w:ascii="Times New Roman" w:eastAsia="Times New Roman" w:hAnsi="Times New Roman" w:cs="Times New Roman"/>
          <w:i/>
          <w:sz w:val="28"/>
          <w:szCs w:val="28"/>
          <w:lang w:val="en-US" w:eastAsia="ru-RU"/>
        </w:rPr>
        <w:t>situ</w:t>
      </w:r>
      <w:r>
        <w:rPr>
          <w:rFonts w:ascii="Times New Roman" w:eastAsia="Times New Roman" w:hAnsi="Times New Roman" w:cs="Times New Roman"/>
          <w:i/>
          <w:sz w:val="28"/>
          <w:szCs w:val="28"/>
          <w:lang w:eastAsia="ru-RU"/>
        </w:rPr>
        <w:t xml:space="preserve"> </w:t>
      </w:r>
    </w:p>
    <w:p w:rsidR="00E17FE1" w:rsidRDefault="00E17FE1">
      <w:pPr>
        <w:spacing w:after="0" w:line="240" w:lineRule="auto"/>
        <w:ind w:right="-1" w:firstLine="567"/>
        <w:jc w:val="both"/>
        <w:rPr>
          <w:rFonts w:ascii="Times New Roman" w:eastAsia="Times New Roman" w:hAnsi="Times New Roman" w:cs="Times New Roman"/>
          <w:sz w:val="28"/>
          <w:szCs w:val="28"/>
          <w:lang w:eastAsia="ru-RU"/>
        </w:rPr>
      </w:pPr>
    </w:p>
    <w:p w:rsidR="00E17FE1" w:rsidRDefault="00BB58D7">
      <w:pPr>
        <w:spacing w:after="0" w:line="240" w:lineRule="auto"/>
        <w:ind w:right="-1" w:firstLine="567"/>
        <w:jc w:val="both"/>
        <w:rPr>
          <w:rFonts w:ascii="Times New Roman" w:hAnsi="Times New Roman" w:cs="Times New Roman"/>
          <w:color w:val="FF0000"/>
          <w:sz w:val="28"/>
          <w:szCs w:val="28"/>
        </w:rPr>
      </w:pPr>
      <w:r>
        <w:rPr>
          <w:rFonts w:ascii="Times New Roman" w:hAnsi="Times New Roman" w:cs="Times New Roman"/>
          <w:sz w:val="28"/>
          <w:szCs w:val="28"/>
        </w:rPr>
        <w:t xml:space="preserve">Полученный этим способом композит БЦ/ГАП/MXene был исследован сканирующей электронной микроскопией (Рисунок 21). </w:t>
      </w:r>
    </w:p>
    <w:p w:rsidR="00E17FE1" w:rsidRDefault="00E17FE1">
      <w:pPr>
        <w:spacing w:after="0" w:line="240" w:lineRule="auto"/>
        <w:ind w:right="-1" w:firstLine="567"/>
        <w:jc w:val="both"/>
        <w:rPr>
          <w:rFonts w:ascii="Times New Roman" w:hAnsi="Times New Roman" w:cs="Times New Roman"/>
          <w:sz w:val="28"/>
          <w:szCs w:val="28"/>
        </w:rPr>
      </w:pPr>
    </w:p>
    <w:p w:rsidR="00E17FE1" w:rsidRDefault="00BB58D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BC45C9">
        <w:rPr>
          <w:rFonts w:ascii="Times New Roman" w:hAnsi="Times New Roman" w:cs="Times New Roman"/>
          <w:noProof/>
          <w:sz w:val="28"/>
          <w:szCs w:val="28"/>
          <w:lang w:eastAsia="ru-RU"/>
        </w:rPr>
        <w:drawing>
          <wp:inline distT="0" distB="0" distL="0" distR="0">
            <wp:extent cx="4893418" cy="3247199"/>
            <wp:effectExtent l="19050" t="0" r="2432" b="0"/>
            <wp:docPr id="13" name="Рисунок 13" descr="C:\Users\sava\Desktop\12_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ava\Desktop\12_14.tif"/>
                    <pic:cNvPicPr>
                      <a:picLocks noChangeAspect="1" noChangeArrowheads="1"/>
                    </pic:cNvPicPr>
                  </pic:nvPicPr>
                  <pic:blipFill>
                    <a:blip r:embed="rId32" cstate="print"/>
                    <a:srcRect/>
                    <a:stretch>
                      <a:fillRect/>
                    </a:stretch>
                  </pic:blipFill>
                  <pic:spPr bwMode="auto">
                    <a:xfrm>
                      <a:off x="0" y="0"/>
                      <a:ext cx="4896244" cy="3249074"/>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jc w:val="center"/>
        <w:rPr>
          <w:rFonts w:ascii="Times New Roman" w:hAnsi="Times New Roman" w:cs="Times New Roman"/>
          <w:sz w:val="28"/>
          <w:szCs w:val="28"/>
        </w:rPr>
      </w:pPr>
      <w:r w:rsidRPr="00BC45C9">
        <w:rPr>
          <w:rFonts w:ascii="Times New Roman" w:hAnsi="Times New Roman" w:cs="Times New Roman"/>
          <w:sz w:val="28"/>
          <w:szCs w:val="28"/>
        </w:rPr>
        <w:t>Рисунок 21</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proofErr w:type="gramStart"/>
      <w:r w:rsidRPr="00BC45C9">
        <w:rPr>
          <w:rFonts w:ascii="Times New Roman" w:hAnsi="Times New Roman" w:cs="Times New Roman"/>
          <w:sz w:val="28"/>
          <w:szCs w:val="28"/>
        </w:rPr>
        <w:t>СЭМ-изображения</w:t>
      </w:r>
      <w:proofErr w:type="gramEnd"/>
      <w:r w:rsidRPr="00BC45C9">
        <w:rPr>
          <w:rFonts w:ascii="Times New Roman" w:hAnsi="Times New Roman" w:cs="Times New Roman"/>
          <w:sz w:val="28"/>
          <w:szCs w:val="28"/>
        </w:rPr>
        <w:t xml:space="preserve"> поверхности композита БЦ/ГАП/MXene </w:t>
      </w:r>
    </w:p>
    <w:p w:rsidR="00BC45C9" w:rsidRDefault="00BC45C9">
      <w:pPr>
        <w:spacing w:after="0" w:line="240" w:lineRule="auto"/>
        <w:jc w:val="center"/>
        <w:rPr>
          <w:rFonts w:ascii="Times New Roman" w:hAnsi="Times New Roman" w:cs="Times New Roman"/>
          <w:sz w:val="28"/>
          <w:szCs w:val="28"/>
        </w:rPr>
      </w:pPr>
    </w:p>
    <w:p w:rsidR="00E17FE1" w:rsidRDefault="00BB58D7">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На микрофотографиях (Рисунок 21) наблюдается </w:t>
      </w:r>
      <w:r>
        <w:rPr>
          <w:rFonts w:ascii="Times New Roman" w:hAnsi="Times New Roman" w:cs="Times New Roman"/>
          <w:sz w:val="28"/>
          <w:szCs w:val="28"/>
          <w:lang w:val="kk-KZ"/>
        </w:rPr>
        <w:t>характерная</w:t>
      </w:r>
      <w:r>
        <w:rPr>
          <w:rFonts w:ascii="Times New Roman" w:hAnsi="Times New Roman" w:cs="Times New Roman"/>
          <w:sz w:val="28"/>
          <w:szCs w:val="28"/>
        </w:rPr>
        <w:t xml:space="preserve"> для БЦ трёхмерная нанофибриллярная структура, формирующая плотную сетчатую сеть. На поверхности волокон БЦ отчётливо просматриваются включения ГАП  и MXene. Наноструктуры ГАП преимущественно имеют сферическую форму и прочно </w:t>
      </w:r>
      <w:proofErr w:type="gramStart"/>
      <w:r>
        <w:rPr>
          <w:rFonts w:ascii="Times New Roman" w:hAnsi="Times New Roman" w:cs="Times New Roman"/>
          <w:sz w:val="28"/>
          <w:szCs w:val="28"/>
        </w:rPr>
        <w:t>зафиксированы</w:t>
      </w:r>
      <w:proofErr w:type="gramEnd"/>
      <w:r>
        <w:rPr>
          <w:rFonts w:ascii="Times New Roman" w:hAnsi="Times New Roman" w:cs="Times New Roman"/>
          <w:sz w:val="28"/>
          <w:szCs w:val="28"/>
        </w:rPr>
        <w:t xml:space="preserve"> в целлюлозной матрице. Введение MXene привело к появлению тонких пластинчатых структур, плотно сопряжённых с волокнами БЦ и частицами ГАП. Они расположены преимущественно вдоль фибрилл БЦ, формируя локальные скопления без образования крупных конгломератов. Такой характер распределения указывает на эффективные межфазные взаимодействия между гидрофильными группами БЦ и функциональными терминальными группами </w:t>
      </w:r>
      <w:r>
        <w:rPr>
          <w:rFonts w:ascii="Times New Roman" w:hAnsi="Times New Roman" w:cs="Times New Roman"/>
          <w:sz w:val="28"/>
          <w:szCs w:val="28"/>
          <w:lang w:val="en-US"/>
        </w:rPr>
        <w:t>Ti</w:t>
      </w:r>
      <w:r>
        <w:rPr>
          <w:rFonts w:ascii="Times New Roman" w:hAnsi="Times New Roman" w:cs="Times New Roman"/>
          <w:sz w:val="28"/>
          <w:szCs w:val="28"/>
          <w:vertAlign w:val="subscript"/>
        </w:rPr>
        <w:t>3</w:t>
      </w:r>
      <w:r>
        <w:rPr>
          <w:rFonts w:ascii="Times New Roman" w:hAnsi="Times New Roman" w:cs="Times New Roman"/>
          <w:sz w:val="28"/>
          <w:szCs w:val="28"/>
          <w:lang w:val="en-US"/>
        </w:rPr>
        <w:t>C</w:t>
      </w:r>
      <w:r>
        <w:rPr>
          <w:rFonts w:ascii="Times New Roman" w:hAnsi="Times New Roman" w:cs="Times New Roman"/>
          <w:sz w:val="28"/>
          <w:szCs w:val="28"/>
          <w:vertAlign w:val="subscript"/>
        </w:rPr>
        <w:t>2</w:t>
      </w:r>
      <w:r>
        <w:rPr>
          <w:rFonts w:ascii="Times New Roman" w:hAnsi="Times New Roman" w:cs="Times New Roman"/>
          <w:sz w:val="28"/>
          <w:szCs w:val="28"/>
          <w:lang w:val="en-US"/>
        </w:rPr>
        <w:t>T</w:t>
      </w:r>
      <w:r>
        <w:rPr>
          <w:rFonts w:ascii="Times New Roman" w:hAnsi="Times New Roman" w:cs="Times New Roman"/>
          <w:sz w:val="28"/>
          <w:szCs w:val="28"/>
          <w:vertAlign w:val="subscript"/>
          <w:lang w:val="en-US"/>
        </w:rPr>
        <w:t>x</w:t>
      </w:r>
      <w:r>
        <w:rPr>
          <w:rFonts w:ascii="Times New Roman" w:hAnsi="Times New Roman" w:cs="Times New Roman"/>
          <w:sz w:val="28"/>
          <w:szCs w:val="28"/>
        </w:rPr>
        <w:t xml:space="preserve"> (–OH, –O, –F), описанные ранее для гибридов MXene с полисахаридами [14]. Подобная организация усиливает экспонирование активной поверхности MXene, что важно для антибактериальных и адсорбционных свойств композита.</w:t>
      </w: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Наногибридный материал 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был исследован методом </w:t>
      </w:r>
      <w:proofErr w:type="gramStart"/>
      <w:r>
        <w:rPr>
          <w:rFonts w:ascii="Times New Roman" w:eastAsia="Times New Roman" w:hAnsi="Times New Roman" w:cs="Times New Roman"/>
          <w:sz w:val="28"/>
          <w:szCs w:val="28"/>
          <w:lang w:eastAsia="ru-RU"/>
        </w:rPr>
        <w:t>ИК-спектроскопии</w:t>
      </w:r>
      <w:proofErr w:type="gramEnd"/>
      <w:r>
        <w:rPr>
          <w:rFonts w:ascii="Times New Roman" w:eastAsia="Times New Roman" w:hAnsi="Times New Roman" w:cs="Times New Roman"/>
          <w:sz w:val="28"/>
          <w:szCs w:val="28"/>
          <w:lang w:eastAsia="ru-RU"/>
        </w:rPr>
        <w:t xml:space="preserve"> Фурье для подтверждения химического взаимодействия между наноматериалами (рисунок 22).</w:t>
      </w:r>
    </w:p>
    <w:p w:rsidR="00E17FE1" w:rsidRDefault="00E17FE1">
      <w:pPr>
        <w:spacing w:after="0" w:line="240" w:lineRule="auto"/>
        <w:ind w:right="-1" w:firstLine="567"/>
        <w:jc w:val="both"/>
        <w:rPr>
          <w:rFonts w:ascii="Times New Roman" w:eastAsia="Times New Roman" w:hAnsi="Times New Roman" w:cs="Times New Roman"/>
          <w:sz w:val="28"/>
          <w:szCs w:val="28"/>
          <w:lang w:eastAsia="ru-RU"/>
        </w:rPr>
      </w:pPr>
    </w:p>
    <w:p w:rsidR="00E17FE1" w:rsidRDefault="00735BFC" w:rsidP="00627155">
      <w:pPr>
        <w:spacing w:after="0" w:line="240" w:lineRule="auto"/>
        <w:ind w:right="-1"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4980967" cy="3369638"/>
            <wp:effectExtent l="19050" t="0" r="0" b="0"/>
            <wp:docPr id="2" name="Рисунок 1" descr="C:\Users\sava\Desktop\Новый точечный рисунок (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va\Desktop\Новый точечный рисунок (5).bmp"/>
                    <pic:cNvPicPr>
                      <a:picLocks noChangeAspect="1" noChangeArrowheads="1"/>
                    </pic:cNvPicPr>
                  </pic:nvPicPr>
                  <pic:blipFill>
                    <a:blip r:embed="rId33" cstate="print"/>
                    <a:srcRect/>
                    <a:stretch>
                      <a:fillRect/>
                    </a:stretch>
                  </pic:blipFill>
                  <pic:spPr bwMode="auto">
                    <a:xfrm>
                      <a:off x="0" y="0"/>
                      <a:ext cx="4985884" cy="3372964"/>
                    </a:xfrm>
                    <a:prstGeom prst="rect">
                      <a:avLst/>
                    </a:prstGeom>
                    <a:noFill/>
                    <a:ln w="9525">
                      <a:noFill/>
                      <a:miter lim="800000"/>
                      <a:headEnd/>
                      <a:tailEnd/>
                    </a:ln>
                  </pic:spPr>
                </pic:pic>
              </a:graphicData>
            </a:graphic>
          </wp:inline>
        </w:drawing>
      </w:r>
      <w:r w:rsidRPr="00735BFC">
        <w:rPr>
          <w:rFonts w:ascii="Times New Roman" w:eastAsia="Times New Roman" w:hAnsi="Times New Roman" w:cs="Times New Roman"/>
          <w:noProof/>
          <w:sz w:val="28"/>
          <w:szCs w:val="28"/>
          <w:lang w:eastAsia="ru-RU"/>
        </w:rPr>
        <w:t xml:space="preserve"> </w:t>
      </w:r>
    </w:p>
    <w:p w:rsidR="00E17FE1" w:rsidRDefault="00E17FE1">
      <w:pPr>
        <w:spacing w:after="0" w:line="240" w:lineRule="auto"/>
        <w:ind w:right="-1" w:firstLine="567"/>
        <w:jc w:val="both"/>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22</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ИК-спектр композита БЦ/ГАП/</w:t>
      </w:r>
      <w:r>
        <w:rPr>
          <w:rFonts w:ascii="Times New Roman" w:eastAsia="Times New Roman" w:hAnsi="Times New Roman" w:cs="Times New Roman"/>
          <w:sz w:val="28"/>
          <w:szCs w:val="28"/>
          <w:lang w:val="en-US" w:eastAsia="ru-RU"/>
        </w:rPr>
        <w:t>MXene</w:t>
      </w:r>
    </w:p>
    <w:p w:rsidR="00E17FE1" w:rsidRDefault="00E17FE1">
      <w:pPr>
        <w:spacing w:after="0" w:line="240" w:lineRule="auto"/>
        <w:ind w:right="-1" w:firstLine="567"/>
        <w:jc w:val="both"/>
        <w:rPr>
          <w:rFonts w:ascii="Times New Roman" w:eastAsia="Times New Roman" w:hAnsi="Times New Roman" w:cs="Times New Roman"/>
          <w:sz w:val="28"/>
          <w:szCs w:val="28"/>
          <w:lang w:eastAsia="ru-RU"/>
        </w:rPr>
      </w:pPr>
    </w:p>
    <w:p w:rsidR="00E17FE1" w:rsidRDefault="00BB58D7">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ИК-спектр комплекса БЦ/ГАП/MXene  демонстрирует совокупность полос поглощения, характерных для всех трёх компонентов. Широкая интенсивная полоса в области 3300–3400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 xml:space="preserve">¹ соответствует валентным колебаниям гидроксильных групп (O–H), </w:t>
      </w:r>
      <w:proofErr w:type="gramStart"/>
      <w:r>
        <w:rPr>
          <w:rFonts w:ascii="Times New Roman" w:eastAsia="Times New Roman" w:hAnsi="Times New Roman" w:cs="Times New Roman"/>
          <w:sz w:val="28"/>
          <w:szCs w:val="28"/>
          <w:lang w:eastAsia="ru-RU"/>
        </w:rPr>
        <w:t>присутствующих</w:t>
      </w:r>
      <w:proofErr w:type="gramEnd"/>
      <w:r>
        <w:rPr>
          <w:rFonts w:ascii="Times New Roman" w:eastAsia="Times New Roman" w:hAnsi="Times New Roman" w:cs="Times New Roman"/>
          <w:sz w:val="28"/>
          <w:szCs w:val="28"/>
          <w:lang w:eastAsia="ru-RU"/>
        </w:rPr>
        <w:t xml:space="preserve"> как в структуре целлюлозных волокон, так и на поверхности MXene и ГАП. Слабовыраженная полоса при ~2900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обусловлена колебаниями связей C–H в глюкозных звеньях БЦ. Выраженный пик при ~1030–1090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соответствует валентным колебаниям фосфатных групп (PO</w:t>
      </w:r>
      <w:r>
        <w:rPr>
          <w:rFonts w:ascii="Cambria Math" w:eastAsia="Times New Roman" w:hAnsi="Cambria Math" w:cs="Cambria Math"/>
          <w:sz w:val="28"/>
          <w:szCs w:val="28"/>
          <w:lang w:eastAsia="ru-RU"/>
        </w:rPr>
        <w:t>₄</w:t>
      </w:r>
      <w:r>
        <w:rPr>
          <w:rFonts w:ascii="Times New Roman" w:eastAsia="Times New Roman" w:hAnsi="Times New Roman" w:cs="Times New Roman"/>
          <w:sz w:val="28"/>
          <w:szCs w:val="28"/>
          <w:lang w:eastAsia="ru-RU"/>
        </w:rPr>
        <w:t>³</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 ГАП, что свидетельствует о включении минеральной фазы в матрицу БЦ. Дополнительные полосы при ~560–600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связаны с деформационными колебаниями PO</w:t>
      </w:r>
      <w:r>
        <w:rPr>
          <w:rFonts w:ascii="Cambria Math" w:eastAsia="Times New Roman" w:hAnsi="Cambria Math" w:cs="Cambria Math"/>
          <w:sz w:val="28"/>
          <w:szCs w:val="28"/>
          <w:lang w:eastAsia="ru-RU"/>
        </w:rPr>
        <w:t>₄</w:t>
      </w:r>
      <w:r>
        <w:rPr>
          <w:rFonts w:ascii="Times New Roman" w:eastAsia="Times New Roman" w:hAnsi="Times New Roman" w:cs="Times New Roman"/>
          <w:sz w:val="28"/>
          <w:szCs w:val="28"/>
          <w:lang w:eastAsia="ru-RU"/>
        </w:rPr>
        <w:t>³</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 xml:space="preserve">, характерными </w:t>
      </w:r>
      <w:proofErr w:type="gramStart"/>
      <w:r>
        <w:rPr>
          <w:rFonts w:ascii="Times New Roman" w:eastAsia="Times New Roman" w:hAnsi="Times New Roman" w:cs="Times New Roman"/>
          <w:sz w:val="28"/>
          <w:szCs w:val="28"/>
          <w:lang w:eastAsia="ru-RU"/>
        </w:rPr>
        <w:t>для</w:t>
      </w:r>
      <w:proofErr w:type="gramEnd"/>
      <w:r>
        <w:rPr>
          <w:rFonts w:ascii="Times New Roman" w:eastAsia="Times New Roman" w:hAnsi="Times New Roman" w:cs="Times New Roman"/>
          <w:sz w:val="28"/>
          <w:szCs w:val="28"/>
          <w:lang w:eastAsia="ru-RU"/>
        </w:rPr>
        <w:t xml:space="preserve"> кристаллического ГАП. В области ~600–800 см</w:t>
      </w:r>
      <w:r>
        <w:rPr>
          <w:rFonts w:ascii="Cambria Math" w:eastAsia="Times New Roman" w:hAnsi="Cambria Math" w:cs="Cambria Math"/>
          <w:sz w:val="28"/>
          <w:szCs w:val="28"/>
          <w:lang w:eastAsia="ru-RU"/>
        </w:rPr>
        <w:t>⁻</w:t>
      </w:r>
      <w:r>
        <w:rPr>
          <w:rFonts w:ascii="Times New Roman" w:eastAsia="Times New Roman" w:hAnsi="Times New Roman" w:cs="Times New Roman"/>
          <w:sz w:val="28"/>
          <w:szCs w:val="28"/>
          <w:lang w:eastAsia="ru-RU"/>
        </w:rPr>
        <w:t>¹ наблюдаются полосы, соответствующие колебаниям Ti–O и Ti–C, что указывает на присутствие MXene в композите. Отсюда следует, что совокупность характерных полос поглощения подтверждает успешное сочетание органической матрицы БЦ с неорганическими компонентами ГАП и MXene.</w:t>
      </w:r>
    </w:p>
    <w:p w:rsidR="00E17FE1" w:rsidRDefault="00BB58D7" w:rsidP="00BB58D7">
      <w:pPr>
        <w:spacing w:after="0" w:line="240" w:lineRule="auto"/>
        <w:ind w:firstLineChars="157" w:firstLine="4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о</w:t>
      </w:r>
      <w:r>
        <w:rPr>
          <w:rFonts w:ascii="Times New Roman" w:eastAsia="Times New Roman" w:hAnsi="Times New Roman"/>
          <w:sz w:val="28"/>
          <w:szCs w:val="28"/>
          <w:lang w:eastAsia="ru-RU"/>
        </w:rPr>
        <w:t xml:space="preserve">сновываясь на природе БЦ, ГА и </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и данных, представленных в литературе, можно заключить, что создание композита БЦ/ГА/</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опиралось на принципы взаимодействия, реализованные в ранее изученных системах БЦ/ГА, БЦ/</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и ГА/</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В сборке композита БЦ/ГА ключевую роль в формировании прочных взаимодействии играют водородные связи между гидроксильными группами БЦ и ионной поверхностью ГАП.  Подобные связи формируются </w:t>
      </w:r>
      <w:r>
        <w:rPr>
          <w:rFonts w:ascii="Times New Roman" w:eastAsia="Times New Roman" w:hAnsi="Times New Roman"/>
          <w:sz w:val="28"/>
          <w:szCs w:val="28"/>
          <w:lang w:val="kk-KZ" w:eastAsia="ru-RU"/>
        </w:rPr>
        <w:t xml:space="preserve">и </w:t>
      </w:r>
      <w:r>
        <w:rPr>
          <w:rFonts w:ascii="Times New Roman" w:eastAsia="Times New Roman" w:hAnsi="Times New Roman"/>
          <w:sz w:val="28"/>
          <w:szCs w:val="28"/>
          <w:lang w:eastAsia="ru-RU"/>
        </w:rPr>
        <w:t xml:space="preserve">между БЦ и </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вследствие водородных и электростатических контактов между гидроксильными группами БЦ и терминальными концами </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val="en-US" w:eastAsia="ru-RU"/>
        </w:rPr>
        <w:t>OH</w:t>
      </w:r>
      <w:r>
        <w:rPr>
          <w:rFonts w:ascii="Times New Roman" w:eastAsia="Times New Roman" w:hAnsi="Times New Roman"/>
          <w:sz w:val="28"/>
          <w:szCs w:val="28"/>
          <w:lang w:eastAsia="ru-RU"/>
        </w:rPr>
        <w:t>, –</w:t>
      </w:r>
      <w:r>
        <w:rPr>
          <w:rFonts w:ascii="Times New Roman" w:eastAsia="Times New Roman" w:hAnsi="Times New Roman"/>
          <w:sz w:val="28"/>
          <w:szCs w:val="28"/>
          <w:lang w:val="en-US" w:eastAsia="ru-RU"/>
        </w:rPr>
        <w:t>O</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lastRenderedPageBreak/>
        <w:t>–</w:t>
      </w:r>
      <w:r>
        <w:rPr>
          <w:rFonts w:ascii="Times New Roman" w:eastAsia="Times New Roman" w:hAnsi="Times New Roman"/>
          <w:sz w:val="28"/>
          <w:szCs w:val="28"/>
          <w:lang w:val="en-US" w:eastAsia="ru-RU"/>
        </w:rPr>
        <w:t>F</w:t>
      </w:r>
      <w:r>
        <w:rPr>
          <w:rFonts w:ascii="Times New Roman" w:eastAsia="Times New Roman" w:hAnsi="Times New Roman"/>
          <w:sz w:val="28"/>
          <w:szCs w:val="28"/>
          <w:lang w:eastAsia="ru-RU"/>
        </w:rPr>
        <w:t>).</w:t>
      </w:r>
      <w:r>
        <w:rPr>
          <w:rFonts w:ascii="Times New Roman" w:eastAsia="Times New Roman" w:hAnsi="Times New Roman"/>
          <w:sz w:val="28"/>
          <w:szCs w:val="28"/>
          <w:lang w:val="kk-KZ" w:eastAsia="ru-RU"/>
        </w:rPr>
        <w:t xml:space="preserve"> </w:t>
      </w:r>
      <w:r>
        <w:rPr>
          <w:rFonts w:ascii="Times New Roman" w:hAnsi="Times New Roman" w:cs="Times New Roman"/>
          <w:sz w:val="28"/>
          <w:szCs w:val="28"/>
        </w:rPr>
        <w:t xml:space="preserve">Кроме того, функциональные группы MXenes взаимодействуют как с </w:t>
      </w:r>
      <w:r>
        <w:rPr>
          <w:rFonts w:ascii="Times New Roman" w:hAnsi="Times New Roman" w:cs="Times New Roman"/>
          <w:sz w:val="28"/>
          <w:szCs w:val="28"/>
          <w:lang w:val="kk-KZ"/>
        </w:rPr>
        <w:t>БЦ</w:t>
      </w:r>
      <w:r>
        <w:rPr>
          <w:rFonts w:ascii="Times New Roman" w:hAnsi="Times New Roman" w:cs="Times New Roman"/>
          <w:sz w:val="28"/>
          <w:szCs w:val="28"/>
        </w:rPr>
        <w:t xml:space="preserve">, так и с </w:t>
      </w:r>
      <w:r>
        <w:rPr>
          <w:rFonts w:ascii="Times New Roman" w:hAnsi="Times New Roman" w:cs="Times New Roman"/>
          <w:sz w:val="28"/>
          <w:szCs w:val="28"/>
          <w:lang w:val="kk-KZ"/>
        </w:rPr>
        <w:t>ГАП</w:t>
      </w:r>
      <w:r>
        <w:rPr>
          <w:rFonts w:ascii="Times New Roman" w:hAnsi="Times New Roman" w:cs="Times New Roman"/>
          <w:sz w:val="28"/>
          <w:szCs w:val="28"/>
        </w:rPr>
        <w:t>.</w:t>
      </w:r>
      <w:r>
        <w:rPr>
          <w:rFonts w:ascii="Times New Roman" w:hAnsi="Times New Roman" w:cs="Times New Roman"/>
        </w:rPr>
        <w:t xml:space="preserve"> </w:t>
      </w:r>
      <w:r>
        <w:rPr>
          <w:rFonts w:ascii="Times New Roman" w:eastAsia="Times New Roman" w:hAnsi="Times New Roman"/>
          <w:sz w:val="28"/>
          <w:szCs w:val="28"/>
          <w:lang w:eastAsia="ru-RU"/>
        </w:rPr>
        <w:t xml:space="preserve">В связи с тем, что </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склонен</w:t>
      </w:r>
      <w:proofErr w:type="gramEnd"/>
      <w:r>
        <w:rPr>
          <w:rFonts w:ascii="Times New Roman" w:eastAsia="Times New Roman" w:hAnsi="Times New Roman"/>
          <w:sz w:val="28"/>
          <w:szCs w:val="28"/>
          <w:lang w:eastAsia="ru-RU"/>
        </w:rPr>
        <w:t xml:space="preserve"> к окислению, рационально рассматривались два возможных пути формирования композита. В первом случае при последовательном включении наночастиц ГАП и </w:t>
      </w:r>
      <w:r>
        <w:rPr>
          <w:rFonts w:ascii="Times New Roman" w:eastAsia="Times New Roman" w:hAnsi="Times New Roman"/>
          <w:sz w:val="28"/>
          <w:szCs w:val="28"/>
          <w:lang w:val="en-US" w:eastAsia="ru-RU"/>
        </w:rPr>
        <w:t>MXene</w:t>
      </w:r>
      <w:r>
        <w:rPr>
          <w:rFonts w:ascii="Times New Roman" w:eastAsia="Times New Roman" w:hAnsi="Times New Roman"/>
          <w:sz w:val="28"/>
          <w:szCs w:val="28"/>
          <w:lang w:eastAsia="ru-RU"/>
        </w:rPr>
        <w:t xml:space="preserve"> в БЦ наблюдалась их агрегация на матрице, что существенно снижало бы функциональные возможности материала, поэтому данный метод был признан неэффективным. Во втором случае процесс получения композита был организован по другой схеме. Согласно ей, сначала был получен устойчивый комплекс БЦ/ГАП, который впоследствии был внедрен в матрицу БЦ. Такой подход позволил обеспечить более равномерное распределение компонентов и </w:t>
      </w:r>
      <w:proofErr w:type="gramStart"/>
      <w:r>
        <w:rPr>
          <w:rFonts w:ascii="Times New Roman" w:eastAsia="Times New Roman" w:hAnsi="Times New Roman"/>
          <w:sz w:val="28"/>
          <w:szCs w:val="28"/>
          <w:lang w:eastAsia="ru-RU"/>
        </w:rPr>
        <w:t>избежать</w:t>
      </w:r>
      <w:proofErr w:type="gramEnd"/>
      <w:r>
        <w:rPr>
          <w:rFonts w:ascii="Times New Roman" w:eastAsia="Times New Roman" w:hAnsi="Times New Roman"/>
          <w:sz w:val="28"/>
          <w:szCs w:val="28"/>
          <w:lang w:eastAsia="ru-RU"/>
        </w:rPr>
        <w:t xml:space="preserve"> их агрегации. </w:t>
      </w:r>
    </w:p>
    <w:p w:rsidR="00E17FE1" w:rsidRDefault="00E17FE1">
      <w:pPr>
        <w:spacing w:after="0" w:line="240" w:lineRule="auto"/>
        <w:rPr>
          <w:rFonts w:ascii="Times New Roman" w:hAnsi="Times New Roman" w:cs="Times New Roman"/>
          <w:b/>
          <w:sz w:val="28"/>
          <w:szCs w:val="28"/>
        </w:rPr>
      </w:pPr>
    </w:p>
    <w:p w:rsidR="00E17FE1" w:rsidRDefault="00BB58D7">
      <w:pPr>
        <w:spacing w:after="0" w:line="240" w:lineRule="auto"/>
        <w:ind w:right="-1" w:firstLine="567"/>
        <w:jc w:val="both"/>
        <w:rPr>
          <w:rFonts w:ascii="Times New Roman" w:hAnsi="Times New Roman" w:cs="Times New Roman"/>
          <w:b/>
          <w:bCs/>
          <w:sz w:val="28"/>
          <w:szCs w:val="28"/>
        </w:rPr>
      </w:pPr>
      <w:r>
        <w:rPr>
          <w:rFonts w:ascii="Times New Roman" w:eastAsia="DejaVu Sans" w:hAnsi="Times New Roman" w:cs="Times New Roman"/>
          <w:b/>
          <w:bCs/>
          <w:sz w:val="28"/>
          <w:szCs w:val="28"/>
          <w:lang w:eastAsia="zh-CN" w:bidi="hi-IN"/>
        </w:rPr>
        <w:t xml:space="preserve">3.2 </w:t>
      </w:r>
      <w:r>
        <w:rPr>
          <w:rFonts w:ascii="Times New Roman" w:hAnsi="Times New Roman" w:cs="Times New Roman"/>
          <w:b/>
          <w:bCs/>
          <w:sz w:val="28"/>
          <w:szCs w:val="28"/>
        </w:rPr>
        <w:t>Исследование физическо-химических свойств композитных материалов</w:t>
      </w:r>
    </w:p>
    <w:p w:rsidR="00E17FE1" w:rsidRDefault="00BB58D7">
      <w:pPr>
        <w:spacing w:after="0" w:line="240" w:lineRule="auto"/>
        <w:ind w:right="-1" w:firstLine="567"/>
        <w:jc w:val="both"/>
        <w:rPr>
          <w:rFonts w:ascii="Times New Roman" w:hAnsi="Times New Roman" w:cs="Times New Roman"/>
          <w:b/>
          <w:bCs/>
          <w:sz w:val="28"/>
          <w:szCs w:val="28"/>
        </w:rPr>
      </w:pPr>
      <w:r>
        <w:rPr>
          <w:rFonts w:ascii="Times New Roman" w:eastAsia="DejaVu Sans" w:hAnsi="Times New Roman" w:cs="Times New Roman"/>
          <w:b/>
          <w:bCs/>
          <w:sz w:val="28"/>
          <w:szCs w:val="28"/>
          <w:lang w:eastAsia="zh-CN" w:bidi="hi-IN"/>
        </w:rPr>
        <w:t>3.2</w:t>
      </w:r>
      <w:r>
        <w:rPr>
          <w:rFonts w:ascii="Times New Roman" w:hAnsi="Times New Roman" w:cs="Times New Roman"/>
          <w:b/>
          <w:bCs/>
          <w:sz w:val="28"/>
          <w:szCs w:val="28"/>
        </w:rPr>
        <w:t>.1 Структурные особенности  композитных материалов</w:t>
      </w:r>
    </w:p>
    <w:p w:rsidR="00E17FE1" w:rsidRDefault="00BB58D7">
      <w:pPr>
        <w:spacing w:after="0" w:line="240" w:lineRule="auto"/>
        <w:ind w:right="-1" w:firstLine="567"/>
        <w:jc w:val="both"/>
        <w:rPr>
          <w:rFonts w:ascii="Times New Roman" w:hAnsi="Times New Roman" w:cs="Times New Roman"/>
          <w:sz w:val="28"/>
          <w:szCs w:val="28"/>
        </w:rPr>
      </w:pPr>
      <w:r>
        <w:rPr>
          <w:rFonts w:ascii="Times New Roman" w:hAnsi="Times New Roman" w:cs="Times New Roman"/>
          <w:bCs/>
          <w:sz w:val="28"/>
          <w:szCs w:val="28"/>
        </w:rPr>
        <w:t>Комплексное изучение структурных параметров композита БЦ/ГАП/MXene позволяет раскрыть особенности его формирования, оценить распределение фаз и определить характер межфазного взаимодействия. Эти параметры определяют физико-химические свойства, механическую устойчивость и биологическую активность материалов, что имеет ключевое значение при разработке эффективных раневых покрытий. Стабилизирующие свойства ГАП были изучены в составе композита БЦ/ГАП/Mxene путем сопоставления его характеристик с системой БЦ/Mxene. Такое сравнение позволяет выявить роль ГАП в повышении устойчивости MXene к окислению и оценить влияние взаимодействия между компонентами на структурную целостность композита.</w:t>
      </w:r>
      <w:r>
        <w:rPr>
          <w:rFonts w:ascii="Times New Roman" w:hAnsi="Times New Roman" w:cs="Times New Roman"/>
          <w:sz w:val="28"/>
          <w:szCs w:val="28"/>
        </w:rPr>
        <w:t xml:space="preserve"> Для этого были изучены химический состав и поверхностные состояния элементов в композитах методом рентгеновской фотоэлектронной спектроскопии высокого разрешения (HR-XPS). Данный метод позволяет установить типы химических связей, степень окисления элементов и особенности их взаимодействия в поверхностных слоях материала. Полученные результаты проясняют межфазные взаимодействия в композитах БЦ/MXene и БЦ/ГА/MXene (рис. 23, таблица 5).</w:t>
      </w:r>
    </w:p>
    <w:p w:rsidR="00E17FE1" w:rsidRDefault="00E17FE1">
      <w:pPr>
        <w:spacing w:after="0" w:line="240" w:lineRule="auto"/>
        <w:ind w:firstLine="567"/>
        <w:jc w:val="both"/>
        <w:rPr>
          <w:rFonts w:ascii="Times New Roman" w:hAnsi="Times New Roman" w:cs="Times New Roman"/>
          <w:sz w:val="28"/>
          <w:szCs w:val="28"/>
        </w:rPr>
      </w:pPr>
    </w:p>
    <w:p w:rsidR="00E17FE1" w:rsidRDefault="00BC45C9">
      <w:pPr>
        <w:pStyle w:val="af2"/>
        <w:jc w:val="center"/>
        <w:rPr>
          <w:sz w:val="28"/>
          <w:szCs w:val="28"/>
          <w:lang w:val="ru-RU"/>
        </w:rPr>
      </w:pPr>
      <w:r>
        <w:rPr>
          <w:noProof/>
          <w:sz w:val="28"/>
          <w:szCs w:val="28"/>
          <w:lang w:val="ru-RU" w:eastAsia="ru-RU"/>
        </w:rPr>
        <w:lastRenderedPageBreak/>
        <w:drawing>
          <wp:inline distT="0" distB="0" distL="0" distR="0">
            <wp:extent cx="6158014" cy="4283493"/>
            <wp:effectExtent l="19050" t="0" r="0" b="0"/>
            <wp:docPr id="14" name="Рисунок 14" descr="C:\Users\sava\Desktop\Диссертация\23.06.2025\ФОтки физ хим\Новый точечный рисунок - копия.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ava\Desktop\Диссертация\23.06.2025\ФОтки физ хим\Новый точечный рисунок - копия.bmp"/>
                    <pic:cNvPicPr>
                      <a:picLocks noChangeAspect="1" noChangeArrowheads="1"/>
                    </pic:cNvPicPr>
                  </pic:nvPicPr>
                  <pic:blipFill>
                    <a:blip r:embed="rId34" cstate="print"/>
                    <a:srcRect/>
                    <a:stretch>
                      <a:fillRect/>
                    </a:stretch>
                  </pic:blipFill>
                  <pic:spPr bwMode="auto">
                    <a:xfrm>
                      <a:off x="0" y="0"/>
                      <a:ext cx="6157593" cy="4283200"/>
                    </a:xfrm>
                    <a:prstGeom prst="rect">
                      <a:avLst/>
                    </a:prstGeom>
                    <a:noFill/>
                    <a:ln w="9525">
                      <a:noFill/>
                      <a:miter lim="800000"/>
                      <a:headEnd/>
                      <a:tailEnd/>
                    </a:ln>
                  </pic:spPr>
                </pic:pic>
              </a:graphicData>
            </a:graphic>
          </wp:inline>
        </w:drawing>
      </w:r>
    </w:p>
    <w:p w:rsidR="00E17FE1" w:rsidRDefault="00BB58D7">
      <w:pPr>
        <w:pStyle w:val="af2"/>
        <w:spacing w:before="0" w:beforeAutospacing="0" w:after="0" w:afterAutospacing="0"/>
        <w:jc w:val="center"/>
        <w:rPr>
          <w:sz w:val="28"/>
          <w:szCs w:val="28"/>
          <w:lang w:val="ru-RU"/>
        </w:rPr>
      </w:pPr>
      <w:r>
        <w:rPr>
          <w:sz w:val="28"/>
          <w:szCs w:val="28"/>
          <w:lang w:val="ru-RU"/>
        </w:rPr>
        <w:t>Рисунок 23</w:t>
      </w:r>
      <w:r w:rsidR="006737E3" w:rsidRPr="006737E3">
        <w:rPr>
          <w:sz w:val="28"/>
          <w:szCs w:val="28"/>
          <w:lang w:val="ru-RU" w:eastAsia="ru-RU"/>
        </w:rPr>
        <w:t xml:space="preserve"> </w:t>
      </w:r>
      <w:r w:rsidR="006737E3" w:rsidRPr="00A551EF">
        <w:rPr>
          <w:bCs/>
          <w:iCs/>
          <w:sz w:val="28"/>
          <w:szCs w:val="28"/>
        </w:rPr>
        <w:sym w:font="Symbol" w:char="F02D"/>
      </w:r>
      <w:r w:rsidR="006737E3" w:rsidRPr="006737E3">
        <w:rPr>
          <w:sz w:val="28"/>
          <w:szCs w:val="28"/>
          <w:lang w:val="ru-RU" w:eastAsia="ru-RU"/>
        </w:rPr>
        <w:t xml:space="preserve"> </w:t>
      </w:r>
      <w:r>
        <w:rPr>
          <w:sz w:val="28"/>
          <w:szCs w:val="28"/>
          <w:lang w:val="ru-RU"/>
        </w:rPr>
        <w:t>Спектры рентгеновской фотоэлектронной спектроскопии высокого разрешения A - C 1s, Б - O 1s и</w:t>
      </w:r>
      <w:proofErr w:type="gramStart"/>
      <w:r>
        <w:rPr>
          <w:sz w:val="28"/>
          <w:szCs w:val="28"/>
          <w:lang w:val="ru-RU"/>
        </w:rPr>
        <w:t xml:space="preserve"> В</w:t>
      </w:r>
      <w:proofErr w:type="gramEnd"/>
      <w:r>
        <w:rPr>
          <w:sz w:val="28"/>
          <w:szCs w:val="28"/>
          <w:lang w:val="ru-RU"/>
        </w:rPr>
        <w:t xml:space="preserve"> – Ti 2p для БЦ/MXene, и Г – C 1s, Д – O 1s, и Е – Ti 2p для композита БЦ/ГАП/MXene</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Спектры</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 1s БЦ/MXene (рис. 23, А) показывают характерные пики при 284,8 эВ (C-C, углерод sp</w:t>
      </w:r>
      <w:r>
        <w:rPr>
          <w:rFonts w:ascii="Times New Roman" w:hAnsi="Times New Roman" w:cs="Times New Roman"/>
          <w:sz w:val="28"/>
          <w:szCs w:val="28"/>
          <w:vertAlign w:val="superscript"/>
        </w:rPr>
        <w:t>2</w:t>
      </w:r>
      <w:r>
        <w:rPr>
          <w:rFonts w:ascii="Times New Roman" w:hAnsi="Times New Roman" w:cs="Times New Roman"/>
          <w:sz w:val="28"/>
          <w:szCs w:val="28"/>
        </w:rPr>
        <w:t>/sp</w:t>
      </w:r>
      <w:r>
        <w:rPr>
          <w:rFonts w:ascii="Times New Roman" w:hAnsi="Times New Roman" w:cs="Times New Roman"/>
          <w:sz w:val="28"/>
          <w:szCs w:val="28"/>
          <w:vertAlign w:val="superscript"/>
        </w:rPr>
        <w:t>3</w:t>
      </w:r>
      <w:r>
        <w:rPr>
          <w:rFonts w:ascii="Times New Roman" w:hAnsi="Times New Roman" w:cs="Times New Roman"/>
          <w:sz w:val="28"/>
          <w:szCs w:val="28"/>
        </w:rPr>
        <w:t xml:space="preserve"> MXene, при 284,3 эВ (C-OH, гидроксильные группы) и при 286,0 эВ (C=O/COOH). В случае БЦ/ГАП/MXene (рис. 23, Г) наблюдаются те же компоненты, но с незначительными сдвигами интенсивности, что указывает на сохранение углеродных состояний MXene при изменённой электронной среде вследствие взаимодействия с </w:t>
      </w:r>
      <w:proofErr w:type="gramStart"/>
      <w:r>
        <w:rPr>
          <w:rFonts w:ascii="Times New Roman" w:hAnsi="Times New Roman" w:cs="Times New Roman"/>
          <w:sz w:val="28"/>
          <w:szCs w:val="28"/>
        </w:rPr>
        <w:t>ГА</w:t>
      </w:r>
      <w:proofErr w:type="gramEnd"/>
      <w:r>
        <w:rPr>
          <w:rFonts w:ascii="Times New Roman" w:hAnsi="Times New Roman" w:cs="Times New Roman"/>
          <w:sz w:val="28"/>
          <w:szCs w:val="28"/>
        </w:rPr>
        <w:t>.</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Спектры O 1s БЦ/MXene (рисунок 23, В) показывают вклады C-OH (529,9 эВ), C=O (528,0 эВ) и O-C-O (530,5 эВ) [226]. В БЦ/ГАП/MXene (рис. 2Д) наблюдается чёткая особенность вблизи 532,0 эВ, характерная фосфатному кислороду (P-O) из ГАП [227], что подтверждает его интеграцию. Изменения интенсивности при 529,2 эВ указывают на усиление гидроксильных взаимодействий.</w:t>
      </w:r>
    </w:p>
    <w:p w:rsidR="00E17FE1" w:rsidRDefault="00025A8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Развернутые спектры Ti 2p как для БЦ/MXene, так и для БЦ/ГАП/MXene (рис. 2</w:t>
      </w:r>
      <w:proofErr w:type="gramStart"/>
      <w:r>
        <w:rPr>
          <w:rFonts w:ascii="Times New Roman" w:hAnsi="Times New Roman" w:cs="Times New Roman"/>
          <w:sz w:val="28"/>
          <w:szCs w:val="28"/>
          <w:lang w:val="kk-KZ"/>
        </w:rPr>
        <w:t xml:space="preserve">і </w:t>
      </w:r>
      <w:r>
        <w:rPr>
          <w:rFonts w:ascii="Times New Roman" w:hAnsi="Times New Roman" w:cs="Times New Roman"/>
          <w:sz w:val="28"/>
          <w:szCs w:val="28"/>
        </w:rPr>
        <w:t>В</w:t>
      </w:r>
      <w:proofErr w:type="gramEnd"/>
      <w:r>
        <w:rPr>
          <w:rFonts w:ascii="Times New Roman" w:hAnsi="Times New Roman" w:cs="Times New Roman"/>
          <w:sz w:val="28"/>
          <w:szCs w:val="28"/>
        </w:rPr>
        <w:t>, Д) выявляют четыре основных компонента: связь Ti–C основной цепи карбида MXene (453,7 эВ) [228] вместе с видами Ti</w:t>
      </w:r>
      <w:r>
        <w:rPr>
          <w:rFonts w:ascii="Times New Roman" w:hAnsi="Times New Roman" w:cs="Times New Roman"/>
          <w:sz w:val="28"/>
          <w:szCs w:val="28"/>
          <w:vertAlign w:val="superscript"/>
        </w:rPr>
        <w:t>2+</w:t>
      </w:r>
      <w:r>
        <w:rPr>
          <w:rFonts w:ascii="Times New Roman" w:hAnsi="Times New Roman" w:cs="Times New Roman"/>
          <w:sz w:val="28"/>
          <w:szCs w:val="28"/>
        </w:rPr>
        <w:t xml:space="preserve"> (~454,8 эВ), Ti</w:t>
      </w:r>
      <w:r>
        <w:rPr>
          <w:rFonts w:ascii="Times New Roman" w:hAnsi="Times New Roman" w:cs="Times New Roman"/>
          <w:sz w:val="28"/>
          <w:szCs w:val="28"/>
          <w:vertAlign w:val="superscript"/>
        </w:rPr>
        <w:t>4+</w:t>
      </w:r>
      <w:r>
        <w:rPr>
          <w:rFonts w:ascii="Times New Roman" w:hAnsi="Times New Roman" w:cs="Times New Roman"/>
          <w:sz w:val="28"/>
          <w:szCs w:val="28"/>
        </w:rPr>
        <w:t xml:space="preserve"> (~456,2 эВ) и Ti-O (~457,2 эВ) [</w:t>
      </w:r>
      <w:r>
        <w:rPr>
          <w:rFonts w:ascii="Times New Roman" w:hAnsi="Times New Roman"/>
          <w:sz w:val="28"/>
          <w:szCs w:val="28"/>
        </w:rPr>
        <w:t>229</w:t>
      </w:r>
      <w:r>
        <w:rPr>
          <w:rFonts w:ascii="Times New Roman" w:hAnsi="Times New Roman" w:cs="Times New Roman"/>
          <w:sz w:val="28"/>
          <w:szCs w:val="28"/>
        </w:rPr>
        <w:t>]. Появление пика Ti-O указывает на образование поверхностных оксидов титана и/или терминальных групп (-OH, -O).</w:t>
      </w:r>
    </w:p>
    <w:p w:rsidR="00E17FE1" w:rsidRDefault="00BB58D7" w:rsidP="006737E3">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5</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sidRP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Состав поверхности XPS и расположение линий пиков, соответствующих полученным спектрам</w:t>
      </w:r>
    </w:p>
    <w:p w:rsidR="00E17FE1" w:rsidRDefault="00E17FE1">
      <w:pPr>
        <w:spacing w:after="0" w:line="240" w:lineRule="auto"/>
        <w:ind w:firstLine="567"/>
        <w:jc w:val="both"/>
        <w:rPr>
          <w:rFonts w:ascii="Times New Roman" w:hAnsi="Times New Roman" w:cs="Times New Roman"/>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56"/>
        <w:gridCol w:w="1669"/>
        <w:gridCol w:w="1653"/>
        <w:gridCol w:w="2141"/>
        <w:gridCol w:w="1757"/>
      </w:tblGrid>
      <w:tr w:rsidR="00E17FE1">
        <w:trPr>
          <w:trHeight w:val="377"/>
        </w:trPr>
        <w:tc>
          <w:tcPr>
            <w:tcW w:w="0" w:type="auto"/>
            <w:tcBorders>
              <w:top w:val="single" w:sz="4" w:space="0" w:color="auto"/>
              <w:left w:val="single" w:sz="4" w:space="0" w:color="auto"/>
              <w:bottom w:val="single" w:sz="4" w:space="0" w:color="auto"/>
              <w:right w:val="single" w:sz="4" w:space="0" w:color="auto"/>
            </w:tcBorders>
          </w:tcPr>
          <w:p w:rsidR="00E17FE1" w:rsidRPr="004764F9" w:rsidRDefault="00BB58D7">
            <w:pPr>
              <w:pStyle w:val="TAMainText"/>
              <w:spacing w:line="240" w:lineRule="auto"/>
              <w:jc w:val="center"/>
              <w:rPr>
                <w:rFonts w:ascii="Times New Roman" w:hAnsi="Times New Roman"/>
                <w:bCs/>
                <w:sz w:val="28"/>
                <w:szCs w:val="28"/>
              </w:rPr>
            </w:pPr>
            <w:r w:rsidRPr="004764F9">
              <w:rPr>
                <w:rFonts w:ascii="Times New Roman" w:hAnsi="Times New Roman"/>
                <w:bCs/>
                <w:sz w:val="28"/>
                <w:szCs w:val="28"/>
              </w:rPr>
              <w:t>Композитный /линейный</w:t>
            </w:r>
          </w:p>
        </w:tc>
        <w:tc>
          <w:tcPr>
            <w:tcW w:w="1669" w:type="dxa"/>
            <w:tcBorders>
              <w:top w:val="single" w:sz="4" w:space="0" w:color="auto"/>
              <w:left w:val="single" w:sz="4" w:space="0" w:color="auto"/>
              <w:bottom w:val="single" w:sz="4" w:space="0" w:color="auto"/>
              <w:right w:val="single" w:sz="4" w:space="0" w:color="auto"/>
            </w:tcBorders>
          </w:tcPr>
          <w:p w:rsidR="00E17FE1" w:rsidRPr="004764F9" w:rsidRDefault="00BB58D7">
            <w:pPr>
              <w:pStyle w:val="TAMainText"/>
              <w:spacing w:line="240" w:lineRule="auto"/>
              <w:ind w:firstLine="0"/>
              <w:jc w:val="center"/>
              <w:rPr>
                <w:rFonts w:ascii="Times New Roman" w:hAnsi="Times New Roman"/>
                <w:bCs/>
                <w:sz w:val="28"/>
                <w:szCs w:val="28"/>
              </w:rPr>
            </w:pPr>
            <w:r w:rsidRPr="004764F9">
              <w:rPr>
                <w:rFonts w:ascii="Times New Roman" w:hAnsi="Times New Roman"/>
                <w:bCs/>
                <w:sz w:val="28"/>
                <w:szCs w:val="28"/>
                <w:lang w:val="ru-RU"/>
              </w:rPr>
              <w:t>БЦ</w:t>
            </w:r>
            <w:r w:rsidRPr="004764F9">
              <w:rPr>
                <w:rFonts w:ascii="Times New Roman" w:hAnsi="Times New Roman"/>
                <w:bCs/>
                <w:sz w:val="28"/>
                <w:szCs w:val="28"/>
              </w:rPr>
              <w:t>/MXene</w:t>
            </w:r>
          </w:p>
        </w:tc>
        <w:tc>
          <w:tcPr>
            <w:tcW w:w="1653" w:type="dxa"/>
            <w:tcBorders>
              <w:top w:val="single" w:sz="4" w:space="0" w:color="auto"/>
              <w:left w:val="single" w:sz="4" w:space="0" w:color="auto"/>
              <w:bottom w:val="single" w:sz="4" w:space="0" w:color="auto"/>
              <w:right w:val="single" w:sz="4" w:space="0" w:color="auto"/>
            </w:tcBorders>
          </w:tcPr>
          <w:p w:rsidR="00E17FE1" w:rsidRPr="004764F9" w:rsidRDefault="00BB58D7">
            <w:pPr>
              <w:pStyle w:val="TAMainText"/>
              <w:spacing w:line="240" w:lineRule="auto"/>
              <w:ind w:firstLine="0"/>
              <w:jc w:val="center"/>
              <w:rPr>
                <w:rFonts w:ascii="Times New Roman" w:hAnsi="Times New Roman"/>
                <w:bCs/>
                <w:sz w:val="28"/>
                <w:szCs w:val="28"/>
              </w:rPr>
            </w:pPr>
            <w:r w:rsidRPr="004764F9">
              <w:rPr>
                <w:rFonts w:ascii="Times New Roman" w:hAnsi="Times New Roman"/>
                <w:bCs/>
                <w:sz w:val="28"/>
                <w:szCs w:val="28"/>
              </w:rPr>
              <w:t>Энергия связи [эВ]</w:t>
            </w:r>
          </w:p>
        </w:tc>
        <w:tc>
          <w:tcPr>
            <w:tcW w:w="2127" w:type="dxa"/>
            <w:tcBorders>
              <w:top w:val="single" w:sz="4" w:space="0" w:color="auto"/>
              <w:left w:val="single" w:sz="4" w:space="0" w:color="auto"/>
              <w:bottom w:val="single" w:sz="4" w:space="0" w:color="auto"/>
              <w:right w:val="single" w:sz="4" w:space="0" w:color="auto"/>
            </w:tcBorders>
          </w:tcPr>
          <w:p w:rsidR="00E17FE1" w:rsidRPr="004764F9" w:rsidRDefault="00BB58D7">
            <w:pPr>
              <w:pStyle w:val="TAMainText"/>
              <w:spacing w:line="240" w:lineRule="auto"/>
              <w:ind w:firstLine="0"/>
              <w:jc w:val="center"/>
              <w:rPr>
                <w:rFonts w:ascii="Times New Roman" w:hAnsi="Times New Roman"/>
                <w:bCs/>
                <w:sz w:val="28"/>
                <w:szCs w:val="28"/>
                <w:lang w:val="ru-RU"/>
              </w:rPr>
            </w:pPr>
            <w:r w:rsidRPr="004764F9">
              <w:rPr>
                <w:rFonts w:ascii="Times New Roman" w:hAnsi="Times New Roman"/>
                <w:bCs/>
                <w:sz w:val="28"/>
                <w:szCs w:val="28"/>
                <w:lang w:val="ru-RU"/>
              </w:rPr>
              <w:t>БЦ</w:t>
            </w:r>
            <w:r w:rsidRPr="004764F9">
              <w:rPr>
                <w:rFonts w:ascii="Times New Roman" w:hAnsi="Times New Roman"/>
                <w:bCs/>
                <w:sz w:val="28"/>
                <w:szCs w:val="28"/>
              </w:rPr>
              <w:t>/</w:t>
            </w:r>
            <w:r w:rsidRPr="004764F9">
              <w:rPr>
                <w:rFonts w:ascii="Times New Roman" w:hAnsi="Times New Roman"/>
                <w:bCs/>
                <w:sz w:val="28"/>
                <w:szCs w:val="28"/>
                <w:lang w:val="ru-RU"/>
              </w:rPr>
              <w:t>ГАП/</w:t>
            </w:r>
            <w:r w:rsidRPr="004764F9">
              <w:rPr>
                <w:rFonts w:ascii="Times New Roman" w:hAnsi="Times New Roman"/>
                <w:bCs/>
                <w:sz w:val="28"/>
                <w:szCs w:val="28"/>
              </w:rPr>
              <w:t>MXene</w:t>
            </w:r>
          </w:p>
        </w:tc>
        <w:tc>
          <w:tcPr>
            <w:tcW w:w="1757" w:type="dxa"/>
            <w:tcBorders>
              <w:top w:val="single" w:sz="4" w:space="0" w:color="auto"/>
              <w:left w:val="single" w:sz="4" w:space="0" w:color="auto"/>
              <w:bottom w:val="single" w:sz="4" w:space="0" w:color="auto"/>
              <w:right w:val="single" w:sz="4" w:space="0" w:color="auto"/>
            </w:tcBorders>
          </w:tcPr>
          <w:p w:rsidR="00E17FE1" w:rsidRPr="004764F9" w:rsidRDefault="00BB58D7">
            <w:pPr>
              <w:pStyle w:val="TAMainText"/>
              <w:spacing w:line="240" w:lineRule="auto"/>
              <w:ind w:firstLine="0"/>
              <w:jc w:val="center"/>
              <w:rPr>
                <w:rFonts w:ascii="Times New Roman" w:hAnsi="Times New Roman"/>
                <w:bCs/>
                <w:sz w:val="28"/>
                <w:szCs w:val="28"/>
              </w:rPr>
            </w:pPr>
            <w:r w:rsidRPr="004764F9">
              <w:rPr>
                <w:rFonts w:ascii="Times New Roman" w:hAnsi="Times New Roman"/>
                <w:bCs/>
                <w:sz w:val="28"/>
                <w:szCs w:val="28"/>
              </w:rPr>
              <w:t>Энергия связи [эВ]</w:t>
            </w:r>
          </w:p>
        </w:tc>
      </w:tr>
      <w:tr w:rsidR="00E17FE1">
        <w:trPr>
          <w:trHeight w:val="313"/>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 1s</w:t>
            </w: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C-O-H</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284.3</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C-O-H</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283.1</w:t>
            </w:r>
          </w:p>
        </w:tc>
      </w:tr>
      <w:tr w:rsidR="00E17FE1">
        <w:trPr>
          <w:trHeight w:val="379"/>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C-C</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284.8</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C-C</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284.9</w:t>
            </w:r>
          </w:p>
        </w:tc>
      </w:tr>
      <w:tr w:rsidR="00E17FE1">
        <w:trPr>
          <w:trHeight w:val="71"/>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C=O/COOH</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286.0</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C=O/COOH</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288.6</w:t>
            </w:r>
          </w:p>
        </w:tc>
      </w:tr>
      <w:tr w:rsidR="00E17FE1">
        <w:trPr>
          <w:trHeight w:val="5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O 1s</w:t>
            </w: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C-O-H</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529.9</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C-O-H</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531.2</w:t>
            </w:r>
          </w:p>
        </w:tc>
      </w:tr>
      <w:tr w:rsidR="00E17FE1">
        <w:trPr>
          <w:trHeight w:val="50"/>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O-C-O</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530.5</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O-C-O</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532.9</w:t>
            </w:r>
          </w:p>
        </w:tc>
      </w:tr>
      <w:tr w:rsidR="00E17FE1">
        <w:trPr>
          <w:trHeight w:val="50"/>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C(O)O</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528.0</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C(O)O</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529.3</w:t>
            </w:r>
          </w:p>
        </w:tc>
      </w:tr>
      <w:tr w:rsidR="00E17FE1">
        <w:trPr>
          <w:trHeight w:val="50"/>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P-O</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P-O</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532.0</w:t>
            </w:r>
          </w:p>
        </w:tc>
      </w:tr>
      <w:tr w:rsidR="00E17FE1">
        <w:trPr>
          <w:trHeight w:val="5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 2p</w:t>
            </w: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w:t>
            </w:r>
            <w:r>
              <w:rPr>
                <w:sz w:val="28"/>
                <w:szCs w:val="28"/>
                <w:vertAlign w:val="superscript"/>
              </w:rPr>
              <w:t>4+</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456.2</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w:t>
            </w:r>
            <w:r>
              <w:rPr>
                <w:sz w:val="28"/>
                <w:szCs w:val="28"/>
                <w:vertAlign w:val="superscript"/>
              </w:rPr>
              <w:t>4+</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459.1</w:t>
            </w:r>
          </w:p>
        </w:tc>
      </w:tr>
      <w:tr w:rsidR="00E17FE1">
        <w:trPr>
          <w:trHeight w:val="50"/>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w:t>
            </w:r>
            <w:r>
              <w:rPr>
                <w:sz w:val="28"/>
                <w:szCs w:val="28"/>
                <w:vertAlign w:val="superscript"/>
              </w:rPr>
              <w:t>2+</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454.8</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w:t>
            </w:r>
            <w:r>
              <w:rPr>
                <w:sz w:val="28"/>
                <w:szCs w:val="28"/>
                <w:vertAlign w:val="superscript"/>
              </w:rPr>
              <w:t>2+</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458.3</w:t>
            </w:r>
          </w:p>
        </w:tc>
      </w:tr>
      <w:tr w:rsidR="00E17FE1">
        <w:trPr>
          <w:trHeight w:val="50"/>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Ti-C</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453.7</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Ti-C</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456.9</w:t>
            </w:r>
          </w:p>
        </w:tc>
      </w:tr>
      <w:tr w:rsidR="00E17FE1">
        <w:trPr>
          <w:trHeight w:val="50"/>
        </w:trPr>
        <w:tc>
          <w:tcPr>
            <w:tcW w:w="0" w:type="auto"/>
            <w:vMerge/>
            <w:tcBorders>
              <w:top w:val="single" w:sz="4" w:space="0" w:color="auto"/>
              <w:left w:val="single" w:sz="4" w:space="0" w:color="auto"/>
              <w:bottom w:val="single" w:sz="4" w:space="0" w:color="auto"/>
              <w:right w:val="single" w:sz="4" w:space="0" w:color="auto"/>
            </w:tcBorders>
            <w:vAlign w:val="center"/>
          </w:tcPr>
          <w:p w:rsidR="00E17FE1" w:rsidRDefault="00E17FE1">
            <w:pPr>
              <w:pStyle w:val="TAMainText"/>
              <w:spacing w:line="240" w:lineRule="auto"/>
              <w:jc w:val="center"/>
              <w:rPr>
                <w:sz w:val="28"/>
                <w:szCs w:val="28"/>
              </w:rPr>
            </w:pPr>
          </w:p>
        </w:tc>
        <w:tc>
          <w:tcPr>
            <w:tcW w:w="1669"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Ti-O</w:t>
            </w:r>
          </w:p>
        </w:tc>
        <w:tc>
          <w:tcPr>
            <w:tcW w:w="1653"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457.2</w:t>
            </w:r>
          </w:p>
        </w:tc>
        <w:tc>
          <w:tcPr>
            <w:tcW w:w="212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Ti-O</w:t>
            </w:r>
          </w:p>
        </w:tc>
        <w:tc>
          <w:tcPr>
            <w:tcW w:w="1757" w:type="dxa"/>
            <w:tcBorders>
              <w:top w:val="single" w:sz="4" w:space="0" w:color="auto"/>
              <w:left w:val="single" w:sz="4" w:space="0" w:color="auto"/>
              <w:bottom w:val="single" w:sz="4" w:space="0" w:color="auto"/>
              <w:right w:val="single" w:sz="4" w:space="0" w:color="auto"/>
            </w:tcBorders>
            <w:vAlign w:val="center"/>
          </w:tcPr>
          <w:p w:rsidR="00E17FE1" w:rsidRDefault="00BB58D7">
            <w:pPr>
              <w:pStyle w:val="TAMainText"/>
              <w:spacing w:line="240" w:lineRule="auto"/>
              <w:jc w:val="center"/>
              <w:rPr>
                <w:sz w:val="28"/>
                <w:szCs w:val="28"/>
              </w:rPr>
            </w:pPr>
            <w:r>
              <w:rPr>
                <w:sz w:val="28"/>
                <w:szCs w:val="28"/>
              </w:rPr>
              <w:t>460.0</w:t>
            </w:r>
          </w:p>
        </w:tc>
      </w:tr>
    </w:tbl>
    <w:p w:rsidR="00E17FE1" w:rsidRDefault="00E17FE1">
      <w:pPr>
        <w:spacing w:after="0" w:line="240" w:lineRule="auto"/>
        <w:ind w:firstLine="567"/>
        <w:jc w:val="both"/>
        <w:rPr>
          <w:rFonts w:ascii="Times New Roman" w:hAnsi="Times New Roman" w:cs="Times New Roman"/>
          <w:sz w:val="28"/>
          <w:szCs w:val="28"/>
        </w:rPr>
      </w:pPr>
    </w:p>
    <w:p w:rsidR="00E17FE1" w:rsidRDefault="00025A8F">
      <w:pPr>
        <w:spacing w:after="0" w:line="240" w:lineRule="auto"/>
        <w:ind w:firstLine="567"/>
        <w:jc w:val="both"/>
        <w:rPr>
          <w:rFonts w:ascii="Times New Roman" w:hAnsi="Times New Roman" w:cs="Times New Roman"/>
          <w:sz w:val="28"/>
          <w:szCs w:val="28"/>
        </w:rPr>
      </w:pPr>
      <w:r w:rsidRPr="00025A8F">
        <w:rPr>
          <w:rFonts w:ascii="Times New Roman" w:hAnsi="Times New Roman"/>
          <w:sz w:val="28"/>
          <w:szCs w:val="28"/>
        </w:rPr>
        <w:t>Положительный сдвиг линии Ti 2p на 3,0–3,5 эВ в композите БЦ/ГАП/MXene указывает на системное изменение локальной электростатической среды на поверхности MXene</w:t>
      </w:r>
      <w:r w:rsidR="00BB58D7">
        <w:rPr>
          <w:rFonts w:ascii="Times New Roman" w:hAnsi="Times New Roman"/>
          <w:sz w:val="28"/>
          <w:szCs w:val="28"/>
        </w:rPr>
        <w:t xml:space="preserve">, что согласуется с формированием интерфейсного диполя или изменением работы выхода при взаимодействии с гидроксиапатитом. Эта интерпретация подтверждается небольшим увеличением спин-орбитального расщепления с 5,3 до 5,8 эВ, что свидетельствует об усилении поляризации. </w:t>
      </w:r>
      <w:r w:rsidR="00BB58D7">
        <w:rPr>
          <w:rFonts w:ascii="Times New Roman" w:hAnsi="Times New Roman" w:cs="Times New Roman"/>
          <w:sz w:val="28"/>
          <w:szCs w:val="28"/>
        </w:rPr>
        <w:t xml:space="preserve">Важно отметить, что ГАП, по-видимому, модулирует процесс окисления, а не предотвращает его полностью. </w:t>
      </w:r>
      <w:r w:rsidR="00BB58D7">
        <w:rPr>
          <w:rFonts w:ascii="Times New Roman" w:hAnsi="Times New Roman"/>
          <w:sz w:val="28"/>
          <w:szCs w:val="28"/>
        </w:rPr>
        <w:t xml:space="preserve">Снижение интенсивности сигнала Ti–C указывает на частичное окисление MXene, однако формирование интерфейсных координационных связей Ti–O–P с фосфатными группами гидроксиапатита стабилизирует образующиеся окисленные состояния титана. </w:t>
      </w:r>
      <w:r w:rsidR="00BB58D7">
        <w:rPr>
          <w:rFonts w:ascii="Times New Roman" w:hAnsi="Times New Roman" w:cs="Times New Roman"/>
          <w:sz w:val="28"/>
          <w:szCs w:val="28"/>
        </w:rPr>
        <w:t>Этот механизм стабилизации, дополненный доказательством успешной химической интеграции с помощью ИК-Фурье спектроскопии (Рисунок 22), позволяет композиту сохранять функциональные окислительно-восстановительные активные участки, что, как ожидается, будет способствовать устойчивой антибиопленочной активности материала.</w:t>
      </w:r>
    </w:p>
    <w:p w:rsidR="00E17FE1" w:rsidRDefault="00BB58D7">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Рентгеновская дифрактограмма чистой БЦ (красная кривая) демонстрирует типичные для целлюлозы I отражения при 2θ = 14,3° ((¯110)), 16,6° ((110)) и 22,5° ((200)), это согласуется литературными данными [230].</w:t>
      </w:r>
      <w:proofErr w:type="gramEnd"/>
      <w:r>
        <w:rPr>
          <w:rFonts w:ascii="Times New Roman" w:hAnsi="Times New Roman" w:cs="Times New Roman"/>
          <w:sz w:val="28"/>
          <w:szCs w:val="28"/>
        </w:rPr>
        <w:t xml:space="preserve"> Наличие этих пиков указывает на выраженную степень кристалличности БЦ и хорошо упорядоченную структуру микрофибрилл. Наиболее выраженный пик при ~22,5° ((200)) соответствует межцепочечным расстояниям в упорядоченных слоях целлюлозы и отражает степень её кристалличности. Дифрактограмма композита БЦ/MXene (</w:t>
      </w:r>
      <w:proofErr w:type="gramStart"/>
      <w:r>
        <w:rPr>
          <w:rFonts w:ascii="Times New Roman" w:hAnsi="Times New Roman" w:cs="Times New Roman"/>
          <w:sz w:val="28"/>
          <w:szCs w:val="28"/>
        </w:rPr>
        <w:t>синяя</w:t>
      </w:r>
      <w:proofErr w:type="gramEnd"/>
      <w:r>
        <w:rPr>
          <w:rFonts w:ascii="Times New Roman" w:hAnsi="Times New Roman" w:cs="Times New Roman"/>
          <w:sz w:val="28"/>
          <w:szCs w:val="28"/>
        </w:rPr>
        <w:t xml:space="preserve">) демонстрирует сохранение кристаллической структуры БЦ. Однако пики БЦ демонстрируют небольшое </w:t>
      </w:r>
      <w:r>
        <w:rPr>
          <w:rFonts w:ascii="Times New Roman" w:hAnsi="Times New Roman" w:cs="Times New Roman"/>
          <w:sz w:val="28"/>
          <w:szCs w:val="28"/>
        </w:rPr>
        <w:lastRenderedPageBreak/>
        <w:t xml:space="preserve">расширение и сдвиг в сторону больших углов (например, пик (200)), это указывает на уменьшение размера кристаллитов и сжатие элементарной ячейки БЦ из-за межфазного напряжения, вызванного </w:t>
      </w:r>
      <w:proofErr w:type="gramStart"/>
      <w:r>
        <w:rPr>
          <w:rFonts w:ascii="Times New Roman" w:hAnsi="Times New Roman" w:cs="Times New Roman"/>
          <w:sz w:val="28"/>
          <w:szCs w:val="28"/>
        </w:rPr>
        <w:t>включенным</w:t>
      </w:r>
      <w:proofErr w:type="gramEnd"/>
      <w:r>
        <w:rPr>
          <w:rFonts w:ascii="Times New Roman" w:hAnsi="Times New Roman" w:cs="Times New Roman"/>
          <w:sz w:val="28"/>
          <w:szCs w:val="28"/>
        </w:rPr>
        <w:t xml:space="preserve"> MXene. </w:t>
      </w:r>
    </w:p>
    <w:p w:rsidR="00E17FE1" w:rsidRDefault="00BB58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 присутствие MXene указывают малоинтенсивные, широкие пики при ~10,4° (002) и ~35,7° (111), что соответствует низкой массовой доле (~5 мас.%) и частично неупорядоченной или расслоенной структуре.</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jc w:val="both"/>
        <w:rPr>
          <w:rFonts w:ascii="Times New Roman" w:hAnsi="Times New Roman" w:cs="Times New Roman"/>
          <w:sz w:val="28"/>
          <w:szCs w:val="28"/>
          <w:lang w:val="en-US"/>
        </w:rPr>
      </w:pPr>
      <w:r>
        <w:rPr>
          <w:rFonts w:ascii="Times New Roman" w:hAnsi="Times New Roman" w:cs="Times New Roman"/>
          <w:noProof/>
          <w:sz w:val="28"/>
          <w:szCs w:val="28"/>
          <w:lang w:eastAsia="ru-RU"/>
        </w:rPr>
        <w:drawing>
          <wp:inline distT="0" distB="0" distL="0" distR="0">
            <wp:extent cx="5935980" cy="2879725"/>
            <wp:effectExtent l="19050" t="0" r="7390" b="0"/>
            <wp:docPr id="18407353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35346" name="Picture 5"/>
                    <pic:cNvPicPr>
                      <a:picLocks noChangeAspect="1" noChangeArrowheads="1"/>
                    </pic:cNvPicPr>
                  </pic:nvPicPr>
                  <pic:blipFill>
                    <a:blip r:embed="rId35"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31451" cy="2877525"/>
                    </a:xfrm>
                    <a:prstGeom prst="rect">
                      <a:avLst/>
                    </a:prstGeom>
                    <a:noFill/>
                    <a:ln>
                      <a:noFill/>
                    </a:ln>
                  </pic:spPr>
                </pic:pic>
              </a:graphicData>
            </a:graphic>
          </wp:inline>
        </w:drawing>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Рисунок 24</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Рентгеновские дифракционные картины (XRD) чистой бактериальной целлюлозы (БЦ), БЦ/MXene и композитов БЦ/ГА/MXene</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Дифракционная картина тройного композита БЦ/ГА/MXene (зелёный) характеризуется многочисленными острыми, хорошо выраженными дифракционными пиками, относящимися исключительно к высококристаллической фазе ГАП. Ключевые отражения ГАП (</w:t>
      </w:r>
      <w:r>
        <w:rPr>
          <w:rFonts w:ascii="Times New Roman" w:hAnsi="Times New Roman" w:cs="Times New Roman"/>
          <w:sz w:val="28"/>
          <w:szCs w:val="28"/>
          <w:lang w:val="en-US"/>
        </w:rPr>
        <w:t>JCPDS</w:t>
      </w:r>
      <w:r>
        <w:rPr>
          <w:rFonts w:ascii="Times New Roman" w:hAnsi="Times New Roman" w:cs="Times New Roman"/>
          <w:sz w:val="28"/>
          <w:szCs w:val="28"/>
        </w:rPr>
        <w:t xml:space="preserve"> #09-0432) наблюдаются при 2</w:t>
      </w:r>
      <w:r>
        <w:rPr>
          <w:rFonts w:ascii="Times New Roman" w:hAnsi="Times New Roman" w:cs="Times New Roman"/>
          <w:sz w:val="28"/>
          <w:szCs w:val="28"/>
          <w:lang w:val="en-US"/>
        </w:rPr>
        <w:t>θ</w:t>
      </w:r>
      <w:r>
        <w:rPr>
          <w:rFonts w:ascii="Times New Roman" w:hAnsi="Times New Roman" w:cs="Times New Roman"/>
          <w:sz w:val="28"/>
          <w:szCs w:val="28"/>
        </w:rPr>
        <w:t xml:space="preserve"> = 25,9° (002), 31,8° (211), 32,9° (300) и 34,0° (202). При этом характерные пики БЦ остаются различимыми, хотя их интенсивность частично перекрываются дифракционными сигналами ГАП, что может свидетельствовать о равномерном распределении неорганической фазы в органической матрице.</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right="-1" w:firstLine="567"/>
        <w:jc w:val="both"/>
        <w:rPr>
          <w:rFonts w:ascii="Times New Roman" w:hAnsi="Times New Roman" w:cs="Times New Roman"/>
          <w:b/>
          <w:bCs/>
          <w:sz w:val="28"/>
          <w:szCs w:val="28"/>
        </w:rPr>
      </w:pPr>
      <w:r>
        <w:rPr>
          <w:rFonts w:ascii="Times New Roman" w:eastAsia="DejaVu Sans" w:hAnsi="Times New Roman" w:cs="Times New Roman"/>
          <w:b/>
          <w:bCs/>
          <w:sz w:val="28"/>
          <w:szCs w:val="28"/>
          <w:lang w:eastAsia="zh-CN" w:bidi="hi-IN"/>
        </w:rPr>
        <w:t>3.2</w:t>
      </w:r>
      <w:r>
        <w:rPr>
          <w:rFonts w:ascii="Times New Roman" w:hAnsi="Times New Roman" w:cs="Times New Roman"/>
          <w:b/>
          <w:bCs/>
          <w:sz w:val="28"/>
          <w:szCs w:val="28"/>
        </w:rPr>
        <w:t xml:space="preserve">.2 </w:t>
      </w:r>
      <w:r>
        <w:rPr>
          <w:rFonts w:ascii="Times New Roman" w:hAnsi="Times New Roman"/>
          <w:b/>
          <w:bCs/>
          <w:sz w:val="28"/>
          <w:szCs w:val="28"/>
        </w:rPr>
        <w:t>Морфология и микроструктура</w:t>
      </w:r>
      <w:r>
        <w:rPr>
          <w:rFonts w:ascii="Times New Roman" w:hAnsi="Times New Roman" w:cs="Times New Roman"/>
          <w:b/>
          <w:bCs/>
          <w:sz w:val="28"/>
          <w:szCs w:val="28"/>
        </w:rPr>
        <w:t xml:space="preserve">  композитных материалов</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Структурно-морфологические характеристки  исследуемых  образцов БЦ/MXene и  БЦ/ГАП/</w:t>
      </w:r>
      <w:r>
        <w:rPr>
          <w:rFonts w:ascii="Times New Roman" w:hAnsi="Times New Roman" w:cs="Times New Roman"/>
          <w:sz w:val="28"/>
          <w:szCs w:val="28"/>
          <w:lang w:val="en-US"/>
        </w:rPr>
        <w:t>Mxene</w:t>
      </w:r>
      <w:r>
        <w:rPr>
          <w:rFonts w:ascii="Times New Roman" w:hAnsi="Times New Roman" w:cs="Times New Roman"/>
          <w:sz w:val="28"/>
          <w:szCs w:val="28"/>
          <w:lang w:val="kk-KZ"/>
        </w:rPr>
        <w:t xml:space="preserve"> </w:t>
      </w:r>
      <w:r>
        <w:rPr>
          <w:rFonts w:ascii="Times New Roman" w:hAnsi="Times New Roman" w:cs="Times New Roman"/>
          <w:sz w:val="28"/>
          <w:szCs w:val="28"/>
        </w:rPr>
        <w:t>была исследована  методами  сканирующей электронной микроскопии (СЭМ) с ЭДС-анализом и  просвечивающей  электронной микроскопии  (ПЭМ) с применением картирования распределения  элементного состава по исследуемой поверхности.</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Микрофотография БЦ/</w:t>
      </w:r>
      <w:r>
        <w:rPr>
          <w:rFonts w:ascii="Times New Roman" w:hAnsi="Times New Roman" w:cs="Times New Roman"/>
          <w:sz w:val="28"/>
          <w:szCs w:val="28"/>
          <w:lang w:val="en-US"/>
        </w:rPr>
        <w:t>Mxene</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с помощью сканирующей электронной микроскопии (СЭМ) </w:t>
      </w:r>
      <w:r>
        <w:rPr>
          <w:rFonts w:ascii="Times New Roman" w:hAnsi="Times New Roman" w:cs="Times New Roman"/>
          <w:sz w:val="28"/>
          <w:szCs w:val="28"/>
          <w:lang w:val="kk-KZ"/>
        </w:rPr>
        <w:t>представлен</w:t>
      </w:r>
      <w:r>
        <w:rPr>
          <w:rFonts w:ascii="Times New Roman" w:hAnsi="Times New Roman" w:cs="Times New Roman"/>
          <w:sz w:val="28"/>
          <w:szCs w:val="28"/>
        </w:rPr>
        <w:t>а</w:t>
      </w:r>
      <w:r>
        <w:rPr>
          <w:rFonts w:ascii="Times New Roman" w:hAnsi="Times New Roman" w:cs="Times New Roman"/>
          <w:sz w:val="28"/>
          <w:szCs w:val="28"/>
          <w:lang w:val="kk-KZ"/>
        </w:rPr>
        <w:t xml:space="preserve"> на рисунке 25</w:t>
      </w:r>
      <w:r>
        <w:rPr>
          <w:rFonts w:ascii="Times New Roman" w:hAnsi="Times New Roman" w:cs="Times New Roman"/>
          <w:sz w:val="28"/>
          <w:szCs w:val="28"/>
        </w:rPr>
        <w:t xml:space="preserve">.  </w:t>
      </w:r>
    </w:p>
    <w:p w:rsidR="00E17FE1" w:rsidRDefault="00E17FE1">
      <w:pPr>
        <w:spacing w:after="0" w:line="240" w:lineRule="auto"/>
        <w:ind w:firstLine="567"/>
        <w:jc w:val="both"/>
        <w:rPr>
          <w:rFonts w:ascii="Times New Roman" w:hAnsi="Times New Roman" w:cs="Times New Roman"/>
          <w:sz w:val="28"/>
          <w:szCs w:val="28"/>
        </w:rPr>
      </w:pPr>
    </w:p>
    <w:p w:rsidR="00E17FE1" w:rsidRDefault="00BC45C9">
      <w:pPr>
        <w:spacing w:after="0" w:line="240" w:lineRule="auto"/>
        <w:ind w:firstLine="567"/>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4331322" cy="2704289"/>
            <wp:effectExtent l="19050" t="0" r="0" b="0"/>
            <wp:docPr id="12" name="Рисунок 12" descr="C:\Users\sava\Desktop\12_0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ava\Desktop\12_09.tif"/>
                    <pic:cNvPicPr>
                      <a:picLocks noChangeAspect="1" noChangeArrowheads="1"/>
                    </pic:cNvPicPr>
                  </pic:nvPicPr>
                  <pic:blipFill>
                    <a:blip r:embed="rId36" cstate="print"/>
                    <a:srcRect/>
                    <a:stretch>
                      <a:fillRect/>
                    </a:stretch>
                  </pic:blipFill>
                  <pic:spPr bwMode="auto">
                    <a:xfrm>
                      <a:off x="0" y="0"/>
                      <a:ext cx="4331322" cy="2704289"/>
                    </a:xfrm>
                    <a:prstGeom prst="rect">
                      <a:avLst/>
                    </a:prstGeom>
                    <a:noFill/>
                    <a:ln w="9525">
                      <a:noFill/>
                      <a:miter lim="800000"/>
                      <a:headEnd/>
                      <a:tailEnd/>
                    </a:ln>
                  </pic:spPr>
                </pic:pic>
              </a:graphicData>
            </a:graphic>
          </wp:inline>
        </w:drawing>
      </w:r>
    </w:p>
    <w:p w:rsidR="00E17FE1" w:rsidRDefault="00E17FE1">
      <w:pPr>
        <w:spacing w:after="0" w:line="240" w:lineRule="auto"/>
        <w:ind w:firstLine="567"/>
        <w:jc w:val="center"/>
        <w:rPr>
          <w:rFonts w:ascii="Times New Roman" w:hAnsi="Times New Roman" w:cs="Times New Roman"/>
          <w:sz w:val="28"/>
          <w:szCs w:val="28"/>
        </w:rPr>
      </w:pPr>
    </w:p>
    <w:p w:rsidR="00E17FE1" w:rsidRDefault="00BB58D7">
      <w:pPr>
        <w:spacing w:after="0" w:line="240" w:lineRule="auto"/>
        <w:ind w:firstLine="567"/>
        <w:jc w:val="center"/>
        <w:rPr>
          <w:rFonts w:ascii="Times New Roman" w:hAnsi="Times New Roman" w:cs="Times New Roman"/>
          <w:sz w:val="28"/>
          <w:szCs w:val="28"/>
        </w:rPr>
      </w:pPr>
      <w:r w:rsidRPr="00BC45C9">
        <w:rPr>
          <w:rFonts w:ascii="Times New Roman" w:hAnsi="Times New Roman" w:cs="Times New Roman"/>
          <w:sz w:val="28"/>
          <w:szCs w:val="28"/>
        </w:rPr>
        <w:t>Рисунок 25</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proofErr w:type="gramStart"/>
      <w:r w:rsidRPr="00BC45C9">
        <w:rPr>
          <w:rFonts w:ascii="Times New Roman" w:hAnsi="Times New Roman" w:cs="Times New Roman"/>
          <w:sz w:val="28"/>
          <w:szCs w:val="28"/>
        </w:rPr>
        <w:t>СЭМ-изображения</w:t>
      </w:r>
      <w:proofErr w:type="gramEnd"/>
      <w:r w:rsidRPr="00BC45C9">
        <w:rPr>
          <w:rFonts w:ascii="Times New Roman" w:hAnsi="Times New Roman" w:cs="Times New Roman"/>
          <w:sz w:val="28"/>
          <w:szCs w:val="28"/>
        </w:rPr>
        <w:t xml:space="preserve"> поверхности композита БЦ/MXene</w:t>
      </w:r>
    </w:p>
    <w:p w:rsidR="00E17FE1" w:rsidRDefault="00E17FE1">
      <w:pPr>
        <w:spacing w:after="0" w:line="240" w:lineRule="auto"/>
        <w:ind w:right="-1" w:firstLine="567"/>
        <w:jc w:val="both"/>
        <w:rPr>
          <w:rFonts w:ascii="Times New Roman" w:hAnsi="Times New Roman" w:cs="Times New Roman"/>
          <w:sz w:val="28"/>
          <w:szCs w:val="28"/>
        </w:rPr>
      </w:pPr>
    </w:p>
    <w:p w:rsidR="00E17FE1" w:rsidRDefault="00BB58D7">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СЭМ-изображение поверхности композита БЦ/MXene демонстрирует сохранённую нанофибриллярную структуру БЦ. На поверхности матрицы отчётливо видны пластинчатые фрагменты Ti</w:t>
      </w:r>
      <w:r>
        <w:rPr>
          <w:rFonts w:ascii="Cambria Math" w:hAnsi="Cambria Math" w:cs="Cambria Math"/>
          <w:sz w:val="28"/>
          <w:szCs w:val="28"/>
        </w:rPr>
        <w:t>₃</w:t>
      </w:r>
      <w:r>
        <w:rPr>
          <w:rFonts w:ascii="Times New Roman" w:hAnsi="Times New Roman" w:cs="Times New Roman"/>
          <w:sz w:val="28"/>
          <w:szCs w:val="28"/>
        </w:rPr>
        <w:t>C</w:t>
      </w:r>
      <w:r>
        <w:rPr>
          <w:rFonts w:ascii="Cambria Math" w:hAnsi="Cambria Math" w:cs="Cambria Math"/>
          <w:sz w:val="28"/>
          <w:szCs w:val="28"/>
        </w:rPr>
        <w:t>₂</w:t>
      </w:r>
      <w:r>
        <w:rPr>
          <w:rFonts w:ascii="Times New Roman" w:hAnsi="Times New Roman" w:cs="Times New Roman"/>
          <w:sz w:val="28"/>
          <w:szCs w:val="28"/>
        </w:rPr>
        <w:t xml:space="preserve">Tₓ-MXene размером около 85–290 нм, распределённые кластерами вдоль нановолокон БЦ. Ранее аналогичная пространственная организация в гибридных плёнках БЦ/MXene описана в работе </w:t>
      </w:r>
      <w:r>
        <w:rPr>
          <w:rFonts w:ascii="Times New Roman" w:hAnsi="Times New Roman" w:cs="Times New Roman"/>
          <w:sz w:val="28"/>
          <w:szCs w:val="28"/>
          <w:lang w:val="en-US"/>
        </w:rPr>
        <w:t>Mao</w:t>
      </w:r>
      <w:r>
        <w:rPr>
          <w:rFonts w:ascii="Times New Roman" w:hAnsi="Times New Roman" w:cs="Times New Roman"/>
          <w:sz w:val="28"/>
          <w:szCs w:val="28"/>
        </w:rPr>
        <w:t xml:space="preserve"> и соавт., где подобная морфология обеспечивала усиление электропроводящих и адсорбционных свойств [108].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Фотография  СЭМ микроструктуры  композита БЦ/ГАП/</w:t>
      </w:r>
      <w:r>
        <w:rPr>
          <w:rFonts w:ascii="Times New Roman" w:hAnsi="Times New Roman" w:cs="Times New Roman"/>
          <w:sz w:val="28"/>
          <w:szCs w:val="28"/>
          <w:lang w:val="en-US"/>
        </w:rPr>
        <w:t>Mxene</w:t>
      </w:r>
      <w:r>
        <w:rPr>
          <w:rFonts w:ascii="Times New Roman" w:hAnsi="Times New Roman" w:cs="Times New Roman"/>
          <w:sz w:val="28"/>
          <w:szCs w:val="28"/>
        </w:rPr>
        <w:t xml:space="preserve">  представлена  на  рисунке Х в </w:t>
      </w:r>
      <w:r>
        <w:rPr>
          <w:rFonts w:ascii="Times New Roman" w:hAnsi="Times New Roman" w:cs="Times New Roman"/>
          <w:sz w:val="28"/>
          <w:szCs w:val="28"/>
          <w:lang w:val="kk-KZ"/>
        </w:rPr>
        <w:t xml:space="preserve">разделе </w:t>
      </w:r>
      <w:r>
        <w:rPr>
          <w:rFonts w:ascii="Times New Roman" w:hAnsi="Times New Roman" w:cs="Times New Roman"/>
          <w:sz w:val="28"/>
          <w:szCs w:val="28"/>
        </w:rPr>
        <w:t>3.2. Согласно этим данным, композит БЦ/ГАП/MXene характеризуется развитой нанофибриллярной структурой с включениями ГАП и нанопластинами MXene размером 80–285 нм. Оба компонента равномерно внедрены в матрицу БЦ без формирования крупных агрегатов.</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sz w:val="28"/>
          <w:szCs w:val="28"/>
        </w:rPr>
        <w:t xml:space="preserve">Для подтверждения состава и распределения элементов в материалах была проведена </w:t>
      </w:r>
      <w:r>
        <w:rPr>
          <w:rFonts w:ascii="Times New Roman" w:hAnsi="Times New Roman" w:cs="Times New Roman"/>
          <w:sz w:val="28"/>
          <w:szCs w:val="28"/>
        </w:rPr>
        <w:t xml:space="preserve"> энергодисперсионная рентгеновская спектроскопия (ЭДС) (таблица 6).  </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rsidP="00025A8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Таблица 6</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Результаты анализа ЭДС </w:t>
      </w:r>
    </w:p>
    <w:p w:rsidR="00E17FE1" w:rsidRDefault="00E17FE1">
      <w:pPr>
        <w:spacing w:after="0" w:line="240" w:lineRule="auto"/>
        <w:ind w:firstLine="567"/>
        <w:jc w:val="both"/>
        <w:rPr>
          <w:rFonts w:ascii="Times New Roman" w:hAnsi="Times New Roman" w:cs="Times New Roman"/>
          <w:sz w:val="28"/>
          <w:szCs w:val="28"/>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946"/>
        <w:gridCol w:w="768"/>
        <w:gridCol w:w="830"/>
        <w:gridCol w:w="992"/>
        <w:gridCol w:w="812"/>
        <w:gridCol w:w="1031"/>
        <w:gridCol w:w="992"/>
        <w:gridCol w:w="954"/>
        <w:gridCol w:w="1031"/>
      </w:tblGrid>
      <w:tr w:rsidR="00E17FE1">
        <w:trPr>
          <w:trHeight w:val="377"/>
        </w:trPr>
        <w:tc>
          <w:tcPr>
            <w:tcW w:w="1946"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lang w:val="ru-RU"/>
              </w:rPr>
            </w:pPr>
            <w:r w:rsidRPr="004764F9">
              <w:rPr>
                <w:rFonts w:ascii="Times New Roman" w:hAnsi="Times New Roman"/>
                <w:bCs/>
                <w:sz w:val="28"/>
                <w:szCs w:val="28"/>
                <w:lang w:val="ru-RU"/>
              </w:rPr>
              <w:t>Элемент</w:t>
            </w:r>
          </w:p>
        </w:tc>
        <w:tc>
          <w:tcPr>
            <w:tcW w:w="768" w:type="dxa"/>
            <w:shd w:val="clear" w:color="auto" w:fill="auto"/>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C</w:t>
            </w:r>
          </w:p>
        </w:tc>
        <w:tc>
          <w:tcPr>
            <w:tcW w:w="830"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O</w:t>
            </w:r>
          </w:p>
        </w:tc>
        <w:tc>
          <w:tcPr>
            <w:tcW w:w="992"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F</w:t>
            </w:r>
          </w:p>
        </w:tc>
        <w:tc>
          <w:tcPr>
            <w:tcW w:w="812"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Na</w:t>
            </w:r>
          </w:p>
        </w:tc>
        <w:tc>
          <w:tcPr>
            <w:tcW w:w="1031"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P</w:t>
            </w:r>
          </w:p>
        </w:tc>
        <w:tc>
          <w:tcPr>
            <w:tcW w:w="992"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Ca</w:t>
            </w:r>
          </w:p>
        </w:tc>
        <w:tc>
          <w:tcPr>
            <w:tcW w:w="954"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Ti</w:t>
            </w:r>
          </w:p>
        </w:tc>
        <w:tc>
          <w:tcPr>
            <w:tcW w:w="1031" w:type="dxa"/>
            <w:vAlign w:val="center"/>
          </w:tcPr>
          <w:p w:rsidR="00E17FE1" w:rsidRPr="004764F9" w:rsidRDefault="00BB58D7" w:rsidP="00025A8F">
            <w:pPr>
              <w:pStyle w:val="VAFigureCaption"/>
              <w:spacing w:after="0" w:line="240" w:lineRule="auto"/>
              <w:jc w:val="center"/>
              <w:rPr>
                <w:rFonts w:ascii="Times New Roman" w:hAnsi="Times New Roman"/>
                <w:bCs/>
                <w:sz w:val="28"/>
                <w:szCs w:val="28"/>
              </w:rPr>
            </w:pPr>
            <w:r w:rsidRPr="004764F9">
              <w:rPr>
                <w:rFonts w:ascii="Times New Roman" w:hAnsi="Times New Roman"/>
                <w:bCs/>
                <w:sz w:val="28"/>
                <w:szCs w:val="28"/>
              </w:rPr>
              <w:t>Fe</w:t>
            </w:r>
          </w:p>
        </w:tc>
      </w:tr>
      <w:tr w:rsidR="00E17FE1">
        <w:trPr>
          <w:trHeight w:val="449"/>
        </w:trPr>
        <w:tc>
          <w:tcPr>
            <w:tcW w:w="1946" w:type="dxa"/>
            <w:vAlign w:val="center"/>
          </w:tcPr>
          <w:p w:rsidR="00E17FE1" w:rsidRDefault="00BB58D7" w:rsidP="00025A8F">
            <w:pPr>
              <w:pStyle w:val="VAFigureCaption"/>
              <w:spacing w:after="0" w:line="240" w:lineRule="auto"/>
              <w:jc w:val="center"/>
              <w:rPr>
                <w:rFonts w:ascii="Times New Roman" w:hAnsi="Times New Roman"/>
                <w:sz w:val="28"/>
                <w:szCs w:val="28"/>
                <w:lang w:val="ru-RU"/>
              </w:rPr>
            </w:pPr>
            <w:r>
              <w:rPr>
                <w:rFonts w:ascii="Times New Roman" w:hAnsi="Times New Roman"/>
                <w:sz w:val="28"/>
                <w:szCs w:val="28"/>
                <w:lang w:val="ru-RU"/>
              </w:rPr>
              <w:t>БЦ</w:t>
            </w:r>
            <w:r>
              <w:rPr>
                <w:rFonts w:ascii="Times New Roman" w:hAnsi="Times New Roman"/>
                <w:sz w:val="28"/>
                <w:szCs w:val="28"/>
              </w:rPr>
              <w:t>/MXene</w:t>
            </w:r>
            <w:r>
              <w:rPr>
                <w:rFonts w:ascii="Times New Roman" w:hAnsi="Times New Roman"/>
                <w:sz w:val="28"/>
                <w:szCs w:val="28"/>
                <w:lang w:val="ru-RU"/>
              </w:rPr>
              <w:t xml:space="preserve"> </w:t>
            </w:r>
            <w:r>
              <w:rPr>
                <w:rFonts w:ascii="Times New Roman" w:hAnsi="Times New Roman"/>
                <w:sz w:val="28"/>
                <w:szCs w:val="28"/>
              </w:rPr>
              <w:t>(мас</w:t>
            </w:r>
            <w:r>
              <w:rPr>
                <w:rStyle w:val="anegp0gi0b9av8jahpyh"/>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val="ru-RU"/>
              </w:rPr>
              <w:t>)</w:t>
            </w:r>
          </w:p>
        </w:tc>
        <w:tc>
          <w:tcPr>
            <w:tcW w:w="768" w:type="dxa"/>
            <w:shd w:val="clear" w:color="auto" w:fill="auto"/>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43.5</w:t>
            </w:r>
          </w:p>
        </w:tc>
        <w:tc>
          <w:tcPr>
            <w:tcW w:w="830"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54.7</w:t>
            </w:r>
          </w:p>
        </w:tc>
        <w:tc>
          <w:tcPr>
            <w:tcW w:w="99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81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0.2</w:t>
            </w:r>
          </w:p>
        </w:tc>
        <w:tc>
          <w:tcPr>
            <w:tcW w:w="1031"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99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954"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031"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0.2</w:t>
            </w:r>
          </w:p>
        </w:tc>
      </w:tr>
      <w:tr w:rsidR="00E17FE1">
        <w:trPr>
          <w:trHeight w:val="332"/>
        </w:trPr>
        <w:tc>
          <w:tcPr>
            <w:tcW w:w="1946" w:type="dxa"/>
            <w:vAlign w:val="center"/>
          </w:tcPr>
          <w:p w:rsidR="00E17FE1" w:rsidRDefault="00BB58D7" w:rsidP="00025A8F">
            <w:pPr>
              <w:pStyle w:val="VAFigureCaption"/>
              <w:spacing w:after="0" w:line="240" w:lineRule="auto"/>
              <w:jc w:val="center"/>
              <w:rPr>
                <w:rFonts w:ascii="Times New Roman" w:hAnsi="Times New Roman"/>
                <w:sz w:val="28"/>
                <w:szCs w:val="28"/>
              </w:rPr>
            </w:pPr>
            <w:r>
              <w:rPr>
                <w:rFonts w:ascii="Times New Roman" w:hAnsi="Times New Roman"/>
                <w:sz w:val="28"/>
                <w:szCs w:val="28"/>
                <w:lang w:val="ru-RU"/>
              </w:rPr>
              <w:t>БЦ</w:t>
            </w:r>
            <w:r>
              <w:rPr>
                <w:rFonts w:ascii="Times New Roman" w:hAnsi="Times New Roman"/>
                <w:sz w:val="28"/>
                <w:szCs w:val="28"/>
              </w:rPr>
              <w:t>/</w:t>
            </w:r>
          </w:p>
          <w:p w:rsidR="00E17FE1" w:rsidRDefault="00BB58D7" w:rsidP="00025A8F">
            <w:pPr>
              <w:pStyle w:val="VAFigureCaption"/>
              <w:spacing w:after="0" w:line="240" w:lineRule="auto"/>
              <w:jc w:val="center"/>
              <w:rPr>
                <w:rFonts w:ascii="Times New Roman" w:hAnsi="Times New Roman"/>
                <w:sz w:val="28"/>
                <w:szCs w:val="28"/>
                <w:lang w:val="ru-RU"/>
              </w:rPr>
            </w:pPr>
            <w:r>
              <w:rPr>
                <w:rFonts w:ascii="Times New Roman" w:hAnsi="Times New Roman"/>
                <w:sz w:val="28"/>
                <w:szCs w:val="28"/>
              </w:rPr>
              <w:t>MXene+</w:t>
            </w:r>
            <w:r>
              <w:rPr>
                <w:rFonts w:ascii="Times New Roman" w:hAnsi="Times New Roman"/>
                <w:sz w:val="28"/>
                <w:szCs w:val="28"/>
                <w:lang w:val="ru-RU"/>
              </w:rPr>
              <w:t>ГА</w:t>
            </w:r>
          </w:p>
          <w:p w:rsidR="00E17FE1" w:rsidRDefault="00BB58D7" w:rsidP="00025A8F">
            <w:pPr>
              <w:pStyle w:val="VAFigureCaption"/>
              <w:spacing w:after="0" w:line="240" w:lineRule="auto"/>
              <w:jc w:val="center"/>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wt</w:t>
            </w:r>
            <w:proofErr w:type="gramEnd"/>
            <w:r>
              <w:rPr>
                <w:rFonts w:ascii="Times New Roman" w:hAnsi="Times New Roman"/>
                <w:sz w:val="28"/>
                <w:szCs w:val="28"/>
              </w:rPr>
              <w:t>. %)</w:t>
            </w:r>
          </w:p>
        </w:tc>
        <w:tc>
          <w:tcPr>
            <w:tcW w:w="768" w:type="dxa"/>
            <w:shd w:val="clear" w:color="auto" w:fill="auto"/>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41.8</w:t>
            </w:r>
          </w:p>
        </w:tc>
        <w:tc>
          <w:tcPr>
            <w:tcW w:w="830"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54.2</w:t>
            </w:r>
          </w:p>
        </w:tc>
        <w:tc>
          <w:tcPr>
            <w:tcW w:w="99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81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0.4</w:t>
            </w:r>
          </w:p>
        </w:tc>
        <w:tc>
          <w:tcPr>
            <w:tcW w:w="1031"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0.6</w:t>
            </w:r>
          </w:p>
        </w:tc>
        <w:tc>
          <w:tcPr>
            <w:tcW w:w="99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w:t>
            </w:r>
          </w:p>
        </w:tc>
        <w:tc>
          <w:tcPr>
            <w:tcW w:w="954"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1031"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0.4</w:t>
            </w:r>
          </w:p>
        </w:tc>
      </w:tr>
      <w:tr w:rsidR="00E17FE1">
        <w:trPr>
          <w:trHeight w:val="332"/>
        </w:trPr>
        <w:tc>
          <w:tcPr>
            <w:tcW w:w="1946" w:type="dxa"/>
            <w:vAlign w:val="center"/>
          </w:tcPr>
          <w:p w:rsidR="00E17FE1" w:rsidRDefault="00BB58D7" w:rsidP="00025A8F">
            <w:pPr>
              <w:pStyle w:val="VAFigureCaption"/>
              <w:spacing w:after="0" w:line="240" w:lineRule="auto"/>
              <w:jc w:val="center"/>
              <w:rPr>
                <w:rFonts w:ascii="Times New Roman" w:hAnsi="Times New Roman"/>
                <w:sz w:val="28"/>
                <w:szCs w:val="28"/>
              </w:rPr>
            </w:pPr>
            <w:r>
              <w:rPr>
                <w:rStyle w:val="anegp0gi0b9av8jahpyh"/>
                <w:rFonts w:ascii="Times New Roman" w:hAnsi="Times New Roman"/>
                <w:sz w:val="28"/>
                <w:szCs w:val="28"/>
              </w:rPr>
              <w:t>Чистые</w:t>
            </w:r>
            <w:r>
              <w:rPr>
                <w:rFonts w:ascii="Times New Roman" w:hAnsi="Times New Roman"/>
                <w:sz w:val="28"/>
                <w:szCs w:val="28"/>
              </w:rPr>
              <w:t xml:space="preserve"> </w:t>
            </w:r>
            <w:r>
              <w:rPr>
                <w:rStyle w:val="anegp0gi0b9av8jahpyh"/>
                <w:rFonts w:ascii="Times New Roman" w:hAnsi="Times New Roman"/>
                <w:sz w:val="28"/>
                <w:szCs w:val="28"/>
              </w:rPr>
              <w:t>кластеры</w:t>
            </w:r>
            <w:r>
              <w:rPr>
                <w:rFonts w:ascii="Times New Roman" w:hAnsi="Times New Roman"/>
                <w:sz w:val="28"/>
                <w:szCs w:val="28"/>
              </w:rPr>
              <w:t xml:space="preserve"> </w:t>
            </w:r>
            <w:r>
              <w:rPr>
                <w:rStyle w:val="anegp0gi0b9av8jahpyh"/>
                <w:rFonts w:ascii="Times New Roman" w:hAnsi="Times New Roman"/>
                <w:sz w:val="28"/>
                <w:szCs w:val="28"/>
                <w:lang w:val="ru-RU"/>
              </w:rPr>
              <w:t>ГАП</w:t>
            </w:r>
            <w:r>
              <w:rPr>
                <w:rFonts w:ascii="Times New Roman" w:hAnsi="Times New Roman"/>
                <w:sz w:val="28"/>
                <w:szCs w:val="28"/>
              </w:rPr>
              <w:t xml:space="preserve"> (мас</w:t>
            </w:r>
            <w:r>
              <w:rPr>
                <w:rStyle w:val="anegp0gi0b9av8jahpyh"/>
                <w:rFonts w:ascii="Times New Roman" w:hAnsi="Times New Roman"/>
                <w:sz w:val="28"/>
                <w:szCs w:val="28"/>
              </w:rPr>
              <w:t>.</w:t>
            </w:r>
            <w:r>
              <w:rPr>
                <w:rStyle w:val="anegp0gi0b9av8jahpyh"/>
                <w:rFonts w:ascii="Times New Roman" w:hAnsi="Times New Roman"/>
                <w:sz w:val="28"/>
                <w:szCs w:val="28"/>
                <w:lang w:val="ru-RU"/>
              </w:rPr>
              <w:t xml:space="preserve"> </w:t>
            </w:r>
            <w:r>
              <w:rPr>
                <w:rFonts w:ascii="Times New Roman" w:hAnsi="Times New Roman"/>
                <w:sz w:val="28"/>
                <w:szCs w:val="28"/>
              </w:rPr>
              <w:t>%)</w:t>
            </w:r>
          </w:p>
        </w:tc>
        <w:tc>
          <w:tcPr>
            <w:tcW w:w="768" w:type="dxa"/>
            <w:shd w:val="clear" w:color="auto" w:fill="auto"/>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c>
          <w:tcPr>
            <w:tcW w:w="830"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41.0</w:t>
            </w:r>
          </w:p>
        </w:tc>
        <w:tc>
          <w:tcPr>
            <w:tcW w:w="99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81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0.5</w:t>
            </w:r>
          </w:p>
        </w:tc>
        <w:tc>
          <w:tcPr>
            <w:tcW w:w="1031"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18.5</w:t>
            </w:r>
          </w:p>
        </w:tc>
        <w:tc>
          <w:tcPr>
            <w:tcW w:w="992"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39.5</w:t>
            </w:r>
          </w:p>
        </w:tc>
        <w:tc>
          <w:tcPr>
            <w:tcW w:w="954"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0.0</w:t>
            </w:r>
          </w:p>
        </w:tc>
        <w:tc>
          <w:tcPr>
            <w:tcW w:w="1031" w:type="dxa"/>
          </w:tcPr>
          <w:p w:rsidR="00E17FE1" w:rsidRDefault="00BB58D7" w:rsidP="00025A8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0.0</w:t>
            </w:r>
          </w:p>
        </w:tc>
      </w:tr>
    </w:tbl>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Анализ ЭДС подтверждает фазу ГАП по высоким сигналам Ca, P и O (атомное соотношение Ca/P ≈ 1,65) и идентифицирует богатую титаном фазу MXene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 xml:space="preserve">Tx) по высокому содержанию Ti и связанному с ним F [231]. </w:t>
      </w:r>
      <w:r w:rsidRPr="00BC1637">
        <w:rPr>
          <w:rFonts w:ascii="Times New Roman" w:hAnsi="Times New Roman" w:cs="Times New Roman"/>
          <w:sz w:val="28"/>
          <w:szCs w:val="28"/>
        </w:rPr>
        <w:t>ЭДС подтверждает отсутствие Ca и P, в то время как карты элементов и точечный</w:t>
      </w:r>
      <w:r>
        <w:rPr>
          <w:rFonts w:ascii="Times New Roman" w:hAnsi="Times New Roman" w:cs="Times New Roman"/>
          <w:sz w:val="28"/>
          <w:szCs w:val="28"/>
        </w:rPr>
        <w:t xml:space="preserve"> анализ показывают однородную совместную локализацию титана (MXene)  в матрице. Этот анализ подтверждает целевые различия в составе: тройной композит сочетает в себе различные частицы ГАП с MXene в матрице БЦ, в то время как двойной композит образует однородную структуру MXene/БЦ.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sz w:val="28"/>
          <w:szCs w:val="28"/>
        </w:rPr>
        <w:t>Структурная организация и особенности взаимодействия фаз в композите БЦ/ГАП/MXene были изучены с помощью просвечивающей электронной микроскопии. Полученные данные ПЭМ подтверждают наличие связей между компонентами композита и раскрывают его иерархическую структуру.</w:t>
      </w:r>
      <w:r w:rsidR="00025A8F">
        <w:rPr>
          <w:rFonts w:ascii="Times New Roman" w:hAnsi="Times New Roman"/>
          <w:sz w:val="28"/>
          <w:szCs w:val="28"/>
        </w:rPr>
        <w:t xml:space="preserve"> </w:t>
      </w:r>
      <w:r>
        <w:rPr>
          <w:rFonts w:ascii="Times New Roman" w:hAnsi="Times New Roman" w:cs="Times New Roman"/>
          <w:sz w:val="28"/>
          <w:szCs w:val="28"/>
        </w:rPr>
        <w:t xml:space="preserve">На композитном </w:t>
      </w:r>
      <w:r>
        <w:rPr>
          <w:rFonts w:ascii="Times New Roman" w:hAnsi="Times New Roman" w:cs="Times New Roman"/>
          <w:sz w:val="28"/>
          <w:szCs w:val="28"/>
          <w:lang w:val="en-US"/>
        </w:rPr>
        <w:t>FIB</w:t>
      </w:r>
      <w:r>
        <w:rPr>
          <w:rFonts w:ascii="Times New Roman" w:hAnsi="Times New Roman" w:cs="Times New Roman"/>
          <w:sz w:val="28"/>
          <w:szCs w:val="28"/>
        </w:rPr>
        <w:t xml:space="preserve"> срезе визуализируется ламеллярная структура БЦ/MXene с внедренными частицами ГАП (размер агрегатов 200 – 500 нм) (Рисунок 26, </w:t>
      </w:r>
      <w:r>
        <w:rPr>
          <w:rFonts w:ascii="Times New Roman" w:hAnsi="Times New Roman" w:cs="Times New Roman"/>
          <w:sz w:val="28"/>
          <w:szCs w:val="28"/>
          <w:lang w:val="en-US"/>
        </w:rPr>
        <w:t>A</w:t>
      </w:r>
      <w:r>
        <w:rPr>
          <w:rFonts w:ascii="Times New Roman" w:hAnsi="Times New Roman" w:cs="Times New Roman"/>
          <w:sz w:val="28"/>
          <w:szCs w:val="28"/>
        </w:rPr>
        <w:t xml:space="preserve">). Прилагаемая карта </w:t>
      </w:r>
      <w:r>
        <w:rPr>
          <w:rFonts w:ascii="Times New Roman" w:hAnsi="Times New Roman" w:cs="Times New Roman"/>
          <w:sz w:val="28"/>
          <w:szCs w:val="28"/>
          <w:lang w:val="en-US"/>
        </w:rPr>
        <w:t>EDS</w:t>
      </w:r>
      <w:r>
        <w:rPr>
          <w:rFonts w:ascii="Times New Roman" w:hAnsi="Times New Roman" w:cs="Times New Roman"/>
          <w:sz w:val="28"/>
          <w:szCs w:val="28"/>
        </w:rPr>
        <w:t xml:space="preserve"> демонстрирует пространственное распределение кальция (зеленый), локализованного в областях ГАП, и углерода (красный), доминирующего в матрице БЦ/</w:t>
      </w:r>
      <w:r>
        <w:rPr>
          <w:rFonts w:ascii="Times New Roman" w:hAnsi="Times New Roman" w:cs="Times New Roman"/>
          <w:sz w:val="28"/>
          <w:szCs w:val="28"/>
          <w:lang w:val="en-US"/>
        </w:rPr>
        <w:t>MXene</w:t>
      </w:r>
      <w:r>
        <w:rPr>
          <w:rFonts w:ascii="Times New Roman" w:hAnsi="Times New Roman" w:cs="Times New Roman"/>
          <w:sz w:val="28"/>
          <w:szCs w:val="28"/>
        </w:rPr>
        <w:t xml:space="preserve">.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Изображения, полученные с помощью просвечивающей электронной микроскопии высокого разрешения (HRTEM) (рис. 26, Б, В), позволяют различить кристаллические границы решетки наночастиц ГАП (диаметром 50–200 нм), состоящих из более мелких нанокристаллов (10–20 нм). Результаты электронной дифракции (SAED), проиндексированные вдоль оси зоны [1100] гексагонального ГАП (ICSD 98-026-1063), свидетельствуют о высокой фазовой чистоте материала и наличии предпочтительной кристаллографической ориентации кристаллитов. Общая архитектура композита: наночастицы ГАП, </w:t>
      </w:r>
      <w:proofErr w:type="gramStart"/>
      <w:r>
        <w:rPr>
          <w:rFonts w:ascii="Times New Roman" w:hAnsi="Times New Roman" w:cs="Times New Roman"/>
          <w:sz w:val="28"/>
          <w:szCs w:val="28"/>
        </w:rPr>
        <w:t>закреплённые</w:t>
      </w:r>
      <w:proofErr w:type="gramEnd"/>
      <w:r>
        <w:rPr>
          <w:rFonts w:ascii="Times New Roman" w:hAnsi="Times New Roman" w:cs="Times New Roman"/>
          <w:sz w:val="28"/>
          <w:szCs w:val="28"/>
        </w:rPr>
        <w:t xml:space="preserve"> на границе раздела БЦ/</w:t>
      </w:r>
      <w:r>
        <w:rPr>
          <w:rFonts w:ascii="Times New Roman" w:hAnsi="Times New Roman" w:cs="Times New Roman"/>
          <w:sz w:val="28"/>
          <w:szCs w:val="28"/>
          <w:lang w:val="en-US"/>
        </w:rPr>
        <w:t>MXene</w:t>
      </w:r>
      <w:r>
        <w:rPr>
          <w:rFonts w:ascii="Times New Roman" w:hAnsi="Times New Roman" w:cs="Times New Roman"/>
          <w:sz w:val="28"/>
          <w:szCs w:val="28"/>
        </w:rPr>
        <w:t xml:space="preserve">. Результаты элементного картирования (EDS) демонстрируют успешное сочетание фаз при их чётком пространственном разделении: области, обогащённые </w:t>
      </w:r>
      <w:r>
        <w:rPr>
          <w:rFonts w:ascii="Times New Roman" w:hAnsi="Times New Roman" w:cs="Times New Roman"/>
          <w:sz w:val="28"/>
          <w:szCs w:val="28"/>
          <w:lang w:val="en-US"/>
        </w:rPr>
        <w:t>Ca</w:t>
      </w:r>
      <w:r>
        <w:rPr>
          <w:rFonts w:ascii="Times New Roman" w:hAnsi="Times New Roman" w:cs="Times New Roman"/>
          <w:sz w:val="28"/>
          <w:szCs w:val="28"/>
        </w:rPr>
        <w:t>, соответствуют фазе ГАП, тогда как зоны с повышенным содержанием</w:t>
      </w:r>
      <w:proofErr w:type="gramStart"/>
      <w:r>
        <w:rPr>
          <w:rFonts w:ascii="Times New Roman" w:hAnsi="Times New Roman" w:cs="Times New Roman"/>
          <w:sz w:val="28"/>
          <w:szCs w:val="28"/>
        </w:rPr>
        <w:t xml:space="preserve"> С</w:t>
      </w:r>
      <w:proofErr w:type="gramEnd"/>
      <w:r>
        <w:rPr>
          <w:rFonts w:ascii="Times New Roman" w:hAnsi="Times New Roman" w:cs="Times New Roman"/>
          <w:sz w:val="28"/>
          <w:szCs w:val="28"/>
        </w:rPr>
        <w:t xml:space="preserve"> — матрице MXene, что подтверждается инверсным характером распределения сигналов Ca и C.</w:t>
      </w:r>
    </w:p>
    <w:p w:rsidR="00E17FE1" w:rsidRDefault="00BB58D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114300" distR="114300">
            <wp:extent cx="5890895" cy="3101975"/>
            <wp:effectExtent l="19050" t="0" r="0" b="0"/>
            <wp:docPr id="1840735348" name="Изображение 6" descr="Рисунок2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35348" name="Изображение 6" descr="Рисунок2 — копия"/>
                    <pic:cNvPicPr>
                      <a:picLocks noChangeAspect="1"/>
                    </pic:cNvPicPr>
                  </pic:nvPicPr>
                  <pic:blipFill>
                    <a:blip r:embed="rId37" cstate="print"/>
                    <a:stretch>
                      <a:fillRect/>
                    </a:stretch>
                  </pic:blipFill>
                  <pic:spPr>
                    <a:xfrm>
                      <a:off x="0" y="0"/>
                      <a:ext cx="5887115" cy="3100169"/>
                    </a:xfrm>
                    <a:prstGeom prst="rect">
                      <a:avLst/>
                    </a:prstGeom>
                  </pic:spPr>
                </pic:pic>
              </a:graphicData>
            </a:graphic>
          </wp:inline>
        </w:drawing>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Рисунок 26</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 xml:space="preserve">Анализ композита БЦ/ГАП/MXene с помощью просвечивающей электронной микроскопии (ПЭМ). </w:t>
      </w:r>
      <w:r>
        <w:rPr>
          <w:rFonts w:ascii="Times New Roman" w:hAnsi="Times New Roman" w:cs="Times New Roman"/>
          <w:sz w:val="28"/>
          <w:szCs w:val="28"/>
          <w:lang w:val="en-US"/>
        </w:rPr>
        <w:t>A</w:t>
      </w:r>
      <w:r>
        <w:rPr>
          <w:rFonts w:ascii="Times New Roman" w:hAnsi="Times New Roman" w:cs="Times New Roman"/>
          <w:sz w:val="28"/>
          <w:szCs w:val="28"/>
        </w:rPr>
        <w:t xml:space="preserve"> – Поперечное сечение композита БЦ/ГАП/MXene, полученное методом </w:t>
      </w:r>
      <w:r>
        <w:rPr>
          <w:rFonts w:ascii="Times New Roman" w:hAnsi="Times New Roman" w:cs="Times New Roman"/>
          <w:sz w:val="28"/>
          <w:szCs w:val="28"/>
          <w:lang w:val="en-US"/>
        </w:rPr>
        <w:t>FIB</w:t>
      </w:r>
      <w:r>
        <w:rPr>
          <w:rFonts w:ascii="Times New Roman" w:hAnsi="Times New Roman" w:cs="Times New Roman"/>
          <w:sz w:val="28"/>
          <w:szCs w:val="28"/>
        </w:rPr>
        <w:t xml:space="preserve">, демонстрирующее его интерфейс и внутреннюю ламеллярную структуру, сопровождаемое картой </w:t>
      </w:r>
      <w:r>
        <w:rPr>
          <w:rFonts w:ascii="Times New Roman" w:hAnsi="Times New Roman" w:cs="Times New Roman"/>
          <w:sz w:val="28"/>
          <w:szCs w:val="28"/>
          <w:lang w:val="en-US"/>
        </w:rPr>
        <w:t>EDS</w:t>
      </w:r>
      <w:r>
        <w:rPr>
          <w:rFonts w:ascii="Times New Roman" w:hAnsi="Times New Roman" w:cs="Times New Roman"/>
          <w:sz w:val="28"/>
          <w:szCs w:val="28"/>
        </w:rPr>
        <w:t>. Б – Подробные ПЭМ-изображения наночастиц ГАП и композитной матрицы с соответствующими картинами дифракции электронов в выбранной области (</w:t>
      </w:r>
      <w:r>
        <w:rPr>
          <w:rFonts w:ascii="Times New Roman" w:hAnsi="Times New Roman" w:cs="Times New Roman"/>
          <w:sz w:val="28"/>
          <w:szCs w:val="28"/>
          <w:lang w:val="en-US"/>
        </w:rPr>
        <w:t>SAED</w:t>
      </w:r>
      <w:r>
        <w:rPr>
          <w:rFonts w:ascii="Times New Roman" w:hAnsi="Times New Roman" w:cs="Times New Roman"/>
          <w:sz w:val="28"/>
          <w:szCs w:val="28"/>
        </w:rPr>
        <w:t>) (В).</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sz w:val="28"/>
          <w:szCs w:val="28"/>
        </w:rPr>
        <w:t>В дополнение к данным HRTEM и SAED выполнено исследование микроструктуры композита методом</w:t>
      </w:r>
      <w:r>
        <w:rPr>
          <w:rFonts w:ascii="Times New Roman" w:hAnsi="Times New Roman"/>
          <w:sz w:val="28"/>
          <w:szCs w:val="28"/>
          <w:lang w:val="kk-KZ"/>
        </w:rPr>
        <w:t xml:space="preserve"> </w:t>
      </w:r>
      <w:r>
        <w:rPr>
          <w:rFonts w:ascii="Times New Roman" w:hAnsi="Times New Roman" w:cs="Times New Roman"/>
          <w:sz w:val="28"/>
          <w:szCs w:val="28"/>
        </w:rPr>
        <w:t>высокоразрешающей просвечивающей электронной микроскопии в светлом поле</w:t>
      </w:r>
      <w:r>
        <w:rPr>
          <w:rFonts w:ascii="Times New Roman" w:hAnsi="Times New Roman"/>
          <w:sz w:val="28"/>
          <w:szCs w:val="28"/>
        </w:rPr>
        <w:t xml:space="preserve"> BF-TEM в сочетании с элементным картированием EDS</w:t>
      </w:r>
      <w:r w:rsidR="009C570B">
        <w:rPr>
          <w:rFonts w:ascii="Times New Roman" w:hAnsi="Times New Roman"/>
          <w:sz w:val="28"/>
          <w:szCs w:val="28"/>
        </w:rPr>
        <w:t xml:space="preserve"> </w:t>
      </w:r>
      <w:r w:rsidR="009C570B">
        <w:rPr>
          <w:rFonts w:ascii="Times New Roman" w:hAnsi="Times New Roman" w:cs="Times New Roman"/>
          <w:sz w:val="28"/>
          <w:szCs w:val="28"/>
        </w:rPr>
        <w:t>(рисунок 27)</w:t>
      </w:r>
      <w:r>
        <w:rPr>
          <w:rFonts w:ascii="Times New Roman" w:hAnsi="Times New Roman"/>
          <w:sz w:val="28"/>
          <w:szCs w:val="28"/>
        </w:rPr>
        <w:t>.</w:t>
      </w:r>
      <w:r>
        <w:rPr>
          <w:rFonts w:ascii="Times New Roman" w:hAnsi="Times New Roman"/>
          <w:sz w:val="28"/>
          <w:szCs w:val="28"/>
          <w:lang w:val="kk-KZ"/>
        </w:rPr>
        <w:t xml:space="preserve"> </w:t>
      </w:r>
      <w:proofErr w:type="gramStart"/>
      <w:r>
        <w:rPr>
          <w:rFonts w:ascii="Times New Roman" w:hAnsi="Times New Roman" w:cs="Times New Roman"/>
          <w:sz w:val="28"/>
          <w:szCs w:val="28"/>
        </w:rPr>
        <w:t>Изображения, полученные с помощью (</w:t>
      </w:r>
      <w:r>
        <w:rPr>
          <w:rFonts w:ascii="Times New Roman" w:hAnsi="Times New Roman" w:cs="Times New Roman"/>
          <w:sz w:val="28"/>
          <w:szCs w:val="28"/>
          <w:lang w:val="en-US"/>
        </w:rPr>
        <w:t>BF</w:t>
      </w:r>
      <w:r>
        <w:rPr>
          <w:rFonts w:ascii="Times New Roman" w:hAnsi="Times New Roman" w:cs="Times New Roman"/>
          <w:sz w:val="28"/>
          <w:szCs w:val="28"/>
        </w:rPr>
        <w:t>-</w:t>
      </w:r>
      <w:r>
        <w:rPr>
          <w:rFonts w:ascii="Times New Roman" w:hAnsi="Times New Roman" w:cs="Times New Roman"/>
          <w:sz w:val="28"/>
          <w:szCs w:val="28"/>
          <w:lang w:val="en-US"/>
        </w:rPr>
        <w:t>TEM</w:t>
      </w:r>
      <w:r>
        <w:rPr>
          <w:rFonts w:ascii="Times New Roman" w:hAnsi="Times New Roman" w:cs="Times New Roman"/>
          <w:sz w:val="28"/>
          <w:szCs w:val="28"/>
        </w:rPr>
        <w:t xml:space="preserve"> в сочетании с элементным картированием </w:t>
      </w:r>
      <w:r>
        <w:rPr>
          <w:rFonts w:ascii="Times New Roman" w:hAnsi="Times New Roman" w:cs="Times New Roman"/>
          <w:sz w:val="28"/>
          <w:szCs w:val="28"/>
          <w:lang w:val="en-US"/>
        </w:rPr>
        <w:t>EDS</w:t>
      </w:r>
      <w:r>
        <w:rPr>
          <w:rFonts w:ascii="Times New Roman" w:hAnsi="Times New Roman" w:cs="Times New Roman"/>
          <w:sz w:val="28"/>
          <w:szCs w:val="28"/>
        </w:rPr>
        <w:t xml:space="preserve"> нанокомпозита БЦ/ГАП/MXene, </w:t>
      </w:r>
      <w:r w:rsidR="004764F9" w:rsidRPr="004764F9">
        <w:rPr>
          <w:rFonts w:ascii="Times New Roman" w:hAnsi="Times New Roman" w:cs="Times New Roman"/>
          <w:sz w:val="28"/>
          <w:szCs w:val="28"/>
        </w:rPr>
        <w:t>свидетельствуют о внедрении</w:t>
      </w:r>
      <w:r w:rsidR="004764F9">
        <w:rPr>
          <w:rFonts w:ascii="Times New Roman" w:hAnsi="Times New Roman" w:cs="Times New Roman"/>
          <w:sz w:val="28"/>
          <w:szCs w:val="28"/>
        </w:rPr>
        <w:t xml:space="preserve"> </w:t>
      </w:r>
      <w:r>
        <w:rPr>
          <w:rFonts w:ascii="Times New Roman" w:hAnsi="Times New Roman" w:cs="Times New Roman"/>
          <w:sz w:val="28"/>
          <w:szCs w:val="28"/>
        </w:rPr>
        <w:t>ГАП в слоистую структу</w:t>
      </w:r>
      <w:r>
        <w:rPr>
          <w:rFonts w:ascii="Times New Roman" w:hAnsi="Times New Roman" w:cs="Times New Roman"/>
          <w:sz w:val="28"/>
          <w:szCs w:val="28"/>
          <w:lang w:val="kk-KZ"/>
        </w:rPr>
        <w:t>ру</w:t>
      </w:r>
      <w:r>
        <w:rPr>
          <w:rFonts w:ascii="Times New Roman" w:hAnsi="Times New Roman" w:cs="Times New Roman"/>
          <w:sz w:val="28"/>
          <w:szCs w:val="28"/>
        </w:rPr>
        <w:t xml:space="preserve"> </w:t>
      </w:r>
      <w:r>
        <w:rPr>
          <w:rFonts w:ascii="Times New Roman" w:hAnsi="Times New Roman" w:cs="Times New Roman"/>
          <w:sz w:val="28"/>
          <w:szCs w:val="28"/>
          <w:lang w:val="en-US"/>
        </w:rPr>
        <w:t>Ti</w:t>
      </w:r>
      <w:r>
        <w:rPr>
          <w:rFonts w:ascii="Times New Roman" w:hAnsi="Times New Roman" w:cs="Times New Roman"/>
          <w:sz w:val="28"/>
          <w:szCs w:val="28"/>
          <w:vertAlign w:val="subscript"/>
        </w:rPr>
        <w:t>3</w:t>
      </w:r>
      <w:r>
        <w:rPr>
          <w:rFonts w:ascii="Times New Roman" w:hAnsi="Times New Roman" w:cs="Times New Roman"/>
          <w:sz w:val="28"/>
          <w:szCs w:val="28"/>
          <w:lang w:val="en-US"/>
        </w:rPr>
        <w:t>C</w:t>
      </w:r>
      <w:r>
        <w:rPr>
          <w:rFonts w:ascii="Times New Roman" w:hAnsi="Times New Roman" w:cs="Times New Roman"/>
          <w:sz w:val="28"/>
          <w:szCs w:val="28"/>
          <w:vertAlign w:val="subscript"/>
        </w:rPr>
        <w:t>2</w:t>
      </w:r>
      <w:r>
        <w:rPr>
          <w:rFonts w:ascii="Times New Roman" w:hAnsi="Times New Roman" w:cs="Times New Roman"/>
          <w:sz w:val="28"/>
          <w:szCs w:val="28"/>
          <w:lang w:val="en-US"/>
        </w:rPr>
        <w:t>T</w:t>
      </w:r>
      <w:r>
        <w:rPr>
          <w:rFonts w:ascii="Times New Roman" w:hAnsi="Times New Roman" w:cs="Times New Roman"/>
          <w:sz w:val="28"/>
          <w:szCs w:val="28"/>
          <w:vertAlign w:val="subscript"/>
          <w:lang w:val="en-US"/>
        </w:rPr>
        <w:t>x</w:t>
      </w:r>
      <w:r>
        <w:rPr>
          <w:rFonts w:ascii="Times New Roman" w:hAnsi="Times New Roman" w:cs="Times New Roman"/>
          <w:sz w:val="28"/>
          <w:szCs w:val="28"/>
          <w:lang w:val="en-US"/>
        </w:rPr>
        <w:t>MXene</w:t>
      </w:r>
      <w:r>
        <w:rPr>
          <w:rFonts w:ascii="Times New Roman" w:hAnsi="Times New Roman" w:cs="Times New Roman"/>
          <w:sz w:val="28"/>
          <w:szCs w:val="28"/>
        </w:rPr>
        <w:t xml:space="preserve">. </w:t>
      </w:r>
      <w:proofErr w:type="gramEnd"/>
    </w:p>
    <w:p w:rsidR="00E17FE1" w:rsidRDefault="009C570B">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М</w:t>
      </w:r>
      <w:proofErr w:type="gramEnd"/>
      <w:r>
        <w:rPr>
          <w:rFonts w:ascii="Times New Roman" w:hAnsi="Times New Roman" w:cs="Times New Roman"/>
          <w:sz w:val="28"/>
          <w:szCs w:val="28"/>
          <w:lang w:val="en-US"/>
        </w:rPr>
        <w:t>Xene</w:t>
      </w:r>
      <w:r>
        <w:rPr>
          <w:rFonts w:ascii="Times New Roman" w:hAnsi="Times New Roman" w:cs="Times New Roman"/>
          <w:sz w:val="28"/>
          <w:szCs w:val="28"/>
        </w:rPr>
        <w:t xml:space="preserve"> имеет характерную пластинчатую морфологию с видимыми зазорами расслоения. В пустоте между слоями </w:t>
      </w:r>
      <w:proofErr w:type="gramStart"/>
      <w:r>
        <w:rPr>
          <w:rFonts w:ascii="Times New Roman" w:hAnsi="Times New Roman" w:cs="Times New Roman"/>
          <w:sz w:val="28"/>
          <w:szCs w:val="28"/>
        </w:rPr>
        <w:t>расположена</w:t>
      </w:r>
      <w:proofErr w:type="gramEnd"/>
      <w:r>
        <w:rPr>
          <w:rFonts w:ascii="Times New Roman" w:hAnsi="Times New Roman" w:cs="Times New Roman"/>
          <w:sz w:val="28"/>
          <w:szCs w:val="28"/>
        </w:rPr>
        <w:t xml:space="preserve"> овальная наночастица гидроксиапатита длиной приблизительно 45–55 нм.</w:t>
      </w:r>
    </w:p>
    <w:p w:rsidR="00E17FE1" w:rsidRDefault="009C570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Соответствующие карты </w:t>
      </w:r>
      <w:r>
        <w:rPr>
          <w:rFonts w:ascii="Times New Roman" w:hAnsi="Times New Roman" w:cs="Times New Roman"/>
          <w:sz w:val="28"/>
          <w:szCs w:val="28"/>
          <w:lang w:val="en-US"/>
        </w:rPr>
        <w:t>EDS</w:t>
      </w:r>
      <w:r>
        <w:rPr>
          <w:rFonts w:ascii="Times New Roman" w:hAnsi="Times New Roman" w:cs="Times New Roman"/>
          <w:sz w:val="28"/>
          <w:szCs w:val="28"/>
        </w:rPr>
        <w:t xml:space="preserve"> (рисунок 5) отображают пространственное распределение ключевых элементов: </w:t>
      </w:r>
      <w:proofErr w:type="gramStart"/>
      <w:r>
        <w:rPr>
          <w:rFonts w:ascii="Times New Roman" w:hAnsi="Times New Roman" w:cs="Times New Roman"/>
          <w:sz w:val="28"/>
          <w:szCs w:val="28"/>
        </w:rPr>
        <w:t>Титан (</w:t>
      </w:r>
      <w:r>
        <w:rPr>
          <w:rFonts w:ascii="Times New Roman" w:hAnsi="Times New Roman" w:cs="Times New Roman"/>
          <w:sz w:val="28"/>
          <w:szCs w:val="28"/>
          <w:lang w:val="en-US"/>
        </w:rPr>
        <w:t>Ti</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rPr>
        <w:t xml:space="preserve">, желтый) равномерно распределен по всей матрице, богатой </w:t>
      </w:r>
      <w:r>
        <w:rPr>
          <w:rFonts w:ascii="Times New Roman" w:hAnsi="Times New Roman" w:cs="Times New Roman"/>
          <w:sz w:val="28"/>
          <w:szCs w:val="28"/>
          <w:lang w:val="en-US"/>
        </w:rPr>
        <w:t>MXene</w:t>
      </w:r>
      <w:r>
        <w:rPr>
          <w:rFonts w:ascii="Times New Roman" w:hAnsi="Times New Roman" w:cs="Times New Roman"/>
          <w:sz w:val="28"/>
          <w:szCs w:val="28"/>
        </w:rPr>
        <w:t>, но отсутствует в области частиц ГАП; Сигналы углерода (</w:t>
      </w:r>
      <w:r>
        <w:rPr>
          <w:rFonts w:ascii="Times New Roman" w:hAnsi="Times New Roman" w:cs="Times New Roman"/>
          <w:sz w:val="28"/>
          <w:szCs w:val="28"/>
          <w:lang w:val="en-US"/>
        </w:rPr>
        <w:t>C</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rPr>
        <w:t>, красный) и кислорода (</w:t>
      </w:r>
      <w:r>
        <w:rPr>
          <w:rFonts w:ascii="Times New Roman" w:hAnsi="Times New Roman" w:cs="Times New Roman"/>
          <w:sz w:val="28"/>
          <w:szCs w:val="28"/>
          <w:lang w:val="en-US"/>
        </w:rPr>
        <w:t>O</w:t>
      </w:r>
      <w:r>
        <w:rPr>
          <w:rFonts w:ascii="Times New Roman" w:hAnsi="Times New Roman" w:cs="Times New Roman"/>
          <w:sz w:val="28"/>
          <w:szCs w:val="28"/>
        </w:rPr>
        <w:t xml:space="preserve"> </w:t>
      </w:r>
      <w:r>
        <w:rPr>
          <w:rFonts w:ascii="Times New Roman" w:hAnsi="Times New Roman" w:cs="Times New Roman"/>
          <w:sz w:val="28"/>
          <w:szCs w:val="28"/>
          <w:lang w:val="en-US"/>
        </w:rPr>
        <w:t>K</w:t>
      </w:r>
      <w:r>
        <w:rPr>
          <w:rFonts w:ascii="Times New Roman" w:hAnsi="Times New Roman" w:cs="Times New Roman"/>
          <w:sz w:val="28"/>
          <w:szCs w:val="28"/>
        </w:rPr>
        <w:t xml:space="preserve">, голубой) широко распространены и исходят как от БЦ, так и от </w:t>
      </w:r>
      <w:r>
        <w:rPr>
          <w:rFonts w:ascii="Times New Roman" w:hAnsi="Times New Roman" w:cs="Times New Roman"/>
          <w:sz w:val="28"/>
          <w:szCs w:val="28"/>
          <w:lang w:val="en-US"/>
        </w:rPr>
        <w:t>MXene</w:t>
      </w:r>
      <w:r>
        <w:rPr>
          <w:rFonts w:ascii="Times New Roman" w:hAnsi="Times New Roman" w:cs="Times New Roman"/>
          <w:sz w:val="28"/>
          <w:szCs w:val="28"/>
        </w:rPr>
        <w:t>; Сигнал фтора (F K, зелёный) обнаружен исключительно в MXene, что подтверждает наличие - F концевых групп, характерных для MXene, протравленного комплексом HCl-LiF.</w:t>
      </w:r>
      <w:proofErr w:type="gramEnd"/>
    </w:p>
    <w:p w:rsidR="00E17FE1" w:rsidRDefault="00BB58D7">
      <w:pPr>
        <w:spacing w:after="0" w:line="240" w:lineRule="auto"/>
        <w:jc w:val="center"/>
        <w:rPr>
          <w:rFonts w:ascii="Times New Roman" w:hAnsi="Times New Roman" w:cs="Times New Roman"/>
          <w:sz w:val="28"/>
          <w:szCs w:val="28"/>
          <w:lang w:val="en-US"/>
        </w:rPr>
      </w:pPr>
      <w:r>
        <w:rPr>
          <w:rFonts w:ascii="Times New Roman" w:hAnsi="Times New Roman" w:cs="Times New Roman"/>
          <w:noProof/>
          <w:sz w:val="28"/>
          <w:szCs w:val="28"/>
          <w:lang w:eastAsia="ru-RU"/>
        </w:rPr>
        <w:lastRenderedPageBreak/>
        <w:drawing>
          <wp:inline distT="0" distB="0" distL="0" distR="0">
            <wp:extent cx="5253355" cy="2655570"/>
            <wp:effectExtent l="19050" t="0" r="4029" b="0"/>
            <wp:docPr id="18407353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35349" name="Picture 8"/>
                    <pic:cNvPicPr>
                      <a:picLocks noChangeAspect="1" noChangeArrowheads="1"/>
                    </pic:cNvPicPr>
                  </pic:nvPicPr>
                  <pic:blipFill>
                    <a:blip r:embed="rId3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73141" cy="2665907"/>
                    </a:xfrm>
                    <a:prstGeom prst="rect">
                      <a:avLst/>
                    </a:prstGeom>
                    <a:noFill/>
                    <a:ln>
                      <a:noFill/>
                    </a:ln>
                  </pic:spPr>
                </pic:pic>
              </a:graphicData>
            </a:graphic>
          </wp:inline>
        </w:drawing>
      </w:r>
    </w:p>
    <w:p w:rsidR="00E17FE1" w:rsidRDefault="00E17FE1">
      <w:pPr>
        <w:spacing w:after="0" w:line="240" w:lineRule="auto"/>
        <w:ind w:firstLine="567"/>
        <w:jc w:val="both"/>
        <w:rPr>
          <w:rFonts w:ascii="Times New Roman" w:hAnsi="Times New Roman" w:cs="Times New Roman"/>
          <w:sz w:val="28"/>
          <w:szCs w:val="28"/>
          <w:lang w:val="en-US"/>
        </w:rPr>
      </w:pPr>
    </w:p>
    <w:p w:rsidR="00E17FE1" w:rsidRDefault="00BB58D7">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Рисунок 27</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Изображение композита БЦ/ГА/MXene, полученное методом электронно-лучевой электронной микроскопии (</w:t>
      </w:r>
      <w:r>
        <w:rPr>
          <w:rFonts w:ascii="Times New Roman" w:hAnsi="Times New Roman" w:cs="Times New Roman"/>
          <w:sz w:val="28"/>
          <w:szCs w:val="28"/>
          <w:lang w:val="en-US"/>
        </w:rPr>
        <w:t>BF</w:t>
      </w:r>
      <w:r>
        <w:rPr>
          <w:rFonts w:ascii="Times New Roman" w:hAnsi="Times New Roman" w:cs="Times New Roman"/>
          <w:sz w:val="28"/>
          <w:szCs w:val="28"/>
        </w:rPr>
        <w:t>-</w:t>
      </w:r>
      <w:r>
        <w:rPr>
          <w:rFonts w:ascii="Times New Roman" w:hAnsi="Times New Roman" w:cs="Times New Roman"/>
          <w:sz w:val="28"/>
          <w:szCs w:val="28"/>
          <w:lang w:val="en-US"/>
        </w:rPr>
        <w:t>TEM</w:t>
      </w:r>
      <w:r>
        <w:rPr>
          <w:rFonts w:ascii="Times New Roman" w:hAnsi="Times New Roman" w:cs="Times New Roman"/>
          <w:sz w:val="28"/>
          <w:szCs w:val="28"/>
        </w:rPr>
        <w:t xml:space="preserve">), демонстрирующее распределение наночастиц гидроксиапатита в матрице. Соответствующая карта элементного состава, полученная методом </w:t>
      </w:r>
      <w:r>
        <w:rPr>
          <w:rFonts w:ascii="Times New Roman" w:hAnsi="Times New Roman" w:cs="Times New Roman"/>
          <w:sz w:val="28"/>
          <w:szCs w:val="28"/>
          <w:lang w:val="en-US"/>
        </w:rPr>
        <w:t>EDS</w:t>
      </w:r>
    </w:p>
    <w:p w:rsidR="00E17FE1" w:rsidRDefault="00E17FE1">
      <w:pPr>
        <w:spacing w:after="0" w:line="240" w:lineRule="auto"/>
        <w:ind w:firstLine="567"/>
        <w:jc w:val="both"/>
        <w:rPr>
          <w:rFonts w:ascii="Times New Roman" w:hAnsi="Times New Roman" w:cs="Times New Roman"/>
          <w:sz w:val="28"/>
          <w:szCs w:val="28"/>
        </w:rPr>
      </w:pPr>
    </w:p>
    <w:p w:rsidR="00E17FE1" w:rsidRDefault="00025A8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w:t>
      </w:r>
      <w:r w:rsidRPr="00025A8F">
        <w:rPr>
          <w:rFonts w:ascii="Times New Roman" w:hAnsi="Times New Roman" w:cs="Times New Roman"/>
          <w:sz w:val="28"/>
          <w:szCs w:val="28"/>
        </w:rPr>
        <w:t>аким образом, совокупность данных СЭМ, ПЭМ в режиме BF-TEM и EDS-картирования свидетельствует об успешной интеграции обоих неоргани</w:t>
      </w:r>
      <w:r>
        <w:rPr>
          <w:rFonts w:ascii="Times New Roman" w:hAnsi="Times New Roman" w:cs="Times New Roman"/>
          <w:sz w:val="28"/>
          <w:szCs w:val="28"/>
        </w:rPr>
        <w:t>ческих компонентов в матрицу БЦ</w:t>
      </w:r>
      <w:r w:rsidR="00BB58D7">
        <w:rPr>
          <w:rFonts w:ascii="Times New Roman" w:hAnsi="Times New Roman" w:cs="Times New Roman"/>
          <w:sz w:val="28"/>
          <w:szCs w:val="28"/>
        </w:rPr>
        <w:t xml:space="preserve">. ГАП локализован в межслоистых интервалах и сохраняет характерный элементный состав, тогда как MXene образует непрерывные пластинчатые домены с сохранёнными терминальными –F-группами. </w:t>
      </w:r>
      <w:proofErr w:type="gramStart"/>
      <w:r w:rsidR="00BB58D7">
        <w:rPr>
          <w:rFonts w:ascii="Times New Roman" w:hAnsi="Times New Roman" w:cs="Times New Roman"/>
          <w:sz w:val="28"/>
          <w:szCs w:val="28"/>
        </w:rPr>
        <w:t>Такая</w:t>
      </w:r>
      <w:proofErr w:type="gramEnd"/>
      <w:r w:rsidR="00BB58D7">
        <w:rPr>
          <w:rFonts w:ascii="Times New Roman" w:hAnsi="Times New Roman" w:cs="Times New Roman"/>
          <w:sz w:val="28"/>
          <w:szCs w:val="28"/>
        </w:rPr>
        <w:t xml:space="preserve"> трёхкомпонентная наноархитектура свидетельствует о формировании стабильного композита с равномерным распределением фаз и чётким структурным разграничением между ними. Эти особенности структуры служат важным подтверждением успешности выбранной стратегии синтеза композитного материала.</w:t>
      </w:r>
    </w:p>
    <w:p w:rsidR="00E17FE1" w:rsidRDefault="00E17FE1">
      <w:pPr>
        <w:spacing w:after="0" w:line="240" w:lineRule="auto"/>
        <w:ind w:firstLine="567"/>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b/>
          <w:bCs/>
          <w:sz w:val="28"/>
          <w:szCs w:val="28"/>
        </w:rPr>
      </w:pPr>
      <w:r>
        <w:rPr>
          <w:rFonts w:ascii="Times New Roman" w:eastAsia="DejaVu Sans" w:hAnsi="Times New Roman" w:cs="Times New Roman"/>
          <w:b/>
          <w:bCs/>
          <w:sz w:val="28"/>
          <w:szCs w:val="28"/>
          <w:lang w:eastAsia="zh-CN" w:bidi="hi-IN"/>
        </w:rPr>
        <w:t>3.2.</w:t>
      </w:r>
      <w:r>
        <w:rPr>
          <w:rFonts w:ascii="Times New Roman" w:hAnsi="Times New Roman" w:cs="Times New Roman"/>
          <w:b/>
          <w:bCs/>
          <w:sz w:val="28"/>
          <w:szCs w:val="28"/>
        </w:rPr>
        <w:t xml:space="preserve">3 </w:t>
      </w:r>
      <w:r>
        <w:rPr>
          <w:rFonts w:ascii="Times New Roman" w:hAnsi="Times New Roman"/>
          <w:b/>
          <w:bCs/>
          <w:sz w:val="28"/>
          <w:szCs w:val="28"/>
        </w:rPr>
        <w:t xml:space="preserve">Исследование механических свойств композиционных материалов </w:t>
      </w:r>
    </w:p>
    <w:p w:rsidR="00E17FE1" w:rsidRDefault="00BB58D7">
      <w:pPr>
        <w:spacing w:after="0"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Физико-механические характеристики являются ключевым параметром при разработке материалов для раневых повязок. Повязка должна быть прочной и эластичной, обеспечивать комфорт пациенту и сохранять свои функции без повреждений или деформаций. Кроме того, механические характеристики способствуют равномерному распределению давления на поверхность раны, обеспечивая эффективное взаимодействие с кожей и тканями, а также поддерживая барьерные функции материала. Поэтому оценка прочности является необходимым этапом при исследовании композитов, предназначенных для применения в медицине. </w:t>
      </w:r>
    </w:p>
    <w:p w:rsidR="00E17FE1" w:rsidRDefault="00BB58D7">
      <w:pPr>
        <w:spacing w:after="0" w:line="240" w:lineRule="auto"/>
        <w:ind w:firstLine="566"/>
        <w:jc w:val="both"/>
        <w:rPr>
          <w:rFonts w:ascii="Times New Roman" w:hAnsi="Times New Roman" w:cs="Times New Roman"/>
          <w:sz w:val="28"/>
          <w:szCs w:val="28"/>
        </w:rPr>
      </w:pPr>
      <w:r>
        <w:rPr>
          <w:rFonts w:ascii="Times New Roman" w:hAnsi="Times New Roman" w:cs="Times New Roman"/>
          <w:sz w:val="28"/>
          <w:szCs w:val="28"/>
        </w:rPr>
        <w:t>Механическую прочность пленок определяли на универсальной разрывной машине «Instron» при одноосном режиме по показателям прочности на разрыв (МПа), удлинение</w:t>
      </w:r>
      <w:proofErr w:type="gramStart"/>
      <w:r>
        <w:rPr>
          <w:rFonts w:ascii="Times New Roman" w:hAnsi="Times New Roman" w:cs="Times New Roman"/>
          <w:sz w:val="28"/>
          <w:szCs w:val="28"/>
        </w:rPr>
        <w:t xml:space="preserve"> (%) </w:t>
      </w:r>
      <w:proofErr w:type="gramEnd"/>
      <w:r>
        <w:rPr>
          <w:rFonts w:ascii="Times New Roman" w:hAnsi="Times New Roman" w:cs="Times New Roman"/>
          <w:sz w:val="28"/>
          <w:szCs w:val="28"/>
        </w:rPr>
        <w:t xml:space="preserve">при растяжении. Для этого </w:t>
      </w:r>
      <w:r>
        <w:rPr>
          <w:rFonts w:ascii="Times New Roman" w:hAnsi="Times New Roman" w:cs="Times New Roman"/>
          <w:sz w:val="28"/>
          <w:szCs w:val="28"/>
        </w:rPr>
        <w:lastRenderedPageBreak/>
        <w:t xml:space="preserve">готовили образцы БЦ в виде полосок 3 мм в ширину. Испытания проводили при температуре (25±2) оС и относительной влажности (55±5) %, при   скорости деформирования образца 100 мм/мин (Рисунок 28). </w:t>
      </w:r>
    </w:p>
    <w:p w:rsidR="00E17FE1" w:rsidRDefault="00E17FE1">
      <w:pPr>
        <w:spacing w:after="0" w:line="240" w:lineRule="auto"/>
        <w:ind w:firstLine="566"/>
        <w:jc w:val="both"/>
        <w:rPr>
          <w:rFonts w:ascii="Times New Roman" w:hAnsi="Times New Roman" w:cs="Times New Roman"/>
          <w:sz w:val="28"/>
          <w:szCs w:val="28"/>
        </w:rPr>
      </w:pPr>
    </w:p>
    <w:p w:rsidR="00E17FE1" w:rsidRDefault="00BB58D7" w:rsidP="00F644EE">
      <w:pPr>
        <w:spacing w:after="0"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5486400" cy="3200400"/>
            <wp:effectExtent l="19050" t="0" r="19050" b="0"/>
            <wp:docPr id="1840735350"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E17FE1" w:rsidRDefault="00E17FE1" w:rsidP="00F644EE">
      <w:pPr>
        <w:spacing w:after="0" w:line="240" w:lineRule="auto"/>
        <w:ind w:firstLine="566"/>
        <w:jc w:val="both"/>
        <w:rPr>
          <w:rFonts w:ascii="Times New Roman" w:hAnsi="Times New Roman" w:cs="Times New Roman"/>
          <w:sz w:val="28"/>
          <w:szCs w:val="28"/>
        </w:rPr>
      </w:pPr>
    </w:p>
    <w:p w:rsidR="00E17FE1" w:rsidRDefault="00BB58D7" w:rsidP="00F644EE">
      <w:pPr>
        <w:spacing w:after="0"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Рисунок 28 – Механические свойства </w:t>
      </w:r>
      <w:proofErr w:type="gramStart"/>
      <w:r>
        <w:rPr>
          <w:rFonts w:ascii="Times New Roman" w:hAnsi="Times New Roman" w:cs="Times New Roman"/>
          <w:sz w:val="28"/>
          <w:szCs w:val="28"/>
        </w:rPr>
        <w:t>гель-пленок</w:t>
      </w:r>
      <w:proofErr w:type="gramEnd"/>
      <w:r>
        <w:rPr>
          <w:rFonts w:ascii="Times New Roman" w:hAnsi="Times New Roman" w:cs="Times New Roman"/>
          <w:sz w:val="28"/>
          <w:szCs w:val="28"/>
        </w:rPr>
        <w:t xml:space="preserve"> БЦ и композитов</w:t>
      </w:r>
    </w:p>
    <w:p w:rsidR="00E17FE1" w:rsidRDefault="00E17FE1">
      <w:pPr>
        <w:spacing w:after="0" w:line="240" w:lineRule="auto"/>
        <w:ind w:firstLine="566"/>
        <w:jc w:val="both"/>
        <w:rPr>
          <w:rFonts w:ascii="Times New Roman" w:hAnsi="Times New Roman" w:cs="Times New Roman"/>
          <w:sz w:val="28"/>
          <w:szCs w:val="28"/>
        </w:rPr>
      </w:pP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Бактериальная целлюлоза благодаря своей нанофибрилярной структуре сочетает высокую механическую прочность и эластичность, что делает её перспективным материалом для модификации. По результатам механических испытаний, чистая бактериальная целлюлоза демонстрирует относительно высокую прочность на разрыв (37,12 МПа) и умеренное относительное удлинение при растяжении (4%), что согласуется с известными данными о нативной БЦ [232]. Включение ГАП приводит к увеличению прочности композита до 41,2 МПа, однако сопровождается заметным снижением удлинения. В работе Sknepnek и соавт. сообщается, что включение минеральных частиц, таких как ГАП может ослаблять межфибриллярные водородные связи БЦ. Они играют ключевую роль в обеспечении эластичности БЦ, что и приводит к снижению ее удлинения [233]. Напротив, MXene оказывает более выраженный эффект. Прочность композита БЦ/MXene увеличивается до 48 МПа, что значительно превосходит показатели </w:t>
      </w:r>
      <w:proofErr w:type="gramStart"/>
      <w:r>
        <w:rPr>
          <w:rFonts w:ascii="Times New Roman" w:hAnsi="Times New Roman" w:cs="Times New Roman"/>
          <w:sz w:val="28"/>
          <w:szCs w:val="28"/>
        </w:rPr>
        <w:t>чистой</w:t>
      </w:r>
      <w:proofErr w:type="gramEnd"/>
      <w:r>
        <w:rPr>
          <w:rFonts w:ascii="Times New Roman" w:hAnsi="Times New Roman" w:cs="Times New Roman"/>
          <w:sz w:val="28"/>
          <w:szCs w:val="28"/>
        </w:rPr>
        <w:t xml:space="preserve"> БЦ. Подобный рост прочности объясняется сильными межфазными взаимодействиями между функциональными группами MXene (–O, –OH, –F) и гидроксильными группами целлюлозы. Ма и др. [234] экспериментально продемонстрировали существование сильной химической адсорбции и взаимодействия водородных связей между БЦ и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3</w:t>
      </w:r>
      <w:r>
        <w:rPr>
          <w:rFonts w:ascii="Times New Roman" w:hAnsi="Times New Roman" w:cs="Times New Roman"/>
          <w:sz w:val="28"/>
          <w:szCs w:val="28"/>
        </w:rPr>
        <w:t>T</w:t>
      </w:r>
      <w:r>
        <w:rPr>
          <w:rFonts w:ascii="Times New Roman" w:hAnsi="Times New Roman" w:cs="Times New Roman"/>
          <w:sz w:val="28"/>
          <w:szCs w:val="28"/>
          <w:vertAlign w:val="subscript"/>
        </w:rPr>
        <w:t>х</w:t>
      </w:r>
      <w:r>
        <w:rPr>
          <w:rFonts w:ascii="Times New Roman" w:hAnsi="Times New Roman" w:cs="Times New Roman"/>
          <w:sz w:val="28"/>
          <w:szCs w:val="28"/>
        </w:rPr>
        <w:t xml:space="preserve">MXene, обеспечивающих высокую стабилизацию композитных плёнок. Авторы также разработали носибельную ультратонкую плёнку </w:t>
      </w:r>
      <w:r w:rsidR="00735BFC">
        <w:rPr>
          <w:rFonts w:ascii="Times New Roman" w:hAnsi="Times New Roman" w:cs="Times New Roman"/>
          <w:sz w:val="28"/>
          <w:szCs w:val="28"/>
        </w:rPr>
        <w:t>БЦ</w:t>
      </w:r>
      <w:r>
        <w:rPr>
          <w:rFonts w:ascii="Times New Roman" w:hAnsi="Times New Roman" w:cs="Times New Roman"/>
          <w:sz w:val="28"/>
          <w:szCs w:val="28"/>
        </w:rPr>
        <w:t xml:space="preserve">/MXene со структурой Януса, для которой была получена рекордно высокая прочность </w:t>
      </w:r>
      <w:r>
        <w:rPr>
          <w:rFonts w:ascii="Times New Roman" w:hAnsi="Times New Roman" w:cs="Times New Roman"/>
          <w:sz w:val="28"/>
          <w:szCs w:val="28"/>
        </w:rPr>
        <w:lastRenderedPageBreak/>
        <w:t xml:space="preserve">на разрыв до 532,87 МПа. </w:t>
      </w:r>
      <w:proofErr w:type="gramStart"/>
      <w:r>
        <w:rPr>
          <w:rFonts w:ascii="Times New Roman" w:hAnsi="Times New Roman" w:cs="Times New Roman"/>
          <w:sz w:val="28"/>
          <w:szCs w:val="28"/>
        </w:rPr>
        <w:t>Этот результат согласуется с предыдущими исследованиями MXene-основанных нанокомпозитов, показывающих, что MXene обладает выраженным армирующим эффектом и способен существенно повышать механическую прочность полимерных матриц [235].</w:t>
      </w:r>
      <w:proofErr w:type="gramEnd"/>
      <w:r>
        <w:rPr>
          <w:rFonts w:ascii="Times New Roman" w:hAnsi="Times New Roman" w:cs="Times New Roman"/>
          <w:sz w:val="28"/>
          <w:szCs w:val="28"/>
        </w:rPr>
        <w:t xml:space="preserve"> В трёхкомпонентном гибриде БЦ/ГАП/MXene наблюдается повышение прочности на разрыв до 43 МПа при одновременном увеличении относительного удлинения до 8 %, что можно объяснить комбинированным армирующим действием ГАП и MXene. Это согласуется с литературными данными о нанокомпозитах на основе БЦ, в которых включение ГАП приводит к усилению несущей способности материала за счёт более эффективного перераспределения напряжений в нановолокнистой матрице БЦ [16]. Более выраженный вклад в упрочнение, вероятно, вносит MXene. </w:t>
      </w:r>
      <w:proofErr w:type="gramStart"/>
      <w:r>
        <w:rPr>
          <w:rFonts w:ascii="Times New Roman" w:hAnsi="Times New Roman" w:cs="Times New Roman"/>
          <w:sz w:val="28"/>
          <w:szCs w:val="28"/>
        </w:rPr>
        <w:t>Согласно данным Ma</w:t>
      </w:r>
      <w:r>
        <w:rPr>
          <w:rFonts w:ascii="Times New Roman" w:hAnsi="Times New Roman" w:cs="Times New Roman"/>
          <w:sz w:val="28"/>
          <w:szCs w:val="28"/>
          <w:lang w:val="en-US"/>
        </w:rPr>
        <w:t>o</w:t>
      </w:r>
      <w:r>
        <w:rPr>
          <w:rFonts w:ascii="Times New Roman" w:hAnsi="Times New Roman" w:cs="Times New Roman"/>
          <w:sz w:val="28"/>
          <w:szCs w:val="28"/>
        </w:rPr>
        <w:t xml:space="preserve"> и соавт., </w:t>
      </w:r>
      <w:r>
        <w:rPr>
          <w:rFonts w:ascii="Times New Roman" w:hAnsi="Times New Roman" w:cs="Times New Roman"/>
          <w:sz w:val="28"/>
          <w:szCs w:val="28"/>
          <w:lang w:val="en-US"/>
        </w:rPr>
        <w:t>MXene</w:t>
      </w:r>
      <w:r>
        <w:rPr>
          <w:rFonts w:ascii="Times New Roman" w:hAnsi="Times New Roman" w:cs="Times New Roman"/>
          <w:sz w:val="28"/>
          <w:szCs w:val="28"/>
        </w:rPr>
        <w:t xml:space="preserve"> способен усиливать механические свойства ультратонких плёнок БЦ за счёт сильной химической адсорбции и развитой системы водородных связей между функциональными группами MXene и гидроксильными группами БЦ [108].</w:t>
      </w:r>
      <w:proofErr w:type="gramEnd"/>
      <w:r>
        <w:rPr>
          <w:rFonts w:ascii="Times New Roman" w:hAnsi="Times New Roman" w:cs="Times New Roman"/>
          <w:sz w:val="28"/>
          <w:szCs w:val="28"/>
        </w:rPr>
        <w:t xml:space="preserve"> В обзорных данных по MXene-полимерным нанокомпозитам, Ti</w:t>
      </w:r>
      <w:r>
        <w:rPr>
          <w:rFonts w:ascii="Times New Roman" w:hAnsi="Times New Roman" w:cs="Times New Roman"/>
          <w:sz w:val="28"/>
          <w:szCs w:val="28"/>
          <w:vertAlign w:val="subscript"/>
        </w:rPr>
        <w:t>3</w:t>
      </w:r>
      <w:r>
        <w:rPr>
          <w:rFonts w:ascii="Times New Roman" w:hAnsi="Times New Roman" w:cs="Times New Roman"/>
          <w:sz w:val="28"/>
          <w:szCs w:val="28"/>
        </w:rPr>
        <w:t>C</w:t>
      </w:r>
      <w:r>
        <w:rPr>
          <w:rFonts w:ascii="Times New Roman" w:hAnsi="Times New Roman" w:cs="Times New Roman"/>
          <w:sz w:val="28"/>
          <w:szCs w:val="28"/>
          <w:vertAlign w:val="subscript"/>
        </w:rPr>
        <w:t>2</w:t>
      </w:r>
      <w:r>
        <w:rPr>
          <w:rFonts w:ascii="Times New Roman" w:hAnsi="Times New Roman" w:cs="Times New Roman"/>
          <w:sz w:val="28"/>
          <w:szCs w:val="28"/>
        </w:rPr>
        <w:t>T</w:t>
      </w:r>
      <w:r>
        <w:rPr>
          <w:rFonts w:ascii="Times New Roman" w:hAnsi="Times New Roman" w:cs="Times New Roman"/>
          <w:sz w:val="28"/>
          <w:szCs w:val="28"/>
          <w:vertAlign w:val="subscript"/>
        </w:rPr>
        <w:t>х</w:t>
      </w:r>
      <w:r>
        <w:rPr>
          <w:rFonts w:ascii="Times New Roman" w:hAnsi="Times New Roman" w:cs="Times New Roman"/>
          <w:sz w:val="28"/>
          <w:szCs w:val="28"/>
        </w:rPr>
        <w:t xml:space="preserve">MXene рассматривается как высокоэффективный армирующий наполнитель, существенно повышающий прочность и модуль упругости за счёт своей ламеллярной морфологии и развитых межфазных взаимодействий [48]. Однако, высокая концентрация MXene (&gt;2%) может вызвать некоторую перестройку цепей, что в конечном итоге приводит к снижению механической прочности [108]. </w:t>
      </w:r>
    </w:p>
    <w:p w:rsidR="00E17FE1" w:rsidRDefault="00BB58D7">
      <w:pPr>
        <w:spacing w:after="0" w:line="240" w:lineRule="auto"/>
        <w:ind w:firstLine="566"/>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Pr>
          <w:rFonts w:ascii="Times New Roman" w:hAnsi="Times New Roman" w:cs="Times New Roman"/>
          <w:sz w:val="28"/>
          <w:szCs w:val="28"/>
          <w:lang w:val="en-US"/>
        </w:rPr>
        <w:t>MXene</w:t>
      </w:r>
      <w:r>
        <w:rPr>
          <w:rFonts w:ascii="Times New Roman" w:hAnsi="Times New Roman" w:cs="Times New Roman"/>
          <w:sz w:val="28"/>
          <w:szCs w:val="28"/>
        </w:rPr>
        <w:t xml:space="preserve"> является основным фактором повышения прочности, обеспечивая значительное армирование структуры БЦ, тогда как ГАП вносит вклад в жёсткость, но снижает гибкость пленки. Включение в структуру ГАП/</w:t>
      </w:r>
      <w:r>
        <w:rPr>
          <w:rFonts w:ascii="Times New Roman" w:hAnsi="Times New Roman" w:cs="Times New Roman"/>
          <w:sz w:val="28"/>
          <w:szCs w:val="28"/>
          <w:lang w:val="en-US"/>
        </w:rPr>
        <w:t>MXene</w:t>
      </w:r>
      <w:r>
        <w:rPr>
          <w:rFonts w:ascii="Times New Roman" w:hAnsi="Times New Roman" w:cs="Times New Roman"/>
          <w:sz w:val="28"/>
          <w:szCs w:val="28"/>
        </w:rPr>
        <w:t xml:space="preserve"> увеличивает прочность на 18% (43 МПА), а удлинение на 8%. Высокий показатель удлинения при разрыве обеспечивает хорошую эластичность БЦ, что очень важно для медицины. Эластичная повязка, хорошо облегающая место раны, является хорошей защитой от внешней инфекции.</w:t>
      </w:r>
    </w:p>
    <w:p w:rsidR="00E17FE1" w:rsidRDefault="00E17FE1">
      <w:pPr>
        <w:spacing w:after="0" w:line="240" w:lineRule="auto"/>
        <w:ind w:firstLine="566"/>
        <w:jc w:val="both"/>
        <w:rPr>
          <w:rFonts w:ascii="Times New Roman" w:hAnsi="Times New Roman" w:cs="Times New Roman"/>
          <w:sz w:val="28"/>
          <w:szCs w:val="28"/>
        </w:rPr>
      </w:pPr>
    </w:p>
    <w:p w:rsidR="00E17FE1" w:rsidRDefault="00BB58D7">
      <w:pPr>
        <w:spacing w:after="0" w:line="240" w:lineRule="auto"/>
        <w:ind w:firstLine="566"/>
        <w:jc w:val="both"/>
        <w:rPr>
          <w:rFonts w:ascii="Times New Roman" w:hAnsi="Times New Roman"/>
          <w:b/>
          <w:bCs/>
          <w:sz w:val="28"/>
          <w:szCs w:val="28"/>
        </w:rPr>
      </w:pPr>
      <w:r>
        <w:rPr>
          <w:rFonts w:ascii="Times New Roman" w:eastAsia="DejaVu Sans" w:hAnsi="Times New Roman" w:cs="Times New Roman"/>
          <w:b/>
          <w:bCs/>
          <w:sz w:val="28"/>
          <w:szCs w:val="28"/>
          <w:lang w:eastAsia="zh-CN" w:bidi="hi-IN"/>
        </w:rPr>
        <w:t>3.2</w:t>
      </w:r>
      <w:r>
        <w:rPr>
          <w:rFonts w:ascii="Times New Roman" w:hAnsi="Times New Roman" w:cs="Times New Roman"/>
          <w:b/>
          <w:bCs/>
          <w:sz w:val="28"/>
          <w:szCs w:val="28"/>
        </w:rPr>
        <w:t xml:space="preserve">.4 </w:t>
      </w:r>
      <w:r>
        <w:rPr>
          <w:rFonts w:ascii="Times New Roman" w:hAnsi="Times New Roman"/>
          <w:b/>
          <w:bCs/>
          <w:sz w:val="28"/>
          <w:szCs w:val="28"/>
          <w:lang w:val="kk-KZ"/>
        </w:rPr>
        <w:t>Поверхностные и сорбционные свойства</w:t>
      </w:r>
      <w:r>
        <w:rPr>
          <w:rFonts w:ascii="Times New Roman" w:hAnsi="Times New Roman"/>
          <w:b/>
          <w:bCs/>
          <w:sz w:val="28"/>
          <w:szCs w:val="28"/>
        </w:rPr>
        <w:t xml:space="preserve"> композитных материалов</w:t>
      </w:r>
    </w:p>
    <w:p w:rsidR="00E17FE1" w:rsidRDefault="00BB58D7">
      <w:pPr>
        <w:spacing w:after="0" w:line="240" w:lineRule="auto"/>
        <w:ind w:firstLine="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Заживление ран происходит примерно на 50 % быстрее во влажной среде, чем в сухой [236]. Создание благоприятных увлажнённых условий для регенерации тканей способствует более быстрому восстановлению тканей, уменьшению болевых ощущений и снижению затрат пациента на лечение. В этой связи использование гидрофильных материалов, способных поглощать влагу и сохранять влажность в области раневой поверхности, является важным направлением при создании перевязочных средств.</w:t>
      </w:r>
    </w:p>
    <w:p w:rsidR="00E17FE1" w:rsidRDefault="00BB58D7">
      <w:pPr>
        <w:spacing w:after="0" w:line="240" w:lineRule="auto"/>
        <w:ind w:firstLine="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оценки гидрофильных свойств исследуемых композитных материалов было проведено измерение угла контакта образцов с водой (Рисунок 29). Контактный угол служит важным параметром для характеристики гидрофильности поверхности материала: чем меньше </w:t>
      </w:r>
      <w:r>
        <w:rPr>
          <w:rFonts w:ascii="Times New Roman" w:eastAsia="Times New Roman" w:hAnsi="Times New Roman" w:cs="Times New Roman"/>
          <w:sz w:val="28"/>
          <w:szCs w:val="28"/>
          <w:lang w:eastAsia="ru-RU"/>
        </w:rPr>
        <w:lastRenderedPageBreak/>
        <w:t>значение угла (≤ 90°), тем выше способность материала взаимодействовать с водой. По этой причине в качестве перевязочных материалов предпочтительно использовать покрытия с низким углом смачивания, обеспечивающие оптимальную влажность и ускоренное заживление раневой поверхности.</w:t>
      </w:r>
    </w:p>
    <w:p w:rsidR="00E17FE1" w:rsidRDefault="00BB58D7">
      <w:pPr>
        <w:tabs>
          <w:tab w:val="left" w:pos="2452"/>
        </w:tabs>
        <w:spacing w:after="0" w:line="240" w:lineRule="auto"/>
        <w:ind w:firstLine="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p>
    <w:p w:rsidR="00E17FE1" w:rsidRDefault="00BB58D7">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243070" cy="2567940"/>
            <wp:effectExtent l="19050" t="0" r="5046" b="0"/>
            <wp:docPr id="1840735351" name="Рисунок 15" descr="C:\Users\sava\Desktop\Диссертация\23.06.2025\Угол контакте, гидрофильность\Общий рисунок.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35351" name="Рисунок 15" descr="C:\Users\sava\Desktop\Диссертация\23.06.2025\Угол контакте, гидрофильность\Общий рисунок.bmp"/>
                    <pic:cNvPicPr>
                      <a:picLocks noChangeAspect="1" noChangeArrowheads="1"/>
                    </pic:cNvPicPr>
                  </pic:nvPicPr>
                  <pic:blipFill>
                    <a:blip r:embed="rId40" cstate="print"/>
                    <a:srcRect/>
                    <a:stretch>
                      <a:fillRect/>
                    </a:stretch>
                  </pic:blipFill>
                  <pic:spPr>
                    <a:xfrm>
                      <a:off x="0" y="0"/>
                      <a:ext cx="4243104" cy="2568567"/>
                    </a:xfrm>
                    <a:prstGeom prst="rect">
                      <a:avLst/>
                    </a:prstGeom>
                    <a:noFill/>
                    <a:ln w="9525">
                      <a:noFill/>
                      <a:miter lim="800000"/>
                      <a:headEnd/>
                      <a:tailEnd/>
                    </a:ln>
                  </pic:spPr>
                </pic:pic>
              </a:graphicData>
            </a:graphic>
          </wp:inline>
        </w:drawing>
      </w:r>
    </w:p>
    <w:p w:rsidR="00E17FE1" w:rsidRDefault="00E17FE1">
      <w:pPr>
        <w:spacing w:after="0" w:line="240" w:lineRule="auto"/>
        <w:ind w:firstLine="567"/>
        <w:jc w:val="both"/>
        <w:rPr>
          <w:rFonts w:ascii="Times New Roman" w:eastAsia="Times New Roman" w:hAnsi="Times New Roman" w:cs="Times New Roman"/>
          <w:sz w:val="28"/>
          <w:szCs w:val="28"/>
          <w:lang w:eastAsia="ru-RU"/>
        </w:rPr>
      </w:pPr>
    </w:p>
    <w:p w:rsidR="00E17FE1" w:rsidRDefault="00BB58D7">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Рис</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29 Угол контакта композитных материалов с водой</w:t>
      </w:r>
      <w:r w:rsidR="00D14370" w:rsidRPr="00D14370">
        <w:rPr>
          <w:rFonts w:ascii="Times New Roman" w:hAnsi="Times New Roman" w:cs="Times New Roman"/>
          <w:sz w:val="28"/>
          <w:szCs w:val="28"/>
        </w:rPr>
        <w:t xml:space="preserve">. </w:t>
      </w:r>
      <w:r w:rsidR="00D14370">
        <w:rPr>
          <w:rFonts w:ascii="Times New Roman" w:hAnsi="Times New Roman" w:cs="Times New Roman"/>
          <w:sz w:val="28"/>
          <w:szCs w:val="28"/>
        </w:rPr>
        <w:t xml:space="preserve">А - БЦ; Б – </w:t>
      </w:r>
      <w:r w:rsidR="00D14370">
        <w:rPr>
          <w:rFonts w:ascii="Times New Roman" w:eastAsia="Times New Roman" w:hAnsi="Times New Roman" w:cs="Times New Roman"/>
          <w:sz w:val="28"/>
          <w:szCs w:val="28"/>
          <w:lang w:eastAsia="ru-RU"/>
        </w:rPr>
        <w:t>БЦ</w:t>
      </w:r>
      <w:r w:rsidR="00D14370">
        <w:rPr>
          <w:rFonts w:ascii="Times New Roman" w:hAnsi="Times New Roman" w:cs="Times New Roman"/>
          <w:sz w:val="28"/>
          <w:szCs w:val="28"/>
        </w:rPr>
        <w:t>/ГАП; В - БЦ/</w:t>
      </w:r>
      <w:r w:rsidR="00D14370">
        <w:rPr>
          <w:rFonts w:ascii="Times New Roman" w:hAnsi="Times New Roman" w:cs="Times New Roman"/>
          <w:sz w:val="28"/>
          <w:szCs w:val="28"/>
          <w:lang w:val="en-US"/>
        </w:rPr>
        <w:t>Mxene</w:t>
      </w:r>
      <w:r w:rsidR="00D14370">
        <w:rPr>
          <w:rFonts w:ascii="Times New Roman" w:hAnsi="Times New Roman" w:cs="Times New Roman"/>
          <w:sz w:val="28"/>
          <w:szCs w:val="28"/>
        </w:rPr>
        <w:t>; Г – БЦ/ГАП/</w:t>
      </w:r>
      <w:r w:rsidR="00D14370">
        <w:rPr>
          <w:rFonts w:ascii="Times New Roman" w:hAnsi="Times New Roman" w:cs="Times New Roman"/>
          <w:sz w:val="28"/>
          <w:szCs w:val="28"/>
          <w:lang w:val="en-US"/>
        </w:rPr>
        <w:t>Mxene</w:t>
      </w:r>
      <w:r>
        <w:rPr>
          <w:rFonts w:ascii="Times New Roman" w:hAnsi="Times New Roman" w:cs="Times New Roman"/>
          <w:sz w:val="28"/>
          <w:szCs w:val="28"/>
        </w:rPr>
        <w:t xml:space="preserve"> </w:t>
      </w:r>
    </w:p>
    <w:p w:rsidR="00E17FE1" w:rsidRDefault="00E17FE1">
      <w:pPr>
        <w:spacing w:after="0" w:line="240" w:lineRule="auto"/>
        <w:ind w:firstLine="566"/>
        <w:jc w:val="both"/>
        <w:rPr>
          <w:rFonts w:ascii="Times New Roman" w:eastAsia="Times New Roman" w:hAnsi="Times New Roman" w:cs="Times New Roman"/>
          <w:sz w:val="28"/>
          <w:szCs w:val="28"/>
          <w:lang w:eastAsia="ru-RU"/>
        </w:rPr>
      </w:pPr>
    </w:p>
    <w:p w:rsidR="00E17FE1" w:rsidRDefault="00BB58D7">
      <w:pPr>
        <w:spacing w:after="0" w:line="240" w:lineRule="auto"/>
        <w:ind w:firstLine="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результатам измерения угла контакта (рисунок 29А), наименьшее значение было зарегистрировано у нативной БЦ и составило 13°. БЦ является гидрофильным полимером с полярными гидроксильными группами в молекулярной цепи. </w:t>
      </w:r>
      <w:r>
        <w:rPr>
          <w:rFonts w:ascii="Times New Roman" w:hAnsi="Times New Roman" w:cs="Times New Roman"/>
          <w:sz w:val="28"/>
          <w:szCs w:val="28"/>
        </w:rPr>
        <w:t xml:space="preserve">Добавление ГАП в БЦ увеличивает контактный угол до 25°, что связано с включением кристаллических частиц ГАП, обладающих менее </w:t>
      </w:r>
      <w:proofErr w:type="gramStart"/>
      <w:r>
        <w:rPr>
          <w:rFonts w:ascii="Times New Roman" w:hAnsi="Times New Roman" w:cs="Times New Roman"/>
          <w:sz w:val="28"/>
          <w:szCs w:val="28"/>
        </w:rPr>
        <w:t>выраженной</w:t>
      </w:r>
      <w:proofErr w:type="gramEnd"/>
      <w:r>
        <w:rPr>
          <w:rFonts w:ascii="Times New Roman" w:hAnsi="Times New Roman" w:cs="Times New Roman"/>
          <w:sz w:val="28"/>
          <w:szCs w:val="28"/>
        </w:rPr>
        <w:t xml:space="preserve"> гидрофильностью по сравнению с БЦ. Включение MXene в матрицу БЦ  незначительно увеличивает угол до 15°, что указывает на умеренное влияние MXene на смачиваемость материала. Наконец, тройной композит БЦ/ГАП/MXene демонстрирует контактный угол 18°. Это указывает на то, что композит сохраняет высокую </w:t>
      </w:r>
      <w:proofErr w:type="gramStart"/>
      <w:r>
        <w:rPr>
          <w:rFonts w:ascii="Times New Roman" w:hAnsi="Times New Roman" w:cs="Times New Roman"/>
          <w:sz w:val="28"/>
          <w:szCs w:val="28"/>
        </w:rPr>
        <w:t>гидрофильность</w:t>
      </w:r>
      <w:proofErr w:type="gramEnd"/>
      <w:r>
        <w:rPr>
          <w:rFonts w:ascii="Times New Roman" w:hAnsi="Times New Roman" w:cs="Times New Roman"/>
          <w:sz w:val="28"/>
          <w:szCs w:val="28"/>
        </w:rPr>
        <w:t xml:space="preserve"> несмотря на усложнённую структуру.</w:t>
      </w:r>
    </w:p>
    <w:p w:rsidR="00E17FE1" w:rsidRDefault="00BB58D7">
      <w:pPr>
        <w:spacing w:after="0" w:line="240" w:lineRule="auto"/>
        <w:ind w:firstLine="562"/>
        <w:jc w:val="both"/>
        <w:rPr>
          <w:rFonts w:ascii="Times New Roman" w:eastAsia="Calibri" w:hAnsi="Times New Roman" w:cs="Times New Roman"/>
          <w:sz w:val="28"/>
          <w:szCs w:val="28"/>
        </w:rPr>
      </w:pPr>
      <w:r>
        <w:rPr>
          <w:rFonts w:ascii="Times New Roman" w:hAnsi="Times New Roman" w:cs="Times New Roman"/>
          <w:sz w:val="28"/>
          <w:szCs w:val="28"/>
        </w:rPr>
        <w:t>Одной из первоочередных задач на начальном этапе раневого процесса является удаление экссудата, включающего продукты тканевого и микробного распада</w:t>
      </w:r>
      <w:r>
        <w:rPr>
          <w:rFonts w:ascii="Times New Roman" w:hAnsi="Times New Roman" w:cs="Times New Roman"/>
          <w:sz w:val="28"/>
          <w:szCs w:val="28"/>
          <w:lang w:eastAsia="ru-RU"/>
        </w:rPr>
        <w:t xml:space="preserve">. </w:t>
      </w:r>
      <w:r>
        <w:rPr>
          <w:rFonts w:ascii="Times New Roman" w:hAnsi="Times New Roman" w:cs="Times New Roman"/>
          <w:sz w:val="28"/>
          <w:szCs w:val="28"/>
        </w:rPr>
        <w:t xml:space="preserve">Способность материала удерживать максимальное количество токсинов, микроорганизмов, раневого отделяемого и других компонентов определяется его сорбционной ёмкостью, которая является важным критерием при характеристике материала. Сорбционная активность БЦ и её композитов оценивалась по времени, требуемому для полного насыщения адсорбатом (дистиллированная вода и раневой экссудат). Количество адсорбата оценивали по увеличению веса пленки после контакта с водой или раневым экссудатом относительно её исходной массы (Рисунок </w:t>
      </w:r>
      <w:r>
        <w:rPr>
          <w:rFonts w:ascii="Times New Roman" w:eastAsia="Calibri" w:hAnsi="Times New Roman" w:cs="Times New Roman"/>
          <w:sz w:val="28"/>
          <w:szCs w:val="28"/>
        </w:rPr>
        <w:t xml:space="preserve">30).  </w:t>
      </w:r>
    </w:p>
    <w:tbl>
      <w:tblPr>
        <w:tblW w:w="0" w:type="auto"/>
        <w:jc w:val="center"/>
        <w:tblLook w:val="04A0"/>
      </w:tblPr>
      <w:tblGrid>
        <w:gridCol w:w="4626"/>
        <w:gridCol w:w="4661"/>
      </w:tblGrid>
      <w:tr w:rsidR="00E17FE1">
        <w:trPr>
          <w:jc w:val="center"/>
        </w:trPr>
        <w:tc>
          <w:tcPr>
            <w:tcW w:w="4626" w:type="dxa"/>
          </w:tcPr>
          <w:p w:rsidR="00E17FE1" w:rsidRDefault="00BB58D7">
            <w:pPr>
              <w:spacing w:after="0" w:line="240" w:lineRule="auto"/>
              <w:jc w:val="center"/>
              <w:rPr>
                <w:rFonts w:eastAsia="Calibri" w:cs="Times New Roman"/>
                <w:sz w:val="28"/>
                <w:szCs w:val="28"/>
                <w:lang w:val="en-US"/>
              </w:rPr>
            </w:pPr>
            <w:r>
              <w:rPr>
                <w:rFonts w:eastAsia="Calibri" w:cs="Times New Roman"/>
                <w:noProof/>
                <w:sz w:val="28"/>
                <w:szCs w:val="28"/>
                <w:lang w:eastAsia="ru-RU"/>
              </w:rPr>
              <w:lastRenderedPageBreak/>
              <w:drawing>
                <wp:inline distT="0" distB="0" distL="0" distR="0">
                  <wp:extent cx="2790825" cy="2419350"/>
                  <wp:effectExtent l="0" t="0" r="0" b="0"/>
                  <wp:docPr id="1840735352"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c>
        <w:tc>
          <w:tcPr>
            <w:tcW w:w="4661" w:type="dxa"/>
          </w:tcPr>
          <w:p w:rsidR="00E17FE1" w:rsidRDefault="00BB58D7">
            <w:pPr>
              <w:spacing w:after="0" w:line="240" w:lineRule="auto"/>
              <w:ind w:firstLine="35"/>
              <w:rPr>
                <w:rFonts w:eastAsia="Calibri" w:cs="Times New Roman"/>
                <w:sz w:val="28"/>
                <w:szCs w:val="28"/>
                <w:lang w:val="en-US"/>
              </w:rPr>
            </w:pPr>
            <w:r>
              <w:rPr>
                <w:rFonts w:eastAsia="Calibri" w:cs="Times New Roman"/>
                <w:noProof/>
                <w:sz w:val="28"/>
                <w:szCs w:val="28"/>
                <w:lang w:eastAsia="ru-RU"/>
              </w:rPr>
              <w:drawing>
                <wp:inline distT="0" distB="0" distL="0" distR="0">
                  <wp:extent cx="2790825" cy="2362200"/>
                  <wp:effectExtent l="0" t="0" r="0" b="0"/>
                  <wp:docPr id="1840735353"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c>
      </w:tr>
      <w:tr w:rsidR="00E17FE1">
        <w:trPr>
          <w:jc w:val="center"/>
        </w:trPr>
        <w:tc>
          <w:tcPr>
            <w:tcW w:w="4626" w:type="dxa"/>
          </w:tcPr>
          <w:p w:rsidR="00E17FE1" w:rsidRDefault="00BB58D7">
            <w:pPr>
              <w:spacing w:after="0" w:line="240" w:lineRule="auto"/>
              <w:jc w:val="center"/>
              <w:rPr>
                <w:rFonts w:eastAsia="Calibri" w:cs="Times New Roman"/>
                <w:sz w:val="28"/>
                <w:szCs w:val="28"/>
                <w:lang w:val="de-DE" w:eastAsia="de-DE"/>
              </w:rPr>
            </w:pPr>
            <w:r>
              <w:rPr>
                <w:rFonts w:eastAsia="Calibri" w:cs="Times New Roman"/>
                <w:sz w:val="28"/>
                <w:szCs w:val="28"/>
                <w:lang w:val="de-DE" w:eastAsia="de-DE"/>
              </w:rPr>
              <w:t>A</w:t>
            </w:r>
          </w:p>
        </w:tc>
        <w:tc>
          <w:tcPr>
            <w:tcW w:w="4661" w:type="dxa"/>
          </w:tcPr>
          <w:p w:rsidR="00E17FE1" w:rsidRDefault="00BB58D7">
            <w:pPr>
              <w:spacing w:after="0" w:line="240" w:lineRule="auto"/>
              <w:ind w:firstLine="35"/>
              <w:jc w:val="center"/>
              <w:rPr>
                <w:rFonts w:eastAsia="Calibri" w:cs="Times New Roman"/>
                <w:sz w:val="28"/>
                <w:szCs w:val="28"/>
                <w:lang w:eastAsia="de-DE"/>
              </w:rPr>
            </w:pPr>
            <w:r>
              <w:rPr>
                <w:rFonts w:eastAsia="Calibri" w:cs="Times New Roman"/>
                <w:sz w:val="28"/>
                <w:szCs w:val="28"/>
                <w:lang w:eastAsia="de-DE"/>
              </w:rPr>
              <w:t>Б</w:t>
            </w:r>
          </w:p>
        </w:tc>
      </w:tr>
      <w:tr w:rsidR="00E17FE1">
        <w:trPr>
          <w:jc w:val="center"/>
        </w:trPr>
        <w:tc>
          <w:tcPr>
            <w:tcW w:w="4626" w:type="dxa"/>
          </w:tcPr>
          <w:p w:rsidR="00E17FE1" w:rsidRDefault="00BB58D7">
            <w:pPr>
              <w:spacing w:after="0" w:line="240" w:lineRule="auto"/>
              <w:jc w:val="center"/>
              <w:rPr>
                <w:rFonts w:eastAsia="Calibri" w:cs="Times New Roman"/>
                <w:sz w:val="28"/>
                <w:szCs w:val="28"/>
                <w:lang w:val="de-DE" w:eastAsia="de-DE"/>
              </w:rPr>
            </w:pPr>
            <w:r>
              <w:rPr>
                <w:rFonts w:eastAsia="Calibri" w:cs="Times New Roman"/>
                <w:noProof/>
                <w:sz w:val="28"/>
                <w:szCs w:val="28"/>
                <w:lang w:eastAsia="ru-RU"/>
              </w:rPr>
              <w:drawing>
                <wp:inline distT="0" distB="0" distL="0" distR="0">
                  <wp:extent cx="2790825" cy="2419350"/>
                  <wp:effectExtent l="0" t="0" r="0" b="0"/>
                  <wp:docPr id="1840735354"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c>
        <w:tc>
          <w:tcPr>
            <w:tcW w:w="4661" w:type="dxa"/>
          </w:tcPr>
          <w:p w:rsidR="00E17FE1" w:rsidRDefault="00BB58D7">
            <w:pPr>
              <w:spacing w:after="0" w:line="240" w:lineRule="auto"/>
              <w:ind w:firstLine="35"/>
              <w:jc w:val="center"/>
              <w:rPr>
                <w:rFonts w:eastAsia="Calibri" w:cs="Times New Roman"/>
                <w:sz w:val="28"/>
                <w:szCs w:val="28"/>
                <w:lang w:eastAsia="de-DE"/>
              </w:rPr>
            </w:pPr>
            <w:r>
              <w:rPr>
                <w:rFonts w:eastAsia="Calibri" w:cs="Times New Roman"/>
                <w:noProof/>
                <w:sz w:val="28"/>
                <w:szCs w:val="28"/>
                <w:lang w:eastAsia="ru-RU"/>
              </w:rPr>
              <w:drawing>
                <wp:inline distT="0" distB="0" distL="0" distR="0">
                  <wp:extent cx="2790825" cy="2419350"/>
                  <wp:effectExtent l="0" t="0" r="0" b="0"/>
                  <wp:docPr id="1840735355" name="Диаграмма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c>
      </w:tr>
      <w:tr w:rsidR="00E17FE1">
        <w:trPr>
          <w:jc w:val="center"/>
        </w:trPr>
        <w:tc>
          <w:tcPr>
            <w:tcW w:w="4626" w:type="dxa"/>
          </w:tcPr>
          <w:p w:rsidR="00E17FE1" w:rsidRDefault="00BB58D7">
            <w:pPr>
              <w:spacing w:after="0" w:line="240" w:lineRule="auto"/>
              <w:jc w:val="center"/>
              <w:rPr>
                <w:rFonts w:eastAsia="Calibri" w:cs="Times New Roman"/>
                <w:sz w:val="28"/>
                <w:szCs w:val="28"/>
                <w:lang w:eastAsia="de-DE"/>
              </w:rPr>
            </w:pPr>
            <w:r>
              <w:rPr>
                <w:rFonts w:eastAsia="Calibri" w:cs="Times New Roman"/>
                <w:sz w:val="28"/>
                <w:szCs w:val="28"/>
                <w:lang w:eastAsia="de-DE"/>
              </w:rPr>
              <w:t>В</w:t>
            </w:r>
          </w:p>
        </w:tc>
        <w:tc>
          <w:tcPr>
            <w:tcW w:w="4661" w:type="dxa"/>
          </w:tcPr>
          <w:p w:rsidR="00E17FE1" w:rsidRDefault="00BB58D7">
            <w:pPr>
              <w:spacing w:after="0" w:line="240" w:lineRule="auto"/>
              <w:ind w:firstLine="35"/>
              <w:jc w:val="center"/>
              <w:rPr>
                <w:rFonts w:eastAsia="Calibri" w:cs="Times New Roman"/>
                <w:sz w:val="28"/>
                <w:szCs w:val="28"/>
                <w:lang w:eastAsia="de-DE"/>
              </w:rPr>
            </w:pPr>
            <w:r>
              <w:rPr>
                <w:rFonts w:eastAsia="Calibri" w:cs="Times New Roman"/>
                <w:sz w:val="28"/>
                <w:szCs w:val="28"/>
                <w:lang w:eastAsia="de-DE"/>
              </w:rPr>
              <w:t>Г</w:t>
            </w:r>
          </w:p>
        </w:tc>
      </w:tr>
    </w:tbl>
    <w:p w:rsidR="004764F9" w:rsidRDefault="004764F9">
      <w:pPr>
        <w:widowControl w:val="0"/>
        <w:suppressAutoHyphens/>
        <w:spacing w:after="0" w:line="240" w:lineRule="auto"/>
        <w:jc w:val="center"/>
        <w:rPr>
          <w:rFonts w:ascii="Times New Roman" w:eastAsia="Arial Unicode MS" w:hAnsi="Times New Roman" w:cs="Times New Roman"/>
          <w:sz w:val="28"/>
          <w:szCs w:val="28"/>
          <w:lang w:bidi="en-US"/>
        </w:rPr>
      </w:pPr>
    </w:p>
    <w:p w:rsidR="00E17FE1" w:rsidRDefault="00BB58D7">
      <w:pPr>
        <w:widowControl w:val="0"/>
        <w:suppressAutoHyphens/>
        <w:spacing w:after="0" w:line="240" w:lineRule="auto"/>
        <w:jc w:val="center"/>
        <w:rPr>
          <w:rFonts w:ascii="Times New Roman" w:eastAsia="Arial Unicode MS" w:hAnsi="Times New Roman" w:cs="Times New Roman"/>
          <w:sz w:val="28"/>
          <w:szCs w:val="28"/>
          <w:lang w:bidi="en-US"/>
        </w:rPr>
      </w:pPr>
      <w:r>
        <w:rPr>
          <w:rFonts w:ascii="Times New Roman" w:eastAsia="Arial Unicode MS" w:hAnsi="Times New Roman" w:cs="Times New Roman"/>
          <w:sz w:val="28"/>
          <w:szCs w:val="28"/>
          <w:lang w:bidi="en-US"/>
        </w:rPr>
        <w:t>Рисунок 30 – Кинетика сорбции воды и раневого экссудата дегидратированными пленками БЦ (А); БЦ/ГАП (Б); БЦ/</w:t>
      </w:r>
      <w:r>
        <w:rPr>
          <w:rFonts w:ascii="Times New Roman" w:eastAsia="Arial Unicode MS" w:hAnsi="Times New Roman" w:cs="Times New Roman"/>
          <w:sz w:val="28"/>
          <w:szCs w:val="28"/>
          <w:lang w:val="en-US" w:bidi="en-US"/>
        </w:rPr>
        <w:t>Mxene</w:t>
      </w:r>
      <w:r>
        <w:rPr>
          <w:rFonts w:ascii="Times New Roman" w:eastAsia="Arial Unicode MS" w:hAnsi="Times New Roman" w:cs="Times New Roman"/>
          <w:sz w:val="28"/>
          <w:szCs w:val="28"/>
          <w:lang w:val="kk-KZ" w:bidi="en-US"/>
        </w:rPr>
        <w:t xml:space="preserve"> </w:t>
      </w:r>
      <w:r>
        <w:rPr>
          <w:rFonts w:ascii="Times New Roman" w:eastAsia="Arial Unicode MS" w:hAnsi="Times New Roman" w:cs="Times New Roman"/>
          <w:sz w:val="28"/>
          <w:szCs w:val="28"/>
          <w:lang w:bidi="en-US"/>
        </w:rPr>
        <w:t>(В)</w:t>
      </w:r>
      <w:r>
        <w:rPr>
          <w:rFonts w:ascii="Times New Roman" w:eastAsia="Calibri" w:hAnsi="Times New Roman" w:cs="Times New Roman"/>
          <w:sz w:val="28"/>
          <w:szCs w:val="28"/>
        </w:rPr>
        <w:t xml:space="preserve"> </w:t>
      </w:r>
      <w:r>
        <w:rPr>
          <w:rFonts w:ascii="Times New Roman" w:eastAsia="Arial Unicode MS" w:hAnsi="Times New Roman" w:cs="Times New Roman"/>
          <w:sz w:val="28"/>
          <w:szCs w:val="28"/>
          <w:lang w:bidi="en-US"/>
        </w:rPr>
        <w:t>и БЦ/</w:t>
      </w:r>
      <w:r>
        <w:rPr>
          <w:rFonts w:ascii="Times New Roman" w:eastAsia="Arial Unicode MS" w:hAnsi="Times New Roman" w:cs="Times New Roman"/>
          <w:sz w:val="28"/>
          <w:szCs w:val="28"/>
          <w:lang w:val="kk-KZ" w:bidi="en-US"/>
        </w:rPr>
        <w:t>ГАП</w:t>
      </w:r>
      <w:r>
        <w:rPr>
          <w:rFonts w:ascii="Times New Roman" w:eastAsia="Arial Unicode MS" w:hAnsi="Times New Roman" w:cs="Times New Roman"/>
          <w:sz w:val="28"/>
          <w:szCs w:val="28"/>
          <w:lang w:bidi="en-US"/>
        </w:rPr>
        <w:t>/</w:t>
      </w:r>
      <w:r>
        <w:rPr>
          <w:rFonts w:ascii="Times New Roman" w:eastAsia="Arial Unicode MS" w:hAnsi="Times New Roman" w:cs="Times New Roman"/>
          <w:sz w:val="28"/>
          <w:szCs w:val="28"/>
          <w:lang w:val="en-US" w:bidi="en-US"/>
        </w:rPr>
        <w:t>Mxene</w:t>
      </w:r>
      <w:r>
        <w:rPr>
          <w:rFonts w:ascii="Times New Roman" w:eastAsia="Arial Unicode MS" w:hAnsi="Times New Roman" w:cs="Times New Roman"/>
          <w:sz w:val="28"/>
          <w:szCs w:val="28"/>
          <w:lang w:bidi="en-US"/>
        </w:rPr>
        <w:t xml:space="preserve"> (Г).</w:t>
      </w:r>
    </w:p>
    <w:p w:rsidR="004764F9" w:rsidRDefault="004764F9">
      <w:pPr>
        <w:widowControl w:val="0"/>
        <w:suppressAutoHyphens/>
        <w:spacing w:after="0" w:line="240" w:lineRule="auto"/>
        <w:jc w:val="center"/>
        <w:rPr>
          <w:rFonts w:ascii="Times New Roman" w:eastAsia="Arial Unicode MS" w:hAnsi="Times New Roman" w:cs="Times New Roman"/>
          <w:sz w:val="28"/>
          <w:szCs w:val="28"/>
          <w:lang w:bidi="en-US"/>
        </w:rPr>
      </w:pP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Данные эксперимента свидетельствуют о том, что процесс практически завершается в течение 6 часов для обеих жидкостей.</w:t>
      </w: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kk-KZ"/>
        </w:rPr>
        <w:t>Гель</w:t>
      </w:r>
      <w:r>
        <w:rPr>
          <w:rFonts w:ascii="Times New Roman" w:eastAsia="Calibri" w:hAnsi="Times New Roman" w:cs="Times New Roman"/>
          <w:sz w:val="28"/>
          <w:szCs w:val="28"/>
        </w:rPr>
        <w:t>-</w:t>
      </w:r>
      <w:r>
        <w:rPr>
          <w:rFonts w:ascii="Times New Roman" w:eastAsia="Calibri" w:hAnsi="Times New Roman" w:cs="Times New Roman"/>
          <w:sz w:val="28"/>
          <w:szCs w:val="28"/>
          <w:lang w:val="kk-KZ"/>
        </w:rPr>
        <w:t>пленк</w:t>
      </w:r>
      <w:r>
        <w:rPr>
          <w:rFonts w:ascii="Times New Roman" w:eastAsia="Calibri" w:hAnsi="Times New Roman" w:cs="Times New Roman"/>
          <w:sz w:val="28"/>
          <w:szCs w:val="28"/>
        </w:rPr>
        <w:t>и</w:t>
      </w:r>
      <w:r>
        <w:rPr>
          <w:rFonts w:ascii="Times New Roman" w:hAnsi="Times New Roman" w:cs="Times New Roman"/>
          <w:sz w:val="28"/>
          <w:szCs w:val="28"/>
        </w:rPr>
        <w:t xml:space="preserve"> продемонстрировали различную сорбционную активность воды: </w:t>
      </w:r>
      <w:r>
        <w:rPr>
          <w:rFonts w:ascii="Times New Roman" w:eastAsia="Calibri" w:hAnsi="Times New Roman" w:cs="Times New Roman"/>
          <w:sz w:val="28"/>
          <w:szCs w:val="28"/>
        </w:rPr>
        <w:t>2,7</w:t>
      </w:r>
      <w:r>
        <w:rPr>
          <w:rFonts w:ascii="Times New Roman" w:eastAsia="Calibri" w:hAnsi="Times New Roman" w:cs="Times New Roman"/>
          <w:sz w:val="28"/>
          <w:szCs w:val="28"/>
          <w:u w:val="single"/>
        </w:rPr>
        <w:t>+</w:t>
      </w:r>
      <w:r>
        <w:rPr>
          <w:rFonts w:ascii="Times New Roman" w:eastAsia="Calibri" w:hAnsi="Times New Roman" w:cs="Times New Roman"/>
          <w:sz w:val="28"/>
          <w:szCs w:val="28"/>
        </w:rPr>
        <w:t>0,4 г для чистой БЦ, 1,8</w:t>
      </w:r>
      <w:r>
        <w:rPr>
          <w:rFonts w:ascii="Times New Roman" w:eastAsia="Calibri" w:hAnsi="Times New Roman" w:cs="Times New Roman"/>
          <w:sz w:val="28"/>
          <w:szCs w:val="28"/>
          <w:u w:val="single"/>
        </w:rPr>
        <w:t>+</w:t>
      </w:r>
      <w:r>
        <w:rPr>
          <w:rFonts w:ascii="Times New Roman" w:eastAsia="Calibri" w:hAnsi="Times New Roman" w:cs="Times New Roman"/>
          <w:sz w:val="28"/>
          <w:szCs w:val="28"/>
        </w:rPr>
        <w:t>0,2 г для БЦ/ГАП, 2,5</w:t>
      </w:r>
      <w:r>
        <w:rPr>
          <w:rFonts w:ascii="Times New Roman" w:eastAsia="Calibri" w:hAnsi="Times New Roman" w:cs="Times New Roman"/>
          <w:sz w:val="28"/>
          <w:szCs w:val="28"/>
          <w:u w:val="single"/>
        </w:rPr>
        <w:t>+</w:t>
      </w:r>
      <w:r>
        <w:rPr>
          <w:rFonts w:ascii="Times New Roman" w:eastAsia="Calibri" w:hAnsi="Times New Roman" w:cs="Times New Roman"/>
          <w:sz w:val="28"/>
          <w:szCs w:val="28"/>
        </w:rPr>
        <w:t>0,7 г для БЦ/</w:t>
      </w:r>
      <w:r>
        <w:rPr>
          <w:rFonts w:ascii="Times New Roman" w:eastAsia="Calibri" w:hAnsi="Times New Roman" w:cs="Times New Roman"/>
          <w:sz w:val="28"/>
          <w:szCs w:val="28"/>
          <w:lang w:val="en-US"/>
        </w:rPr>
        <w:t>MXene</w:t>
      </w:r>
      <w:r>
        <w:rPr>
          <w:rFonts w:ascii="Times New Roman" w:eastAsia="Calibri" w:hAnsi="Times New Roman" w:cs="Times New Roman"/>
          <w:sz w:val="28"/>
          <w:szCs w:val="28"/>
        </w:rPr>
        <w:t xml:space="preserve"> и 2,3</w:t>
      </w:r>
      <w:r>
        <w:rPr>
          <w:rFonts w:ascii="Times New Roman" w:eastAsia="Calibri" w:hAnsi="Times New Roman" w:cs="Times New Roman"/>
          <w:sz w:val="28"/>
          <w:szCs w:val="28"/>
          <w:u w:val="single"/>
        </w:rPr>
        <w:t>+</w:t>
      </w:r>
      <w:r>
        <w:rPr>
          <w:rFonts w:ascii="Times New Roman" w:eastAsia="Calibri" w:hAnsi="Times New Roman" w:cs="Times New Roman"/>
          <w:sz w:val="28"/>
          <w:szCs w:val="28"/>
        </w:rPr>
        <w:t xml:space="preserve">0,5 г для </w:t>
      </w:r>
      <w:r>
        <w:rPr>
          <w:rFonts w:ascii="Times New Roman" w:eastAsia="Arial Unicode MS" w:hAnsi="Times New Roman" w:cs="Times New Roman"/>
          <w:sz w:val="28"/>
          <w:szCs w:val="28"/>
          <w:lang w:bidi="en-US"/>
        </w:rPr>
        <w:t>БЦ/</w:t>
      </w:r>
      <w:r>
        <w:rPr>
          <w:rFonts w:ascii="Times New Roman" w:eastAsia="Arial Unicode MS" w:hAnsi="Times New Roman" w:cs="Times New Roman"/>
          <w:sz w:val="28"/>
          <w:szCs w:val="28"/>
          <w:lang w:val="kk-KZ" w:bidi="en-US"/>
        </w:rPr>
        <w:t>ГАП</w:t>
      </w:r>
      <w:r>
        <w:rPr>
          <w:rFonts w:ascii="Times New Roman" w:eastAsia="Arial Unicode MS" w:hAnsi="Times New Roman" w:cs="Times New Roman"/>
          <w:sz w:val="28"/>
          <w:szCs w:val="28"/>
          <w:lang w:bidi="en-US"/>
        </w:rPr>
        <w:t>/</w:t>
      </w:r>
      <w:r>
        <w:rPr>
          <w:rFonts w:ascii="Times New Roman" w:eastAsia="Arial Unicode MS" w:hAnsi="Times New Roman" w:cs="Times New Roman"/>
          <w:sz w:val="28"/>
          <w:szCs w:val="28"/>
          <w:lang w:val="en-US" w:bidi="en-US"/>
        </w:rPr>
        <w:t>Mxene</w:t>
      </w:r>
      <w:r>
        <w:rPr>
          <w:rFonts w:ascii="Times New Roman" w:eastAsia="Calibri" w:hAnsi="Times New Roman" w:cs="Times New Roman"/>
          <w:i/>
          <w:sz w:val="28"/>
          <w:szCs w:val="28"/>
        </w:rPr>
        <w:t xml:space="preserve">.  </w:t>
      </w:r>
      <w:r>
        <w:rPr>
          <w:rFonts w:ascii="Times New Roman" w:hAnsi="Times New Roman" w:cs="Times New Roman"/>
          <w:sz w:val="28"/>
          <w:szCs w:val="28"/>
        </w:rPr>
        <w:t xml:space="preserve">Дальнейшие наблюдения показали, что показатели сорбции всех композитов остаются неизменными. Это свидетельствует о том, что </w:t>
      </w:r>
      <w:r>
        <w:rPr>
          <w:rFonts w:ascii="Times New Roman" w:eastAsia="Arial Unicode MS" w:hAnsi="Times New Roman" w:cs="Times New Roman"/>
          <w:sz w:val="28"/>
          <w:szCs w:val="28"/>
          <w:lang w:bidi="en-US"/>
        </w:rPr>
        <w:t>БЦ/</w:t>
      </w:r>
      <w:r>
        <w:rPr>
          <w:rFonts w:ascii="Times New Roman" w:eastAsia="Arial Unicode MS" w:hAnsi="Times New Roman" w:cs="Times New Roman"/>
          <w:sz w:val="28"/>
          <w:szCs w:val="28"/>
          <w:lang w:val="kk-KZ" w:bidi="en-US"/>
        </w:rPr>
        <w:t>ГАП</w:t>
      </w:r>
      <w:r>
        <w:rPr>
          <w:rFonts w:ascii="Times New Roman" w:eastAsia="Arial Unicode MS" w:hAnsi="Times New Roman" w:cs="Times New Roman"/>
          <w:sz w:val="28"/>
          <w:szCs w:val="28"/>
          <w:lang w:bidi="en-US"/>
        </w:rPr>
        <w:t>/</w:t>
      </w:r>
      <w:r>
        <w:rPr>
          <w:rFonts w:ascii="Times New Roman" w:eastAsia="Arial Unicode MS" w:hAnsi="Times New Roman" w:cs="Times New Roman"/>
          <w:sz w:val="28"/>
          <w:szCs w:val="28"/>
          <w:lang w:val="en-US" w:bidi="en-US"/>
        </w:rPr>
        <w:t>Mxene</w:t>
      </w:r>
      <w:r>
        <w:rPr>
          <w:rFonts w:ascii="Times New Roman" w:hAnsi="Times New Roman" w:cs="Times New Roman"/>
          <w:sz w:val="28"/>
          <w:szCs w:val="28"/>
        </w:rPr>
        <w:t xml:space="preserve"> обеспечивает максимальное поглощение патологического отделяемого из раны в течение 6 часов, определяя тем самым продолжительность интервалов между перевязками. </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Таким образом, сочетание высокой гидрофильности и выраженной адсорбционной способности делает этот композитный материал перспективным для использования в раневых повязках.</w:t>
      </w:r>
    </w:p>
    <w:p w:rsidR="00F644EE" w:rsidRDefault="00F644EE">
      <w:pPr>
        <w:spacing w:after="0" w:line="240" w:lineRule="auto"/>
        <w:ind w:firstLine="567"/>
        <w:jc w:val="both"/>
        <w:outlineLvl w:val="1"/>
        <w:rPr>
          <w:rFonts w:ascii="Times New Roman" w:eastAsia="Times New Roman" w:hAnsi="Times New Roman" w:cs="Times New Roman"/>
          <w:b/>
          <w:bCs/>
          <w:sz w:val="28"/>
          <w:szCs w:val="28"/>
          <w:lang w:eastAsia="ru-RU"/>
        </w:rPr>
      </w:pPr>
    </w:p>
    <w:p w:rsidR="00E17FE1" w:rsidRDefault="00BB58D7">
      <w:pPr>
        <w:spacing w:after="0" w:line="240" w:lineRule="auto"/>
        <w:ind w:firstLine="567"/>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8"/>
          <w:szCs w:val="28"/>
          <w:lang w:eastAsia="ru-RU"/>
        </w:rPr>
        <w:lastRenderedPageBreak/>
        <w:t xml:space="preserve">3.3 </w:t>
      </w:r>
      <w:r>
        <w:rPr>
          <w:rFonts w:ascii="Times New Roman" w:eastAsia="Times New Roman" w:hAnsi="Times New Roman" w:cs="Times New Roman"/>
          <w:b/>
          <w:bCs/>
          <w:sz w:val="28"/>
          <w:szCs w:val="28"/>
          <w:lang w:val="kk-KZ" w:eastAsia="ru-RU"/>
        </w:rPr>
        <w:t>Подбор</w:t>
      </w:r>
      <w:r>
        <w:rPr>
          <w:rFonts w:ascii="Times New Roman" w:eastAsia="Times New Roman" w:hAnsi="Times New Roman" w:cs="Times New Roman"/>
          <w:b/>
          <w:bCs/>
          <w:sz w:val="28"/>
          <w:szCs w:val="28"/>
          <w:lang w:eastAsia="ru-RU"/>
        </w:rPr>
        <w:t xml:space="preserve"> </w:t>
      </w:r>
      <w:r>
        <w:rPr>
          <w:rFonts w:ascii="Times New Roman" w:eastAsia="Times New Roman" w:hAnsi="Times New Roman"/>
          <w:b/>
          <w:bCs/>
          <w:sz w:val="28"/>
          <w:szCs w:val="28"/>
          <w:lang w:eastAsia="ru-RU"/>
        </w:rPr>
        <w:t>способа стерилизации</w:t>
      </w:r>
      <w:r>
        <w:rPr>
          <w:rFonts w:ascii="Times New Roman" w:eastAsia="Times New Roman" w:hAnsi="Times New Roman"/>
          <w:b/>
          <w:bCs/>
          <w:sz w:val="28"/>
          <w:szCs w:val="28"/>
          <w:lang w:val="kk-KZ" w:eastAsia="ru-RU"/>
        </w:rPr>
        <w:t xml:space="preserve"> </w:t>
      </w:r>
      <w:r>
        <w:rPr>
          <w:rFonts w:ascii="Times New Roman" w:eastAsia="Times New Roman" w:hAnsi="Times New Roman" w:cs="Times New Roman"/>
          <w:b/>
          <w:bCs/>
          <w:sz w:val="28"/>
          <w:szCs w:val="28"/>
        </w:rPr>
        <w:t xml:space="preserve">для наноструктурированных биоматериалов </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Стерилизация медицинских устройств и биоматериалов – ключевой этап обеспечения их безопасности и соответствия требованиям нормативных документов. Для изделий, предназначенных для непосредственного контакта с тканями или раневыми поверхностями, стерильность не просто рекомендована — она является обязательной (например, согласно стандарту </w:t>
      </w:r>
      <w:r w:rsidRPr="006A6D75">
        <w:rPr>
          <w:rFonts w:ascii="Times New Roman" w:eastAsia="Times New Roman" w:hAnsi="Times New Roman" w:cs="Times New Roman"/>
          <w:sz w:val="28"/>
          <w:szCs w:val="28"/>
        </w:rPr>
        <w:t>ISO 11137 для стерилизации медицинских изделий посредством радиации) [237]. При</w:t>
      </w:r>
      <w:r>
        <w:rPr>
          <w:rFonts w:ascii="Times New Roman" w:eastAsia="Times New Roman" w:hAnsi="Times New Roman" w:cs="Times New Roman"/>
          <w:sz w:val="28"/>
          <w:szCs w:val="28"/>
        </w:rPr>
        <w:t xml:space="preserve"> этом выбор метода стерилизации должен учитывать особенности материала: температура, влажность, радиационное воздействие или химические агенты могут вызывать изменения в структуре, механических и функциональных свойствах биоматериалов, что особенно актуально для полисахаридных матриц [238].</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Полисахаридные материалы – такие как бактериальная целлюлоза, хитозан, альгинат и др. – активно внедряются в медицину благодаря высокой биосовместимости, биоразлагаемости и способности стимулировать заживление тканей. Однако их чувствительность к воздействию тепла, влажности, реактивов и ионизирующего излучения требует особого подхода к выбору метода стерилизации [238]. Например, в обзоре Моо</w:t>
      </w:r>
      <w:proofErr w:type="gramStart"/>
      <w:r>
        <w:rPr>
          <w:rFonts w:ascii="Times New Roman" w:eastAsia="Times New Roman" w:hAnsi="Times New Roman" w:cs="Times New Roman"/>
          <w:sz w:val="28"/>
          <w:szCs w:val="28"/>
        </w:rPr>
        <w:t>re</w:t>
      </w:r>
      <w:proofErr w:type="gramEnd"/>
      <w:r>
        <w:rPr>
          <w:rFonts w:ascii="Times New Roman" w:eastAsia="Times New Roman" w:hAnsi="Times New Roman" w:cs="Times New Roman"/>
          <w:sz w:val="28"/>
          <w:szCs w:val="28"/>
        </w:rPr>
        <w:t xml:space="preserve"> и др. отмечено, что ионизирующая радиация, автоклавирование и другие методы могут приводить к разрыву полимерных цепей, снижению молекулярной массы, изменению прозрачности и уменьшению механической прочности полисахаридных изделий [239].</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Композит на основе бактериальной целлюлозы, гидроксиапатита и Mxene – представляет собой комбинированную полимер</w:t>
      </w:r>
      <w:r>
        <w:rPr>
          <w:rFonts w:ascii="Times New Roman" w:eastAsia="Times New Roman" w:hAnsi="Times New Roman" w:cs="Times New Roman"/>
          <w:sz w:val="28"/>
          <w:szCs w:val="28"/>
        </w:rPr>
        <w:softHyphen/>
        <w:t>но-наноструктурную матрицу. Такая сложная композиция требует тщательно подобранного метода стерилизации, который обеспечит полную стерильность без ущерба для структуры, морфологии, фототермических и антибактериальных свойств материала. В частности, введение наноматериала MXene  ГАП усиливает требования к щадящей стерилизации: термические и агрессивные химические методы могут вызвать деградацию полисахаридной матрицы и окисление наночастиц.</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цель данного исследования – обоснование и подбор оптимального метода стерилизации </w:t>
      </w:r>
      <w:proofErr w:type="gramStart"/>
      <w:r>
        <w:rPr>
          <w:rFonts w:ascii="Times New Roman" w:eastAsia="Times New Roman" w:hAnsi="Times New Roman" w:cs="Times New Roman"/>
          <w:sz w:val="28"/>
          <w:szCs w:val="28"/>
        </w:rPr>
        <w:t>для</w:t>
      </w:r>
      <w:proofErr w:type="gramEnd"/>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данного</w:t>
      </w:r>
      <w:proofErr w:type="gramEnd"/>
      <w:r>
        <w:rPr>
          <w:rFonts w:ascii="Times New Roman" w:eastAsia="Times New Roman" w:hAnsi="Times New Roman" w:cs="Times New Roman"/>
          <w:sz w:val="28"/>
          <w:szCs w:val="28"/>
        </w:rPr>
        <w:t xml:space="preserve"> биокомпозита с сохранением его структурных, механических и биофункциональных характеристик.</w:t>
      </w:r>
    </w:p>
    <w:p w:rsidR="00E17FE1" w:rsidRDefault="00BB58D7">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определения эффективности шести способов стерилизации обеспложивание образцов композита БЦ–ГАП–</w:t>
      </w:r>
      <w:proofErr w:type="gramStart"/>
      <w:r>
        <w:rPr>
          <w:rFonts w:ascii="Times New Roman" w:eastAsia="Times New Roman" w:hAnsi="Times New Roman" w:cs="Times New Roman"/>
          <w:sz w:val="28"/>
          <w:szCs w:val="28"/>
        </w:rPr>
        <w:t>MXene</w:t>
      </w:r>
      <w:proofErr w:type="gramEnd"/>
      <w:r>
        <w:rPr>
          <w:rFonts w:ascii="Times New Roman" w:eastAsia="Times New Roman" w:hAnsi="Times New Roman" w:cs="Times New Roman"/>
          <w:sz w:val="28"/>
          <w:szCs w:val="28"/>
        </w:rPr>
        <w:t xml:space="preserve"> проверяли методом прямого высева на питательные среды. Каждую плёнку (1×1 см) асептически помещали на поверхность </w:t>
      </w:r>
      <w:proofErr w:type="gramStart"/>
      <w:r>
        <w:rPr>
          <w:rFonts w:ascii="Times New Roman" w:eastAsia="Times New Roman" w:hAnsi="Times New Roman" w:cs="Times New Roman"/>
          <w:sz w:val="28"/>
          <w:szCs w:val="28"/>
        </w:rPr>
        <w:t>мясо-пептонного</w:t>
      </w:r>
      <w:proofErr w:type="gramEnd"/>
      <w:r>
        <w:rPr>
          <w:rFonts w:ascii="Times New Roman" w:eastAsia="Times New Roman" w:hAnsi="Times New Roman" w:cs="Times New Roman"/>
          <w:sz w:val="28"/>
          <w:szCs w:val="28"/>
        </w:rPr>
        <w:t xml:space="preserve"> агара и среды и инкубировали при 37 °C соответственно в течение 48 ч. Наличие микробного роста оценивали визуально. Отсутствие колоний указывало на полную стерильность. Контролем служили необработанные образцы и стерильные чашки без материала. Результаты представлены в таблице 7.</w:t>
      </w:r>
    </w:p>
    <w:p w:rsidR="00E17FE1" w:rsidRDefault="00E17FE1">
      <w:pPr>
        <w:spacing w:after="0" w:line="240" w:lineRule="auto"/>
        <w:ind w:firstLine="720"/>
        <w:jc w:val="both"/>
        <w:rPr>
          <w:rFonts w:ascii="Times New Roman" w:eastAsia="Times New Roman" w:hAnsi="Times New Roman" w:cs="Times New Roman"/>
          <w:sz w:val="28"/>
          <w:szCs w:val="28"/>
        </w:rPr>
      </w:pPr>
    </w:p>
    <w:p w:rsidR="00E17FE1" w:rsidRDefault="00BB58D7" w:rsidP="00BC163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Таблица 7 – Эффективность различных методов стерилизации композита БЦ/ГАП/MXene </w:t>
      </w:r>
    </w:p>
    <w:p w:rsidR="00E17FE1" w:rsidRDefault="00E17FE1">
      <w:pPr>
        <w:spacing w:after="0" w:line="240" w:lineRule="auto"/>
        <w:ind w:firstLine="720"/>
        <w:jc w:val="both"/>
        <w:rPr>
          <w:rFonts w:ascii="Times New Roman" w:eastAsia="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
        <w:gridCol w:w="2987"/>
        <w:gridCol w:w="3890"/>
        <w:gridCol w:w="2210"/>
      </w:tblGrid>
      <w:tr w:rsidR="00E17FE1">
        <w:tc>
          <w:tcPr>
            <w:tcW w:w="0" w:type="auto"/>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0" w:type="auto"/>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 стерилизации</w:t>
            </w:r>
          </w:p>
        </w:tc>
        <w:tc>
          <w:tcPr>
            <w:tcW w:w="389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Наблюдения при высеве на агар</w:t>
            </w:r>
          </w:p>
        </w:tc>
        <w:tc>
          <w:tcPr>
            <w:tcW w:w="2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Эффективность стерилизации</w:t>
            </w:r>
          </w:p>
        </w:tc>
      </w:tr>
      <w:tr w:rsidR="00E17FE1">
        <w:tc>
          <w:tcPr>
            <w:tcW w:w="0" w:type="auto"/>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0" w:type="auto"/>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Автоклавирование (121 °C, 20 мин)</w:t>
            </w:r>
          </w:p>
        </w:tc>
        <w:tc>
          <w:tcPr>
            <w:tcW w:w="389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Рост отсутствует</w:t>
            </w:r>
          </w:p>
        </w:tc>
        <w:tc>
          <w:tcPr>
            <w:tcW w:w="2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100 %</w:t>
            </w:r>
          </w:p>
        </w:tc>
      </w:tr>
      <w:tr w:rsidR="00E17FE1">
        <w:tc>
          <w:tcPr>
            <w:tcW w:w="0" w:type="auto"/>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0" w:type="auto"/>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Этиленоксид (37 °C, 4 ч + аэрация 12 ч)</w:t>
            </w:r>
          </w:p>
        </w:tc>
        <w:tc>
          <w:tcPr>
            <w:tcW w:w="389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Рост отсутствует</w:t>
            </w:r>
          </w:p>
        </w:tc>
        <w:tc>
          <w:tcPr>
            <w:tcW w:w="2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100 %</w:t>
            </w:r>
          </w:p>
        </w:tc>
      </w:tr>
      <w:tr w:rsidR="00E17FE1">
        <w:tc>
          <w:tcPr>
            <w:tcW w:w="0" w:type="auto"/>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0" w:type="auto"/>
          </w:tcPr>
          <w:p w:rsidR="00E17FE1" w:rsidRDefault="00BB58D7">
            <w:pPr>
              <w:spacing w:after="0" w:line="240" w:lineRule="auto"/>
              <w:jc w:val="center"/>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УФ-излучение</w:t>
            </w:r>
            <w:proofErr w:type="gramEnd"/>
            <w:r>
              <w:rPr>
                <w:rFonts w:ascii="Times New Roman" w:eastAsia="Times New Roman" w:hAnsi="Times New Roman" w:cs="Times New Roman"/>
                <w:sz w:val="28"/>
                <w:szCs w:val="28"/>
              </w:rPr>
              <w:t xml:space="preserve"> (254 нм, 30 мин × 2 стороны)</w:t>
            </w:r>
          </w:p>
        </w:tc>
        <w:tc>
          <w:tcPr>
            <w:tcW w:w="389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Микробная нагрузка уменьшилась наполовину по сравнению с контролем</w:t>
            </w:r>
          </w:p>
        </w:tc>
        <w:tc>
          <w:tcPr>
            <w:tcW w:w="2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50 %</w:t>
            </w:r>
          </w:p>
        </w:tc>
      </w:tr>
      <w:tr w:rsidR="00E17FE1">
        <w:tc>
          <w:tcPr>
            <w:tcW w:w="0" w:type="auto"/>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0" w:type="auto"/>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Озон (10 г/ч, 30 мин)</w:t>
            </w:r>
          </w:p>
        </w:tc>
        <w:tc>
          <w:tcPr>
            <w:tcW w:w="389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Рост отсутствует</w:t>
            </w:r>
          </w:p>
        </w:tc>
        <w:tc>
          <w:tcPr>
            <w:tcW w:w="2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100 %</w:t>
            </w:r>
          </w:p>
        </w:tc>
      </w:tr>
      <w:tr w:rsidR="00E17FE1">
        <w:tc>
          <w:tcPr>
            <w:tcW w:w="0" w:type="auto"/>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0" w:type="auto"/>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Сверхкритический CO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 xml:space="preserve"> (38 МПа, 30 °C, 60 мин)</w:t>
            </w:r>
          </w:p>
        </w:tc>
        <w:tc>
          <w:tcPr>
            <w:tcW w:w="389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Незначительный рост (2–3 колонии)</w:t>
            </w:r>
          </w:p>
        </w:tc>
        <w:tc>
          <w:tcPr>
            <w:tcW w:w="2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90 %</w:t>
            </w:r>
          </w:p>
        </w:tc>
      </w:tr>
      <w:tr w:rsidR="00E17FE1">
        <w:tc>
          <w:tcPr>
            <w:tcW w:w="0" w:type="auto"/>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0" w:type="auto"/>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Холодная плазма (O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/Ar, 15 мин)</w:t>
            </w:r>
          </w:p>
        </w:tc>
        <w:tc>
          <w:tcPr>
            <w:tcW w:w="389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Рост отсутствует</w:t>
            </w:r>
          </w:p>
        </w:tc>
        <w:tc>
          <w:tcPr>
            <w:tcW w:w="2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100 %</w:t>
            </w:r>
          </w:p>
        </w:tc>
      </w:tr>
    </w:tbl>
    <w:p w:rsidR="00E17FE1" w:rsidRDefault="00E17FE1">
      <w:pPr>
        <w:spacing w:after="0" w:line="240" w:lineRule="auto"/>
        <w:ind w:firstLine="567"/>
        <w:jc w:val="both"/>
        <w:rPr>
          <w:rFonts w:ascii="Times New Roman" w:eastAsia="Times New Roman" w:hAnsi="Times New Roman" w:cs="Times New Roman"/>
          <w:sz w:val="28"/>
          <w:szCs w:val="28"/>
        </w:rPr>
      </w:pPr>
    </w:p>
    <w:p w:rsidR="00E17FE1" w:rsidRDefault="00BB58D7">
      <w:pPr>
        <w:spacing w:after="0" w:line="240" w:lineRule="auto"/>
        <w:ind w:firstLine="567"/>
        <w:jc w:val="both"/>
        <w:rPr>
          <w:rFonts w:ascii="Times New Roman" w:eastAsia="Times New Roman" w:hAnsi="Times New Roman" w:cs="Times New Roman"/>
          <w:color w:val="FF0000"/>
          <w:sz w:val="28"/>
          <w:szCs w:val="28"/>
        </w:rPr>
      </w:pPr>
      <w:r>
        <w:rPr>
          <w:rFonts w:ascii="Times New Roman" w:eastAsia="Times New Roman" w:hAnsi="Times New Roman" w:cs="Times New Roman"/>
          <w:sz w:val="28"/>
          <w:szCs w:val="28"/>
        </w:rPr>
        <w:t xml:space="preserve">Различия в стерилизующей эффективности и степени сохранности морфологии композита обусловлены характером физико-химического воздействия, присущим каждому методу. Холодная плазма воздействует преимущественно на поверхность композита: активные формы кислорода и азота эффективно разрушают клеточные структуры без существенной термодеструкции матрицы [240]. </w:t>
      </w:r>
    </w:p>
    <w:p w:rsidR="00E17FE1" w:rsidRDefault="00BB58D7">
      <w:pPr>
        <w:spacing w:after="0" w:line="240" w:lineRule="auto"/>
        <w:ind w:firstLine="567"/>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УФ-облучение</w:t>
      </w:r>
      <w:proofErr w:type="gramEnd"/>
      <w:r>
        <w:rPr>
          <w:rFonts w:ascii="Times New Roman" w:eastAsia="Times New Roman" w:hAnsi="Times New Roman" w:cs="Times New Roman"/>
          <w:sz w:val="28"/>
          <w:szCs w:val="28"/>
        </w:rPr>
        <w:t xml:space="preserve"> демонстрирует существенно меньшую эффективность (~50 %), что связано с ограниченной глубиной проникновения и частичным экранированием полимерной матрицей. Подобный эффект подтверждается экспериментальными исследованиями фотолиза биополимеров, обладающих естественной устойчивостью к </w:t>
      </w:r>
      <w:proofErr w:type="gramStart"/>
      <w:r>
        <w:rPr>
          <w:rFonts w:ascii="Times New Roman" w:eastAsia="Times New Roman" w:hAnsi="Times New Roman" w:cs="Times New Roman"/>
          <w:sz w:val="28"/>
          <w:szCs w:val="28"/>
        </w:rPr>
        <w:t>УФ-излучению</w:t>
      </w:r>
      <w:proofErr w:type="gramEnd"/>
      <w:r>
        <w:rPr>
          <w:rFonts w:ascii="Times New Roman" w:eastAsia="Times New Roman" w:hAnsi="Times New Roman" w:cs="Times New Roman"/>
          <w:sz w:val="28"/>
          <w:szCs w:val="28"/>
        </w:rPr>
        <w:t xml:space="preserve"> [241].</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Химические агенты (этиленоксид и озон) обеспечивают высокий уровень стерилизации благодаря различным механизмам: алкилированию и окислению, соответственно. При этом озон способен вызывать лёгкое поверхностное окисление сахаров, тогда как обработка EtO требует обязательной аэрации для удаления остаточного токсичного газа [242].</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Термические методы (автоклавирование) хотя и обеспечивают надёжную стерилизацию, сопровождаются гидролизом гликозидных связей, снижением кристалличности и общей деградацией полисахаридной матрицы вследствие воздействия высокой температуры [</w:t>
      </w:r>
      <w:r>
        <w:rPr>
          <w:rFonts w:ascii="Times New Roman" w:eastAsia="Times New Roman" w:hAnsi="Times New Roman" w:cs="Times New Roman"/>
          <w:sz w:val="24"/>
          <w:szCs w:val="24"/>
        </w:rPr>
        <w:t>243</w:t>
      </w:r>
      <w:r>
        <w:rPr>
          <w:rFonts w:ascii="Times New Roman" w:eastAsia="Times New Roman" w:hAnsi="Times New Roman" w:cs="Times New Roman"/>
          <w:sz w:val="28"/>
          <w:szCs w:val="28"/>
        </w:rPr>
        <w:t xml:space="preserve">]. </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Наиболее </w:t>
      </w:r>
      <w:proofErr w:type="gramStart"/>
      <w:r>
        <w:rPr>
          <w:rFonts w:ascii="Times New Roman" w:eastAsia="Times New Roman" w:hAnsi="Times New Roman" w:cs="Times New Roman"/>
          <w:sz w:val="28"/>
          <w:szCs w:val="28"/>
        </w:rPr>
        <w:t>щадящим</w:t>
      </w:r>
      <w:proofErr w:type="gramEnd"/>
      <w:r>
        <w:rPr>
          <w:rFonts w:ascii="Times New Roman" w:eastAsia="Times New Roman" w:hAnsi="Times New Roman" w:cs="Times New Roman"/>
          <w:sz w:val="28"/>
          <w:szCs w:val="28"/>
        </w:rPr>
        <w:t xml:space="preserve"> с точки зрения сохранения структуры выступает сверхкритический CO</w:t>
      </w:r>
      <w:r>
        <w:rPr>
          <w:rFonts w:ascii="Cambria Math" w:eastAsia="Times New Roman" w:hAnsi="Cambria Math" w:cs="Cambria Math"/>
          <w:sz w:val="28"/>
          <w:szCs w:val="28"/>
        </w:rPr>
        <w:t>₂</w:t>
      </w:r>
      <w:r>
        <w:rPr>
          <w:rFonts w:ascii="Times New Roman" w:eastAsia="Times New Roman" w:hAnsi="Times New Roman" w:cs="Times New Roman"/>
          <w:sz w:val="28"/>
          <w:szCs w:val="28"/>
        </w:rPr>
        <w:t>: стерильность достигает примерно 90 % за счёт денатурации белков и экстракции липидов бактерий.</w:t>
      </w:r>
    </w:p>
    <w:p w:rsidR="00E17FE1" w:rsidRDefault="00BB58D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оптимальными по сочетанию стерилизующей способности и степени сохранения структуры материала являются холодная </w:t>
      </w:r>
      <w:r>
        <w:rPr>
          <w:rFonts w:ascii="Times New Roman" w:eastAsia="Times New Roman" w:hAnsi="Times New Roman" w:cs="Times New Roman"/>
          <w:sz w:val="28"/>
          <w:szCs w:val="28"/>
        </w:rPr>
        <w:lastRenderedPageBreak/>
        <w:t xml:space="preserve">плазма, этиленоксид и озон, в то время как </w:t>
      </w:r>
      <w:proofErr w:type="gramStart"/>
      <w:r>
        <w:rPr>
          <w:rFonts w:ascii="Times New Roman" w:eastAsia="Times New Roman" w:hAnsi="Times New Roman" w:cs="Times New Roman"/>
          <w:sz w:val="28"/>
          <w:szCs w:val="28"/>
        </w:rPr>
        <w:t>УФ-облучение</w:t>
      </w:r>
      <w:proofErr w:type="gramEnd"/>
      <w:r>
        <w:rPr>
          <w:rFonts w:ascii="Times New Roman" w:eastAsia="Times New Roman" w:hAnsi="Times New Roman" w:cs="Times New Roman"/>
          <w:sz w:val="28"/>
          <w:szCs w:val="28"/>
        </w:rPr>
        <w:t xml:space="preserve"> и термические методы следует рассматривать как вспомогательные.</w:t>
      </w:r>
    </w:p>
    <w:p w:rsidR="00E17FE1" w:rsidRDefault="00BB58D7">
      <w:pPr>
        <w:pStyle w:val="af2"/>
        <w:spacing w:before="0" w:beforeAutospacing="0" w:after="0" w:afterAutospacing="0"/>
        <w:ind w:firstLine="567"/>
        <w:jc w:val="both"/>
        <w:rPr>
          <w:sz w:val="28"/>
          <w:szCs w:val="28"/>
          <w:lang w:val="ru-RU"/>
        </w:rPr>
      </w:pPr>
      <w:r>
        <w:rPr>
          <w:sz w:val="28"/>
          <w:szCs w:val="28"/>
          <w:lang w:val="ru-RU"/>
        </w:rPr>
        <w:t>Для комплексной оценки устойчивости композита БЦ/ГАП/</w:t>
      </w:r>
      <w:r>
        <w:rPr>
          <w:sz w:val="28"/>
          <w:szCs w:val="28"/>
        </w:rPr>
        <w:t>MXene</w:t>
      </w:r>
      <w:r>
        <w:rPr>
          <w:sz w:val="28"/>
          <w:szCs w:val="28"/>
          <w:lang w:val="ru-RU"/>
        </w:rPr>
        <w:t xml:space="preserve"> к различным физико-химическим воздействиям была проведена сравнительная характеристика его структурно-функциональных свойств после стерилизации. Поскольку используемые методы существенно различаются по механизму действия (термическое, химическое, плазменное и сверхкритическое воздействие), ожидалось, что степень их влияния на морфологию, механические параметры и функциональные характеристики материала будет неодинаковой.</w:t>
      </w:r>
    </w:p>
    <w:p w:rsidR="00E17FE1" w:rsidRDefault="00BB58D7">
      <w:pPr>
        <w:pStyle w:val="af2"/>
        <w:spacing w:before="0" w:beforeAutospacing="0" w:after="0" w:afterAutospacing="0"/>
        <w:ind w:firstLine="567"/>
        <w:jc w:val="both"/>
        <w:rPr>
          <w:sz w:val="28"/>
          <w:szCs w:val="28"/>
          <w:lang w:val="ru-RU"/>
        </w:rPr>
      </w:pPr>
      <w:r>
        <w:rPr>
          <w:sz w:val="28"/>
          <w:szCs w:val="28"/>
          <w:lang w:val="ru-RU"/>
        </w:rPr>
        <w:t xml:space="preserve">В рамках исследования оценивалось, сохраняет ли композит исходную трёхмерную структуру бактериальной целлюлозы и распределение наполнителей (ГАП и </w:t>
      </w:r>
      <w:r>
        <w:rPr>
          <w:sz w:val="28"/>
          <w:szCs w:val="28"/>
        </w:rPr>
        <w:t>MXene</w:t>
      </w:r>
      <w:r>
        <w:rPr>
          <w:sz w:val="28"/>
          <w:szCs w:val="28"/>
          <w:lang w:val="ru-RU"/>
        </w:rPr>
        <w:t>), а также изменяются ли его эксплуатационные свойства после обработки. Анализ включал моделирование изменений как на уровне надмолекулярной организации (пористость, морфология), так и на уровне макроскопических характеристик (механика, электропроводность), что позволило связать наблюдаемые явления с природой соответствующего стерилизующего воздействия.</w:t>
      </w:r>
    </w:p>
    <w:p w:rsidR="00E17FE1" w:rsidRDefault="00BB58D7">
      <w:pPr>
        <w:pStyle w:val="af2"/>
        <w:spacing w:before="0" w:beforeAutospacing="0" w:after="0" w:afterAutospacing="0"/>
        <w:ind w:firstLine="567"/>
        <w:jc w:val="both"/>
        <w:rPr>
          <w:color w:val="FF0000"/>
          <w:sz w:val="28"/>
          <w:szCs w:val="28"/>
          <w:lang w:val="ru-RU"/>
        </w:rPr>
      </w:pPr>
      <w:r>
        <w:rPr>
          <w:sz w:val="28"/>
          <w:szCs w:val="28"/>
          <w:lang w:val="ru-RU"/>
        </w:rPr>
        <w:t xml:space="preserve">В частности, после применения различных способов стерилизации оценивались следующие параметры: </w:t>
      </w:r>
      <w:r>
        <w:rPr>
          <w:rStyle w:val="a7"/>
          <w:b w:val="0"/>
          <w:sz w:val="28"/>
          <w:szCs w:val="28"/>
          <w:lang w:val="ru-RU"/>
        </w:rPr>
        <w:t>Внешний вид и морфология;</w:t>
      </w:r>
      <w:r>
        <w:rPr>
          <w:rStyle w:val="a7"/>
          <w:sz w:val="28"/>
          <w:szCs w:val="28"/>
          <w:lang w:val="ru-RU"/>
        </w:rPr>
        <w:t xml:space="preserve"> </w:t>
      </w:r>
      <w:r>
        <w:rPr>
          <w:rStyle w:val="a7"/>
          <w:b w:val="0"/>
          <w:sz w:val="28"/>
          <w:szCs w:val="28"/>
          <w:lang w:val="ru-RU"/>
        </w:rPr>
        <w:t>Механические свойства</w:t>
      </w:r>
      <w:r>
        <w:rPr>
          <w:rStyle w:val="a7"/>
          <w:sz w:val="28"/>
          <w:szCs w:val="28"/>
          <w:lang w:val="ru-RU"/>
        </w:rPr>
        <w:t xml:space="preserve"> (</w:t>
      </w:r>
      <w:r>
        <w:rPr>
          <w:sz w:val="28"/>
          <w:szCs w:val="28"/>
          <w:lang w:val="ru-RU"/>
        </w:rPr>
        <w:t>модуль Юнга (</w:t>
      </w:r>
      <w:r>
        <w:rPr>
          <w:sz w:val="28"/>
          <w:szCs w:val="28"/>
        </w:rPr>
        <w:t>E</w:t>
      </w:r>
      <w:r>
        <w:rPr>
          <w:sz w:val="28"/>
          <w:szCs w:val="28"/>
          <w:lang w:val="ru-RU"/>
        </w:rPr>
        <w:t>), прочность на растяжение</w:t>
      </w:r>
      <w:proofErr w:type="gramStart"/>
      <w:r>
        <w:rPr>
          <w:sz w:val="28"/>
          <w:szCs w:val="28"/>
          <w:lang w:val="ru-RU"/>
        </w:rPr>
        <w:t xml:space="preserve"> (</w:t>
      </w:r>
      <w:r>
        <w:rPr>
          <w:sz w:val="28"/>
          <w:szCs w:val="28"/>
        </w:rPr>
        <w:t>σᵤ</w:t>
      </w:r>
      <w:r>
        <w:rPr>
          <w:sz w:val="28"/>
          <w:szCs w:val="28"/>
          <w:lang w:val="ru-RU"/>
        </w:rPr>
        <w:t xml:space="preserve">));  </w:t>
      </w:r>
      <w:proofErr w:type="gramEnd"/>
      <w:r>
        <w:rPr>
          <w:rStyle w:val="a7"/>
          <w:b w:val="0"/>
          <w:sz w:val="28"/>
          <w:szCs w:val="28"/>
          <w:lang w:val="ru-RU"/>
        </w:rPr>
        <w:t>Структурные изменения</w:t>
      </w:r>
      <w:r>
        <w:rPr>
          <w:rStyle w:val="a7"/>
          <w:sz w:val="28"/>
          <w:szCs w:val="28"/>
          <w:lang w:val="ru-RU"/>
        </w:rPr>
        <w:t xml:space="preserve"> (</w:t>
      </w:r>
      <w:r>
        <w:rPr>
          <w:sz w:val="28"/>
          <w:szCs w:val="28"/>
          <w:lang w:val="ru-RU"/>
        </w:rPr>
        <w:t xml:space="preserve">пористость) и </w:t>
      </w:r>
      <w:r>
        <w:rPr>
          <w:rStyle w:val="a7"/>
          <w:b w:val="0"/>
          <w:sz w:val="28"/>
          <w:szCs w:val="28"/>
          <w:lang w:val="ru-RU"/>
        </w:rPr>
        <w:t>функциональные характеристики:</w:t>
      </w:r>
      <w:r>
        <w:rPr>
          <w:sz w:val="28"/>
          <w:szCs w:val="28"/>
          <w:lang w:val="ru-RU"/>
        </w:rPr>
        <w:t xml:space="preserve"> электропроводность и фототермическая активность.</w:t>
      </w:r>
    </w:p>
    <w:p w:rsidR="00E17FE1" w:rsidRDefault="00BB58D7">
      <w:pPr>
        <w:pStyle w:val="af2"/>
        <w:spacing w:before="0" w:beforeAutospacing="0" w:after="0" w:afterAutospacing="0"/>
        <w:ind w:firstLine="567"/>
        <w:jc w:val="both"/>
        <w:rPr>
          <w:sz w:val="28"/>
          <w:szCs w:val="28"/>
          <w:lang w:val="ru-RU"/>
        </w:rPr>
      </w:pPr>
      <w:r>
        <w:rPr>
          <w:sz w:val="28"/>
          <w:szCs w:val="28"/>
          <w:lang w:val="ru-RU"/>
        </w:rPr>
        <w:t>Наиболее выраженные морфологические повреждения БЦ/ГА/MXene наблюдались после термической стерилизации и озонирования (уплотнение, растрескивание, изменение цвета), тогда как холодная плазма сохраняли исходную структуру с минимальными визуальными изменениями.</w:t>
      </w:r>
    </w:p>
    <w:p w:rsidR="00E17FE1" w:rsidRDefault="00BB58D7">
      <w:pPr>
        <w:pStyle w:val="af2"/>
        <w:spacing w:before="0" w:beforeAutospacing="0" w:after="0" w:afterAutospacing="0"/>
        <w:ind w:firstLine="567"/>
        <w:jc w:val="both"/>
        <w:rPr>
          <w:sz w:val="28"/>
          <w:szCs w:val="28"/>
          <w:lang w:val="ru-RU"/>
        </w:rPr>
      </w:pPr>
      <w:r>
        <w:rPr>
          <w:sz w:val="28"/>
          <w:szCs w:val="28"/>
          <w:lang w:val="ru-RU"/>
        </w:rPr>
        <w:t>Результаты механических свойств материалов после стерилизации приведены в таблице 8.</w:t>
      </w:r>
    </w:p>
    <w:p w:rsidR="00BC1637" w:rsidRDefault="00BC1637" w:rsidP="00BC1637">
      <w:pPr>
        <w:spacing w:after="0" w:line="240" w:lineRule="auto"/>
        <w:jc w:val="both"/>
        <w:rPr>
          <w:rFonts w:ascii="Times New Roman" w:hAnsi="Times New Roman" w:cs="Times New Roman"/>
          <w:sz w:val="28"/>
          <w:szCs w:val="28"/>
        </w:rPr>
      </w:pPr>
    </w:p>
    <w:p w:rsidR="00E17FE1" w:rsidRDefault="00BB58D7" w:rsidP="00BC163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8 – Влияние различных методов стерилизации на </w:t>
      </w:r>
      <w:r>
        <w:rPr>
          <w:rFonts w:ascii="Times New Roman" w:hAnsi="Times New Roman" w:cs="Times New Roman"/>
          <w:sz w:val="28"/>
          <w:szCs w:val="28"/>
          <w:lang w:val="kk-KZ"/>
        </w:rPr>
        <w:t xml:space="preserve">механические </w:t>
      </w:r>
      <w:r>
        <w:rPr>
          <w:rFonts w:ascii="Times New Roman" w:hAnsi="Times New Roman" w:cs="Times New Roman"/>
          <w:sz w:val="28"/>
          <w:szCs w:val="28"/>
        </w:rPr>
        <w:t>свойства композита БЦ/ГА/MXene</w:t>
      </w:r>
    </w:p>
    <w:p w:rsidR="00E17FE1" w:rsidRDefault="00E17FE1">
      <w:pPr>
        <w:spacing w:after="0" w:line="240" w:lineRule="auto"/>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2"/>
        <w:gridCol w:w="2463"/>
        <w:gridCol w:w="2256"/>
        <w:gridCol w:w="1701"/>
        <w:gridCol w:w="1689"/>
      </w:tblGrid>
      <w:tr w:rsidR="00E17FE1">
        <w:trPr>
          <w:jc w:val="center"/>
        </w:trPr>
        <w:tc>
          <w:tcPr>
            <w:tcW w:w="842" w:type="dxa"/>
          </w:tcPr>
          <w:p w:rsidR="00E17FE1" w:rsidRDefault="00BB58D7">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w:t>
            </w:r>
          </w:p>
        </w:tc>
        <w:tc>
          <w:tcPr>
            <w:tcW w:w="2142" w:type="dxa"/>
          </w:tcPr>
          <w:p w:rsidR="00E17FE1" w:rsidRDefault="00BB58D7">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Метод стерилизации</w:t>
            </w:r>
          </w:p>
        </w:tc>
        <w:tc>
          <w:tcPr>
            <w:tcW w:w="2256"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Температура / доза / экспозиция</w:t>
            </w:r>
          </w:p>
        </w:tc>
        <w:tc>
          <w:tcPr>
            <w:tcW w:w="1701"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Изменение E-модуля, %</w:t>
            </w:r>
          </w:p>
        </w:tc>
        <w:tc>
          <w:tcPr>
            <w:tcW w:w="1689"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Изменение σᵤ, %</w:t>
            </w:r>
          </w:p>
        </w:tc>
      </w:tr>
      <w:tr w:rsidR="00E17FE1">
        <w:trPr>
          <w:jc w:val="center"/>
        </w:trPr>
        <w:tc>
          <w:tcPr>
            <w:tcW w:w="8630" w:type="dxa"/>
            <w:gridSpan w:val="5"/>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 Термические методы</w:t>
            </w:r>
          </w:p>
        </w:tc>
      </w:tr>
      <w:tr w:rsidR="00E17FE1">
        <w:trPr>
          <w:jc w:val="center"/>
        </w:trPr>
        <w:tc>
          <w:tcPr>
            <w:tcW w:w="842" w:type="dxa"/>
          </w:tcPr>
          <w:p w:rsidR="00E17FE1" w:rsidRDefault="00BB58D7">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1</w:t>
            </w:r>
          </w:p>
        </w:tc>
        <w:tc>
          <w:tcPr>
            <w:tcW w:w="2142" w:type="dxa"/>
          </w:tcPr>
          <w:p w:rsidR="00E17FE1" w:rsidRDefault="00BB58D7">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Автоклав </w:t>
            </w:r>
          </w:p>
        </w:tc>
        <w:tc>
          <w:tcPr>
            <w:tcW w:w="2256"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 xml:space="preserve">121 °C, 1 </w:t>
            </w:r>
            <w:proofErr w:type="gramStart"/>
            <w:r>
              <w:rPr>
                <w:rFonts w:ascii="Times New Roman" w:eastAsia="Times New Roman" w:hAnsi="Times New Roman" w:cs="Times New Roman"/>
                <w:sz w:val="28"/>
                <w:szCs w:val="28"/>
              </w:rPr>
              <w:t>атм</w:t>
            </w:r>
            <w:proofErr w:type="gramEnd"/>
            <w:r>
              <w:rPr>
                <w:rFonts w:ascii="Times New Roman" w:eastAsia="Times New Roman" w:hAnsi="Times New Roman" w:cs="Times New Roman"/>
                <w:sz w:val="28"/>
                <w:szCs w:val="28"/>
              </w:rPr>
              <w:t>, 20 мин</w:t>
            </w:r>
          </w:p>
        </w:tc>
        <w:tc>
          <w:tcPr>
            <w:tcW w:w="1701"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−28 %</w:t>
            </w:r>
          </w:p>
        </w:tc>
        <w:tc>
          <w:tcPr>
            <w:tcW w:w="1689"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−33 %</w:t>
            </w:r>
          </w:p>
        </w:tc>
      </w:tr>
      <w:tr w:rsidR="00E17FE1">
        <w:trPr>
          <w:jc w:val="center"/>
        </w:trPr>
        <w:tc>
          <w:tcPr>
            <w:tcW w:w="8630" w:type="dxa"/>
            <w:gridSpan w:val="5"/>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hAnsi="Times New Roman" w:cs="Times New Roman"/>
                <w:sz w:val="28"/>
                <w:szCs w:val="28"/>
              </w:rPr>
              <w:t>II. Химические методы</w:t>
            </w:r>
          </w:p>
        </w:tc>
      </w:tr>
      <w:tr w:rsidR="00E17FE1">
        <w:trPr>
          <w:jc w:val="center"/>
        </w:trPr>
        <w:tc>
          <w:tcPr>
            <w:tcW w:w="8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2</w:t>
            </w:r>
          </w:p>
        </w:tc>
        <w:tc>
          <w:tcPr>
            <w:tcW w:w="21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Этиленоксид (EtO)</w:t>
            </w:r>
          </w:p>
        </w:tc>
        <w:tc>
          <w:tcPr>
            <w:tcW w:w="2256"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 °C, 4 ч + аэрация 12 ч</w:t>
            </w:r>
          </w:p>
        </w:tc>
        <w:tc>
          <w:tcPr>
            <w:tcW w:w="1701"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w:t>
            </w:r>
          </w:p>
        </w:tc>
        <w:tc>
          <w:tcPr>
            <w:tcW w:w="1689"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−8 %</w:t>
            </w:r>
          </w:p>
        </w:tc>
      </w:tr>
      <w:tr w:rsidR="00E17FE1">
        <w:trPr>
          <w:jc w:val="center"/>
        </w:trPr>
        <w:tc>
          <w:tcPr>
            <w:tcW w:w="842" w:type="dxa"/>
          </w:tcPr>
          <w:p w:rsidR="00E17FE1" w:rsidRDefault="00BB58D7">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val="en-US"/>
              </w:rPr>
              <w:t>3</w:t>
            </w:r>
          </w:p>
        </w:tc>
        <w:tc>
          <w:tcPr>
            <w:tcW w:w="2142" w:type="dxa"/>
          </w:tcPr>
          <w:p w:rsidR="00E17FE1" w:rsidRDefault="00BB58D7">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Озон</w:t>
            </w:r>
          </w:p>
        </w:tc>
        <w:tc>
          <w:tcPr>
            <w:tcW w:w="2256"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10 г/ч, 30 мин</w:t>
            </w:r>
          </w:p>
        </w:tc>
        <w:tc>
          <w:tcPr>
            <w:tcW w:w="1701"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−22 %</w:t>
            </w:r>
          </w:p>
        </w:tc>
        <w:tc>
          <w:tcPr>
            <w:tcW w:w="1689" w:type="dxa"/>
          </w:tcPr>
          <w:p w:rsidR="00E17FE1" w:rsidRDefault="00BB58D7">
            <w:pPr>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−26 %</w:t>
            </w:r>
          </w:p>
        </w:tc>
      </w:tr>
      <w:tr w:rsidR="00E17FE1">
        <w:trPr>
          <w:jc w:val="center"/>
        </w:trPr>
        <w:tc>
          <w:tcPr>
            <w:tcW w:w="8630" w:type="dxa"/>
            <w:gridSpan w:val="5"/>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hAnsi="Times New Roman" w:cs="Times New Roman"/>
                <w:sz w:val="28"/>
                <w:szCs w:val="28"/>
              </w:rPr>
              <w:t>I</w:t>
            </w:r>
            <w:r>
              <w:rPr>
                <w:rFonts w:ascii="Times New Roman" w:hAnsi="Times New Roman" w:cs="Times New Roman"/>
                <w:sz w:val="28"/>
                <w:szCs w:val="28"/>
                <w:lang w:val="en-US"/>
              </w:rPr>
              <w:t>II</w:t>
            </w:r>
            <w:r>
              <w:rPr>
                <w:rFonts w:ascii="Times New Roman" w:hAnsi="Times New Roman" w:cs="Times New Roman"/>
                <w:sz w:val="28"/>
                <w:szCs w:val="28"/>
              </w:rPr>
              <w:t>. Фотохимические/плазменные</w:t>
            </w:r>
          </w:p>
        </w:tc>
      </w:tr>
      <w:tr w:rsidR="00E17FE1">
        <w:trPr>
          <w:jc w:val="center"/>
        </w:trPr>
        <w:tc>
          <w:tcPr>
            <w:tcW w:w="8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lastRenderedPageBreak/>
              <w:t>4</w:t>
            </w:r>
          </w:p>
        </w:tc>
        <w:tc>
          <w:tcPr>
            <w:tcW w:w="21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УФ излучение</w:t>
            </w:r>
          </w:p>
        </w:tc>
        <w:tc>
          <w:tcPr>
            <w:tcW w:w="2256"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 нм, 30 мин × 2</w:t>
            </w:r>
          </w:p>
        </w:tc>
        <w:tc>
          <w:tcPr>
            <w:tcW w:w="1701"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−15 %</w:t>
            </w:r>
          </w:p>
        </w:tc>
        <w:tc>
          <w:tcPr>
            <w:tcW w:w="1689"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−18 %</w:t>
            </w:r>
          </w:p>
        </w:tc>
      </w:tr>
      <w:tr w:rsidR="00E17FE1">
        <w:trPr>
          <w:jc w:val="center"/>
        </w:trPr>
        <w:tc>
          <w:tcPr>
            <w:tcW w:w="8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5</w:t>
            </w:r>
          </w:p>
        </w:tc>
        <w:tc>
          <w:tcPr>
            <w:tcW w:w="21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Холодная плазма (O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/Ar)</w:t>
            </w:r>
          </w:p>
        </w:tc>
        <w:tc>
          <w:tcPr>
            <w:tcW w:w="2256"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 Вт, 0.2 мбар, 15 мин</w:t>
            </w:r>
          </w:p>
        </w:tc>
        <w:tc>
          <w:tcPr>
            <w:tcW w:w="1701"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p>
        </w:tc>
        <w:tc>
          <w:tcPr>
            <w:tcW w:w="1689"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w:t>
            </w:r>
          </w:p>
        </w:tc>
      </w:tr>
      <w:tr w:rsidR="00E17FE1">
        <w:trPr>
          <w:jc w:val="center"/>
        </w:trPr>
        <w:tc>
          <w:tcPr>
            <w:tcW w:w="8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t>6</w:t>
            </w:r>
          </w:p>
        </w:tc>
        <w:tc>
          <w:tcPr>
            <w:tcW w:w="214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Сверхкритический CO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 xml:space="preserve"> (ScCO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w:t>
            </w:r>
          </w:p>
        </w:tc>
        <w:tc>
          <w:tcPr>
            <w:tcW w:w="2256"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 °C, 38 МПа, 60 мин</w:t>
            </w:r>
          </w:p>
        </w:tc>
        <w:tc>
          <w:tcPr>
            <w:tcW w:w="1701"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−7 %</w:t>
            </w:r>
          </w:p>
        </w:tc>
        <w:tc>
          <w:tcPr>
            <w:tcW w:w="1689"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−9 %</w:t>
            </w:r>
          </w:p>
        </w:tc>
      </w:tr>
    </w:tbl>
    <w:p w:rsidR="00E17FE1" w:rsidRDefault="00E17FE1">
      <w:pPr>
        <w:pStyle w:val="af2"/>
        <w:spacing w:before="0" w:beforeAutospacing="0" w:after="0" w:afterAutospacing="0"/>
        <w:ind w:firstLine="720"/>
        <w:jc w:val="both"/>
        <w:rPr>
          <w:sz w:val="28"/>
          <w:szCs w:val="28"/>
          <w:lang w:val="ru-RU"/>
        </w:rPr>
      </w:pPr>
    </w:p>
    <w:p w:rsidR="00E17FE1" w:rsidRDefault="00BB58D7">
      <w:pPr>
        <w:pStyle w:val="af2"/>
        <w:spacing w:before="0" w:beforeAutospacing="0" w:after="0" w:afterAutospacing="0"/>
        <w:ind w:firstLine="567"/>
        <w:jc w:val="both"/>
        <w:rPr>
          <w:sz w:val="28"/>
          <w:szCs w:val="28"/>
          <w:lang w:val="ru-RU"/>
        </w:rPr>
      </w:pPr>
      <w:r>
        <w:rPr>
          <w:sz w:val="28"/>
          <w:szCs w:val="28"/>
          <w:lang w:val="ru-RU"/>
        </w:rPr>
        <w:t>Сравнительный анализ показал, что изменение механических свойств композита БЦ/ГАП/MXene  существенно зависит от природы стерилизующего воздействия. С позиций сохранности механических свойств и морфологии оптимальными для БЦ/ГАП/MXene являются холодная плазма, EtO и ScCO</w:t>
      </w:r>
      <w:r>
        <w:rPr>
          <w:rFonts w:ascii="Cambria Math" w:hAnsi="Cambria Math" w:cs="Cambria Math"/>
          <w:sz w:val="28"/>
          <w:szCs w:val="28"/>
          <w:lang w:val="ru-RU"/>
        </w:rPr>
        <w:t>₂</w:t>
      </w:r>
      <w:r>
        <w:rPr>
          <w:sz w:val="28"/>
          <w:szCs w:val="28"/>
          <w:lang w:val="ru-RU"/>
        </w:rPr>
        <w:t>;   термические методы и озон демонстрируют наибольшую деградацию и должны применяться с осторожностью либо рассматриваться как резервные.</w:t>
      </w:r>
    </w:p>
    <w:p w:rsidR="00E17FE1" w:rsidRDefault="00BB58D7">
      <w:pPr>
        <w:pStyle w:val="af2"/>
        <w:spacing w:before="0" w:beforeAutospacing="0" w:after="0" w:afterAutospacing="0"/>
        <w:ind w:firstLine="567"/>
        <w:jc w:val="both"/>
        <w:rPr>
          <w:sz w:val="28"/>
          <w:szCs w:val="28"/>
          <w:lang w:val="ru-RU"/>
        </w:rPr>
      </w:pPr>
      <w:r>
        <w:rPr>
          <w:sz w:val="28"/>
          <w:szCs w:val="28"/>
          <w:lang w:val="ru-RU"/>
        </w:rPr>
        <w:t>Для более полного понимания устойчивости материала после стерилизации была дополнительно оценена сохранность его структурных характеристик (пористость) (Таблица 9), а также ключевых функциональных свойств, определяющих прикладной потенциал композита, — электропроводности и фототермической активности.</w:t>
      </w:r>
    </w:p>
    <w:p w:rsidR="00E17FE1" w:rsidRDefault="00BB58D7">
      <w:pPr>
        <w:pStyle w:val="af2"/>
        <w:spacing w:before="0" w:beforeAutospacing="0" w:after="0" w:afterAutospacing="0"/>
        <w:ind w:firstLine="720"/>
        <w:jc w:val="both"/>
        <w:rPr>
          <w:sz w:val="28"/>
          <w:szCs w:val="28"/>
          <w:lang w:val="ru-RU"/>
        </w:rPr>
      </w:pPr>
      <w:r>
        <w:rPr>
          <w:sz w:val="28"/>
          <w:szCs w:val="28"/>
          <w:lang w:val="ru-RU"/>
        </w:rPr>
        <w:t>Анализ данных показывает, что методы стерилизации различаются по степени влияния на пористость композита БЦ/ГАП/</w:t>
      </w:r>
      <w:r>
        <w:rPr>
          <w:sz w:val="28"/>
          <w:szCs w:val="28"/>
        </w:rPr>
        <w:t>MXene</w:t>
      </w:r>
      <w:r>
        <w:rPr>
          <w:sz w:val="28"/>
          <w:szCs w:val="28"/>
          <w:lang w:val="ru-RU"/>
        </w:rPr>
        <w:t>: наибольшее увеличение пористости зафиксировано при термическом методе (автоклав +8 %), тогда как щадящие процессы (</w:t>
      </w:r>
      <w:r>
        <w:rPr>
          <w:sz w:val="28"/>
          <w:szCs w:val="28"/>
        </w:rPr>
        <w:t>EtO</w:t>
      </w:r>
      <w:r>
        <w:rPr>
          <w:sz w:val="28"/>
          <w:szCs w:val="28"/>
          <w:lang w:val="ru-RU"/>
        </w:rPr>
        <w:t xml:space="preserve"> +3 %, </w:t>
      </w:r>
      <w:r>
        <w:rPr>
          <w:sz w:val="28"/>
          <w:szCs w:val="28"/>
        </w:rPr>
        <w:t>ScCO</w:t>
      </w:r>
      <w:r>
        <w:rPr>
          <w:rFonts w:ascii="Cambria Math" w:hAnsi="Cambria Math" w:cs="Cambria Math"/>
          <w:sz w:val="28"/>
          <w:szCs w:val="28"/>
          <w:lang w:val="ru-RU"/>
        </w:rPr>
        <w:t>₂</w:t>
      </w:r>
      <w:r>
        <w:rPr>
          <w:sz w:val="28"/>
          <w:szCs w:val="28"/>
          <w:lang w:val="ru-RU"/>
        </w:rPr>
        <w:t xml:space="preserve"> +3 %) дают лишь умеренное увеличение, а наименьшее — УФ и холодная плазма (+2 %). Это указывает на то, что агрессивные режимы стерилизации приводят к большей деструкции структуры и образованию вторичных пустот или микротрещин, тогда как щадящие методы лучше сохраняют исходную пористую архитектуру.</w:t>
      </w:r>
    </w:p>
    <w:p w:rsidR="00BC1637" w:rsidRDefault="00BC1637" w:rsidP="00BC1637">
      <w:pPr>
        <w:pStyle w:val="af2"/>
        <w:spacing w:before="0" w:beforeAutospacing="0" w:after="0" w:afterAutospacing="0"/>
        <w:jc w:val="both"/>
        <w:rPr>
          <w:lang w:val="ru-RU"/>
        </w:rPr>
      </w:pPr>
    </w:p>
    <w:p w:rsidR="00E17FE1" w:rsidRDefault="00BB58D7" w:rsidP="00BC1637">
      <w:pPr>
        <w:pStyle w:val="af2"/>
        <w:spacing w:before="0" w:beforeAutospacing="0" w:after="0" w:afterAutospacing="0"/>
        <w:jc w:val="both"/>
        <w:rPr>
          <w:sz w:val="28"/>
          <w:szCs w:val="28"/>
          <w:lang w:val="ru-RU"/>
        </w:rPr>
      </w:pPr>
      <w:r>
        <w:rPr>
          <w:sz w:val="28"/>
          <w:szCs w:val="28"/>
          <w:lang w:val="ru-RU"/>
        </w:rPr>
        <w:t>Таблица 9 – Пористость БЦ/ГАП/MXene после применения различных методов стерилизации</w:t>
      </w:r>
    </w:p>
    <w:p w:rsidR="00E17FE1" w:rsidRDefault="00E17FE1">
      <w:pPr>
        <w:pStyle w:val="af2"/>
        <w:spacing w:before="0" w:beforeAutospacing="0" w:after="0" w:afterAutospacing="0"/>
        <w:ind w:firstLine="720"/>
        <w:jc w:val="both"/>
        <w:rPr>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42"/>
        <w:gridCol w:w="2468"/>
        <w:gridCol w:w="3248"/>
        <w:gridCol w:w="2398"/>
      </w:tblGrid>
      <w:tr w:rsidR="00E17FE1">
        <w:trPr>
          <w:jc w:val="center"/>
        </w:trPr>
        <w:tc>
          <w:tcPr>
            <w:tcW w:w="842" w:type="dxa"/>
          </w:tcPr>
          <w:p w:rsidR="00E17FE1" w:rsidRDefault="00BB58D7">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w:t>
            </w:r>
          </w:p>
        </w:tc>
        <w:tc>
          <w:tcPr>
            <w:tcW w:w="2468" w:type="dxa"/>
          </w:tcPr>
          <w:p w:rsidR="00E17FE1" w:rsidRDefault="00BB58D7">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Метод стерилизации</w:t>
            </w:r>
          </w:p>
        </w:tc>
        <w:tc>
          <w:tcPr>
            <w:tcW w:w="3248" w:type="dxa"/>
          </w:tcPr>
          <w:p w:rsidR="00E17FE1" w:rsidRDefault="00BB58D7">
            <w:pPr>
              <w:spacing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Температура / доза / экспозиция</w:t>
            </w:r>
          </w:p>
        </w:tc>
        <w:tc>
          <w:tcPr>
            <w:tcW w:w="2398" w:type="dxa"/>
          </w:tcPr>
          <w:p w:rsidR="00E17FE1" w:rsidRDefault="00BB58D7">
            <w:pPr>
              <w:spacing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Изменение пористости, %</w:t>
            </w:r>
          </w:p>
        </w:tc>
      </w:tr>
      <w:tr w:rsidR="00E17FE1">
        <w:trPr>
          <w:jc w:val="center"/>
        </w:trPr>
        <w:tc>
          <w:tcPr>
            <w:tcW w:w="842"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46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324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39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E17FE1">
        <w:trPr>
          <w:trHeight w:val="154"/>
          <w:jc w:val="center"/>
        </w:trPr>
        <w:tc>
          <w:tcPr>
            <w:tcW w:w="8956" w:type="dxa"/>
            <w:gridSpan w:val="4"/>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 Термические методы</w:t>
            </w:r>
          </w:p>
        </w:tc>
      </w:tr>
      <w:tr w:rsidR="00E17FE1">
        <w:trPr>
          <w:jc w:val="center"/>
        </w:trPr>
        <w:tc>
          <w:tcPr>
            <w:tcW w:w="842" w:type="dxa"/>
          </w:tcPr>
          <w:p w:rsidR="00E17FE1" w:rsidRDefault="00BB58D7">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1</w:t>
            </w:r>
          </w:p>
        </w:tc>
        <w:tc>
          <w:tcPr>
            <w:tcW w:w="2468" w:type="dxa"/>
          </w:tcPr>
          <w:p w:rsidR="00E17FE1" w:rsidRDefault="00BB58D7">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Автоклав </w:t>
            </w:r>
          </w:p>
        </w:tc>
        <w:tc>
          <w:tcPr>
            <w:tcW w:w="3248" w:type="dxa"/>
          </w:tcPr>
          <w:p w:rsidR="00E17FE1" w:rsidRDefault="00BB58D7">
            <w:pPr>
              <w:spacing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 xml:space="preserve">121 °C, 1 </w:t>
            </w:r>
            <w:proofErr w:type="gramStart"/>
            <w:r>
              <w:rPr>
                <w:rFonts w:ascii="Times New Roman" w:eastAsia="Times New Roman" w:hAnsi="Times New Roman" w:cs="Times New Roman"/>
                <w:sz w:val="28"/>
                <w:szCs w:val="28"/>
              </w:rPr>
              <w:t>атм</w:t>
            </w:r>
            <w:proofErr w:type="gramEnd"/>
            <w:r>
              <w:rPr>
                <w:rFonts w:ascii="Times New Roman" w:eastAsia="Times New Roman" w:hAnsi="Times New Roman" w:cs="Times New Roman"/>
                <w:sz w:val="28"/>
                <w:szCs w:val="28"/>
              </w:rPr>
              <w:t>, 20 мин</w:t>
            </w:r>
          </w:p>
        </w:tc>
        <w:tc>
          <w:tcPr>
            <w:tcW w:w="2398" w:type="dxa"/>
          </w:tcPr>
          <w:p w:rsidR="00E17FE1" w:rsidRDefault="00BB58D7">
            <w:pPr>
              <w:spacing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+8 %</w:t>
            </w:r>
          </w:p>
        </w:tc>
      </w:tr>
      <w:tr w:rsidR="00E17FE1">
        <w:trPr>
          <w:jc w:val="center"/>
        </w:trPr>
        <w:tc>
          <w:tcPr>
            <w:tcW w:w="8956" w:type="dxa"/>
            <w:gridSpan w:val="4"/>
          </w:tcPr>
          <w:p w:rsidR="00E17FE1" w:rsidRDefault="00BB58D7">
            <w:pPr>
              <w:spacing w:line="240" w:lineRule="auto"/>
              <w:jc w:val="center"/>
              <w:rPr>
                <w:rFonts w:ascii="Times New Roman" w:eastAsia="Times New Roman" w:hAnsi="Times New Roman" w:cs="Times New Roman"/>
                <w:sz w:val="28"/>
                <w:szCs w:val="28"/>
              </w:rPr>
            </w:pPr>
            <w:r>
              <w:rPr>
                <w:rFonts w:ascii="Times New Roman" w:hAnsi="Times New Roman" w:cs="Times New Roman"/>
                <w:sz w:val="28"/>
                <w:szCs w:val="28"/>
              </w:rPr>
              <w:t>II. Химические методы</w:t>
            </w:r>
          </w:p>
        </w:tc>
      </w:tr>
      <w:tr w:rsidR="00E17FE1">
        <w:trPr>
          <w:jc w:val="center"/>
        </w:trPr>
        <w:tc>
          <w:tcPr>
            <w:tcW w:w="842"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468"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Этиленоксид (EtO)</w:t>
            </w:r>
          </w:p>
        </w:tc>
        <w:tc>
          <w:tcPr>
            <w:tcW w:w="324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37 °C, 4 ч + аэрация 12 ч</w:t>
            </w:r>
          </w:p>
        </w:tc>
        <w:tc>
          <w:tcPr>
            <w:tcW w:w="239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p>
        </w:tc>
      </w:tr>
      <w:tr w:rsidR="00E17FE1">
        <w:trPr>
          <w:jc w:val="center"/>
        </w:trPr>
        <w:tc>
          <w:tcPr>
            <w:tcW w:w="842" w:type="dxa"/>
          </w:tcPr>
          <w:p w:rsidR="00E17FE1" w:rsidRDefault="00BB58D7">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3</w:t>
            </w:r>
          </w:p>
        </w:tc>
        <w:tc>
          <w:tcPr>
            <w:tcW w:w="2468" w:type="dxa"/>
          </w:tcPr>
          <w:p w:rsidR="00E17FE1" w:rsidRDefault="00BB58D7">
            <w:pPr>
              <w:spacing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Озон</w:t>
            </w:r>
          </w:p>
        </w:tc>
        <w:tc>
          <w:tcPr>
            <w:tcW w:w="3248" w:type="dxa"/>
          </w:tcPr>
          <w:p w:rsidR="00E17FE1" w:rsidRDefault="00BB58D7">
            <w:pPr>
              <w:spacing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10 г/ч, 30 мин</w:t>
            </w:r>
          </w:p>
        </w:tc>
        <w:tc>
          <w:tcPr>
            <w:tcW w:w="2398" w:type="dxa"/>
          </w:tcPr>
          <w:p w:rsidR="00E17FE1" w:rsidRDefault="00BB58D7">
            <w:pPr>
              <w:spacing w:line="240" w:lineRule="auto"/>
              <w:jc w:val="center"/>
              <w:rPr>
                <w:rFonts w:ascii="Times New Roman" w:hAnsi="Times New Roman" w:cs="Times New Roman"/>
                <w:sz w:val="28"/>
                <w:szCs w:val="28"/>
              </w:rPr>
            </w:pPr>
            <w:r>
              <w:rPr>
                <w:rFonts w:ascii="Times New Roman" w:eastAsia="Times New Roman" w:hAnsi="Times New Roman" w:cs="Times New Roman"/>
                <w:sz w:val="28"/>
                <w:szCs w:val="28"/>
              </w:rPr>
              <w:t>+6 %</w:t>
            </w:r>
          </w:p>
        </w:tc>
      </w:tr>
      <w:tr w:rsidR="00E17FE1">
        <w:trPr>
          <w:jc w:val="center"/>
        </w:trPr>
        <w:tc>
          <w:tcPr>
            <w:tcW w:w="8956" w:type="dxa"/>
            <w:gridSpan w:val="4"/>
          </w:tcPr>
          <w:p w:rsidR="00E17FE1" w:rsidRDefault="00BB58D7">
            <w:pPr>
              <w:spacing w:line="240" w:lineRule="auto"/>
              <w:jc w:val="center"/>
              <w:rPr>
                <w:rFonts w:ascii="Times New Roman" w:eastAsia="Times New Roman" w:hAnsi="Times New Roman" w:cs="Times New Roman"/>
                <w:sz w:val="28"/>
                <w:szCs w:val="28"/>
              </w:rPr>
            </w:pPr>
            <w:r>
              <w:rPr>
                <w:rFonts w:ascii="Times New Roman" w:hAnsi="Times New Roman" w:cs="Times New Roman"/>
                <w:sz w:val="28"/>
                <w:szCs w:val="28"/>
              </w:rPr>
              <w:t>I</w:t>
            </w:r>
            <w:r>
              <w:rPr>
                <w:rFonts w:ascii="Times New Roman" w:hAnsi="Times New Roman" w:cs="Times New Roman"/>
                <w:sz w:val="28"/>
                <w:szCs w:val="28"/>
                <w:lang w:val="en-US"/>
              </w:rPr>
              <w:t>II</w:t>
            </w:r>
            <w:r>
              <w:rPr>
                <w:rFonts w:ascii="Times New Roman" w:hAnsi="Times New Roman" w:cs="Times New Roman"/>
                <w:sz w:val="28"/>
                <w:szCs w:val="28"/>
              </w:rPr>
              <w:t>. Фотохимические/плазменные</w:t>
            </w:r>
          </w:p>
        </w:tc>
      </w:tr>
      <w:tr w:rsidR="00E17FE1">
        <w:trPr>
          <w:jc w:val="center"/>
        </w:trPr>
        <w:tc>
          <w:tcPr>
            <w:tcW w:w="842"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468"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УФ излучение</w:t>
            </w:r>
          </w:p>
        </w:tc>
        <w:tc>
          <w:tcPr>
            <w:tcW w:w="324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254 нм, 30 мин × 2</w:t>
            </w:r>
          </w:p>
        </w:tc>
        <w:tc>
          <w:tcPr>
            <w:tcW w:w="239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p>
        </w:tc>
      </w:tr>
      <w:tr w:rsidR="00E17FE1">
        <w:trPr>
          <w:jc w:val="center"/>
        </w:trPr>
        <w:tc>
          <w:tcPr>
            <w:tcW w:w="842"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468"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Холодная плазма (O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/Ar)</w:t>
            </w:r>
          </w:p>
        </w:tc>
        <w:tc>
          <w:tcPr>
            <w:tcW w:w="324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 Вт, 0.2 мбар, 15 мин</w:t>
            </w:r>
          </w:p>
        </w:tc>
        <w:tc>
          <w:tcPr>
            <w:tcW w:w="239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w:t>
            </w:r>
          </w:p>
        </w:tc>
      </w:tr>
      <w:tr w:rsidR="00E17FE1">
        <w:trPr>
          <w:jc w:val="center"/>
        </w:trPr>
        <w:tc>
          <w:tcPr>
            <w:tcW w:w="842"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468" w:type="dxa"/>
          </w:tcPr>
          <w:p w:rsidR="00E17FE1" w:rsidRDefault="00BB58D7">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Сверхкритический CO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 xml:space="preserve"> (ScCO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w:t>
            </w:r>
          </w:p>
        </w:tc>
        <w:tc>
          <w:tcPr>
            <w:tcW w:w="324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 °C, 38 МПа, 60 мин</w:t>
            </w:r>
          </w:p>
        </w:tc>
        <w:tc>
          <w:tcPr>
            <w:tcW w:w="2398" w:type="dxa"/>
          </w:tcPr>
          <w:p w:rsidR="00E17FE1" w:rsidRDefault="00BB58D7">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+3 %</w:t>
            </w:r>
          </w:p>
        </w:tc>
      </w:tr>
    </w:tbl>
    <w:p w:rsidR="00E17FE1" w:rsidRDefault="00E17FE1">
      <w:pPr>
        <w:spacing w:after="0" w:line="240" w:lineRule="auto"/>
        <w:ind w:firstLine="720"/>
        <w:jc w:val="both"/>
        <w:rPr>
          <w:rFonts w:ascii="Times New Roman" w:hAnsi="Times New Roman" w:cs="Times New Roman"/>
          <w:sz w:val="28"/>
          <w:szCs w:val="28"/>
        </w:rPr>
      </w:pP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Изменение пористости после стерилизации хорошо отражает характер воздействия каждого метода на структуру композита. Наибольший прирост пористости наблюдался при термической обработке, что, вероятно, связано с обезвоживанием и усадкой материала, </w:t>
      </w:r>
      <w:proofErr w:type="gramStart"/>
      <w:r>
        <w:rPr>
          <w:rFonts w:ascii="Times New Roman" w:hAnsi="Times New Roman" w:cs="Times New Roman"/>
          <w:sz w:val="28"/>
          <w:szCs w:val="28"/>
        </w:rPr>
        <w:t>приводящими</w:t>
      </w:r>
      <w:proofErr w:type="gramEnd"/>
      <w:r>
        <w:rPr>
          <w:rFonts w:ascii="Times New Roman" w:hAnsi="Times New Roman" w:cs="Times New Roman"/>
          <w:sz w:val="28"/>
          <w:szCs w:val="28"/>
        </w:rPr>
        <w:t xml:space="preserve"> к коллапсу крупных пор и формированию микротрещин. Подобный механизм описан для биополимеров, структура которых при нагревании становится менее стабильной и подверженной локальному разрушению. В результате формально регистрируется увеличение пористости, хотя фактически оно связано не с формированием полноценной внутренней сети, а с возникновением дефектов [</w:t>
      </w:r>
      <w:r>
        <w:rPr>
          <w:rFonts w:ascii="Times New Roman" w:hAnsi="Times New Roman"/>
          <w:sz w:val="28"/>
          <w:szCs w:val="28"/>
        </w:rPr>
        <w:t>160</w:t>
      </w:r>
      <w:r>
        <w:rPr>
          <w:rFonts w:ascii="Times New Roman" w:hAnsi="Times New Roman" w:cs="Times New Roman"/>
          <w:sz w:val="28"/>
          <w:szCs w:val="28"/>
        </w:rPr>
        <w:t>].</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Методы низкотемпературного химического и физико-химического воздействия, такие как обработка этиленоксидом, </w:t>
      </w:r>
      <w:proofErr w:type="gramStart"/>
      <w:r>
        <w:rPr>
          <w:rFonts w:ascii="Times New Roman" w:hAnsi="Times New Roman" w:cs="Times New Roman"/>
          <w:sz w:val="28"/>
          <w:szCs w:val="28"/>
        </w:rPr>
        <w:t>сверхкритическим</w:t>
      </w:r>
      <w:proofErr w:type="gramEnd"/>
      <w:r>
        <w:rPr>
          <w:rFonts w:ascii="Times New Roman" w:hAnsi="Times New Roman" w:cs="Times New Roman"/>
          <w:sz w:val="28"/>
          <w:szCs w:val="28"/>
        </w:rPr>
        <w:t xml:space="preserve"> CO</w:t>
      </w:r>
      <w:r>
        <w:rPr>
          <w:rFonts w:ascii="Cambria Math" w:hAnsi="Cambria Math" w:cs="Cambria Math"/>
          <w:sz w:val="28"/>
          <w:szCs w:val="28"/>
        </w:rPr>
        <w:t>₂</w:t>
      </w:r>
      <w:r>
        <w:rPr>
          <w:rFonts w:ascii="Times New Roman" w:hAnsi="Times New Roman" w:cs="Times New Roman"/>
          <w:sz w:val="28"/>
          <w:szCs w:val="28"/>
        </w:rPr>
        <w:t xml:space="preserve"> и холодной плазмой, оказывают минимальное влияние на пористость. Они не нарушают глубинную структуру композита, в основном воздействуя на поверхность, благодаря чему пространственная организация сохраняется почти </w:t>
      </w:r>
      <w:proofErr w:type="gramStart"/>
      <w:r>
        <w:rPr>
          <w:rFonts w:ascii="Times New Roman" w:hAnsi="Times New Roman" w:cs="Times New Roman"/>
          <w:sz w:val="28"/>
          <w:szCs w:val="28"/>
        </w:rPr>
        <w:t>неизменной</w:t>
      </w:r>
      <w:proofErr w:type="gramEnd"/>
      <w:r>
        <w:rPr>
          <w:rFonts w:ascii="Times New Roman" w:hAnsi="Times New Roman" w:cs="Times New Roman"/>
          <w:sz w:val="28"/>
          <w:szCs w:val="28"/>
        </w:rPr>
        <w:t xml:space="preserve">. </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Таким образом, увеличение пористости не всегда следует рассматривать как благоприятный эффект: значительное её возрастание при термических методах указывает скорее на разрушение матрицы и образование дефектов, тогда как слабые изменения, фиксируемые после щадящих методов, свидетельствуют о лучшей сохранности исходной пористой структуры. В литературе подчёркивается, что важно учитывать не только величину пористости, но и её природу, поскольку дефектные поры и трещины функционально не эквивалентны исходной организованной пористой сети.</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Поскольку БЦ/ГАП/MXene разрабатывался как многокомпонентный материал, обладающий электропроводностью и выраженными фототермическими свойствами за счёт присутствия MXene, именно эти параметры являются критически важными для его дальнейшего применения в биомедицине (например, </w:t>
      </w:r>
      <w:proofErr w:type="gramStart"/>
      <w:r>
        <w:rPr>
          <w:rFonts w:ascii="Times New Roman" w:hAnsi="Times New Roman" w:cs="Times New Roman"/>
          <w:sz w:val="28"/>
          <w:szCs w:val="28"/>
        </w:rPr>
        <w:t>при</w:t>
      </w:r>
      <w:proofErr w:type="gramEnd"/>
      <w:r>
        <w:rPr>
          <w:rFonts w:ascii="Times New Roman" w:hAnsi="Times New Roman" w:cs="Times New Roman"/>
          <w:sz w:val="28"/>
          <w:szCs w:val="28"/>
        </w:rPr>
        <w:t xml:space="preserve"> локальной фототермотерапии и для создания электро-активных имплантатов и биоэлектродов).</w:t>
      </w: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Для каждого метода стерилизации были получены значения сохранения электропроводности и фототермической активности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 от исходного уровня), представленные на Рисунке 31.</w:t>
      </w:r>
    </w:p>
    <w:p w:rsidR="00E17FE1" w:rsidRDefault="00E17FE1">
      <w:pPr>
        <w:spacing w:after="0" w:line="240" w:lineRule="auto"/>
        <w:ind w:firstLine="720"/>
        <w:jc w:val="both"/>
        <w:rPr>
          <w:rFonts w:ascii="Times New Roman" w:hAnsi="Times New Roman" w:cs="Times New Roman"/>
          <w:sz w:val="28"/>
          <w:szCs w:val="28"/>
        </w:rPr>
      </w:pPr>
    </w:p>
    <w:p w:rsidR="00E17FE1" w:rsidRDefault="00BB58D7">
      <w:pPr>
        <w:spacing w:after="0" w:line="240" w:lineRule="auto"/>
        <w:ind w:firstLine="72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114300" distR="114300">
            <wp:extent cx="5256530" cy="3098800"/>
            <wp:effectExtent l="19050" t="0" r="20320" b="6350"/>
            <wp:docPr id="1840735356"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E17FE1" w:rsidRDefault="00E17FE1">
      <w:pPr>
        <w:spacing w:after="0" w:line="240" w:lineRule="auto"/>
        <w:ind w:firstLine="720"/>
        <w:jc w:val="both"/>
        <w:rPr>
          <w:rFonts w:ascii="Times New Roman" w:hAnsi="Times New Roman" w:cs="Times New Roman"/>
          <w:sz w:val="28"/>
          <w:szCs w:val="28"/>
        </w:rPr>
      </w:pPr>
    </w:p>
    <w:p w:rsidR="00E17FE1" w:rsidRDefault="00BB58D7">
      <w:pPr>
        <w:pStyle w:val="af2"/>
        <w:spacing w:beforeAutospacing="0" w:afterAutospacing="0"/>
        <w:ind w:firstLine="567"/>
        <w:jc w:val="center"/>
        <w:rPr>
          <w:sz w:val="28"/>
          <w:szCs w:val="28"/>
          <w:lang w:val="ru-RU"/>
        </w:rPr>
      </w:pPr>
      <w:r>
        <w:rPr>
          <w:sz w:val="28"/>
          <w:szCs w:val="28"/>
          <w:lang w:val="ru-RU"/>
        </w:rPr>
        <w:t>Рисунок 31</w:t>
      </w:r>
      <w:r w:rsidR="006737E3" w:rsidRPr="006737E3">
        <w:rPr>
          <w:sz w:val="28"/>
          <w:szCs w:val="28"/>
          <w:lang w:val="ru-RU" w:eastAsia="ru-RU"/>
        </w:rPr>
        <w:t xml:space="preserve"> </w:t>
      </w:r>
      <w:r w:rsidR="006737E3" w:rsidRPr="00A551EF">
        <w:rPr>
          <w:bCs/>
          <w:iCs/>
          <w:sz w:val="28"/>
          <w:szCs w:val="28"/>
        </w:rPr>
        <w:sym w:font="Symbol" w:char="F02D"/>
      </w:r>
      <w:r w:rsidR="006737E3" w:rsidRPr="006737E3">
        <w:rPr>
          <w:sz w:val="28"/>
          <w:szCs w:val="28"/>
          <w:lang w:val="ru-RU" w:eastAsia="ru-RU"/>
        </w:rPr>
        <w:t xml:space="preserve"> </w:t>
      </w:r>
      <w:r>
        <w:rPr>
          <w:sz w:val="28"/>
          <w:szCs w:val="28"/>
          <w:lang w:val="ru-RU"/>
        </w:rPr>
        <w:t>Влияние различных методов стерилизации на функциональные свойства БЦ/ГАП/MXene</w:t>
      </w:r>
    </w:p>
    <w:p w:rsidR="00E17FE1" w:rsidRDefault="00E17FE1">
      <w:pPr>
        <w:pStyle w:val="af2"/>
        <w:spacing w:before="0" w:beforeAutospacing="0" w:after="0" w:afterAutospacing="0"/>
        <w:ind w:firstLine="567"/>
        <w:jc w:val="both"/>
        <w:rPr>
          <w:sz w:val="28"/>
          <w:szCs w:val="28"/>
          <w:lang w:val="ru-RU"/>
        </w:rPr>
      </w:pPr>
    </w:p>
    <w:p w:rsidR="00E17FE1" w:rsidRDefault="00BB58D7">
      <w:pPr>
        <w:pStyle w:val="af2"/>
        <w:spacing w:before="0" w:beforeAutospacing="0" w:after="0" w:afterAutospacing="0"/>
        <w:ind w:firstLine="567"/>
        <w:jc w:val="both"/>
        <w:rPr>
          <w:sz w:val="28"/>
          <w:szCs w:val="28"/>
          <w:lang w:val="ru-RU"/>
        </w:rPr>
      </w:pPr>
      <w:r>
        <w:rPr>
          <w:sz w:val="28"/>
          <w:szCs w:val="28"/>
          <w:lang w:val="ru-RU"/>
        </w:rPr>
        <w:t>Сравнение влияния различных методов стерилизации на функциональные свойства композита БЦ/ГАП/MXene показывает, что характер воздействия определяет степень сохранения его электропроводности и фототермического отклика.</w:t>
      </w:r>
    </w:p>
    <w:p w:rsidR="00E17FE1" w:rsidRDefault="00BB58D7">
      <w:pPr>
        <w:pStyle w:val="af2"/>
        <w:spacing w:before="0" w:beforeAutospacing="0" w:after="0" w:afterAutospacing="0"/>
        <w:ind w:firstLine="567"/>
        <w:jc w:val="both"/>
        <w:rPr>
          <w:sz w:val="28"/>
          <w:szCs w:val="28"/>
          <w:lang w:val="ru-RU"/>
        </w:rPr>
      </w:pPr>
      <w:r>
        <w:rPr>
          <w:rStyle w:val="a7"/>
          <w:b w:val="0"/>
          <w:sz w:val="28"/>
          <w:szCs w:val="28"/>
          <w:lang w:val="ru-RU"/>
        </w:rPr>
        <w:t>Наибольшее снижение функциональных свойств наблюдается при термических методах</w:t>
      </w:r>
      <w:r>
        <w:rPr>
          <w:sz w:val="28"/>
          <w:szCs w:val="28"/>
          <w:lang w:val="ru-RU"/>
        </w:rPr>
        <w:t xml:space="preserve">: автоклавирование понижает электропроводность (до 85 %) и фототермический отклик (до 70 %). Это согласуется с известными данными о термо-окислительной деструкции </w:t>
      </w:r>
      <w:r>
        <w:rPr>
          <w:sz w:val="28"/>
          <w:szCs w:val="28"/>
        </w:rPr>
        <w:t>MXene</w:t>
      </w:r>
      <w:r>
        <w:rPr>
          <w:sz w:val="28"/>
          <w:szCs w:val="28"/>
          <w:lang w:val="ru-RU"/>
        </w:rPr>
        <w:t xml:space="preserve">, при которой на поверхности </w:t>
      </w:r>
      <w:r>
        <w:rPr>
          <w:sz w:val="28"/>
          <w:szCs w:val="28"/>
        </w:rPr>
        <w:t>Ti</w:t>
      </w:r>
      <w:r>
        <w:rPr>
          <w:rFonts w:ascii="Cambria Math" w:hAnsi="Cambria Math" w:cs="Cambria Math"/>
          <w:sz w:val="28"/>
          <w:szCs w:val="28"/>
          <w:lang w:val="ru-RU"/>
        </w:rPr>
        <w:t>₃</w:t>
      </w:r>
      <w:r>
        <w:rPr>
          <w:sz w:val="28"/>
          <w:szCs w:val="28"/>
        </w:rPr>
        <w:t>C</w:t>
      </w:r>
      <w:r>
        <w:rPr>
          <w:rFonts w:ascii="Cambria Math" w:hAnsi="Cambria Math" w:cs="Cambria Math"/>
          <w:sz w:val="28"/>
          <w:szCs w:val="28"/>
          <w:lang w:val="ru-RU"/>
        </w:rPr>
        <w:t>₂</w:t>
      </w:r>
      <w:r>
        <w:rPr>
          <w:sz w:val="28"/>
          <w:szCs w:val="28"/>
        </w:rPr>
        <w:t>T</w:t>
      </w:r>
      <w:r>
        <w:rPr>
          <w:sz w:val="28"/>
          <w:szCs w:val="28"/>
          <w:lang w:val="ru-RU"/>
        </w:rPr>
        <w:t>ₓMXene образуются оксиды (</w:t>
      </w:r>
      <w:r>
        <w:rPr>
          <w:sz w:val="28"/>
          <w:szCs w:val="28"/>
        </w:rPr>
        <w:t>TiO</w:t>
      </w:r>
      <w:r>
        <w:rPr>
          <w:rFonts w:ascii="Cambria Math" w:hAnsi="Cambria Math" w:cs="Cambria Math"/>
          <w:sz w:val="28"/>
          <w:szCs w:val="28"/>
          <w:lang w:val="ru-RU"/>
        </w:rPr>
        <w:t>₂</w:t>
      </w:r>
      <w:r>
        <w:rPr>
          <w:sz w:val="28"/>
          <w:szCs w:val="28"/>
          <w:lang w:val="ru-RU"/>
        </w:rPr>
        <w:t>), уменьшающие его фотопоглощение и электропроводность [244].</w:t>
      </w:r>
    </w:p>
    <w:p w:rsidR="00E17FE1" w:rsidRDefault="00BB58D7">
      <w:pPr>
        <w:pStyle w:val="af2"/>
        <w:spacing w:before="0" w:beforeAutospacing="0" w:after="0" w:afterAutospacing="0"/>
        <w:ind w:firstLine="567"/>
        <w:jc w:val="both"/>
        <w:rPr>
          <w:sz w:val="28"/>
          <w:szCs w:val="28"/>
          <w:lang w:val="ru-RU"/>
        </w:rPr>
      </w:pPr>
      <w:r>
        <w:rPr>
          <w:rStyle w:val="a7"/>
          <w:b w:val="0"/>
          <w:sz w:val="28"/>
          <w:szCs w:val="28"/>
          <w:lang w:val="ru-RU"/>
        </w:rPr>
        <w:t>Озоновая обработка</w:t>
      </w:r>
      <w:r>
        <w:rPr>
          <w:sz w:val="28"/>
          <w:szCs w:val="28"/>
          <w:lang w:val="ru-RU"/>
        </w:rPr>
        <w:t xml:space="preserve"> оказывает умеренное отрицательное воздействие (88 % проводимости, 80 % фототермики), что объясняется быстрым поверхностным окислением </w:t>
      </w:r>
      <w:r>
        <w:rPr>
          <w:sz w:val="28"/>
          <w:szCs w:val="28"/>
        </w:rPr>
        <w:t>Ti</w:t>
      </w:r>
      <w:r>
        <w:rPr>
          <w:rFonts w:ascii="Cambria Math" w:hAnsi="Cambria Math" w:cs="Cambria Math"/>
          <w:sz w:val="28"/>
          <w:szCs w:val="28"/>
          <w:lang w:val="ru-RU"/>
        </w:rPr>
        <w:t>₃</w:t>
      </w:r>
      <w:r>
        <w:rPr>
          <w:sz w:val="28"/>
          <w:szCs w:val="28"/>
        </w:rPr>
        <w:t>C</w:t>
      </w:r>
      <w:r>
        <w:rPr>
          <w:rFonts w:ascii="Cambria Math" w:hAnsi="Cambria Math" w:cs="Cambria Math"/>
          <w:sz w:val="28"/>
          <w:szCs w:val="28"/>
          <w:lang w:val="ru-RU"/>
        </w:rPr>
        <w:t>₂</w:t>
      </w:r>
      <w:r>
        <w:rPr>
          <w:sz w:val="28"/>
          <w:szCs w:val="28"/>
        </w:rPr>
        <w:t>T</w:t>
      </w:r>
      <w:r>
        <w:rPr>
          <w:sz w:val="28"/>
          <w:szCs w:val="28"/>
          <w:lang w:val="ru-RU"/>
        </w:rPr>
        <w:t>ₓ, однако структурная деградация остаётся ограниченной.</w:t>
      </w:r>
    </w:p>
    <w:p w:rsidR="00E17FE1" w:rsidRDefault="00BB58D7">
      <w:pPr>
        <w:pStyle w:val="af2"/>
        <w:spacing w:before="0" w:beforeAutospacing="0" w:after="0" w:afterAutospacing="0"/>
        <w:ind w:firstLine="567"/>
        <w:jc w:val="both"/>
        <w:rPr>
          <w:sz w:val="28"/>
          <w:szCs w:val="28"/>
          <w:lang w:val="ru-RU"/>
        </w:rPr>
      </w:pPr>
      <w:r>
        <w:rPr>
          <w:rStyle w:val="a7"/>
          <w:b w:val="0"/>
          <w:sz w:val="28"/>
          <w:szCs w:val="28"/>
          <w:lang w:val="ru-RU"/>
        </w:rPr>
        <w:t xml:space="preserve">Наиболее щадящими оказались низкотемпературные методы — </w:t>
      </w:r>
      <w:r>
        <w:rPr>
          <w:rStyle w:val="a7"/>
          <w:b w:val="0"/>
          <w:sz w:val="28"/>
          <w:szCs w:val="28"/>
        </w:rPr>
        <w:t>EtO</w:t>
      </w:r>
      <w:r>
        <w:rPr>
          <w:rStyle w:val="a7"/>
          <w:b w:val="0"/>
          <w:sz w:val="28"/>
          <w:szCs w:val="28"/>
          <w:lang w:val="ru-RU"/>
        </w:rPr>
        <w:t xml:space="preserve">, </w:t>
      </w:r>
      <w:r>
        <w:rPr>
          <w:rStyle w:val="a7"/>
          <w:b w:val="0"/>
          <w:sz w:val="28"/>
          <w:szCs w:val="28"/>
        </w:rPr>
        <w:t>ScCO</w:t>
      </w:r>
      <w:r>
        <w:rPr>
          <w:rStyle w:val="a7"/>
          <w:rFonts w:ascii="Cambria Math" w:hAnsi="Cambria Math" w:cs="Cambria Math"/>
          <w:b w:val="0"/>
          <w:sz w:val="28"/>
          <w:szCs w:val="28"/>
          <w:lang w:val="ru-RU"/>
        </w:rPr>
        <w:t>₂</w:t>
      </w:r>
      <w:r>
        <w:rPr>
          <w:rStyle w:val="a7"/>
          <w:b w:val="0"/>
          <w:sz w:val="28"/>
          <w:szCs w:val="28"/>
          <w:lang w:val="ru-RU"/>
        </w:rPr>
        <w:t xml:space="preserve"> и холодная плазма.</w:t>
      </w:r>
      <w:r>
        <w:rPr>
          <w:sz w:val="28"/>
          <w:szCs w:val="28"/>
          <w:lang w:val="ru-RU"/>
        </w:rPr>
        <w:t xml:space="preserve"> Они обеспечивают почти полное сохранение функциональных свойств – электропроводность 94–98 % и фототермическая активность 92–95 %. Особенно выделяется холодная плазма: она не только минимально снижает функциональность, но и в отдельных случаях даже повышает фототермический отклик, вероятно, за счёт увеличения </w:t>
      </w:r>
      <w:r>
        <w:rPr>
          <w:sz w:val="28"/>
          <w:szCs w:val="28"/>
          <w:lang w:val="ru-RU"/>
        </w:rPr>
        <w:lastRenderedPageBreak/>
        <w:t xml:space="preserve">гидрофильности поверхности и улучшения дисперсии </w:t>
      </w:r>
      <w:r>
        <w:rPr>
          <w:sz w:val="28"/>
          <w:szCs w:val="28"/>
        </w:rPr>
        <w:t>MXene</w:t>
      </w:r>
      <w:r>
        <w:rPr>
          <w:sz w:val="28"/>
          <w:szCs w:val="28"/>
          <w:lang w:val="ru-RU"/>
        </w:rPr>
        <w:t>-частиц в  матрице БЦ [245].</w:t>
      </w:r>
    </w:p>
    <w:p w:rsidR="00E17FE1" w:rsidRDefault="00BB58D7">
      <w:pPr>
        <w:pStyle w:val="af2"/>
        <w:spacing w:before="0" w:beforeAutospacing="0" w:after="0" w:afterAutospacing="0"/>
        <w:ind w:firstLine="567"/>
        <w:jc w:val="both"/>
        <w:rPr>
          <w:sz w:val="28"/>
          <w:szCs w:val="28"/>
          <w:lang w:val="ru-RU"/>
        </w:rPr>
      </w:pPr>
      <w:r>
        <w:rPr>
          <w:sz w:val="28"/>
          <w:szCs w:val="28"/>
          <w:lang w:val="ru-RU"/>
        </w:rPr>
        <w:t xml:space="preserve">В целом, </w:t>
      </w:r>
      <w:r>
        <w:rPr>
          <w:rStyle w:val="a7"/>
          <w:b w:val="0"/>
          <w:sz w:val="28"/>
          <w:szCs w:val="28"/>
          <w:lang w:val="ru-RU"/>
        </w:rPr>
        <w:t>стабильность функциональных свойств композита напрямую связана с отсутствием термического и агрессивного химического воздействия</w:t>
      </w:r>
      <w:r>
        <w:rPr>
          <w:sz w:val="28"/>
          <w:szCs w:val="28"/>
          <w:lang w:val="ru-RU"/>
        </w:rPr>
        <w:t>. Методы стерилизации, исключающие нагрев выше ~60 °</w:t>
      </w:r>
      <w:r>
        <w:rPr>
          <w:sz w:val="28"/>
          <w:szCs w:val="28"/>
        </w:rPr>
        <w:t>C</w:t>
      </w:r>
      <w:r>
        <w:rPr>
          <w:sz w:val="28"/>
          <w:szCs w:val="28"/>
          <w:lang w:val="ru-RU"/>
        </w:rPr>
        <w:t xml:space="preserve">, позволяют максимально сохранить электронно-проводящую и фототермическую активность </w:t>
      </w:r>
      <w:r>
        <w:rPr>
          <w:sz w:val="28"/>
          <w:szCs w:val="28"/>
        </w:rPr>
        <w:t>MXene</w:t>
      </w:r>
      <w:r>
        <w:rPr>
          <w:sz w:val="28"/>
          <w:szCs w:val="28"/>
          <w:lang w:val="ru-RU"/>
        </w:rPr>
        <w:t xml:space="preserve">, в то время как высокотемпературные процессы приводят к частичной потере функциональности за счёт оксидирования </w:t>
      </w:r>
      <w:r>
        <w:rPr>
          <w:sz w:val="28"/>
          <w:szCs w:val="28"/>
        </w:rPr>
        <w:t>MXene</w:t>
      </w:r>
      <w:r>
        <w:rPr>
          <w:sz w:val="28"/>
          <w:szCs w:val="28"/>
          <w:lang w:val="ru-RU"/>
        </w:rPr>
        <w:t xml:space="preserve"> и возможной деструкции его слоистой структуры.</w:t>
      </w:r>
    </w:p>
    <w:p w:rsidR="00E17FE1" w:rsidRDefault="00BB58D7">
      <w:pPr>
        <w:pStyle w:val="af2"/>
        <w:spacing w:before="0" w:beforeAutospacing="0" w:after="0" w:afterAutospacing="0"/>
        <w:ind w:firstLine="567"/>
        <w:jc w:val="both"/>
        <w:rPr>
          <w:sz w:val="28"/>
          <w:szCs w:val="28"/>
          <w:lang w:val="ru-RU"/>
        </w:rPr>
      </w:pPr>
      <w:r>
        <w:rPr>
          <w:sz w:val="28"/>
          <w:szCs w:val="28"/>
          <w:lang w:val="ru-RU"/>
        </w:rPr>
        <w:t xml:space="preserve">Ниже приведён сводный сравнительный рейтинг методов стерилизации БЦ/ГАП/MXene, основанный на совокупной оценке: (1) сохранность механических свойств, (2) минимальность структурных изменений (пористость), (3) сохранение функциональных свойств – электропроводности и фототермики (Таблица 10). </w:t>
      </w:r>
    </w:p>
    <w:p w:rsidR="00E17FE1" w:rsidRDefault="00E17FE1">
      <w:pPr>
        <w:pStyle w:val="af2"/>
        <w:spacing w:before="0" w:beforeAutospacing="0" w:after="0" w:afterAutospacing="0"/>
        <w:ind w:firstLine="567"/>
        <w:jc w:val="both"/>
        <w:rPr>
          <w:sz w:val="28"/>
          <w:szCs w:val="28"/>
          <w:lang w:val="ru-RU"/>
        </w:rPr>
      </w:pPr>
    </w:p>
    <w:p w:rsidR="00E17FE1" w:rsidRDefault="00BB58D7" w:rsidP="004764F9">
      <w:pPr>
        <w:pStyle w:val="af2"/>
        <w:spacing w:before="0" w:beforeAutospacing="0" w:after="0" w:afterAutospacing="0"/>
        <w:jc w:val="both"/>
        <w:rPr>
          <w:sz w:val="28"/>
          <w:szCs w:val="28"/>
          <w:lang w:val="ru-RU"/>
        </w:rPr>
      </w:pPr>
      <w:r>
        <w:rPr>
          <w:sz w:val="28"/>
          <w:szCs w:val="28"/>
          <w:lang w:val="ru-RU"/>
        </w:rPr>
        <w:t>Таблица 10 – Интегральная оценка эффективности методов стерилизации БЦ/ГАП/MXene</w:t>
      </w:r>
    </w:p>
    <w:p w:rsidR="004764F9" w:rsidRDefault="004764F9" w:rsidP="004764F9">
      <w:pPr>
        <w:pStyle w:val="af2"/>
        <w:spacing w:before="0" w:beforeAutospacing="0" w:after="0" w:afterAutospacing="0"/>
        <w:jc w:val="both"/>
        <w:rPr>
          <w:sz w:val="28"/>
          <w:szCs w:val="28"/>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1"/>
        <w:gridCol w:w="2182"/>
        <w:gridCol w:w="1418"/>
        <w:gridCol w:w="5210"/>
      </w:tblGrid>
      <w:tr w:rsidR="00E17FE1" w:rsidTr="00BC1637">
        <w:tc>
          <w:tcPr>
            <w:tcW w:w="761"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Ранг</w:t>
            </w:r>
          </w:p>
        </w:tc>
        <w:tc>
          <w:tcPr>
            <w:tcW w:w="2182"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Итоговая оценка</w:t>
            </w:r>
          </w:p>
        </w:tc>
        <w:tc>
          <w:tcPr>
            <w:tcW w:w="5210" w:type="dxa"/>
          </w:tcPr>
          <w:p w:rsidR="00E17FE1" w:rsidRDefault="00BB58D7">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Краткое обоснование</w:t>
            </w:r>
          </w:p>
        </w:tc>
      </w:tr>
      <w:tr w:rsidR="00E17FE1" w:rsidTr="00BC1637">
        <w:tc>
          <w:tcPr>
            <w:tcW w:w="761"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182"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E17FE1" w:rsidTr="00BC1637">
        <w:tc>
          <w:tcPr>
            <w:tcW w:w="761"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18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Холодная плазма</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210"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Минимальная деградация механики (−3/−4 %), малая смена пористости (+2 %), почти полная сохранность электропроводности (98 %) и фототермики (95 %).</w:t>
            </w:r>
          </w:p>
        </w:tc>
      </w:tr>
      <w:tr w:rsidR="00E17FE1" w:rsidTr="00BC1637">
        <w:tc>
          <w:tcPr>
            <w:tcW w:w="761"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218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EtO (Этиленоксид)</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5210"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Слабое изменение структуры и механики, высокая сохранность проводимости (95 %) и фототермики (94 %). Требует аэрации.</w:t>
            </w:r>
          </w:p>
        </w:tc>
      </w:tr>
      <w:tr w:rsidR="00E17FE1" w:rsidTr="00BC1637">
        <w:tc>
          <w:tcPr>
            <w:tcW w:w="761"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2182"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210"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r>
      <w:tr w:rsidR="00E17FE1" w:rsidTr="00BC1637">
        <w:tc>
          <w:tcPr>
            <w:tcW w:w="761"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218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ScCO</w:t>
            </w:r>
            <w:r>
              <w:rPr>
                <w:rFonts w:ascii="Cambria Math" w:eastAsia="Times New Roman" w:hAnsi="Cambria Math" w:cs="Times New Roman"/>
                <w:sz w:val="28"/>
                <w:szCs w:val="28"/>
              </w:rPr>
              <w:t>₂</w:t>
            </w:r>
            <w:r>
              <w:rPr>
                <w:rFonts w:ascii="Times New Roman" w:eastAsia="Times New Roman" w:hAnsi="Times New Roman" w:cs="Times New Roman"/>
                <w:sz w:val="28"/>
                <w:szCs w:val="28"/>
              </w:rPr>
              <w:t xml:space="preserve"> (сверхкритический СО</w:t>
            </w:r>
            <w:r>
              <w:rPr>
                <w:rFonts w:ascii="Cambria Math" w:eastAsia="Times New Roman" w:hAnsi="Cambria Math" w:cs="Times New Roman"/>
                <w:sz w:val="28"/>
                <w:szCs w:val="28"/>
              </w:rPr>
              <w:t>₂</w:t>
            </w:r>
            <w:r>
              <w:rPr>
                <w:rFonts w:ascii="Times New Roman" w:eastAsia="Times New Roman" w:hAnsi="Times New Roman" w:cs="Times New Roman"/>
                <w:sz w:val="28"/>
                <w:szCs w:val="28"/>
              </w:rPr>
              <w:t>)</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5210"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Хорошая сохранность структуры и функционала (94/92 %), небольшие изменения пористости (+3 %).</w:t>
            </w:r>
          </w:p>
        </w:tc>
      </w:tr>
      <w:tr w:rsidR="00E17FE1" w:rsidTr="00BC1637">
        <w:tc>
          <w:tcPr>
            <w:tcW w:w="761"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182" w:type="dxa"/>
          </w:tcPr>
          <w:p w:rsidR="00E17FE1" w:rsidRDefault="00BB58D7">
            <w:pPr>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УФ-излучение</w:t>
            </w:r>
            <w:proofErr w:type="gramEnd"/>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5210"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Умеренное снижение параметров, частично поверхностное воздействие, фототермика 89 %, проводимость 91 %.</w:t>
            </w:r>
          </w:p>
        </w:tc>
      </w:tr>
      <w:tr w:rsidR="00E17FE1" w:rsidTr="00BC1637">
        <w:tc>
          <w:tcPr>
            <w:tcW w:w="761"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c>
          <w:tcPr>
            <w:tcW w:w="218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Озон</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5210"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Выраженная деградация матрицы (−22/−26 %); функциональные показатели умеренно снижены (88/80 %).</w:t>
            </w:r>
          </w:p>
        </w:tc>
      </w:tr>
      <w:tr w:rsidR="00E17FE1" w:rsidTr="00BC1637">
        <w:tc>
          <w:tcPr>
            <w:tcW w:w="761"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p>
        </w:tc>
        <w:tc>
          <w:tcPr>
            <w:tcW w:w="2182"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Автоклавирование</w:t>
            </w:r>
          </w:p>
        </w:tc>
        <w:tc>
          <w:tcPr>
            <w:tcW w:w="1418" w:type="dxa"/>
          </w:tcPr>
          <w:p w:rsidR="00E17FE1" w:rsidRDefault="00BB58D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5210" w:type="dxa"/>
          </w:tcPr>
          <w:p w:rsidR="00E17FE1" w:rsidRDefault="00BB58D7">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Сильная деградация механики (−28/−33 %), пористость +8 %, фототермика 70 %, проводимость 85 %.</w:t>
            </w:r>
          </w:p>
        </w:tc>
      </w:tr>
    </w:tbl>
    <w:p w:rsidR="00E17FE1" w:rsidRDefault="00E17FE1">
      <w:pPr>
        <w:pStyle w:val="a"/>
        <w:numPr>
          <w:ilvl w:val="0"/>
          <w:numId w:val="0"/>
        </w:numPr>
        <w:spacing w:after="0" w:line="240" w:lineRule="auto"/>
        <w:jc w:val="both"/>
        <w:rPr>
          <w:rFonts w:ascii="Times New Roman" w:hAnsi="Times New Roman" w:cs="Times New Roman"/>
          <w:sz w:val="28"/>
          <w:szCs w:val="28"/>
        </w:rPr>
      </w:pPr>
    </w:p>
    <w:p w:rsidR="00E17FE1" w:rsidRDefault="00BB58D7">
      <w:pPr>
        <w:pStyle w:val="a"/>
        <w:numPr>
          <w:ilvl w:val="0"/>
          <w:numId w:val="0"/>
        </w:num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Наиболее щадящими методами стерилизации БЦ/ГАП/MXene являются холодная плазма, EtO и </w:t>
      </w:r>
      <w:proofErr w:type="gramStart"/>
      <w:r>
        <w:rPr>
          <w:rFonts w:ascii="Times New Roman" w:hAnsi="Times New Roman" w:cs="Times New Roman"/>
          <w:sz w:val="28"/>
          <w:szCs w:val="28"/>
        </w:rPr>
        <w:t>сверхкритический</w:t>
      </w:r>
      <w:proofErr w:type="gramEnd"/>
      <w:r>
        <w:rPr>
          <w:rFonts w:ascii="Times New Roman" w:hAnsi="Times New Roman" w:cs="Times New Roman"/>
          <w:sz w:val="28"/>
          <w:szCs w:val="28"/>
        </w:rPr>
        <w:t xml:space="preserve"> CO</w:t>
      </w:r>
      <w:r>
        <w:rPr>
          <w:rFonts w:ascii="Cambria Math" w:hAnsi="Cambria Math" w:cs="Cambria Math"/>
          <w:sz w:val="28"/>
          <w:szCs w:val="28"/>
        </w:rPr>
        <w:t>₂</w:t>
      </w:r>
      <w:r>
        <w:rPr>
          <w:rFonts w:ascii="Times New Roman" w:hAnsi="Times New Roman" w:cs="Times New Roman"/>
          <w:sz w:val="28"/>
          <w:szCs w:val="28"/>
        </w:rPr>
        <w:t xml:space="preserve">, обеспечивающие близкие к исходным уровни структурных, механических и функциональных характеристик. </w:t>
      </w:r>
      <w:proofErr w:type="gramStart"/>
      <w:r>
        <w:rPr>
          <w:rFonts w:ascii="Times New Roman" w:hAnsi="Times New Roman" w:cs="Times New Roman"/>
          <w:sz w:val="28"/>
          <w:szCs w:val="28"/>
        </w:rPr>
        <w:t>УФ-обработка</w:t>
      </w:r>
      <w:proofErr w:type="gramEnd"/>
      <w:r>
        <w:rPr>
          <w:rFonts w:ascii="Times New Roman" w:hAnsi="Times New Roman" w:cs="Times New Roman"/>
          <w:sz w:val="28"/>
          <w:szCs w:val="28"/>
        </w:rPr>
        <w:t xml:space="preserve"> даёт умеренное ухудшение параметров, однако остаётся менее агрессивной, чем озон и термические методы. Наихудший результат продемонстрировало автоклавирование, вызывая значительную деградацию матрицы БЦ, образование дефектов и выраженную потерю проводящих и фототермических свойств — в первую очередь из-за термо-окислительной трансформации MXene и разрушения структуры БЦ.</w:t>
      </w:r>
    </w:p>
    <w:p w:rsidR="00E17FE1" w:rsidRDefault="00BB58D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целом, выбор метода стерилизации для БЦ/ГАП/MXene следует осуществлять с учётом баланса между стерилизующей эффективностью и сохранностью функциональных характеристик: оптимальными являются холодная плазма, EtO и ScCO</w:t>
      </w:r>
      <w:r>
        <w:rPr>
          <w:rFonts w:ascii="Cambria Math" w:hAnsi="Cambria Math" w:cs="Cambria Math"/>
          <w:sz w:val="28"/>
          <w:szCs w:val="28"/>
        </w:rPr>
        <w:t>₂</w:t>
      </w:r>
      <w:r>
        <w:rPr>
          <w:rFonts w:ascii="Times New Roman" w:hAnsi="Times New Roman" w:cs="Times New Roman"/>
          <w:sz w:val="28"/>
          <w:szCs w:val="28"/>
        </w:rPr>
        <w:t xml:space="preserve">, тогда как </w:t>
      </w:r>
      <w:proofErr w:type="gramStart"/>
      <w:r>
        <w:rPr>
          <w:rFonts w:ascii="Times New Roman" w:hAnsi="Times New Roman" w:cs="Times New Roman"/>
          <w:sz w:val="28"/>
          <w:szCs w:val="28"/>
        </w:rPr>
        <w:t>автоклавирование</w:t>
      </w:r>
      <w:proofErr w:type="gramEnd"/>
      <w:r>
        <w:rPr>
          <w:rFonts w:ascii="Times New Roman" w:hAnsi="Times New Roman" w:cs="Times New Roman"/>
          <w:sz w:val="28"/>
          <w:szCs w:val="28"/>
        </w:rPr>
        <w:t xml:space="preserve"> несмотря на то, что  обеспечивают 100 % стерильность материала, нежелательны в применении к чувствительным многокомпонентным композитам из-за выраженного ухудшения их свойств.</w:t>
      </w:r>
    </w:p>
    <w:p w:rsidR="00E17FE1" w:rsidRDefault="00BB58D7">
      <w:pPr>
        <w:widowControl w:val="0"/>
        <w:autoSpaceDE w:val="0"/>
        <w:autoSpaceDN w:val="0"/>
        <w:spacing w:before="200" w:after="0" w:line="240" w:lineRule="auto"/>
        <w:ind w:firstLine="567"/>
        <w:jc w:val="both"/>
        <w:outlineLvl w:val="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3.4 Исследование биологической активности композитных материалов</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b/>
          <w:bCs/>
          <w:sz w:val="28"/>
          <w:szCs w:val="28"/>
          <w:lang w:eastAsia="zh-CN" w:bidi="hi-IN"/>
        </w:rPr>
      </w:pPr>
      <w:r>
        <w:rPr>
          <w:rFonts w:ascii="Times New Roman" w:eastAsia="Times New Roman" w:hAnsi="Times New Roman" w:cs="Times New Roman"/>
          <w:b/>
          <w:bCs/>
          <w:sz w:val="28"/>
          <w:szCs w:val="28"/>
          <w:lang w:eastAsia="zh-CN" w:bidi="hi-IN"/>
        </w:rPr>
        <w:t>3.4.1 Антибактериальное действие</w:t>
      </w:r>
    </w:p>
    <w:p w:rsidR="00E17FE1" w:rsidRDefault="00BB58D7">
      <w:pPr>
        <w:widowControl w:val="0"/>
        <w:autoSpaceDE w:val="0"/>
        <w:autoSpaceDN w:val="0"/>
        <w:spacing w:after="0" w:line="240" w:lineRule="auto"/>
        <w:ind w:firstLine="567"/>
        <w:jc w:val="both"/>
        <w:rPr>
          <w:rFonts w:ascii="Times New Roman" w:eastAsia="DejaVu Sans" w:hAnsi="Times New Roman" w:cs="DejaVu Sans"/>
          <w:color w:val="000000"/>
          <w:sz w:val="28"/>
          <w:szCs w:val="28"/>
          <w:lang w:eastAsia="ru-RU" w:bidi="hi-IN"/>
        </w:rPr>
      </w:pPr>
      <w:bookmarkStart w:id="10" w:name="_Hlk213674999"/>
      <w:r>
        <w:rPr>
          <w:rFonts w:ascii="Times New Roman" w:eastAsia="Batang" w:hAnsi="Times New Roman" w:cs="Times New Roman"/>
          <w:sz w:val="28"/>
          <w:szCs w:val="28"/>
          <w:lang w:eastAsia="ko-KR" w:bidi="hi-IN"/>
        </w:rPr>
        <w:t xml:space="preserve">Открытая рана – благоприятная ниша для микробной колонизации. </w:t>
      </w:r>
      <w:r>
        <w:rPr>
          <w:rFonts w:ascii="Times New Roman" w:eastAsia="DejaVu Sans" w:hAnsi="Times New Roman" w:cs="Times New Roman"/>
          <w:color w:val="000000"/>
          <w:sz w:val="28"/>
          <w:szCs w:val="28"/>
          <w:lang w:eastAsia="ru-RU" w:bidi="hi-IN"/>
        </w:rPr>
        <w:t>Как правило, раневые инфекции имеют полимикробный характер: в их составе обнаруживаются как экзогенные патогены, так и эндогенные микроорганизмы, обитающие на</w:t>
      </w:r>
      <w:r>
        <w:rPr>
          <w:rFonts w:ascii="Times New Roman" w:eastAsia="DejaVu Sans" w:hAnsi="Times New Roman" w:cs="DejaVu Sans"/>
          <w:color w:val="000000"/>
          <w:sz w:val="28"/>
          <w:szCs w:val="28"/>
          <w:lang w:eastAsia="ru-RU" w:bidi="hi-IN"/>
        </w:rPr>
        <w:t xml:space="preserve"> поверхности кожи и слизистых оболочек [246]. На ранних стадиях инфицирования ран преобладают грамположительные бактерии (</w:t>
      </w:r>
      <w:r>
        <w:rPr>
          <w:rFonts w:ascii="Times New Roman" w:eastAsia="DejaVu Sans" w:hAnsi="Times New Roman" w:cs="DejaVu Sans"/>
          <w:i/>
          <w:iCs/>
          <w:color w:val="000000"/>
          <w:sz w:val="28"/>
          <w:szCs w:val="28"/>
          <w:lang w:val="en-US" w:eastAsia="ru-RU" w:bidi="hi-IN"/>
        </w:rPr>
        <w:t>S</w:t>
      </w:r>
      <w:r>
        <w:rPr>
          <w:rFonts w:ascii="Times New Roman" w:eastAsia="DejaVu Sans" w:hAnsi="Times New Roman" w:cs="DejaVu Sans"/>
          <w:i/>
          <w:iCs/>
          <w:color w:val="000000"/>
          <w:sz w:val="28"/>
          <w:szCs w:val="28"/>
          <w:lang w:eastAsia="ru-RU" w:bidi="hi-IN"/>
        </w:rPr>
        <w:t>.</w:t>
      </w:r>
      <w:r>
        <w:rPr>
          <w:rFonts w:ascii="Times New Roman" w:eastAsia="DejaVu Sans" w:hAnsi="Times New Roman" w:cs="DejaVu Sans"/>
          <w:i/>
          <w:iCs/>
          <w:color w:val="000000"/>
          <w:sz w:val="28"/>
          <w:szCs w:val="28"/>
          <w:lang w:val="en-US" w:eastAsia="ru-RU" w:bidi="hi-IN"/>
        </w:rPr>
        <w:t>aureu</w:t>
      </w:r>
      <w:r>
        <w:rPr>
          <w:rFonts w:ascii="Times New Roman" w:eastAsia="DejaVu Sans" w:hAnsi="Times New Roman" w:cs="DejaVu Sans"/>
          <w:color w:val="000000"/>
          <w:sz w:val="28"/>
          <w:szCs w:val="28"/>
          <w:lang w:val="en-US" w:eastAsia="ru-RU" w:bidi="hi-IN"/>
        </w:rPr>
        <w:t>s</w:t>
      </w:r>
      <w:r>
        <w:rPr>
          <w:rFonts w:ascii="Times New Roman" w:eastAsia="DejaVu Sans" w:hAnsi="Times New Roman" w:cs="DejaVu Sans"/>
          <w:color w:val="000000"/>
          <w:sz w:val="28"/>
          <w:szCs w:val="28"/>
          <w:lang w:eastAsia="ru-RU" w:bidi="hi-IN"/>
        </w:rPr>
        <w:t xml:space="preserve">, включая </w:t>
      </w:r>
      <w:r>
        <w:rPr>
          <w:rFonts w:ascii="Times New Roman" w:eastAsia="DejaVu Sans" w:hAnsi="Times New Roman" w:cs="DejaVu Sans"/>
          <w:color w:val="000000"/>
          <w:sz w:val="28"/>
          <w:szCs w:val="28"/>
          <w:lang w:val="en-US" w:eastAsia="ru-RU" w:bidi="hi-IN"/>
        </w:rPr>
        <w:t>MRSA</w:t>
      </w:r>
      <w:r>
        <w:rPr>
          <w:rFonts w:ascii="Times New Roman" w:eastAsia="DejaVu Sans" w:hAnsi="Times New Roman" w:cs="DejaVu Sans"/>
          <w:color w:val="000000"/>
          <w:sz w:val="28"/>
          <w:szCs w:val="28"/>
          <w:lang w:eastAsia="ru-RU" w:bidi="hi-IN"/>
        </w:rPr>
        <w:t xml:space="preserve">), тогда как на более поздних этапах наблюдается активное распространение грамотрицательных возбудителей, таких как </w:t>
      </w:r>
      <w:r>
        <w:rPr>
          <w:rFonts w:ascii="Times New Roman" w:eastAsia="DejaVu Sans" w:hAnsi="Times New Roman" w:cs="DejaVu Sans"/>
          <w:i/>
          <w:sz w:val="28"/>
          <w:szCs w:val="28"/>
          <w:lang w:eastAsia="zh-CN" w:bidi="hi-IN"/>
        </w:rPr>
        <w:t>P.aeruginosa</w:t>
      </w:r>
      <w:r>
        <w:rPr>
          <w:rFonts w:ascii="Times New Roman" w:eastAsia="DejaVu Sans" w:hAnsi="Times New Roman" w:cs="DejaVu Sans"/>
          <w:color w:val="000000"/>
          <w:sz w:val="28"/>
          <w:szCs w:val="28"/>
          <w:lang w:eastAsia="ru-RU" w:bidi="hi-IN"/>
        </w:rPr>
        <w:t>, способных вызывать глубокие инфекционные поражения тканей [247].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DejaVu Sans" w:hAnsi="Times New Roman" w:cs="DejaVu Sans"/>
          <w:sz w:val="28"/>
          <w:szCs w:val="28"/>
          <w:lang w:eastAsia="ru-RU" w:bidi="hi-IN"/>
        </w:rPr>
        <w:t>Среди возбудителей раневых инфекций особое значение имеют бактерии,  характеризующиеся множественной лекарственной устойчивостью и высокой распространённостью в клинических условиях. </w:t>
      </w:r>
      <w:r>
        <w:rPr>
          <w:rFonts w:ascii="Times New Roman" w:eastAsia="Times New Roman" w:hAnsi="Times New Roman" w:cs="Times New Roman"/>
          <w:sz w:val="28"/>
          <w:szCs w:val="28"/>
          <w:lang w:eastAsia="zh-CN" w:bidi="hi-IN"/>
        </w:rPr>
        <w:t>В связи с</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этим одной из первых задач настоящего исследования было установить потенциально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опасные микробные ключевые маркеры. Для этого были проанализированы в динамике результаты 60 микробиологических проб с поверхности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ожоговых</w:t>
      </w:r>
      <w:r>
        <w:rPr>
          <w:rFonts w:ascii="Times New Roman" w:eastAsia="Times New Roman" w:hAnsi="Times New Roman" w:cs="Times New Roman"/>
          <w:spacing w:val="-8"/>
          <w:sz w:val="28"/>
          <w:szCs w:val="28"/>
          <w:lang w:eastAsia="zh-CN" w:bidi="hi-IN"/>
        </w:rPr>
        <w:t xml:space="preserve"> </w:t>
      </w:r>
      <w:r>
        <w:rPr>
          <w:rFonts w:ascii="Times New Roman" w:eastAsia="Times New Roman" w:hAnsi="Times New Roman" w:cs="Times New Roman"/>
          <w:sz w:val="28"/>
          <w:szCs w:val="28"/>
          <w:lang w:eastAsia="zh-CN" w:bidi="hi-IN"/>
        </w:rPr>
        <w:t>ран</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у</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20</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пациентов</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7"/>
          <w:sz w:val="28"/>
          <w:szCs w:val="28"/>
          <w:lang w:eastAsia="zh-CN" w:bidi="hi-IN"/>
        </w:rPr>
        <w:t xml:space="preserve"> </w:t>
      </w:r>
      <w:r>
        <w:rPr>
          <w:rFonts w:ascii="Times New Roman" w:eastAsia="Times New Roman" w:hAnsi="Times New Roman" w:cs="Times New Roman"/>
          <w:sz w:val="28"/>
          <w:szCs w:val="28"/>
          <w:lang w:eastAsia="zh-CN" w:bidi="hi-IN"/>
        </w:rPr>
        <w:t>возрасте</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от</w:t>
      </w:r>
      <w:r>
        <w:rPr>
          <w:rFonts w:ascii="Times New Roman" w:eastAsia="Times New Roman" w:hAnsi="Times New Roman" w:cs="Times New Roman"/>
          <w:spacing w:val="-7"/>
          <w:sz w:val="28"/>
          <w:szCs w:val="28"/>
          <w:lang w:eastAsia="zh-CN" w:bidi="hi-IN"/>
        </w:rPr>
        <w:t xml:space="preserve"> </w:t>
      </w:r>
      <w:r>
        <w:rPr>
          <w:rFonts w:ascii="Times New Roman" w:eastAsia="Times New Roman" w:hAnsi="Times New Roman" w:cs="Times New Roman"/>
          <w:sz w:val="28"/>
          <w:szCs w:val="28"/>
          <w:lang w:eastAsia="zh-CN" w:bidi="hi-IN"/>
        </w:rPr>
        <w:t>15</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до</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60</w:t>
      </w:r>
      <w:r>
        <w:rPr>
          <w:rFonts w:ascii="Times New Roman" w:eastAsia="Times New Roman" w:hAnsi="Times New Roman" w:cs="Times New Roman"/>
          <w:spacing w:val="-7"/>
          <w:sz w:val="28"/>
          <w:szCs w:val="28"/>
          <w:lang w:eastAsia="zh-CN" w:bidi="hi-IN"/>
        </w:rPr>
        <w:t xml:space="preserve"> </w:t>
      </w:r>
      <w:r>
        <w:rPr>
          <w:rFonts w:ascii="Times New Roman" w:eastAsia="Times New Roman" w:hAnsi="Times New Roman" w:cs="Times New Roman"/>
          <w:sz w:val="28"/>
          <w:szCs w:val="28"/>
          <w:lang w:eastAsia="zh-CN" w:bidi="hi-IN"/>
        </w:rPr>
        <w:t>лет</w:t>
      </w:r>
      <w:r>
        <w:rPr>
          <w:rFonts w:ascii="Times New Roman" w:eastAsia="Times New Roman" w:hAnsi="Times New Roman" w:cs="Times New Roman"/>
          <w:spacing w:val="-7"/>
          <w:sz w:val="28"/>
          <w:szCs w:val="28"/>
          <w:lang w:eastAsia="zh-CN" w:bidi="hi-IN"/>
        </w:rPr>
        <w:t xml:space="preserve"> </w:t>
      </w:r>
      <w:r>
        <w:rPr>
          <w:rFonts w:ascii="Times New Roman" w:eastAsia="Times New Roman" w:hAnsi="Times New Roman" w:cs="Times New Roman"/>
          <w:sz w:val="28"/>
          <w:szCs w:val="28"/>
          <w:lang w:eastAsia="zh-CN" w:bidi="hi-IN"/>
        </w:rPr>
        <w:t>с</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ожогами</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общей</w:t>
      </w:r>
      <w:r>
        <w:rPr>
          <w:rFonts w:ascii="Times New Roman" w:eastAsia="Times New Roman" w:hAnsi="Times New Roman" w:cs="Times New Roman"/>
          <w:spacing w:val="-7"/>
          <w:sz w:val="28"/>
          <w:szCs w:val="28"/>
          <w:lang w:eastAsia="zh-CN" w:bidi="hi-IN"/>
        </w:rPr>
        <w:t xml:space="preserve"> </w:t>
      </w:r>
      <w:r>
        <w:rPr>
          <w:rFonts w:ascii="Times New Roman" w:eastAsia="Times New Roman" w:hAnsi="Times New Roman" w:cs="Times New Roman"/>
          <w:sz w:val="28"/>
          <w:szCs w:val="28"/>
          <w:lang w:eastAsia="zh-CN" w:bidi="hi-IN"/>
        </w:rPr>
        <w:t>площадью</w:t>
      </w:r>
      <w:r>
        <w:rPr>
          <w:rFonts w:ascii="Times New Roman" w:eastAsia="Times New Roman" w:hAnsi="Times New Roman" w:cs="Times New Roman"/>
          <w:spacing w:val="-7"/>
          <w:sz w:val="28"/>
          <w:szCs w:val="28"/>
          <w:lang w:eastAsia="zh-CN" w:bidi="hi-IN"/>
        </w:rPr>
        <w:t xml:space="preserve"> </w:t>
      </w:r>
      <w:r>
        <w:rPr>
          <w:rFonts w:ascii="Times New Roman" w:eastAsia="Times New Roman" w:hAnsi="Times New Roman" w:cs="Times New Roman"/>
          <w:sz w:val="28"/>
          <w:szCs w:val="28"/>
          <w:lang w:eastAsia="zh-CN" w:bidi="hi-IN"/>
        </w:rPr>
        <w:t>от</w:t>
      </w:r>
      <w:r>
        <w:rPr>
          <w:rFonts w:ascii="Times New Roman" w:eastAsia="Times New Roman" w:hAnsi="Times New Roman" w:cs="Times New Roman"/>
          <w:spacing w:val="-7"/>
          <w:sz w:val="28"/>
          <w:szCs w:val="28"/>
          <w:lang w:eastAsia="zh-CN" w:bidi="hi-IN"/>
        </w:rPr>
        <w:t xml:space="preserve"> </w:t>
      </w:r>
      <w:r>
        <w:rPr>
          <w:rFonts w:ascii="Times New Roman" w:eastAsia="Times New Roman" w:hAnsi="Times New Roman" w:cs="Times New Roman"/>
          <w:sz w:val="28"/>
          <w:szCs w:val="28"/>
          <w:lang w:eastAsia="zh-CN" w:bidi="hi-IN"/>
        </w:rPr>
        <w:t>5</w:t>
      </w:r>
      <w:r>
        <w:rPr>
          <w:rFonts w:ascii="Times New Roman" w:eastAsia="Times New Roman" w:hAnsi="Times New Roman" w:cs="Times New Roman"/>
          <w:spacing w:val="-6"/>
          <w:sz w:val="28"/>
          <w:szCs w:val="28"/>
          <w:lang w:eastAsia="zh-CN" w:bidi="hi-IN"/>
        </w:rPr>
        <w:t xml:space="preserve"> </w:t>
      </w:r>
      <w:r>
        <w:rPr>
          <w:rFonts w:ascii="Times New Roman" w:eastAsia="Times New Roman" w:hAnsi="Times New Roman" w:cs="Times New Roman"/>
          <w:sz w:val="28"/>
          <w:szCs w:val="28"/>
          <w:lang w:eastAsia="zh-CN" w:bidi="hi-IN"/>
        </w:rPr>
        <w:t>до</w:t>
      </w:r>
      <w:r>
        <w:rPr>
          <w:rFonts w:ascii="Times New Roman" w:eastAsia="Times New Roman" w:hAnsi="Times New Roman" w:cs="Times New Roman"/>
          <w:spacing w:val="-57"/>
          <w:sz w:val="28"/>
          <w:szCs w:val="28"/>
          <w:lang w:eastAsia="zh-CN" w:bidi="hi-IN"/>
        </w:rPr>
        <w:t xml:space="preserve"> </w:t>
      </w:r>
      <w:r>
        <w:rPr>
          <w:rFonts w:ascii="Times New Roman" w:eastAsia="Times New Roman" w:hAnsi="Times New Roman" w:cs="Times New Roman"/>
          <w:sz w:val="28"/>
          <w:szCs w:val="28"/>
          <w:lang w:eastAsia="zh-CN" w:bidi="hi-IN"/>
        </w:rPr>
        <w:t>20</w:t>
      </w:r>
      <w:r>
        <w:rPr>
          <w:rFonts w:ascii="Times New Roman" w:eastAsia="Times New Roman" w:hAnsi="Times New Roman" w:cs="Times New Roman"/>
          <w:spacing w:val="-15"/>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поверхности</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тела</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глубиной</w:t>
      </w:r>
      <w:r>
        <w:rPr>
          <w:rFonts w:ascii="Times New Roman" w:eastAsia="Times New Roman" w:hAnsi="Times New Roman" w:cs="Times New Roman"/>
          <w:spacing w:val="-15"/>
          <w:sz w:val="28"/>
          <w:szCs w:val="28"/>
          <w:lang w:eastAsia="zh-CN" w:bidi="hi-IN"/>
        </w:rPr>
        <w:t xml:space="preserve"> </w:t>
      </w:r>
      <w:r>
        <w:rPr>
          <w:rFonts w:ascii="Times New Roman" w:eastAsia="Times New Roman" w:hAnsi="Times New Roman" w:cs="Times New Roman"/>
          <w:sz w:val="28"/>
          <w:szCs w:val="28"/>
          <w:lang w:eastAsia="zh-CN" w:bidi="hi-IN"/>
        </w:rPr>
        <w:t>поражения</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II-III</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степени.</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Во</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время</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бактериологического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исследования</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были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определены</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степень</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микробной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обсемененности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раны</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наличие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микробных</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сообществ - биопленок,</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проведены</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идентификация</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вида</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возбудителя.</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Положительный результат в первом посеве (3–5</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сутки), применяемом в качестве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первичного индикатора присоединения инфекции в ране, был получен в 76%, причем в 78%</w:t>
      </w:r>
      <w:r>
        <w:rPr>
          <w:rFonts w:ascii="Times New Roman" w:eastAsia="Times New Roman" w:hAnsi="Times New Roman" w:cs="Times New Roman"/>
          <w:spacing w:val="-57"/>
          <w:sz w:val="28"/>
          <w:szCs w:val="28"/>
          <w:lang w:eastAsia="zh-CN" w:bidi="hi-IN"/>
        </w:rPr>
        <w:t xml:space="preserve"> </w:t>
      </w:r>
      <w:r>
        <w:rPr>
          <w:rFonts w:ascii="Times New Roman" w:eastAsia="Times New Roman" w:hAnsi="Times New Roman" w:cs="Times New Roman"/>
          <w:sz w:val="28"/>
          <w:szCs w:val="28"/>
          <w:lang w:eastAsia="zh-CN" w:bidi="hi-IN"/>
        </w:rPr>
        <w:t>результатов от общего числа положительных выявили моно-инфекцию, а в 22%</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случаев -</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 xml:space="preserve">микст-инфекцию. Среди </w:t>
      </w:r>
      <w:proofErr w:type="gramStart"/>
      <w:r>
        <w:rPr>
          <w:rFonts w:ascii="Times New Roman" w:eastAsia="Times New Roman" w:hAnsi="Times New Roman" w:cs="Times New Roman"/>
          <w:sz w:val="28"/>
          <w:szCs w:val="28"/>
          <w:lang w:eastAsia="zh-CN" w:bidi="hi-IN"/>
        </w:rPr>
        <w:t>микробных</w:t>
      </w:r>
      <w:proofErr w:type="gramEnd"/>
      <w:r>
        <w:rPr>
          <w:rFonts w:ascii="Times New Roman" w:eastAsia="Times New Roman" w:hAnsi="Times New Roman" w:cs="Times New Roman"/>
          <w:sz w:val="28"/>
          <w:szCs w:val="28"/>
          <w:lang w:eastAsia="zh-CN" w:bidi="hi-IN"/>
        </w:rPr>
        <w:t xml:space="preserve"> изолятов превалировали </w:t>
      </w:r>
      <w:r>
        <w:rPr>
          <w:rFonts w:ascii="Times New Roman" w:eastAsia="Times New Roman" w:hAnsi="Times New Roman" w:cs="Times New Roman"/>
          <w:i/>
          <w:sz w:val="28"/>
          <w:szCs w:val="28"/>
          <w:lang w:eastAsia="zh-CN" w:bidi="hi-IN"/>
        </w:rPr>
        <w:t xml:space="preserve">Pseudomonas aeruginosa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39,2%</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i/>
          <w:sz w:val="28"/>
          <w:szCs w:val="28"/>
          <w:lang w:eastAsia="zh-CN" w:bidi="hi-IN"/>
        </w:rPr>
        <w:lastRenderedPageBreak/>
        <w:t>Acinetobacter</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eastAsia="zh-CN" w:bidi="hi-IN"/>
        </w:rPr>
        <w:t>baumannii</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18,2%;</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равной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степени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обнаружены</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i/>
          <w:sz w:val="28"/>
          <w:szCs w:val="28"/>
          <w:lang w:eastAsia="zh-CN" w:bidi="hi-IN"/>
        </w:rPr>
        <w:t>Klebsiella</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eastAsia="zh-CN" w:bidi="hi-IN"/>
        </w:rPr>
        <w:t xml:space="preserve">pneumoniae </w:t>
      </w:r>
      <w:r>
        <w:rPr>
          <w:rFonts w:ascii="Times New Roman" w:eastAsia="Times New Roman" w:hAnsi="Times New Roman" w:cs="Times New Roman"/>
          <w:sz w:val="28"/>
          <w:szCs w:val="28"/>
          <w:lang w:eastAsia="zh-CN" w:bidi="hi-IN"/>
        </w:rPr>
        <w:t>– 12,1%</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 xml:space="preserve">и </w:t>
      </w:r>
      <w:r>
        <w:rPr>
          <w:rFonts w:ascii="Times New Roman" w:eastAsia="Times New Roman" w:hAnsi="Times New Roman" w:cs="Times New Roman"/>
          <w:i/>
          <w:sz w:val="28"/>
          <w:szCs w:val="28"/>
          <w:lang w:eastAsia="zh-CN" w:bidi="hi-IN"/>
        </w:rPr>
        <w:t xml:space="preserve">Staphylococcus aureus </w:t>
      </w:r>
      <w:r>
        <w:rPr>
          <w:rFonts w:ascii="Times New Roman" w:eastAsia="Times New Roman" w:hAnsi="Times New Roman" w:cs="Times New Roman"/>
          <w:sz w:val="28"/>
          <w:szCs w:val="28"/>
          <w:lang w:eastAsia="zh-CN" w:bidi="hi-IN"/>
        </w:rPr>
        <w:t>– 12,1%; в меньшей степени распространены</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i/>
          <w:sz w:val="28"/>
          <w:szCs w:val="28"/>
          <w:lang w:eastAsia="zh-CN" w:bidi="hi-IN"/>
        </w:rPr>
        <w:t xml:space="preserve">Enterococcus faecalis </w:t>
      </w:r>
      <w:r>
        <w:rPr>
          <w:rFonts w:ascii="Times New Roman" w:eastAsia="Times New Roman" w:hAnsi="Times New Roman" w:cs="Times New Roman"/>
          <w:sz w:val="28"/>
          <w:szCs w:val="28"/>
          <w:lang w:eastAsia="zh-CN" w:bidi="hi-IN"/>
        </w:rPr>
        <w:t xml:space="preserve">– 6,1% и </w:t>
      </w:r>
      <w:r>
        <w:rPr>
          <w:rFonts w:ascii="Times New Roman" w:eastAsia="Times New Roman" w:hAnsi="Times New Roman" w:cs="Times New Roman"/>
          <w:i/>
          <w:sz w:val="28"/>
          <w:szCs w:val="28"/>
          <w:lang w:eastAsia="zh-CN" w:bidi="hi-IN"/>
        </w:rPr>
        <w:t xml:space="preserve">Staphylococcus saprophyticus </w:t>
      </w:r>
      <w:r>
        <w:rPr>
          <w:rFonts w:ascii="Times New Roman" w:eastAsia="Times New Roman" w:hAnsi="Times New Roman" w:cs="Times New Roman"/>
          <w:sz w:val="28"/>
          <w:szCs w:val="28"/>
          <w:lang w:eastAsia="zh-CN" w:bidi="hi-IN"/>
        </w:rPr>
        <w:t xml:space="preserve">– 6,1% , а также </w:t>
      </w:r>
      <w:r>
        <w:rPr>
          <w:rFonts w:ascii="Times New Roman" w:eastAsia="Times New Roman" w:hAnsi="Times New Roman" w:cs="Times New Roman"/>
          <w:i/>
          <w:sz w:val="28"/>
          <w:szCs w:val="28"/>
          <w:lang w:eastAsia="zh-CN" w:bidi="hi-IN"/>
        </w:rPr>
        <w:t>Staphylococcus</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eastAsia="zh-CN" w:bidi="hi-IN"/>
        </w:rPr>
        <w:t xml:space="preserve">epidermidis </w:t>
      </w:r>
      <w:r>
        <w:rPr>
          <w:rFonts w:ascii="Times New Roman" w:eastAsia="Times New Roman" w:hAnsi="Times New Roman" w:cs="Times New Roman"/>
          <w:sz w:val="28"/>
          <w:szCs w:val="28"/>
          <w:lang w:eastAsia="zh-CN" w:bidi="hi-IN"/>
        </w:rPr>
        <w:t xml:space="preserve">– 3,1% и </w:t>
      </w:r>
      <w:r>
        <w:rPr>
          <w:rFonts w:ascii="Times New Roman" w:eastAsia="Times New Roman" w:hAnsi="Times New Roman" w:cs="Times New Roman"/>
          <w:i/>
          <w:sz w:val="28"/>
          <w:szCs w:val="28"/>
          <w:lang w:eastAsia="zh-CN" w:bidi="hi-IN"/>
        </w:rPr>
        <w:t xml:space="preserve">Proteus vulgaris </w:t>
      </w:r>
      <w:r>
        <w:rPr>
          <w:rFonts w:ascii="Times New Roman" w:eastAsia="Times New Roman" w:hAnsi="Times New Roman" w:cs="Times New Roman"/>
          <w:sz w:val="28"/>
          <w:szCs w:val="28"/>
          <w:lang w:eastAsia="zh-CN" w:bidi="hi-IN"/>
        </w:rPr>
        <w:t>– 3,1%.  Кроме того, микробные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pacing w:val="-1"/>
          <w:sz w:val="28"/>
          <w:szCs w:val="28"/>
          <w:lang w:eastAsia="zh-CN" w:bidi="hi-IN"/>
        </w:rPr>
        <w:t>ассоциации</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pacing w:val="-1"/>
          <w:sz w:val="28"/>
          <w:szCs w:val="28"/>
          <w:lang w:eastAsia="zh-CN" w:bidi="hi-IN"/>
        </w:rPr>
        <w:t>регистрировались</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уже</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с</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первого</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посева</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(с</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3–5</w:t>
      </w:r>
      <w:r>
        <w:rPr>
          <w:rFonts w:ascii="Times New Roman" w:eastAsia="Times New Roman" w:hAnsi="Times New Roman" w:cs="Times New Roman"/>
          <w:spacing w:val="34"/>
          <w:sz w:val="28"/>
          <w:szCs w:val="28"/>
          <w:lang w:eastAsia="zh-CN" w:bidi="hi-IN"/>
        </w:rPr>
        <w:t xml:space="preserve"> </w:t>
      </w:r>
      <w:r>
        <w:rPr>
          <w:rFonts w:ascii="Times New Roman" w:eastAsia="Times New Roman" w:hAnsi="Times New Roman" w:cs="Times New Roman"/>
          <w:sz w:val="28"/>
          <w:szCs w:val="28"/>
          <w:lang w:eastAsia="zh-CN" w:bidi="hi-IN"/>
        </w:rPr>
        <w:t>суток</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госпитализации),</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к</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концу</w:t>
      </w:r>
      <w:r>
        <w:rPr>
          <w:rFonts w:ascii="Times New Roman" w:eastAsia="Times New Roman" w:hAnsi="Times New Roman" w:cs="Times New Roman"/>
          <w:spacing w:val="-57"/>
          <w:sz w:val="28"/>
          <w:szCs w:val="28"/>
          <w:lang w:eastAsia="zh-CN" w:bidi="hi-IN"/>
        </w:rPr>
        <w:t xml:space="preserve"> </w:t>
      </w:r>
      <w:r>
        <w:rPr>
          <w:rFonts w:ascii="Times New Roman" w:eastAsia="Times New Roman" w:hAnsi="Times New Roman" w:cs="Times New Roman"/>
          <w:sz w:val="28"/>
          <w:szCs w:val="28"/>
          <w:lang w:eastAsia="zh-CN" w:bidi="hi-IN"/>
        </w:rPr>
        <w:t>срока</w:t>
      </w:r>
      <w:r>
        <w:rPr>
          <w:rFonts w:ascii="Times New Roman" w:eastAsia="Times New Roman" w:hAnsi="Times New Roman" w:cs="Times New Roman"/>
          <w:spacing w:val="-15"/>
          <w:sz w:val="28"/>
          <w:szCs w:val="28"/>
          <w:lang w:eastAsia="zh-CN" w:bidi="hi-IN"/>
        </w:rPr>
        <w:t xml:space="preserve"> </w:t>
      </w:r>
      <w:r>
        <w:rPr>
          <w:rFonts w:ascii="Times New Roman" w:eastAsia="Times New Roman" w:hAnsi="Times New Roman" w:cs="Times New Roman"/>
          <w:sz w:val="28"/>
          <w:szCs w:val="28"/>
          <w:lang w:eastAsia="zh-CN" w:bidi="hi-IN"/>
        </w:rPr>
        <w:t>наблюдения</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75%</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случаев</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микробный</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пейзаж</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ожоговых</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ран</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был</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представлен</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микс</w:t>
      </w:r>
      <w:proofErr w:type="gramStart"/>
      <w:r>
        <w:rPr>
          <w:rFonts w:ascii="Times New Roman" w:eastAsia="Times New Roman" w:hAnsi="Times New Roman" w:cs="Times New Roman"/>
          <w:sz w:val="28"/>
          <w:szCs w:val="28"/>
          <w:lang w:eastAsia="zh-CN" w:bidi="hi-IN"/>
        </w:rPr>
        <w:t>т-</w:t>
      </w:r>
      <w:proofErr w:type="gramEnd"/>
      <w:r>
        <w:rPr>
          <w:rFonts w:ascii="Times New Roman" w:eastAsia="Times New Roman" w:hAnsi="Times New Roman" w:cs="Times New Roman"/>
          <w:spacing w:val="-57"/>
          <w:sz w:val="28"/>
          <w:szCs w:val="28"/>
          <w:lang w:eastAsia="zh-CN" w:bidi="hi-IN"/>
        </w:rPr>
        <w:t xml:space="preserve"> </w:t>
      </w:r>
      <w:r>
        <w:rPr>
          <w:rFonts w:ascii="Times New Roman" w:eastAsia="Times New Roman" w:hAnsi="Times New Roman" w:cs="Times New Roman"/>
          <w:sz w:val="28"/>
          <w:szCs w:val="28"/>
          <w:lang w:eastAsia="zh-CN" w:bidi="hi-IN"/>
        </w:rPr>
        <w:t>инфекцией.</w:t>
      </w:r>
    </w:p>
    <w:p w:rsidR="00E17FE1" w:rsidRDefault="00E17FE1">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p>
    <w:p w:rsidR="00E17FE1" w:rsidRDefault="00E17FE1">
      <w:pPr>
        <w:widowControl w:val="0"/>
        <w:autoSpaceDE w:val="0"/>
        <w:autoSpaceDN w:val="0"/>
        <w:spacing w:after="0" w:line="240" w:lineRule="auto"/>
        <w:ind w:right="140" w:firstLine="567"/>
        <w:jc w:val="both"/>
        <w:rPr>
          <w:rFonts w:ascii="Times New Roman" w:eastAsia="Times New Roman" w:hAnsi="Times New Roman" w:cs="Times New Roman"/>
          <w:sz w:val="28"/>
          <w:szCs w:val="28"/>
          <w:lang w:eastAsia="zh-CN" w:bidi="hi-IN"/>
        </w:rPr>
      </w:pPr>
    </w:p>
    <w:p w:rsidR="00E17FE1" w:rsidRDefault="00BB58D7">
      <w:pPr>
        <w:widowControl w:val="0"/>
        <w:autoSpaceDE w:val="0"/>
        <w:autoSpaceDN w:val="0"/>
        <w:spacing w:after="0" w:line="240" w:lineRule="auto"/>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noProof/>
          <w:sz w:val="28"/>
          <w:szCs w:val="28"/>
          <w:lang w:eastAsia="ru-RU"/>
        </w:rPr>
        <w:drawing>
          <wp:inline distT="0" distB="0" distL="0" distR="0">
            <wp:extent cx="5634355" cy="2767330"/>
            <wp:effectExtent l="0" t="0" r="0" b="0"/>
            <wp:docPr id="849036387"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E17FE1" w:rsidRDefault="00BB58D7">
      <w:pPr>
        <w:widowControl w:val="0"/>
        <w:autoSpaceDE w:val="0"/>
        <w:autoSpaceDN w:val="0"/>
        <w:spacing w:after="0" w:line="240" w:lineRule="auto"/>
        <w:ind w:firstLine="567"/>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Рисунок</w:t>
      </w:r>
      <w:r>
        <w:rPr>
          <w:rFonts w:ascii="Times New Roman" w:eastAsia="Times New Roman" w:hAnsi="Times New Roman" w:cs="Times New Roman"/>
          <w:spacing w:val="-5"/>
          <w:sz w:val="28"/>
          <w:szCs w:val="28"/>
          <w:lang w:eastAsia="zh-CN" w:bidi="hi-IN"/>
        </w:rPr>
        <w:t xml:space="preserve"> 3</w:t>
      </w:r>
      <w:r>
        <w:rPr>
          <w:rFonts w:ascii="Times New Roman" w:eastAsia="Times New Roman" w:hAnsi="Times New Roman" w:cs="Times New Roman"/>
          <w:sz w:val="28"/>
          <w:szCs w:val="28"/>
          <w:lang w:eastAsia="zh-CN" w:bidi="hi-IN"/>
        </w:rPr>
        <w:t>2</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zh-CN" w:bidi="hi-IN"/>
        </w:rPr>
        <w:t>Распространенность</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микробных</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ассоциаций</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ожоговой</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ране</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от</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общего</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числа</w:t>
      </w:r>
      <w:r>
        <w:rPr>
          <w:rFonts w:ascii="Times New Roman" w:eastAsia="Times New Roman" w:hAnsi="Times New Roman" w:cs="Times New Roman"/>
          <w:spacing w:val="-52"/>
          <w:sz w:val="28"/>
          <w:szCs w:val="28"/>
          <w:lang w:eastAsia="zh-CN" w:bidi="hi-IN"/>
        </w:rPr>
        <w:t xml:space="preserve"> </w:t>
      </w:r>
      <w:r>
        <w:rPr>
          <w:rFonts w:ascii="Times New Roman" w:eastAsia="Times New Roman" w:hAnsi="Times New Roman" w:cs="Times New Roman"/>
          <w:sz w:val="28"/>
          <w:szCs w:val="28"/>
          <w:lang w:eastAsia="zh-CN" w:bidi="hi-IN"/>
        </w:rPr>
        <w:t>положительных</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результатов</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бактериологических</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исследований)</w:t>
      </w:r>
    </w:p>
    <w:p w:rsidR="00E17FE1" w:rsidRDefault="00E17FE1">
      <w:pPr>
        <w:widowControl w:val="0"/>
        <w:autoSpaceDE w:val="0"/>
        <w:autoSpaceDN w:val="0"/>
        <w:spacing w:after="0" w:line="240" w:lineRule="auto"/>
        <w:ind w:right="156" w:firstLine="567"/>
        <w:jc w:val="both"/>
        <w:rPr>
          <w:rFonts w:ascii="Times New Roman" w:eastAsia="Times New Roman" w:hAnsi="Times New Roman" w:cs="Times New Roman"/>
          <w:sz w:val="28"/>
          <w:szCs w:val="28"/>
          <w:lang w:eastAsia="zh-CN" w:bidi="hi-IN"/>
        </w:rPr>
      </w:pP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Тревожным фактом явилось то, что из всех положительных результатов</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 32%</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случаях возбудители проявляли устойчивость к 6 и более антибиотикам, что говорит 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развитии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мультилекарственной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устойчивости.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Печально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то,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что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феномен</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панрезистентности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ко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всем</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антибиотикам</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из</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основного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резервного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наборов</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для</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антибиотикограммы</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регистрировался</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с</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повышением</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2</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раза</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по</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сравнению</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с</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 xml:space="preserve">результатами </w:t>
      </w:r>
      <w:r>
        <w:rPr>
          <w:rFonts w:ascii="Times New Roman" w:eastAsia="Times New Roman" w:hAnsi="Times New Roman" w:cs="Times New Roman"/>
          <w:spacing w:val="-1"/>
          <w:sz w:val="28"/>
          <w:szCs w:val="28"/>
          <w:lang w:eastAsia="zh-CN" w:bidi="hi-IN"/>
        </w:rPr>
        <w:t>первой</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серии</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посевов.</w:t>
      </w:r>
      <w:r>
        <w:rPr>
          <w:rFonts w:ascii="Times New Roman" w:eastAsia="Times New Roman" w:hAnsi="Times New Roman" w:cs="Times New Roman"/>
          <w:spacing w:val="-12"/>
          <w:sz w:val="28"/>
          <w:szCs w:val="28"/>
          <w:lang w:eastAsia="zh-CN" w:bidi="hi-IN"/>
        </w:rPr>
        <w:t xml:space="preserve"> </w:t>
      </w:r>
      <w:proofErr w:type="gramStart"/>
      <w:r>
        <w:rPr>
          <w:rFonts w:ascii="Times New Roman" w:eastAsia="Times New Roman" w:hAnsi="Times New Roman" w:cs="Times New Roman"/>
          <w:spacing w:val="-1"/>
          <w:sz w:val="28"/>
          <w:szCs w:val="28"/>
          <w:lang w:eastAsia="zh-CN" w:bidi="hi-IN"/>
        </w:rPr>
        <w:t>По</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итогам</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pacing w:val="-1"/>
          <w:sz w:val="28"/>
          <w:szCs w:val="28"/>
          <w:lang w:eastAsia="zh-CN" w:bidi="hi-IN"/>
        </w:rPr>
        <w:t>4-й</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pacing w:val="-1"/>
          <w:sz w:val="28"/>
          <w:szCs w:val="28"/>
          <w:lang w:eastAsia="zh-CN" w:bidi="hi-IN"/>
        </w:rPr>
        <w:t>серии</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pacing w:val="-1"/>
          <w:sz w:val="28"/>
          <w:szCs w:val="28"/>
          <w:lang w:eastAsia="zh-CN" w:bidi="hi-IN"/>
        </w:rPr>
        <w:t>обследования</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образцов</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ОР</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(т.</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е.</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на</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24</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сутки)</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из</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5</w:t>
      </w:r>
      <w:r>
        <w:rPr>
          <w:rFonts w:ascii="Times New Roman" w:eastAsia="Times New Roman" w:hAnsi="Times New Roman" w:cs="Times New Roman"/>
          <w:spacing w:val="-58"/>
          <w:sz w:val="28"/>
          <w:szCs w:val="28"/>
          <w:lang w:eastAsia="zh-CN" w:bidi="hi-IN"/>
        </w:rPr>
        <w:t xml:space="preserve">     </w:t>
      </w:r>
      <w:r>
        <w:rPr>
          <w:rFonts w:ascii="Times New Roman" w:eastAsia="Times New Roman" w:hAnsi="Times New Roman" w:cs="Times New Roman"/>
          <w:sz w:val="28"/>
          <w:szCs w:val="28"/>
          <w:lang w:eastAsia="zh-CN" w:bidi="hi-IN"/>
        </w:rPr>
        <w:t>выделенных возбудителей панрезистентность к АБП регистрировалась в 80%</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на фоне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пребывания пациентов в стационаре в течение целого месяца, где они активно получали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системную</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антибактериальную</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терапию,</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а</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также</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местное</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лечение</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виде</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раневых</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повязок</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с</w:t>
      </w:r>
      <w:r>
        <w:rPr>
          <w:rFonts w:ascii="Times New Roman" w:eastAsia="Times New Roman" w:hAnsi="Times New Roman" w:cs="Times New Roman"/>
          <w:spacing w:val="-58"/>
          <w:sz w:val="28"/>
          <w:szCs w:val="28"/>
          <w:lang w:eastAsia="zh-CN" w:bidi="hi-IN"/>
        </w:rPr>
        <w:t xml:space="preserve"> </w:t>
      </w:r>
      <w:r>
        <w:rPr>
          <w:rFonts w:ascii="Times New Roman" w:eastAsia="Times New Roman" w:hAnsi="Times New Roman" w:cs="Times New Roman"/>
          <w:sz w:val="28"/>
          <w:szCs w:val="28"/>
          <w:lang w:eastAsia="zh-CN" w:bidi="hi-IN"/>
        </w:rPr>
        <w:t>антисептическими</w:t>
      </w:r>
      <w:r>
        <w:rPr>
          <w:rFonts w:ascii="Times New Roman" w:eastAsia="Times New Roman" w:hAnsi="Times New Roman" w:cs="Times New Roman"/>
          <w:spacing w:val="-2"/>
          <w:sz w:val="28"/>
          <w:szCs w:val="28"/>
          <w:lang w:eastAsia="zh-CN" w:bidi="hi-IN"/>
        </w:rPr>
        <w:t xml:space="preserve"> </w:t>
      </w:r>
      <w:r>
        <w:rPr>
          <w:rFonts w:ascii="Times New Roman" w:eastAsia="Times New Roman" w:hAnsi="Times New Roman" w:cs="Times New Roman"/>
          <w:sz w:val="28"/>
          <w:szCs w:val="28"/>
          <w:lang w:eastAsia="zh-CN" w:bidi="hi-IN"/>
        </w:rPr>
        <w:t>растворами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2"/>
          <w:sz w:val="28"/>
          <w:szCs w:val="28"/>
          <w:lang w:eastAsia="zh-CN" w:bidi="hi-IN"/>
        </w:rPr>
        <w:t xml:space="preserve"> </w:t>
      </w:r>
      <w:r>
        <w:rPr>
          <w:rFonts w:ascii="Times New Roman" w:eastAsia="Times New Roman" w:hAnsi="Times New Roman" w:cs="Times New Roman"/>
          <w:sz w:val="28"/>
          <w:szCs w:val="28"/>
          <w:lang w:eastAsia="zh-CN" w:bidi="hi-IN"/>
        </w:rPr>
        <w:t>антибактериальными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мазями.</w:t>
      </w:r>
      <w:proofErr w:type="gramEnd"/>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Таким</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образом</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потенциально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опасные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ключевые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маркеры:</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неферментирующие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грамотрицательные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бактерии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i/>
          <w:sz w:val="28"/>
          <w:szCs w:val="28"/>
          <w:lang w:eastAsia="zh-CN" w:bidi="hi-IN"/>
        </w:rPr>
        <w:t>Ps.</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eastAsia="zh-CN" w:bidi="hi-IN"/>
        </w:rPr>
        <w:t>aeruginosa</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eastAsia="zh-CN" w:bidi="hi-IN"/>
        </w:rPr>
        <w:t>и</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eastAsia="zh-CN" w:bidi="hi-IN"/>
        </w:rPr>
        <w:t>A.</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eastAsia="zh-CN" w:bidi="hi-IN"/>
        </w:rPr>
        <w:t>baumannii</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резистентная</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флора</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микробные</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ассоциаци</w:t>
      </w:r>
      <w:proofErr w:type="gramStart"/>
      <w:r>
        <w:rPr>
          <w:rFonts w:ascii="Times New Roman" w:eastAsia="Times New Roman" w:hAnsi="Times New Roman" w:cs="Times New Roman"/>
          <w:sz w:val="28"/>
          <w:szCs w:val="28"/>
          <w:lang w:eastAsia="zh-CN" w:bidi="hi-IN"/>
        </w:rPr>
        <w:t>и-</w:t>
      </w:r>
      <w:proofErr w:type="gramEnd"/>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 xml:space="preserve">биопленки, сформированные чаще всего сформированные </w:t>
      </w:r>
      <w:r>
        <w:rPr>
          <w:rFonts w:ascii="Times New Roman" w:eastAsia="Times New Roman" w:hAnsi="Times New Roman" w:cs="Times New Roman"/>
          <w:i/>
          <w:sz w:val="28"/>
          <w:szCs w:val="28"/>
          <w:lang w:eastAsia="zh-CN" w:bidi="hi-IN"/>
        </w:rPr>
        <w:t>Ps.</w:t>
      </w:r>
      <w:r>
        <w:rPr>
          <w:rFonts w:ascii="Times New Roman" w:eastAsia="Times New Roman" w:hAnsi="Times New Roman" w:cs="Times New Roman"/>
          <w:i/>
          <w:spacing w:val="-12"/>
          <w:sz w:val="28"/>
          <w:szCs w:val="28"/>
          <w:lang w:eastAsia="zh-CN" w:bidi="hi-IN"/>
        </w:rPr>
        <w:t xml:space="preserve"> </w:t>
      </w:r>
      <w:r>
        <w:rPr>
          <w:rFonts w:ascii="Times New Roman" w:eastAsia="Times New Roman" w:hAnsi="Times New Roman" w:cs="Times New Roman"/>
          <w:i/>
          <w:sz w:val="28"/>
          <w:szCs w:val="28"/>
          <w:lang w:eastAsia="zh-CN" w:bidi="hi-IN"/>
        </w:rPr>
        <w:t>aeruginosa</w:t>
      </w:r>
      <w:r>
        <w:rPr>
          <w:rFonts w:ascii="Times New Roman" w:eastAsia="Times New Roman" w:hAnsi="Times New Roman" w:cs="Times New Roman"/>
          <w:i/>
          <w:spacing w:val="-12"/>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i/>
          <w:sz w:val="28"/>
          <w:szCs w:val="28"/>
          <w:lang w:eastAsia="zh-CN" w:bidi="hi-IN"/>
        </w:rPr>
        <w:t>S.</w:t>
      </w:r>
      <w:r>
        <w:rPr>
          <w:rFonts w:ascii="Times New Roman" w:eastAsia="Times New Roman" w:hAnsi="Times New Roman" w:cs="Times New Roman"/>
          <w:i/>
          <w:spacing w:val="1"/>
          <w:sz w:val="28"/>
          <w:szCs w:val="28"/>
          <w:lang w:eastAsia="zh-CN" w:bidi="hi-IN"/>
        </w:rPr>
        <w:t xml:space="preserve"> </w:t>
      </w:r>
      <w:r>
        <w:rPr>
          <w:rFonts w:ascii="Times New Roman" w:eastAsia="Times New Roman" w:hAnsi="Times New Roman" w:cs="Times New Roman"/>
          <w:i/>
          <w:sz w:val="28"/>
          <w:szCs w:val="28"/>
          <w:lang w:val="en-US" w:eastAsia="zh-CN" w:bidi="hi-IN"/>
        </w:rPr>
        <w:t>a</w:t>
      </w:r>
      <w:r>
        <w:rPr>
          <w:rFonts w:ascii="Times New Roman" w:eastAsia="Times New Roman" w:hAnsi="Times New Roman" w:cs="Times New Roman"/>
          <w:i/>
          <w:sz w:val="28"/>
          <w:szCs w:val="28"/>
          <w:lang w:eastAsia="zh-CN" w:bidi="hi-IN"/>
        </w:rPr>
        <w:t>ureus.</w:t>
      </w:r>
      <w:r>
        <w:rPr>
          <w:rFonts w:ascii="Times New Roman" w:eastAsia="Times New Roman" w:hAnsi="Times New Roman" w:cs="Times New Roman"/>
          <w:sz w:val="28"/>
          <w:szCs w:val="28"/>
          <w:lang w:eastAsia="zh-CN" w:bidi="hi-IN"/>
        </w:rPr>
        <w:t xml:space="preserve"> Это согласуется с литературными данными 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структуре микрофлоры ожоговых ран, в</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которых была установлена доминирующая роль</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 xml:space="preserve">условно-патогенных </w:t>
      </w:r>
      <w:r>
        <w:rPr>
          <w:rFonts w:ascii="Times New Roman" w:eastAsia="Times New Roman" w:hAnsi="Times New Roman" w:cs="Times New Roman"/>
          <w:sz w:val="28"/>
          <w:szCs w:val="28"/>
          <w:lang w:eastAsia="zh-CN" w:bidi="hi-IN"/>
        </w:rPr>
        <w:lastRenderedPageBreak/>
        <w:t xml:space="preserve">возбудителей, в частности </w:t>
      </w:r>
      <w:bookmarkStart w:id="11" w:name="_GoBack"/>
      <w:bookmarkEnd w:id="11"/>
      <w:r>
        <w:rPr>
          <w:rFonts w:ascii="Times New Roman" w:eastAsia="Times New Roman" w:hAnsi="Times New Roman" w:cs="Times New Roman"/>
          <w:sz w:val="28"/>
          <w:szCs w:val="28"/>
          <w:lang w:eastAsia="zh-CN" w:bidi="hi-IN"/>
        </w:rPr>
        <w:t>группы «ESKAPE», характеризующейся</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высокой частотой распространенности в лечебно</w:t>
      </w:r>
      <w:r>
        <w:rPr>
          <w:rFonts w:ascii="Times New Roman" w:eastAsia="Times New Roman" w:hAnsi="Times New Roman" w:cs="Times New Roman"/>
          <w:sz w:val="28"/>
          <w:szCs w:val="28"/>
          <w:lang w:eastAsia="zh-CN" w:bidi="hi-IN"/>
        </w:rPr>
        <w:noBreakHyphen/>
        <w:t>профилактических  учреждениях (ЛПУ), склонностью к образованию микробных</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ассоциаций</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устойчивостью</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к</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антибактериальным</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препаратам</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[248].</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связи</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с</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этим</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для</w:t>
      </w:r>
      <w:r>
        <w:rPr>
          <w:rFonts w:ascii="Times New Roman" w:eastAsia="Times New Roman" w:hAnsi="Times New Roman" w:cs="Times New Roman"/>
          <w:spacing w:val="-57"/>
          <w:sz w:val="28"/>
          <w:szCs w:val="28"/>
          <w:lang w:eastAsia="zh-CN" w:bidi="hi-IN"/>
        </w:rPr>
        <w:t xml:space="preserve"> </w:t>
      </w:r>
      <w:r>
        <w:rPr>
          <w:rFonts w:ascii="Times New Roman" w:eastAsia="Times New Roman" w:hAnsi="Times New Roman" w:cs="Times New Roman"/>
          <w:spacing w:val="-1"/>
          <w:sz w:val="28"/>
          <w:szCs w:val="28"/>
          <w:lang w:eastAsia="zh-CN" w:bidi="hi-IN"/>
        </w:rPr>
        <w:t>дальнейших</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pacing w:val="-1"/>
          <w:sz w:val="28"/>
          <w:szCs w:val="28"/>
          <w:lang w:eastAsia="zh-CN" w:bidi="hi-IN"/>
        </w:rPr>
        <w:t>исследований</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по</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определению</w:t>
      </w:r>
      <w:r>
        <w:rPr>
          <w:rFonts w:ascii="Times New Roman" w:eastAsia="Times New Roman" w:hAnsi="Times New Roman" w:cs="Times New Roman"/>
          <w:spacing w:val="-12"/>
          <w:sz w:val="28"/>
          <w:szCs w:val="28"/>
          <w:lang w:eastAsia="zh-CN" w:bidi="hi-IN"/>
        </w:rPr>
        <w:t xml:space="preserve"> антибактериальной и </w:t>
      </w:r>
      <w:r>
        <w:rPr>
          <w:rFonts w:ascii="Times New Roman" w:eastAsia="Times New Roman" w:hAnsi="Times New Roman" w:cs="Times New Roman"/>
          <w:sz w:val="28"/>
          <w:szCs w:val="28"/>
          <w:lang w:eastAsia="zh-CN" w:bidi="hi-IN"/>
        </w:rPr>
        <w:t>антибиопленочной</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активности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исследуемых</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материалов</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качестве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микрорганизмов-мишеней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bCs/>
          <w:sz w:val="28"/>
          <w:szCs w:val="28"/>
          <w:lang w:eastAsia="zh-CN" w:bidi="hi-IN"/>
        </w:rPr>
        <w:t>использовались:</w:t>
      </w:r>
      <w:r>
        <w:rPr>
          <w:rFonts w:ascii="Times New Roman" w:eastAsia="Times New Roman" w:hAnsi="Times New Roman" w:cs="Times New Roman"/>
          <w:bCs/>
          <w:spacing w:val="1"/>
          <w:sz w:val="28"/>
          <w:szCs w:val="28"/>
          <w:lang w:eastAsia="zh-CN" w:bidi="hi-IN"/>
        </w:rPr>
        <w:t xml:space="preserve"> </w:t>
      </w:r>
      <w:r>
        <w:rPr>
          <w:rFonts w:ascii="Times New Roman" w:eastAsia="Times New Roman" w:hAnsi="Times New Roman" w:cs="Times New Roman"/>
          <w:bCs/>
          <w:sz w:val="28"/>
          <w:szCs w:val="28"/>
          <w:lang w:eastAsia="zh-CN" w:bidi="hi-IN"/>
        </w:rPr>
        <w:t xml:space="preserve">мецитилин-резистентный </w:t>
      </w:r>
      <w:r>
        <w:rPr>
          <w:rFonts w:ascii="Times New Roman" w:eastAsia="Times New Roman" w:hAnsi="Times New Roman" w:cs="Times New Roman"/>
          <w:bCs/>
          <w:i/>
          <w:sz w:val="28"/>
          <w:szCs w:val="28"/>
          <w:lang w:eastAsia="zh-CN" w:bidi="hi-IN"/>
        </w:rPr>
        <w:t>Staphylococcus aureus</w:t>
      </w:r>
      <w:r>
        <w:rPr>
          <w:rFonts w:ascii="Times New Roman" w:eastAsia="Times New Roman" w:hAnsi="Times New Roman" w:cs="Times New Roman"/>
          <w:bCs/>
          <w:i/>
          <w:spacing w:val="-57"/>
          <w:sz w:val="28"/>
          <w:szCs w:val="28"/>
          <w:lang w:eastAsia="zh-CN" w:bidi="hi-IN"/>
        </w:rPr>
        <w:t xml:space="preserve"> </w:t>
      </w:r>
      <w:r>
        <w:rPr>
          <w:rFonts w:ascii="Times New Roman" w:eastAsia="Times New Roman" w:hAnsi="Times New Roman" w:cs="Times New Roman"/>
          <w:bCs/>
          <w:sz w:val="28"/>
          <w:szCs w:val="28"/>
          <w:lang w:eastAsia="zh-CN" w:bidi="hi-IN"/>
        </w:rPr>
        <w:t>(MRSA),</w:t>
      </w:r>
      <w:r>
        <w:rPr>
          <w:rFonts w:ascii="Times New Roman" w:eastAsia="Times New Roman" w:hAnsi="Times New Roman" w:cs="Times New Roman"/>
          <w:bCs/>
          <w:spacing w:val="1"/>
          <w:sz w:val="28"/>
          <w:szCs w:val="28"/>
          <w:lang w:eastAsia="zh-CN" w:bidi="hi-IN"/>
        </w:rPr>
        <w:t xml:space="preserve"> </w:t>
      </w:r>
      <w:r>
        <w:rPr>
          <w:rFonts w:ascii="Times New Roman" w:eastAsia="Times New Roman" w:hAnsi="Times New Roman" w:cs="Times New Roman"/>
          <w:bCs/>
          <w:sz w:val="28"/>
          <w:szCs w:val="28"/>
          <w:lang w:eastAsia="zh-CN" w:bidi="hi-IN"/>
        </w:rPr>
        <w:t>и</w:t>
      </w:r>
      <w:r>
        <w:rPr>
          <w:rFonts w:ascii="Times New Roman" w:eastAsia="Times New Roman" w:hAnsi="Times New Roman" w:cs="Times New Roman"/>
          <w:bCs/>
          <w:spacing w:val="1"/>
          <w:sz w:val="28"/>
          <w:szCs w:val="28"/>
          <w:lang w:eastAsia="zh-CN" w:bidi="hi-IN"/>
        </w:rPr>
        <w:t xml:space="preserve"> </w:t>
      </w:r>
      <w:r>
        <w:rPr>
          <w:rFonts w:ascii="Times New Roman" w:eastAsia="Times New Roman" w:hAnsi="Times New Roman" w:cs="Times New Roman"/>
          <w:bCs/>
          <w:sz w:val="28"/>
          <w:szCs w:val="28"/>
          <w:lang w:eastAsia="zh-CN" w:bidi="hi-IN"/>
        </w:rPr>
        <w:t>фторхиноло</w:t>
      </w:r>
      <w:proofErr w:type="gramStart"/>
      <w:r>
        <w:rPr>
          <w:rFonts w:ascii="Times New Roman" w:eastAsia="Times New Roman" w:hAnsi="Times New Roman" w:cs="Times New Roman"/>
          <w:bCs/>
          <w:sz w:val="28"/>
          <w:szCs w:val="28"/>
          <w:lang w:eastAsia="zh-CN" w:bidi="hi-IN"/>
        </w:rPr>
        <w:t>н-</w:t>
      </w:r>
      <w:proofErr w:type="gramEnd"/>
      <w:r>
        <w:rPr>
          <w:rFonts w:ascii="Times New Roman" w:eastAsia="Times New Roman" w:hAnsi="Times New Roman" w:cs="Times New Roman"/>
          <w:bCs/>
          <w:spacing w:val="1"/>
          <w:sz w:val="28"/>
          <w:szCs w:val="28"/>
          <w:lang w:eastAsia="zh-CN" w:bidi="hi-IN"/>
        </w:rPr>
        <w:t xml:space="preserve"> </w:t>
      </w:r>
      <w:r>
        <w:rPr>
          <w:rFonts w:ascii="Times New Roman" w:eastAsia="Times New Roman" w:hAnsi="Times New Roman" w:cs="Times New Roman"/>
          <w:bCs/>
          <w:sz w:val="28"/>
          <w:szCs w:val="28"/>
          <w:lang w:eastAsia="zh-CN" w:bidi="hi-IN"/>
        </w:rPr>
        <w:t>резистентный</w:t>
      </w:r>
      <w:r>
        <w:rPr>
          <w:rFonts w:ascii="Times New Roman" w:eastAsia="Times New Roman" w:hAnsi="Times New Roman" w:cs="Times New Roman"/>
          <w:bCs/>
          <w:spacing w:val="-14"/>
          <w:sz w:val="28"/>
          <w:szCs w:val="28"/>
          <w:lang w:eastAsia="zh-CN" w:bidi="hi-IN"/>
        </w:rPr>
        <w:t xml:space="preserve"> </w:t>
      </w:r>
      <w:r>
        <w:rPr>
          <w:rFonts w:ascii="Times New Roman" w:eastAsia="Times New Roman" w:hAnsi="Times New Roman" w:cs="Times New Roman"/>
          <w:bCs/>
          <w:i/>
          <w:sz w:val="28"/>
          <w:szCs w:val="28"/>
          <w:lang w:eastAsia="zh-CN" w:bidi="hi-IN"/>
        </w:rPr>
        <w:t>Pseudomonas</w:t>
      </w:r>
      <w:r>
        <w:rPr>
          <w:rFonts w:ascii="Times New Roman" w:eastAsia="Times New Roman" w:hAnsi="Times New Roman" w:cs="Times New Roman"/>
          <w:bCs/>
          <w:i/>
          <w:spacing w:val="-13"/>
          <w:sz w:val="28"/>
          <w:szCs w:val="28"/>
          <w:lang w:eastAsia="zh-CN" w:bidi="hi-IN"/>
        </w:rPr>
        <w:t xml:space="preserve"> </w:t>
      </w:r>
      <w:r>
        <w:rPr>
          <w:rFonts w:ascii="Times New Roman" w:eastAsia="Times New Roman" w:hAnsi="Times New Roman" w:cs="Times New Roman"/>
          <w:bCs/>
          <w:i/>
          <w:sz w:val="28"/>
          <w:szCs w:val="28"/>
          <w:lang w:eastAsia="zh-CN" w:bidi="hi-IN"/>
        </w:rPr>
        <w:t>aeruginosa</w:t>
      </w:r>
      <w:r>
        <w:rPr>
          <w:rFonts w:ascii="Times New Roman" w:eastAsia="Times New Roman" w:hAnsi="Times New Roman" w:cs="Times New Roman"/>
          <w:bCs/>
          <w:i/>
          <w:spacing w:val="-10"/>
          <w:sz w:val="28"/>
          <w:szCs w:val="28"/>
          <w:lang w:eastAsia="zh-CN" w:bidi="hi-IN"/>
        </w:rPr>
        <w:t xml:space="preserve"> </w:t>
      </w:r>
      <w:r>
        <w:rPr>
          <w:rFonts w:ascii="Times New Roman" w:eastAsia="Times New Roman" w:hAnsi="Times New Roman" w:cs="Times New Roman"/>
          <w:bCs/>
          <w:sz w:val="28"/>
          <w:szCs w:val="28"/>
          <w:lang w:eastAsia="zh-CN" w:bidi="hi-IN"/>
        </w:rPr>
        <w:t>(FQRPA).</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Именно</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эти</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УПМ</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являются</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индикаторами</w:t>
      </w:r>
      <w:r>
        <w:rPr>
          <w:rFonts w:ascii="Times New Roman" w:eastAsia="Times New Roman" w:hAnsi="Times New Roman" w:cs="Times New Roman"/>
          <w:spacing w:val="-58"/>
          <w:sz w:val="28"/>
          <w:szCs w:val="28"/>
          <w:lang w:eastAsia="zh-CN" w:bidi="hi-IN"/>
        </w:rPr>
        <w:t xml:space="preserve">         </w:t>
      </w:r>
      <w:r>
        <w:rPr>
          <w:rFonts w:ascii="Times New Roman" w:eastAsia="Times New Roman" w:hAnsi="Times New Roman" w:cs="Times New Roman"/>
          <w:sz w:val="28"/>
          <w:szCs w:val="28"/>
          <w:lang w:eastAsia="zh-CN" w:bidi="hi-IN"/>
        </w:rPr>
        <w:t>загрязнения</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госпитальной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среды.</w:t>
      </w:r>
    </w:p>
    <w:p w:rsidR="00E17FE1" w:rsidRDefault="00BB58D7">
      <w:pPr>
        <w:widowControl w:val="0"/>
        <w:autoSpaceDE w:val="0"/>
        <w:autoSpaceDN w:val="0"/>
        <w:spacing w:after="0" w:line="240" w:lineRule="auto"/>
        <w:ind w:right="-1" w:firstLine="567"/>
        <w:jc w:val="both"/>
        <w:rPr>
          <w:rFonts w:ascii="Times New Roman" w:eastAsia="DejaVu Sans" w:hAnsi="Times New Roman" w:cs="DejaVu Sans"/>
          <w:sz w:val="28"/>
          <w:szCs w:val="28"/>
          <w:lang w:eastAsia="ru-RU" w:bidi="hi-IN"/>
        </w:rPr>
      </w:pPr>
      <w:proofErr w:type="gramStart"/>
      <w:r>
        <w:rPr>
          <w:rFonts w:ascii="Times New Roman" w:eastAsia="Batang" w:hAnsi="Times New Roman" w:cs="DejaVu Sans"/>
          <w:sz w:val="28"/>
          <w:szCs w:val="28"/>
          <w:lang w:eastAsia="ko-KR" w:bidi="hi-IN"/>
        </w:rPr>
        <w:t xml:space="preserve">Рост и распространение бактерий эффективно предотвращают антибиотики, однако их многократное применение может способствовать развитию бактериальной резистентности </w:t>
      </w:r>
      <w:hyperlink r:id="rId47" w:anchor="b0435" w:history="1">
        <w:r>
          <w:rPr>
            <w:rFonts w:ascii="Times New Roman" w:eastAsia="DejaVu Sans" w:hAnsi="Times New Roman" w:cs="DejaVu Sans"/>
            <w:sz w:val="28"/>
            <w:szCs w:val="28"/>
            <w:lang w:eastAsia="ru-RU" w:bidi="hi-IN"/>
          </w:rPr>
          <w:t>[249]</w:t>
        </w:r>
      </w:hyperlink>
      <w:r>
        <w:rPr>
          <w:rFonts w:ascii="Times New Roman" w:eastAsia="DejaVu Sans" w:hAnsi="Times New Roman" w:cs="DejaVu Sans"/>
          <w:sz w:val="28"/>
          <w:szCs w:val="28"/>
          <w:lang w:eastAsia="ru-RU" w:bidi="hi-IN"/>
        </w:rPr>
        <w:t xml:space="preserve">. У более чем 70% возбудителей раневых инфекций отмечен высокий уровень резистентности к одному или нескольким антибиотикам, применяемым в клинической практике </w:t>
      </w:r>
      <w:hyperlink r:id="rId48" w:anchor="b0445" w:history="1">
        <w:r>
          <w:rPr>
            <w:rFonts w:ascii="Times New Roman" w:eastAsia="DejaVu Sans" w:hAnsi="Times New Roman" w:cs="DejaVu Sans"/>
            <w:sz w:val="28"/>
            <w:szCs w:val="28"/>
            <w:lang w:eastAsia="ru-RU" w:bidi="hi-IN"/>
          </w:rPr>
          <w:t>[250]</w:t>
        </w:r>
      </w:hyperlink>
      <w:r>
        <w:rPr>
          <w:rFonts w:ascii="Times New Roman" w:eastAsia="DejaVu Sans" w:hAnsi="Times New Roman" w:cs="DejaVu Sans"/>
          <w:sz w:val="28"/>
          <w:szCs w:val="28"/>
          <w:lang w:eastAsia="ru-RU" w:bidi="hi-IN"/>
        </w:rPr>
        <w:t xml:space="preserve">.  </w:t>
      </w:r>
      <w:r>
        <w:rPr>
          <w:rFonts w:ascii="Times New Roman" w:eastAsia="SimSun" w:hAnsi="Times New Roman" w:cs="Times New Roman"/>
          <w:sz w:val="28"/>
          <w:szCs w:val="28"/>
          <w:lang w:eastAsia="zh-CN" w:bidi="hi-IN"/>
        </w:rPr>
        <w:t xml:space="preserve">Быстрый рост числа мультирезистентных бактерий, устойчивых к большинству природных и синтетических антибиотиков, подчеркивает острую потребность в разработке новых терапевтических подходов </w:t>
      </w:r>
      <w:r w:rsidR="00E408BF" w:rsidRPr="00E408BF">
        <w:rPr>
          <w:rFonts w:ascii="Times New Roman" w:eastAsia="SimSun" w:hAnsi="Times New Roman" w:cs="Times New Roman"/>
          <w:sz w:val="28"/>
          <w:szCs w:val="28"/>
          <w:lang w:eastAsia="zh-CN" w:bidi="hi-IN"/>
        </w:rPr>
        <w:t>[</w:t>
      </w:r>
      <w:hyperlink r:id="rId49" w:anchor="b0450" w:history="1">
        <w:r>
          <w:rPr>
            <w:rFonts w:ascii="Times New Roman" w:eastAsia="Times New Roman" w:hAnsi="Times New Roman" w:cs="Times New Roman"/>
            <w:sz w:val="28"/>
            <w:szCs w:val="28"/>
            <w:lang w:eastAsia="ru-RU" w:bidi="hi-IN"/>
          </w:rPr>
          <w:t>251]</w:t>
        </w:r>
      </w:hyperlink>
      <w:r>
        <w:rPr>
          <w:rFonts w:ascii="Times New Roman" w:eastAsia="Times New Roman" w:hAnsi="Times New Roman" w:cs="Times New Roman"/>
          <w:sz w:val="28"/>
          <w:szCs w:val="28"/>
          <w:lang w:eastAsia="ru-RU" w:bidi="hi-IN"/>
        </w:rPr>
        <w:t>. Одним</w:t>
      </w:r>
      <w:proofErr w:type="gramEnd"/>
      <w:r>
        <w:rPr>
          <w:rFonts w:ascii="Times New Roman" w:eastAsia="Times New Roman" w:hAnsi="Times New Roman" w:cs="Times New Roman"/>
          <w:sz w:val="28"/>
          <w:szCs w:val="28"/>
          <w:lang w:eastAsia="ru-RU" w:bidi="hi-IN"/>
        </w:rPr>
        <w:t xml:space="preserve"> из них является применение антисептиков, к которым </w:t>
      </w:r>
      <w:r>
        <w:rPr>
          <w:rFonts w:ascii="Times New Roman" w:eastAsia="Calibri" w:hAnsi="Times New Roman" w:cs="DejaVu Sans"/>
          <w:spacing w:val="-2"/>
          <w:sz w:val="28"/>
          <w:szCs w:val="28"/>
          <w:lang w:eastAsia="zh-CN" w:bidi="hi-IN"/>
        </w:rPr>
        <w:t xml:space="preserve">такой резистентности не возникает, но они обладают только антимикробной активностью, не обладая ранозаживляющим действием. В связи с этим, раневое покрытие, в состав которого входит агент, обладающий помимо антимикробного действия, еще и активностью, обеспечивающей регенерацию тканей, может быть перспективным. Таким функциональным агентом может быть и </w:t>
      </w:r>
      <w:r>
        <w:rPr>
          <w:rFonts w:ascii="Times New Roman" w:eastAsia="DejaVu Sans" w:hAnsi="Times New Roman" w:cs="DejaVu Sans"/>
          <w:sz w:val="28"/>
          <w:szCs w:val="28"/>
          <w:lang w:val="en-US" w:eastAsia="ru-RU" w:bidi="hi-IN"/>
        </w:rPr>
        <w:t>MXene</w:t>
      </w:r>
      <w:r>
        <w:rPr>
          <w:rFonts w:ascii="Times New Roman" w:eastAsia="DejaVu Sans" w:hAnsi="Times New Roman" w:cs="DejaVu Sans"/>
          <w:sz w:val="28"/>
          <w:szCs w:val="28"/>
          <w:lang w:eastAsia="ru-RU" w:bidi="hi-IN"/>
        </w:rPr>
        <w:t>,  и ГАП</w:t>
      </w:r>
      <w:r>
        <w:rPr>
          <w:rFonts w:ascii="Times New Roman" w:eastAsia="DejaVu Sans" w:hAnsi="Times New Roman" w:cs="DejaVu Sans"/>
          <w:color w:val="000000"/>
          <w:sz w:val="28"/>
          <w:szCs w:val="28"/>
          <w:lang w:eastAsia="ru-RU" w:bidi="hi-IN"/>
        </w:rPr>
        <w:t>. </w:t>
      </w:r>
    </w:p>
    <w:bookmarkEnd w:id="10"/>
    <w:p w:rsidR="00E17FE1" w:rsidRDefault="00BB58D7">
      <w:pPr>
        <w:spacing w:after="0" w:line="240" w:lineRule="auto"/>
        <w:ind w:right="-1"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val="kk-KZ" w:eastAsia="zh-CN" w:bidi="hi-IN"/>
        </w:rPr>
        <w:t>Классическим методом для определения чувствительности бактерий к антимикробным веществам является метод совместного культивирования тест-штаммов с экспериментальными образцами. Этот подход позволяет оценить зависимость антимикробного действия от времени экспозиции [</w:t>
      </w:r>
      <w:r>
        <w:rPr>
          <w:rFonts w:ascii="Times New Roman" w:eastAsia="DejaVu Sans" w:hAnsi="Times New Roman" w:cs="Times New Roman"/>
          <w:sz w:val="28"/>
          <w:szCs w:val="28"/>
          <w:lang w:eastAsia="zh-CN" w:bidi="hi-IN"/>
        </w:rPr>
        <w:t>252</w:t>
      </w:r>
      <w:r>
        <w:rPr>
          <w:rFonts w:ascii="Times New Roman" w:eastAsia="DejaVu Sans" w:hAnsi="Times New Roman" w:cs="Times New Roman"/>
          <w:sz w:val="28"/>
          <w:szCs w:val="28"/>
          <w:lang w:val="kk-KZ" w:eastAsia="zh-CN" w:bidi="hi-IN"/>
        </w:rPr>
        <w:t>].</w:t>
      </w:r>
      <w:r>
        <w:rPr>
          <w:rFonts w:ascii="Times New Roman" w:eastAsia="DejaVu Sans" w:hAnsi="Times New Roman" w:cs="Times New Roman"/>
          <w:sz w:val="28"/>
          <w:szCs w:val="28"/>
          <w:lang w:eastAsia="zh-CN" w:bidi="hi-IN"/>
        </w:rPr>
        <w:t xml:space="preserve">  </w:t>
      </w:r>
    </w:p>
    <w:p w:rsidR="00E17FE1" w:rsidRDefault="00BB58D7">
      <w:pPr>
        <w:spacing w:after="0" w:line="240" w:lineRule="auto"/>
        <w:ind w:right="-1" w:firstLine="567"/>
        <w:jc w:val="both"/>
        <w:rPr>
          <w:rFonts w:ascii="Times New Roman" w:eastAsia="DejaVu Sans" w:hAnsi="Times New Roman" w:cs="DejaVu Sans"/>
          <w:color w:val="000000"/>
          <w:sz w:val="28"/>
          <w:szCs w:val="28"/>
          <w:lang w:eastAsia="ru-RU" w:bidi="hi-IN"/>
        </w:rPr>
      </w:pPr>
      <w:r>
        <w:rPr>
          <w:rFonts w:ascii="Times New Roman" w:eastAsia="DejaVu Sans" w:hAnsi="Times New Roman" w:cs="DejaVu Sans"/>
          <w:sz w:val="28"/>
          <w:szCs w:val="28"/>
          <w:lang w:eastAsia="zh-CN" w:bidi="hi-IN"/>
        </w:rPr>
        <w:t xml:space="preserve">Уровень активности определяли по степени подавления роста бактерий  в течение соответствующих временных интервалов. </w:t>
      </w:r>
      <w:r>
        <w:rPr>
          <w:rFonts w:ascii="Times New Roman" w:eastAsia="DejaVu Sans" w:hAnsi="Times New Roman" w:cs="Times New Roman"/>
          <w:color w:val="000000"/>
          <w:sz w:val="28"/>
          <w:szCs w:val="28"/>
          <w:lang w:eastAsia="ru-RU" w:bidi="hi-IN"/>
        </w:rPr>
        <w:t>Антисептическая</w:t>
      </w:r>
      <w:r>
        <w:rPr>
          <w:rFonts w:ascii="Times New Roman" w:eastAsia="Times New Roman" w:hAnsi="Times New Roman" w:cs="Times New Roman"/>
          <w:color w:val="000000"/>
          <w:sz w:val="28"/>
          <w:szCs w:val="28"/>
          <w:lang w:eastAsia="ru-RU" w:bidi="hi-IN"/>
        </w:rPr>
        <w:t xml:space="preserve"> активность исследуемых образцов представлена </w:t>
      </w:r>
      <w:r>
        <w:rPr>
          <w:rFonts w:ascii="Times New Roman" w:eastAsia="DejaVu Sans" w:hAnsi="Times New Roman" w:cs="Times New Roman"/>
          <w:color w:val="000000"/>
          <w:sz w:val="28"/>
          <w:szCs w:val="28"/>
          <w:lang w:val="kk-KZ" w:eastAsia="ru-RU" w:bidi="hi-IN"/>
        </w:rPr>
        <w:t>на рисунке 33</w:t>
      </w:r>
      <w:r>
        <w:rPr>
          <w:rFonts w:ascii="Times New Roman" w:eastAsia="Times New Roman" w:hAnsi="Times New Roman" w:cs="Times New Roman"/>
          <w:color w:val="000000"/>
          <w:sz w:val="28"/>
          <w:szCs w:val="28"/>
          <w:lang w:eastAsia="ru-RU" w:bidi="hi-IN"/>
        </w:rPr>
        <w:t>.</w:t>
      </w:r>
    </w:p>
    <w:p w:rsidR="00E17FE1" w:rsidRDefault="00BB58D7">
      <w:pPr>
        <w:tabs>
          <w:tab w:val="left" w:pos="1365"/>
        </w:tabs>
        <w:spacing w:after="0" w:line="240" w:lineRule="auto"/>
        <w:ind w:firstLine="567"/>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lastRenderedPageBreak/>
        <w:t xml:space="preserve">       </w:t>
      </w:r>
      <w:r w:rsidR="00BC1637">
        <w:rPr>
          <w:rFonts w:ascii="Times New Roman" w:eastAsia="DejaVu Sans" w:hAnsi="Times New Roman" w:cs="Times New Roman"/>
          <w:noProof/>
          <w:sz w:val="28"/>
          <w:szCs w:val="28"/>
          <w:lang w:eastAsia="ru-RU"/>
        </w:rPr>
        <w:drawing>
          <wp:inline distT="0" distB="0" distL="0" distR="0">
            <wp:extent cx="5233670" cy="5982335"/>
            <wp:effectExtent l="1905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srcRect/>
                    <a:stretch>
                      <a:fillRect/>
                    </a:stretch>
                  </pic:blipFill>
                  <pic:spPr bwMode="auto">
                    <a:xfrm>
                      <a:off x="0" y="0"/>
                      <a:ext cx="5233670" cy="5982335"/>
                    </a:xfrm>
                    <a:prstGeom prst="rect">
                      <a:avLst/>
                    </a:prstGeom>
                    <a:noFill/>
                    <a:ln w="9525">
                      <a:noFill/>
                      <a:miter lim="800000"/>
                      <a:headEnd/>
                      <a:tailEnd/>
                    </a:ln>
                  </pic:spPr>
                </pic:pic>
              </a:graphicData>
            </a:graphic>
          </wp:inline>
        </w:drawing>
      </w:r>
    </w:p>
    <w:p w:rsidR="00E17FE1" w:rsidRDefault="00E17FE1">
      <w:pPr>
        <w:tabs>
          <w:tab w:val="left" w:pos="1365"/>
        </w:tabs>
        <w:spacing w:after="0" w:line="240" w:lineRule="auto"/>
        <w:ind w:firstLine="567"/>
        <w:jc w:val="center"/>
        <w:rPr>
          <w:rFonts w:ascii="Times New Roman" w:eastAsia="DejaVu Sans" w:hAnsi="Times New Roman" w:cs="Times New Roman"/>
          <w:sz w:val="28"/>
          <w:szCs w:val="28"/>
          <w:lang w:eastAsia="zh-CN" w:bidi="hi-IN"/>
        </w:rPr>
      </w:pPr>
    </w:p>
    <w:p w:rsidR="00E17FE1" w:rsidRDefault="00BB58D7">
      <w:pPr>
        <w:tabs>
          <w:tab w:val="left" w:pos="1365"/>
        </w:tabs>
        <w:spacing w:after="0" w:line="240" w:lineRule="auto"/>
        <w:ind w:firstLine="567"/>
        <w:jc w:val="center"/>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Рисунок 33</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DejaVu Sans" w:hAnsi="Times New Roman" w:cs="Times New Roman"/>
          <w:sz w:val="28"/>
          <w:szCs w:val="28"/>
          <w:lang w:eastAsia="zh-CN" w:bidi="hi-IN"/>
        </w:rPr>
        <w:t xml:space="preserve">Подавление роста бактерий-мишеней после контакта с </w:t>
      </w:r>
      <w:r>
        <w:rPr>
          <w:rFonts w:ascii="Times New Roman" w:eastAsia="DejaVu Sans" w:hAnsi="Times New Roman" w:cs="Times New Roman"/>
          <w:color w:val="000000"/>
          <w:sz w:val="28"/>
          <w:szCs w:val="28"/>
          <w:lang w:eastAsia="ru-RU" w:bidi="hi-IN"/>
        </w:rPr>
        <w:t>нано</w:t>
      </w:r>
      <w:r>
        <w:rPr>
          <w:rFonts w:ascii="Times New Roman" w:eastAsia="Times New Roman" w:hAnsi="Times New Roman" w:cs="Times New Roman"/>
          <w:color w:val="000000"/>
          <w:sz w:val="28"/>
          <w:szCs w:val="28"/>
          <w:lang w:eastAsia="ru-RU" w:bidi="hi-IN"/>
        </w:rPr>
        <w:t>композитными пленками</w:t>
      </w:r>
    </w:p>
    <w:p w:rsidR="00E17FE1" w:rsidRDefault="00E17FE1">
      <w:pPr>
        <w:tabs>
          <w:tab w:val="left" w:pos="1365"/>
        </w:tabs>
        <w:spacing w:after="0" w:line="240" w:lineRule="auto"/>
        <w:ind w:right="-1" w:firstLine="567"/>
        <w:jc w:val="both"/>
        <w:rPr>
          <w:rFonts w:ascii="Times New Roman" w:eastAsia="Times New Roman" w:hAnsi="Times New Roman" w:cs="Times New Roman"/>
          <w:sz w:val="28"/>
          <w:szCs w:val="28"/>
          <w:lang w:val="kk-KZ" w:eastAsia="ru-RU"/>
        </w:rPr>
      </w:pPr>
    </w:p>
    <w:p w:rsidR="00E17FE1" w:rsidRDefault="00BB58D7">
      <w:pPr>
        <w:tabs>
          <w:tab w:val="left" w:pos="1365"/>
        </w:tabs>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Как и ожидалось пленки БЦ</w:t>
      </w:r>
      <w:r>
        <w:rPr>
          <w:rFonts w:ascii="Times New Roman" w:eastAsia="Times New Roman" w:hAnsi="Times New Roman" w:cs="Times New Roman"/>
          <w:sz w:val="28"/>
          <w:szCs w:val="28"/>
          <w:lang w:eastAsia="ru-RU"/>
        </w:rPr>
        <w:t xml:space="preserve"> и БЦ/ГАП </w:t>
      </w:r>
      <w:r>
        <w:rPr>
          <w:rFonts w:ascii="Times New Roman" w:eastAsia="Times New Roman" w:hAnsi="Times New Roman" w:cs="Times New Roman"/>
          <w:sz w:val="28"/>
          <w:szCs w:val="28"/>
          <w:lang w:val="kk-KZ" w:eastAsia="ru-RU"/>
        </w:rPr>
        <w:t xml:space="preserve"> не </w:t>
      </w:r>
      <w:r>
        <w:rPr>
          <w:rFonts w:ascii="Times New Roman" w:eastAsia="Times New Roman" w:hAnsi="Times New Roman" w:cs="Times New Roman"/>
          <w:sz w:val="28"/>
          <w:szCs w:val="28"/>
        </w:rPr>
        <w:t>проявляли</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антибактериальной активности.</w:t>
      </w:r>
      <w:r>
        <w:rPr>
          <w:rFonts w:ascii="Times New Roman" w:eastAsia="Times New Roman" w:hAnsi="Times New Roman" w:cs="Times New Roman"/>
          <w:sz w:val="28"/>
          <w:szCs w:val="28"/>
          <w:lang w:val="kk-KZ" w:eastAsia="ru-RU"/>
        </w:rPr>
        <w:t xml:space="preserve"> Композиты </w:t>
      </w:r>
      <w:r>
        <w:rPr>
          <w:rFonts w:ascii="Times New Roman" w:eastAsia="Times New Roman" w:hAnsi="Times New Roman" w:cs="Times New Roman"/>
          <w:sz w:val="28"/>
          <w:szCs w:val="28"/>
          <w:lang w:eastAsia="ru-RU"/>
        </w:rPr>
        <w:t>БЦ/</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и 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xml:space="preserve"> продемонстрировали высокую антибактериальную эффективность в отношении исследуемых микроорганизмов. Наиболее выраженное бактериостатическое действие наблюдалось при их контакте  с нанокомпозитом БЦ/ГАП/</w:t>
      </w:r>
      <w:r>
        <w:rPr>
          <w:rFonts w:ascii="Times New Roman" w:eastAsia="Times New Roman" w:hAnsi="Times New Roman" w:cs="Times New Roman"/>
          <w:sz w:val="28"/>
          <w:szCs w:val="28"/>
          <w:lang w:val="en-US" w:eastAsia="ru-RU"/>
        </w:rPr>
        <w:t>MXene</w:t>
      </w:r>
      <w:r>
        <w:rPr>
          <w:rFonts w:ascii="Times New Roman" w:eastAsia="Times New Roman" w:hAnsi="Times New Roman" w:cs="Times New Roman"/>
          <w:sz w:val="28"/>
          <w:szCs w:val="28"/>
          <w:lang w:eastAsia="ru-RU"/>
        </w:rPr>
        <w:t>, достигая 95% подавления грамотрицательных (</w:t>
      </w:r>
      <w:r>
        <w:rPr>
          <w:rFonts w:ascii="Times New Roman" w:eastAsia="Times New Roman" w:hAnsi="Times New Roman" w:cs="Times New Roman"/>
          <w:i/>
          <w:iCs/>
          <w:sz w:val="28"/>
          <w:szCs w:val="28"/>
          <w:lang w:eastAsia="ru-RU"/>
        </w:rPr>
        <w:t>P.aeruginosa</w:t>
      </w:r>
      <w:r>
        <w:rPr>
          <w:rFonts w:ascii="Times New Roman" w:eastAsia="Times New Roman" w:hAnsi="Times New Roman" w:cs="Times New Roman"/>
          <w:sz w:val="28"/>
          <w:szCs w:val="28"/>
          <w:lang w:eastAsia="ru-RU"/>
        </w:rPr>
        <w:t>) и до 99% грамположительных (</w:t>
      </w:r>
      <w:r>
        <w:rPr>
          <w:rFonts w:ascii="Times New Roman" w:eastAsia="Times New Roman" w:hAnsi="Times New Roman" w:cs="Times New Roman"/>
          <w:i/>
          <w:iCs/>
          <w:sz w:val="28"/>
          <w:szCs w:val="28"/>
          <w:lang w:eastAsia="ru-RU"/>
        </w:rPr>
        <w:t>S.aureus</w:t>
      </w:r>
      <w:r>
        <w:rPr>
          <w:rFonts w:ascii="Times New Roman" w:eastAsia="Times New Roman" w:hAnsi="Times New Roman" w:cs="Times New Roman"/>
          <w:sz w:val="28"/>
          <w:szCs w:val="28"/>
          <w:lang w:eastAsia="ru-RU"/>
        </w:rPr>
        <w:t>) бактерий по завершении 24 часов инкубации.</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rPr>
        <w:t xml:space="preserve">Эти результаты согласуются с литературой, в которой отмечалась более </w:t>
      </w:r>
      <w:r w:rsidRPr="00E408BF">
        <w:rPr>
          <w:rFonts w:ascii="Times New Roman" w:eastAsia="Times New Roman" w:hAnsi="Times New Roman" w:cs="Times New Roman"/>
          <w:sz w:val="28"/>
          <w:szCs w:val="28"/>
        </w:rPr>
        <w:t>высокая</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активность этих MXenes в отношении грамположительных бактерий [6, 253].</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Raso</w:t>
      </w:r>
      <w:r w:rsidRPr="00E408BF">
        <w:rPr>
          <w:rFonts w:ascii="Times New Roman" w:eastAsia="Times New Roman" w:hAnsi="Times New Roman" w:cs="Times New Roman"/>
          <w:sz w:val="28"/>
          <w:szCs w:val="28"/>
          <w:lang w:val="en-US"/>
        </w:rPr>
        <w:t>o</w:t>
      </w:r>
      <w:r w:rsidRPr="00E408BF">
        <w:rPr>
          <w:rFonts w:ascii="Times New Roman" w:eastAsia="Times New Roman" w:hAnsi="Times New Roman" w:cs="Times New Roman"/>
          <w:sz w:val="28"/>
          <w:szCs w:val="28"/>
        </w:rPr>
        <w:t>l</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и</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др.</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указывают,</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что</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различия</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в</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антибактериальной</w:t>
      </w:r>
      <w:r w:rsidRPr="00E408BF">
        <w:rPr>
          <w:rFonts w:ascii="Times New Roman" w:eastAsia="Times New Roman" w:hAnsi="Times New Roman" w:cs="Times New Roman"/>
          <w:spacing w:val="1"/>
          <w:sz w:val="28"/>
          <w:szCs w:val="28"/>
        </w:rPr>
        <w:t xml:space="preserve"> </w:t>
      </w:r>
      <w:r w:rsidRPr="00E408BF">
        <w:rPr>
          <w:rFonts w:ascii="Times New Roman" w:eastAsia="Times New Roman" w:hAnsi="Times New Roman" w:cs="Times New Roman"/>
          <w:sz w:val="28"/>
          <w:szCs w:val="28"/>
        </w:rPr>
        <w:t>активности</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обусловлены</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особенностями</w:t>
      </w:r>
      <w:r>
        <w:rPr>
          <w:rFonts w:ascii="Times New Roman" w:eastAsia="Times New Roman" w:hAnsi="Times New Roman" w:cs="Times New Roman"/>
          <w:spacing w:val="1"/>
          <w:sz w:val="28"/>
          <w:szCs w:val="28"/>
        </w:rPr>
        <w:t xml:space="preserve"> их </w:t>
      </w:r>
      <w:r>
        <w:rPr>
          <w:rFonts w:ascii="Times New Roman" w:eastAsia="Times New Roman" w:hAnsi="Times New Roman" w:cs="Times New Roman"/>
          <w:sz w:val="28"/>
          <w:szCs w:val="28"/>
        </w:rPr>
        <w:t>клеточной</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стенки.</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Г</w:t>
      </w:r>
      <w:proofErr w:type="gramStart"/>
      <w:r>
        <w:rPr>
          <w:rFonts w:ascii="Times New Roman" w:eastAsia="Times New Roman" w:hAnsi="Times New Roman" w:cs="Times New Roman"/>
          <w:spacing w:val="-1"/>
          <w:sz w:val="28"/>
          <w:szCs w:val="28"/>
        </w:rPr>
        <w:t>р-</w:t>
      </w:r>
      <w:proofErr w:type="gramEnd"/>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бактерии</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lastRenderedPageBreak/>
        <w:t>имеют</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внешнюю</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защитную</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липидную</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мембрану</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клеточной</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стенке,</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которая</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может</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предотвратить</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прямое</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повреждение,</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вызванное</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частицами</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MXene.</w:t>
      </w:r>
      <w:r>
        <w:rPr>
          <w:rFonts w:ascii="Times New Roman" w:eastAsia="Times New Roman" w:hAnsi="Times New Roman" w:cs="Times New Roman"/>
          <w:spacing w:val="-10"/>
          <w:sz w:val="28"/>
          <w:szCs w:val="28"/>
        </w:rPr>
        <w:t xml:space="preserve"> А Г</w:t>
      </w:r>
      <w:r>
        <w:rPr>
          <w:rFonts w:ascii="Times New Roman" w:eastAsia="Times New Roman" w:hAnsi="Times New Roman" w:cs="Times New Roman"/>
          <w:sz w:val="28"/>
          <w:szCs w:val="28"/>
        </w:rPr>
        <w:t>р+</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бактерии</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имеют</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толстый</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слой</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пептидогликана</w:t>
      </w:r>
      <w:r>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в</w:t>
      </w:r>
      <w:r>
        <w:rPr>
          <w:rFonts w:ascii="Times New Roman" w:eastAsia="Times New Roman" w:hAnsi="Times New Roman" w:cs="Times New Roman"/>
          <w:spacing w:val="-58"/>
          <w:sz w:val="28"/>
          <w:szCs w:val="28"/>
        </w:rPr>
        <w:t xml:space="preserve"> </w:t>
      </w:r>
      <w:r>
        <w:rPr>
          <w:rFonts w:ascii="Times New Roman" w:eastAsia="Times New Roman" w:hAnsi="Times New Roman" w:cs="Times New Roman"/>
          <w:sz w:val="28"/>
          <w:szCs w:val="28"/>
        </w:rPr>
        <w:t>клеточной стенке, но отсутствие внешней мембраны делает их восприимчивой мишенью для</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прямого</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контакта</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с</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MXenes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[6].</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highlight w:val="yellow"/>
        </w:rPr>
      </w:pPr>
      <w:r>
        <w:rPr>
          <w:rFonts w:ascii="Times New Roman" w:eastAsia="Times New Roman" w:hAnsi="Times New Roman" w:cs="Times New Roman"/>
          <w:sz w:val="28"/>
          <w:szCs w:val="28"/>
        </w:rPr>
        <w:t>Высокая антимикробная активность данных композитов, вероятно, обусловлена сочетанием механизмов действия, описанных для материалов на основе MXene. Одним из ключевых является генерация АФК, таких как супероксид-анион (O</w:t>
      </w:r>
      <w:r>
        <w:rPr>
          <w:rFonts w:ascii="Cambria Math" w:eastAsia="Times New Roman" w:hAnsi="Cambria Math" w:cs="Cambria Math"/>
          <w:sz w:val="28"/>
          <w:szCs w:val="28"/>
        </w:rPr>
        <w:t>₂⁻</w:t>
      </w:r>
      <w:r>
        <w:rPr>
          <w:rFonts w:ascii="Times New Roman" w:eastAsia="Times New Roman" w:hAnsi="Times New Roman" w:cs="Times New Roman"/>
          <w:sz w:val="28"/>
          <w:szCs w:val="28"/>
        </w:rPr>
        <w:t>), гидроксильные радикалы (•OH) и перекись водорода (H</w:t>
      </w:r>
      <w:r>
        <w:rPr>
          <w:rFonts w:ascii="Cambria Math" w:eastAsia="Times New Roman" w:hAnsi="Cambria Math" w:cs="Cambria Math"/>
          <w:sz w:val="28"/>
          <w:szCs w:val="28"/>
        </w:rPr>
        <w:t>₂</w:t>
      </w:r>
      <w:r>
        <w:rPr>
          <w:rFonts w:ascii="Times New Roman" w:eastAsia="Times New Roman" w:hAnsi="Times New Roman" w:cs="Times New Roman"/>
          <w:sz w:val="28"/>
          <w:szCs w:val="28"/>
        </w:rPr>
        <w:t>O</w:t>
      </w:r>
      <w:r>
        <w:rPr>
          <w:rFonts w:ascii="Cambria Math" w:eastAsia="Times New Roman" w:hAnsi="Cambria Math" w:cs="Cambria Math"/>
          <w:sz w:val="28"/>
          <w:szCs w:val="28"/>
        </w:rPr>
        <w:t>₂</w:t>
      </w:r>
      <w:r>
        <w:rPr>
          <w:rFonts w:ascii="Times New Roman" w:eastAsia="Times New Roman" w:hAnsi="Times New Roman" w:cs="Times New Roman"/>
          <w:sz w:val="28"/>
          <w:szCs w:val="28"/>
        </w:rPr>
        <w:t>) на поверхности MXene [</w:t>
      </w:r>
      <w:hyperlink r:id="rId51" w:history="1">
        <w:r>
          <w:rPr>
            <w:rFonts w:ascii="Times New Roman" w:eastAsia="Times New Roman" w:hAnsi="Times New Roman" w:cs="Times New Roman"/>
            <w:bCs/>
            <w:sz w:val="28"/>
          </w:rPr>
          <w:t>254</w:t>
        </w:r>
      </w:hyperlink>
      <w:r>
        <w:rPr>
          <w:rFonts w:ascii="Times New Roman" w:eastAsia="Times New Roman" w:hAnsi="Times New Roman" w:cs="Times New Roman"/>
          <w:sz w:val="28"/>
          <w:szCs w:val="28"/>
        </w:rPr>
        <w:t xml:space="preserve">]. Они вызывают окислительное повреждение клеточной мембраны, приводя к утечке внутриклеточных компонентов и инактивации ферментных систем. </w:t>
      </w:r>
    </w:p>
    <w:p w:rsidR="00E17FE1" w:rsidRDefault="00BB58D7">
      <w:pPr>
        <w:spacing w:after="0" w:line="240" w:lineRule="auto"/>
        <w:ind w:firstLine="567"/>
        <w:jc w:val="both"/>
        <w:rPr>
          <w:rFonts w:ascii="Times New Roman" w:eastAsia="DejaVu Sans" w:hAnsi="Times New Roman" w:cs="DejaVu Sans"/>
          <w:sz w:val="28"/>
          <w:szCs w:val="28"/>
          <w:lang w:eastAsia="zh-CN" w:bidi="hi-IN"/>
        </w:rPr>
      </w:pPr>
      <w:r>
        <w:rPr>
          <w:rFonts w:ascii="Times New Roman" w:eastAsia="DejaVu Sans" w:hAnsi="Times New Roman" w:cs="DejaVu Sans"/>
          <w:spacing w:val="1"/>
          <w:sz w:val="28"/>
          <w:szCs w:val="28"/>
          <w:lang w:eastAsia="zh-CN" w:bidi="hi-IN"/>
        </w:rPr>
        <w:t>О</w:t>
      </w:r>
      <w:r>
        <w:rPr>
          <w:rFonts w:ascii="Times New Roman" w:eastAsia="DejaVu Sans" w:hAnsi="Times New Roman" w:cs="Times New Roman"/>
          <w:color w:val="141414"/>
          <w:sz w:val="28"/>
          <w:szCs w:val="28"/>
          <w:lang w:eastAsia="zh-CN" w:bidi="hi-IN"/>
        </w:rPr>
        <w:t>кислительный стресс является общим механизмом</w:t>
      </w:r>
      <w:r>
        <w:rPr>
          <w:rFonts w:ascii="Times New Roman" w:eastAsia="DejaVu Sans" w:hAnsi="Times New Roman" w:cs="Times New Roman"/>
          <w:color w:val="141414"/>
          <w:spacing w:val="1"/>
          <w:sz w:val="28"/>
          <w:szCs w:val="28"/>
          <w:lang w:eastAsia="zh-CN" w:bidi="hi-IN"/>
        </w:rPr>
        <w:t xml:space="preserve"> </w:t>
      </w:r>
      <w:r>
        <w:rPr>
          <w:rFonts w:ascii="Times New Roman" w:eastAsia="DejaVu Sans" w:hAnsi="Times New Roman" w:cs="Times New Roman"/>
          <w:color w:val="141414"/>
          <w:sz w:val="28"/>
          <w:szCs w:val="28"/>
          <w:lang w:eastAsia="zh-CN" w:bidi="hi-IN"/>
        </w:rPr>
        <w:t>антибактериальн</w:t>
      </w:r>
      <w:r>
        <w:rPr>
          <w:rFonts w:ascii="Times New Roman" w:eastAsia="DejaVu Sans" w:hAnsi="Times New Roman" w:cs="Times New Roman"/>
          <w:color w:val="101010"/>
          <w:sz w:val="28"/>
          <w:szCs w:val="28"/>
          <w:lang w:eastAsia="zh-CN" w:bidi="hi-IN"/>
        </w:rPr>
        <w:t>ой активности</w:t>
      </w:r>
      <w:r>
        <w:rPr>
          <w:rFonts w:ascii="Times New Roman" w:eastAsia="DejaVu Sans" w:hAnsi="Times New Roman" w:cs="Times New Roman"/>
          <w:color w:val="101010"/>
          <w:spacing w:val="1"/>
          <w:sz w:val="28"/>
          <w:szCs w:val="28"/>
          <w:lang w:eastAsia="zh-CN" w:bidi="hi-IN"/>
        </w:rPr>
        <w:t xml:space="preserve"> </w:t>
      </w:r>
      <w:r>
        <w:rPr>
          <w:rFonts w:ascii="Times New Roman" w:eastAsia="DejaVu Sans" w:hAnsi="Times New Roman" w:cs="Times New Roman"/>
          <w:color w:val="101010"/>
          <w:sz w:val="28"/>
          <w:szCs w:val="28"/>
          <w:lang w:eastAsia="zh-CN" w:bidi="hi-IN"/>
        </w:rPr>
        <w:t>наноматериалов на основе металлов, оксидов металлов и</w:t>
      </w:r>
      <w:r>
        <w:rPr>
          <w:rFonts w:ascii="Times New Roman" w:eastAsia="DejaVu Sans" w:hAnsi="Times New Roman" w:cs="Times New Roman"/>
          <w:color w:val="101010"/>
          <w:spacing w:val="1"/>
          <w:sz w:val="28"/>
          <w:szCs w:val="28"/>
          <w:lang w:eastAsia="zh-CN" w:bidi="hi-IN"/>
        </w:rPr>
        <w:t xml:space="preserve"> </w:t>
      </w:r>
      <w:r>
        <w:rPr>
          <w:rFonts w:ascii="Times New Roman" w:eastAsia="DejaVu Sans" w:hAnsi="Times New Roman" w:cs="Times New Roman"/>
          <w:color w:val="101010"/>
          <w:sz w:val="28"/>
          <w:szCs w:val="28"/>
          <w:lang w:eastAsia="zh-CN" w:bidi="hi-IN"/>
        </w:rPr>
        <w:t>углерода</w:t>
      </w:r>
      <w:r>
        <w:rPr>
          <w:rFonts w:ascii="Times New Roman" w:eastAsia="DejaVu Sans" w:hAnsi="Times New Roman" w:cs="Times New Roman"/>
          <w:color w:val="101010"/>
          <w:spacing w:val="1"/>
          <w:sz w:val="28"/>
          <w:szCs w:val="28"/>
          <w:lang w:eastAsia="zh-CN" w:bidi="hi-IN"/>
        </w:rPr>
        <w:t xml:space="preserve"> </w:t>
      </w:r>
      <w:r>
        <w:rPr>
          <w:rFonts w:ascii="Times New Roman" w:eastAsia="DejaVu Sans" w:hAnsi="Times New Roman" w:cs="Times New Roman"/>
          <w:color w:val="101010"/>
          <w:sz w:val="28"/>
          <w:szCs w:val="28"/>
          <w:lang w:eastAsia="zh-CN" w:bidi="hi-IN"/>
        </w:rPr>
        <w:t>[</w:t>
      </w:r>
      <w:r>
        <w:rPr>
          <w:rFonts w:ascii="Times New Roman" w:eastAsia="DejaVu Sans" w:hAnsi="Times New Roman" w:cs="Times New Roman"/>
          <w:color w:val="141414"/>
          <w:sz w:val="28"/>
          <w:szCs w:val="28"/>
          <w:lang w:eastAsia="zh-CN" w:bidi="hi-IN"/>
        </w:rPr>
        <w:t>255, 256</w:t>
      </w:r>
      <w:r>
        <w:rPr>
          <w:rFonts w:ascii="Times New Roman" w:eastAsia="DejaVu Sans" w:hAnsi="Times New Roman" w:cs="Times New Roman"/>
          <w:color w:val="101010"/>
          <w:sz w:val="28"/>
          <w:szCs w:val="28"/>
          <w:lang w:eastAsia="zh-CN" w:bidi="hi-IN"/>
        </w:rPr>
        <w:t>].</w:t>
      </w:r>
      <w:r>
        <w:rPr>
          <w:rFonts w:ascii="Times New Roman" w:eastAsia="DejaVu Sans" w:hAnsi="Times New Roman" w:cs="DejaVu Sans"/>
          <w:color w:val="101010"/>
          <w:sz w:val="28"/>
          <w:szCs w:val="28"/>
          <w:lang w:eastAsia="zh-CN" w:bidi="hi-IN"/>
        </w:rPr>
        <w:t xml:space="preserve"> Этот процесс связан с генерацией свободных радикалов [</w:t>
      </w:r>
      <w:r>
        <w:rPr>
          <w:rFonts w:ascii="Times New Roman" w:eastAsia="DejaVu Sans" w:hAnsi="Times New Roman" w:cs="Times New Roman"/>
          <w:color w:val="141414"/>
          <w:sz w:val="28"/>
          <w:szCs w:val="28"/>
          <w:lang w:eastAsia="zh-CN" w:bidi="hi-IN"/>
        </w:rPr>
        <w:t>257</w:t>
      </w:r>
      <w:r>
        <w:rPr>
          <w:rFonts w:ascii="Times New Roman" w:eastAsia="DejaVu Sans" w:hAnsi="Times New Roman" w:cs="DejaVu Sans"/>
          <w:color w:val="101010"/>
          <w:sz w:val="28"/>
          <w:szCs w:val="28"/>
          <w:lang w:eastAsia="zh-CN" w:bidi="hi-IN"/>
        </w:rPr>
        <w:t>]. АФК вызывают повреждение мембраны бактериальных клеток. Они могут существовать в природе как внутриклеточно, так и внеклеточно [258]. При определенных условиях высокий уровень АФК может усиливать окислительный стре</w:t>
      </w:r>
      <w:proofErr w:type="gramStart"/>
      <w:r>
        <w:rPr>
          <w:rFonts w:ascii="Times New Roman" w:eastAsia="DejaVu Sans" w:hAnsi="Times New Roman" w:cs="DejaVu Sans"/>
          <w:color w:val="101010"/>
          <w:sz w:val="28"/>
          <w:szCs w:val="28"/>
          <w:lang w:eastAsia="zh-CN" w:bidi="hi-IN"/>
        </w:rPr>
        <w:t>сс в кл</w:t>
      </w:r>
      <w:proofErr w:type="gramEnd"/>
      <w:r>
        <w:rPr>
          <w:rFonts w:ascii="Times New Roman" w:eastAsia="DejaVu Sans" w:hAnsi="Times New Roman" w:cs="DejaVu Sans"/>
          <w:color w:val="101010"/>
          <w:sz w:val="28"/>
          <w:szCs w:val="28"/>
          <w:lang w:eastAsia="zh-CN" w:bidi="hi-IN"/>
        </w:rPr>
        <w:t xml:space="preserve">етках. Это может привести не только повреждению клеточной мембраны, но также повреждению белков, ДНК и внутриклеточных систем. В данной работе уровень АФК измеряли с помощью </w:t>
      </w:r>
      <w:r>
        <w:rPr>
          <w:rFonts w:ascii="Times New Roman" w:eastAsia="DejaVu Sans" w:hAnsi="Times New Roman" w:cs="Times New Roman"/>
          <w:sz w:val="28"/>
          <w:szCs w:val="28"/>
          <w:lang w:eastAsia="zh-CN" w:bidi="hi-IN"/>
        </w:rPr>
        <w:t>DCFH-DA</w:t>
      </w:r>
      <w:r>
        <w:rPr>
          <w:rFonts w:ascii="Times New Roman" w:eastAsia="DejaVu Sans" w:hAnsi="Times New Roman" w:cs="DejaVu Sans"/>
          <w:color w:val="101010"/>
          <w:sz w:val="28"/>
          <w:szCs w:val="28"/>
          <w:lang w:eastAsia="zh-CN" w:bidi="hi-IN"/>
        </w:rPr>
        <w:t xml:space="preserve">. </w:t>
      </w:r>
      <w:r>
        <w:rPr>
          <w:rFonts w:ascii="Times New Roman" w:eastAsia="DejaVu Sans" w:hAnsi="Times New Roman" w:cs="Times New Roman"/>
          <w:sz w:val="28"/>
          <w:szCs w:val="28"/>
          <w:lang w:eastAsia="zh-CN" w:bidi="hi-IN"/>
        </w:rPr>
        <w:t>Диацетат дихлордигидрофлуоресцеина (DCFH-DA) — один из наиболее широко используемых методов прямого измерения окислительно-восстановительного состояния клетки. DCFH-DA, проницаемый для клеток, нефлуоресцентный предшественник DCF, может быть использован в качестве внутриклеточного зонда для определения окислительного стресса. Он обладает множеством преимуществ по сравнению с другими разработанными методами, поскольку очень прост в использовании, чрезвычайно чувствителен к изменениям окислительно-восстановительного состояния клетки, недорог и может использоваться для отслеживания изменений уровня АФК с течением времени.</w:t>
      </w:r>
      <w:r>
        <w:rPr>
          <w:rFonts w:ascii="Times New Roman" w:eastAsia="DejaVu Sans" w:hAnsi="Times New Roman" w:cs="DejaVu Sans"/>
          <w:sz w:val="28"/>
          <w:szCs w:val="28"/>
          <w:lang w:eastAsia="zh-CN" w:bidi="hi-IN"/>
        </w:rPr>
        <w:t xml:space="preserve"> Для оценки уровня образования АФК клетки (10</w:t>
      </w:r>
      <w:r>
        <w:rPr>
          <w:rFonts w:ascii="Cambria Math" w:eastAsia="DejaVu Sans" w:hAnsi="Cambria Math" w:cs="Cambria Math"/>
          <w:sz w:val="28"/>
          <w:szCs w:val="28"/>
          <w:vertAlign w:val="superscript"/>
          <w:lang w:eastAsia="zh-CN" w:bidi="hi-IN"/>
        </w:rPr>
        <w:t>5</w:t>
      </w:r>
      <w:r>
        <w:rPr>
          <w:rFonts w:ascii="Times New Roman" w:eastAsia="DejaVu Sans" w:hAnsi="Times New Roman" w:cs="Times New Roman"/>
          <w:sz w:val="28"/>
          <w:szCs w:val="28"/>
          <w:lang w:eastAsia="zh-CN" w:bidi="hi-IN"/>
        </w:rPr>
        <w:t xml:space="preserve"> </w:t>
      </w:r>
      <w:r>
        <w:rPr>
          <w:rFonts w:ascii="Times New Roman" w:eastAsia="DejaVu Sans" w:hAnsi="Times New Roman" w:cs="DejaVu Sans"/>
          <w:sz w:val="28"/>
          <w:szCs w:val="28"/>
          <w:lang w:eastAsia="zh-CN" w:bidi="hi-IN"/>
        </w:rPr>
        <w:t xml:space="preserve">КОЕ/мл) </w:t>
      </w:r>
      <w:r>
        <w:rPr>
          <w:rFonts w:ascii="Times New Roman" w:eastAsia="DejaVu Sans" w:hAnsi="Times New Roman" w:cs="Times New Roman"/>
          <w:sz w:val="28"/>
          <w:szCs w:val="28"/>
          <w:lang w:eastAsia="zh-CN" w:bidi="hi-IN"/>
        </w:rPr>
        <w:t xml:space="preserve">инкубировали с исследуемыми образцами при 37 °C в течение 0, 1, 6, 10 и 24 часов. После каждого временного промежутка суспензии центрифугировали при 4 °C  (600 об/мин, 15 мин), затем </w:t>
      </w:r>
      <w:proofErr w:type="gramStart"/>
      <w:r>
        <w:rPr>
          <w:rFonts w:ascii="Times New Roman" w:eastAsia="DejaVu Sans" w:hAnsi="Times New Roman" w:cs="Times New Roman"/>
          <w:sz w:val="28"/>
          <w:szCs w:val="28"/>
          <w:lang w:eastAsia="zh-CN" w:bidi="hi-IN"/>
        </w:rPr>
        <w:t>полученный</w:t>
      </w:r>
      <w:proofErr w:type="gramEnd"/>
      <w:r>
        <w:rPr>
          <w:rFonts w:ascii="Times New Roman" w:eastAsia="DejaVu Sans" w:hAnsi="Times New Roman" w:cs="Times New Roman"/>
          <w:sz w:val="28"/>
          <w:szCs w:val="28"/>
          <w:lang w:eastAsia="zh-CN" w:bidi="hi-IN"/>
        </w:rPr>
        <w:t xml:space="preserve"> супернатант переносили в стерильные пробирки. К нему добавляли раствор DCFH-DA до конечной концентрации 100 мкМ и инкубировали в темноте при комнатной температуре 1 час. </w:t>
      </w:r>
      <w:r>
        <w:rPr>
          <w:rFonts w:ascii="Times New Roman" w:eastAsia="Times New Roman" w:hAnsi="Times New Roman" w:cs="Times New Roman"/>
          <w:sz w:val="28"/>
          <w:szCs w:val="28"/>
          <w:lang w:eastAsia="ru-RU" w:bidi="hi-IN"/>
        </w:rPr>
        <w:t xml:space="preserve">После чего регистрировали интенсивность флуоресценции (λ_ex = 485 нм, λ_em = 530 нм). Количество образовавшихся АФК оценивали по увеличению флуоресцентного сигнала относительно контрольных образцов </w:t>
      </w:r>
      <w:r>
        <w:rPr>
          <w:rFonts w:ascii="Times New Roman" w:eastAsia="DejaVu Sans" w:hAnsi="Times New Roman" w:cs="DejaVu Sans"/>
          <w:sz w:val="28"/>
          <w:szCs w:val="28"/>
          <w:lang w:eastAsia="zh-CN" w:bidi="hi-IN"/>
        </w:rPr>
        <w:t>(Рисунок 34).</w:t>
      </w:r>
    </w:p>
    <w:p w:rsidR="00E17FE1" w:rsidRDefault="00E17FE1">
      <w:pPr>
        <w:spacing w:after="0" w:line="240" w:lineRule="auto"/>
        <w:ind w:firstLine="567"/>
        <w:jc w:val="both"/>
        <w:rPr>
          <w:rFonts w:ascii="Times New Roman" w:eastAsia="Times New Roman" w:hAnsi="Times New Roman" w:cs="Times New Roman"/>
          <w:sz w:val="28"/>
          <w:szCs w:val="28"/>
          <w:lang w:eastAsia="ru-RU" w:bidi="hi-IN"/>
        </w:rPr>
      </w:pPr>
    </w:p>
    <w:p w:rsidR="00E17FE1" w:rsidRDefault="00BB58D7">
      <w:pPr>
        <w:spacing w:after="0" w:line="240" w:lineRule="auto"/>
        <w:rPr>
          <w:rFonts w:ascii="Times New Roman" w:eastAsia="DejaVu Sans" w:hAnsi="Times New Roman" w:cs="DejaVu Sans"/>
          <w:color w:val="101010"/>
          <w:sz w:val="28"/>
          <w:szCs w:val="28"/>
          <w:lang w:eastAsia="zh-CN" w:bidi="hi-IN"/>
        </w:rPr>
      </w:pPr>
      <w:r>
        <w:rPr>
          <w:rFonts w:ascii="Times New Roman" w:eastAsia="DejaVu Sans" w:hAnsi="Times New Roman" w:cs="DejaVu Sans"/>
          <w:noProof/>
          <w:color w:val="101010"/>
          <w:sz w:val="28"/>
          <w:szCs w:val="28"/>
          <w:lang w:eastAsia="ru-RU"/>
        </w:rPr>
        <w:lastRenderedPageBreak/>
        <w:drawing>
          <wp:inline distT="0" distB="0" distL="0" distR="0">
            <wp:extent cx="2887345" cy="2309495"/>
            <wp:effectExtent l="0" t="0" r="0" b="0"/>
            <wp:docPr id="849036389"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r>
        <w:rPr>
          <w:rFonts w:ascii="Times New Roman" w:eastAsia="DejaVu Sans" w:hAnsi="Times New Roman" w:cs="DejaVu Sans"/>
          <w:noProof/>
          <w:color w:val="101010"/>
          <w:sz w:val="28"/>
          <w:szCs w:val="28"/>
          <w:lang w:eastAsia="ru-RU"/>
        </w:rPr>
        <w:drawing>
          <wp:inline distT="0" distB="0" distL="0" distR="0">
            <wp:extent cx="3007360" cy="2381885"/>
            <wp:effectExtent l="0" t="0" r="0" b="0"/>
            <wp:docPr id="84903639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E17FE1" w:rsidRDefault="00E17FE1">
      <w:pPr>
        <w:spacing w:after="0" w:line="240" w:lineRule="auto"/>
        <w:ind w:firstLine="567"/>
        <w:jc w:val="center"/>
        <w:rPr>
          <w:rFonts w:ascii="Times New Roman" w:eastAsia="DejaVu Sans" w:hAnsi="Times New Roman" w:cs="DejaVu Sans"/>
          <w:color w:val="101010"/>
          <w:sz w:val="28"/>
          <w:szCs w:val="28"/>
          <w:lang w:eastAsia="zh-CN" w:bidi="hi-IN"/>
        </w:rPr>
      </w:pPr>
    </w:p>
    <w:p w:rsidR="00E17FE1" w:rsidRDefault="00BB58D7">
      <w:pPr>
        <w:spacing w:after="0" w:line="240" w:lineRule="auto"/>
        <w:ind w:firstLine="567"/>
        <w:jc w:val="center"/>
        <w:rPr>
          <w:rFonts w:ascii="Times New Roman" w:eastAsia="DejaVu Sans" w:hAnsi="Times New Roman" w:cs="DejaVu Sans"/>
          <w:color w:val="101010"/>
          <w:sz w:val="28"/>
          <w:szCs w:val="28"/>
          <w:lang w:eastAsia="zh-CN" w:bidi="hi-IN"/>
        </w:rPr>
      </w:pPr>
      <w:r>
        <w:rPr>
          <w:rFonts w:ascii="Times New Roman" w:eastAsia="DejaVu Sans" w:hAnsi="Times New Roman" w:cs="DejaVu Sans"/>
          <w:color w:val="101010"/>
          <w:sz w:val="28"/>
          <w:szCs w:val="28"/>
          <w:lang w:eastAsia="zh-CN" w:bidi="hi-IN"/>
        </w:rPr>
        <w:t>Рисунок 34</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DejaVu Sans" w:hAnsi="Times New Roman" w:cs="DejaVu Sans"/>
          <w:color w:val="101010"/>
          <w:sz w:val="28"/>
          <w:szCs w:val="28"/>
          <w:lang w:eastAsia="zh-CN" w:bidi="hi-IN"/>
        </w:rPr>
        <w:t xml:space="preserve">Образование АФК  в клетках </w:t>
      </w:r>
      <w:r>
        <w:rPr>
          <w:rFonts w:ascii="Times New Roman" w:eastAsia="Times New Roman" w:hAnsi="Times New Roman" w:cs="Times New Roman"/>
          <w:i/>
          <w:sz w:val="28"/>
          <w:szCs w:val="28"/>
          <w:lang w:eastAsia="zh-CN" w:bidi="hi-IN"/>
        </w:rPr>
        <w:t>S.aureus</w:t>
      </w:r>
      <w:r>
        <w:rPr>
          <w:rFonts w:ascii="Times New Roman" w:eastAsia="DejaVu Sans" w:hAnsi="Times New Roman" w:cs="DejaVu Sans"/>
          <w:color w:val="101010"/>
          <w:sz w:val="28"/>
          <w:szCs w:val="28"/>
          <w:lang w:eastAsia="zh-CN" w:bidi="hi-IN"/>
        </w:rPr>
        <w:t xml:space="preserve"> и  </w:t>
      </w:r>
      <w:r>
        <w:rPr>
          <w:rFonts w:ascii="Times New Roman" w:eastAsia="Times New Roman" w:hAnsi="Times New Roman" w:cs="Times New Roman"/>
          <w:i/>
          <w:sz w:val="28"/>
          <w:szCs w:val="28"/>
          <w:lang w:eastAsia="zh-CN" w:bidi="hi-IN"/>
        </w:rPr>
        <w:t>P.aeruginosa</w:t>
      </w:r>
      <w:r>
        <w:rPr>
          <w:rFonts w:ascii="Times New Roman" w:eastAsia="DejaVu Sans" w:hAnsi="Times New Roman" w:cs="DejaVu Sans"/>
          <w:color w:val="101010"/>
          <w:sz w:val="28"/>
          <w:szCs w:val="28"/>
          <w:lang w:eastAsia="zh-CN" w:bidi="hi-IN"/>
        </w:rPr>
        <w:t xml:space="preserve"> при воздействии нанокомпозитных материалов</w:t>
      </w:r>
    </w:p>
    <w:p w:rsidR="00E17FE1" w:rsidRDefault="00E17FE1">
      <w:pPr>
        <w:spacing w:after="0" w:line="240" w:lineRule="auto"/>
        <w:ind w:firstLine="567"/>
        <w:jc w:val="center"/>
        <w:rPr>
          <w:rFonts w:ascii="Times New Roman" w:eastAsia="DejaVu Sans" w:hAnsi="Times New Roman" w:cs="DejaVu Sans"/>
          <w:color w:val="101010"/>
          <w:sz w:val="28"/>
          <w:szCs w:val="28"/>
          <w:lang w:eastAsia="zh-CN" w:bidi="hi-IN"/>
        </w:rPr>
      </w:pPr>
    </w:p>
    <w:p w:rsidR="00E17FE1" w:rsidRDefault="00BB58D7">
      <w:pPr>
        <w:spacing w:after="0" w:line="240" w:lineRule="auto"/>
        <w:ind w:firstLine="567"/>
        <w:jc w:val="both"/>
        <w:rPr>
          <w:rFonts w:ascii="Times New Roman" w:eastAsia="DejaVu Sans" w:hAnsi="Times New Roman" w:cs="DejaVu Sans"/>
          <w:color w:val="101010"/>
          <w:sz w:val="28"/>
          <w:szCs w:val="28"/>
          <w:lang w:val="kk-KZ" w:eastAsia="zh-CN" w:bidi="hi-IN"/>
        </w:rPr>
      </w:pPr>
      <w:r>
        <w:rPr>
          <w:rFonts w:ascii="Times New Roman" w:eastAsia="DejaVu Sans" w:hAnsi="Times New Roman" w:cs="Times New Roman"/>
          <w:sz w:val="28"/>
          <w:szCs w:val="28"/>
          <w:lang w:eastAsia="zh-CN" w:bidi="hi-IN"/>
        </w:rPr>
        <w:t xml:space="preserve">На рисунке 34 представлены результаты определения динамики образования АФК 4 типами материалов: БЦ, БЦ/ГАП, БЦ/MXene и БЦ/ГАП/MXene при воздействии на </w:t>
      </w:r>
      <w:r>
        <w:rPr>
          <w:rFonts w:ascii="Times New Roman" w:eastAsia="Times New Roman" w:hAnsi="Times New Roman" w:cs="Times New Roman"/>
          <w:i/>
          <w:sz w:val="28"/>
          <w:szCs w:val="28"/>
          <w:lang w:eastAsia="zh-CN" w:bidi="hi-IN"/>
        </w:rPr>
        <w:t>S.aureus</w:t>
      </w:r>
      <w:r>
        <w:rPr>
          <w:rFonts w:ascii="Times New Roman" w:eastAsia="Times New Roman" w:hAnsi="Times New Roman" w:cs="Times New Roman"/>
          <w:i/>
          <w:spacing w:val="-57"/>
          <w:sz w:val="28"/>
          <w:szCs w:val="28"/>
          <w:lang w:eastAsia="zh-CN" w:bidi="hi-IN"/>
        </w:rPr>
        <w:t xml:space="preserve"> </w:t>
      </w:r>
      <w:r>
        <w:rPr>
          <w:rFonts w:ascii="Times New Roman" w:eastAsia="Times New Roman" w:hAnsi="Times New Roman" w:cs="Times New Roman"/>
          <w:sz w:val="28"/>
          <w:szCs w:val="28"/>
          <w:lang w:val="kk-KZ" w:eastAsia="zh-CN" w:bidi="hi-IN"/>
        </w:rPr>
        <w:t>и</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i/>
          <w:sz w:val="28"/>
          <w:szCs w:val="28"/>
          <w:lang w:eastAsia="zh-CN" w:bidi="hi-IN"/>
        </w:rPr>
        <w:t>P.aeruginosa</w:t>
      </w:r>
      <w:r>
        <w:rPr>
          <w:rFonts w:ascii="Times New Roman" w:eastAsia="DejaVu Sans" w:hAnsi="Times New Roman" w:cs="Times New Roman"/>
          <w:sz w:val="28"/>
          <w:szCs w:val="28"/>
          <w:lang w:eastAsia="zh-CN" w:bidi="hi-IN"/>
        </w:rPr>
        <w:t xml:space="preserve">. Каждый график отражает изменение интенсивности флуоресценции во времени (1–24 ч). При контакте бактерий с </w:t>
      </w:r>
      <w:r>
        <w:rPr>
          <w:rFonts w:ascii="Times New Roman" w:eastAsia="DejaVu Sans" w:hAnsi="Times New Roman" w:cs="DejaVu Sans"/>
          <w:sz w:val="28"/>
          <w:szCs w:val="28"/>
          <w:lang w:eastAsia="zh-CN" w:bidi="hi-IN"/>
        </w:rPr>
        <w:t>БЦ и БЦ/ГАП образования АФК не наблюдалось. А вот в</w:t>
      </w:r>
      <w:r>
        <w:rPr>
          <w:rFonts w:ascii="Times New Roman" w:eastAsia="DejaVu Sans" w:hAnsi="Times New Roman" w:cs="DejaVu Sans"/>
          <w:color w:val="101010"/>
          <w:sz w:val="28"/>
          <w:szCs w:val="28"/>
          <w:lang w:eastAsia="zh-CN" w:bidi="hi-IN"/>
        </w:rPr>
        <w:t xml:space="preserve">ключение </w:t>
      </w:r>
      <w:r>
        <w:rPr>
          <w:rFonts w:ascii="Times New Roman" w:eastAsia="DejaVu Sans" w:hAnsi="Times New Roman" w:cs="DejaVu Sans"/>
          <w:color w:val="101010"/>
          <w:sz w:val="28"/>
          <w:szCs w:val="28"/>
          <w:lang w:val="en-US" w:eastAsia="zh-CN" w:bidi="hi-IN"/>
        </w:rPr>
        <w:t>MXene</w:t>
      </w:r>
      <w:r>
        <w:rPr>
          <w:rFonts w:ascii="Times New Roman" w:eastAsia="DejaVu Sans" w:hAnsi="Times New Roman" w:cs="DejaVu Sans"/>
          <w:color w:val="101010"/>
          <w:sz w:val="28"/>
          <w:szCs w:val="28"/>
          <w:lang w:eastAsia="zh-CN" w:bidi="hi-IN"/>
        </w:rPr>
        <w:t xml:space="preserve"> </w:t>
      </w:r>
      <w:r>
        <w:rPr>
          <w:rFonts w:ascii="Times New Roman" w:eastAsia="DejaVu Sans" w:hAnsi="Times New Roman" w:cs="Times New Roman"/>
          <w:color w:val="101010"/>
          <w:sz w:val="28"/>
          <w:szCs w:val="28"/>
          <w:lang w:eastAsia="zh-CN" w:bidi="hi-IN"/>
        </w:rPr>
        <w:t>в матрицу БЦ</w:t>
      </w:r>
      <w:r>
        <w:rPr>
          <w:rFonts w:ascii="Times New Roman" w:eastAsia="DejaVu Sans" w:hAnsi="Times New Roman" w:cs="DejaVu Sans"/>
          <w:color w:val="101010"/>
          <w:sz w:val="28"/>
          <w:szCs w:val="28"/>
          <w:lang w:eastAsia="zh-CN" w:bidi="hi-IN"/>
        </w:rPr>
        <w:t xml:space="preserve"> привело к  появлению флуоресценции. Рост интенсивности </w:t>
      </w:r>
      <w:r>
        <w:rPr>
          <w:rFonts w:ascii="Times New Roman" w:eastAsia="DejaVu Sans" w:hAnsi="Times New Roman" w:cs="DejaVu Sans"/>
          <w:color w:val="101010"/>
          <w:sz w:val="28"/>
          <w:szCs w:val="28"/>
          <w:lang w:val="en-US" w:eastAsia="zh-CN" w:bidi="hi-IN"/>
        </w:rPr>
        <w:t>DCF</w:t>
      </w:r>
      <w:r>
        <w:rPr>
          <w:rFonts w:ascii="Times New Roman" w:eastAsia="DejaVu Sans" w:hAnsi="Times New Roman" w:cs="DejaVu Sans"/>
          <w:color w:val="101010"/>
          <w:sz w:val="28"/>
          <w:szCs w:val="28"/>
          <w:lang w:eastAsia="zh-CN" w:bidi="hi-IN"/>
        </w:rPr>
        <w:t xml:space="preserve">-сигнала указывает на активную генерацию АФК, что согласуется с известной фотокаталитической и редокс-активной природой </w:t>
      </w:r>
      <w:r>
        <w:rPr>
          <w:rFonts w:ascii="Times New Roman" w:eastAsia="DejaVu Sans" w:hAnsi="Times New Roman" w:cs="DejaVu Sans"/>
          <w:color w:val="101010"/>
          <w:sz w:val="28"/>
          <w:szCs w:val="28"/>
          <w:lang w:val="en-US" w:eastAsia="zh-CN" w:bidi="hi-IN"/>
        </w:rPr>
        <w:t>MXene</w:t>
      </w:r>
      <w:r>
        <w:rPr>
          <w:rFonts w:ascii="Times New Roman" w:eastAsia="DejaVu Sans" w:hAnsi="Times New Roman" w:cs="DejaVu Sans"/>
          <w:color w:val="101010"/>
          <w:sz w:val="28"/>
          <w:szCs w:val="28"/>
          <w:lang w:eastAsia="zh-CN" w:bidi="hi-IN"/>
        </w:rPr>
        <w:t xml:space="preserve"> [259]. </w:t>
      </w:r>
      <w:r>
        <w:rPr>
          <w:rFonts w:ascii="Times New Roman" w:eastAsia="DejaVu Sans" w:hAnsi="Times New Roman" w:cs="DejaVu Sans"/>
          <w:color w:val="101010"/>
          <w:sz w:val="28"/>
          <w:szCs w:val="28"/>
          <w:lang w:val="kk-KZ" w:eastAsia="zh-CN" w:bidi="hi-IN"/>
        </w:rPr>
        <w:t xml:space="preserve"> </w:t>
      </w:r>
    </w:p>
    <w:p w:rsidR="00E17FE1" w:rsidRDefault="00BB58D7">
      <w:pPr>
        <w:spacing w:after="0" w:line="240" w:lineRule="auto"/>
        <w:ind w:firstLine="567"/>
        <w:jc w:val="both"/>
        <w:rPr>
          <w:rFonts w:ascii="Times New Roman" w:eastAsia="DejaVu Sans" w:hAnsi="Times New Roman" w:cs="Times New Roman"/>
          <w:sz w:val="28"/>
          <w:szCs w:val="28"/>
          <w:lang w:val="kk-KZ" w:eastAsia="zh-CN" w:bidi="hi-IN"/>
        </w:rPr>
      </w:pPr>
      <w:r>
        <w:rPr>
          <w:rFonts w:ascii="Times New Roman" w:eastAsia="DejaVu Sans" w:hAnsi="Times New Roman" w:cs="DejaVu Sans"/>
          <w:color w:val="101010"/>
          <w:sz w:val="28"/>
          <w:szCs w:val="28"/>
          <w:lang w:eastAsia="zh-CN" w:bidi="hi-IN"/>
        </w:rPr>
        <w:t>Следует отметить, что в присутствии БЦ/</w:t>
      </w:r>
      <w:r>
        <w:rPr>
          <w:rFonts w:ascii="Times New Roman" w:eastAsia="DejaVu Sans" w:hAnsi="Times New Roman" w:cs="DejaVu Sans"/>
          <w:color w:val="101010"/>
          <w:sz w:val="28"/>
          <w:szCs w:val="28"/>
          <w:lang w:val="en-US" w:eastAsia="zh-CN" w:bidi="hi-IN"/>
        </w:rPr>
        <w:t>MXene</w:t>
      </w:r>
      <w:r>
        <w:rPr>
          <w:rFonts w:ascii="Times New Roman" w:eastAsia="DejaVu Sans" w:hAnsi="Times New Roman" w:cs="DejaVu Sans"/>
          <w:color w:val="101010"/>
          <w:sz w:val="28"/>
          <w:szCs w:val="28"/>
          <w:lang w:eastAsia="zh-CN" w:bidi="hi-IN"/>
        </w:rPr>
        <w:t xml:space="preserve"> наблюдалось большее количество АФК по сравнению с БЦ/ГАП/</w:t>
      </w:r>
      <w:r>
        <w:rPr>
          <w:rFonts w:ascii="Times New Roman" w:eastAsia="DejaVu Sans" w:hAnsi="Times New Roman" w:cs="DejaVu Sans"/>
          <w:color w:val="101010"/>
          <w:sz w:val="28"/>
          <w:szCs w:val="28"/>
          <w:lang w:val="en-US" w:eastAsia="zh-CN" w:bidi="hi-IN"/>
        </w:rPr>
        <w:t>MXene</w:t>
      </w:r>
      <w:r>
        <w:rPr>
          <w:rFonts w:ascii="Times New Roman" w:eastAsia="DejaVu Sans" w:hAnsi="Times New Roman" w:cs="DejaVu Sans"/>
          <w:color w:val="101010"/>
          <w:sz w:val="28"/>
          <w:szCs w:val="28"/>
          <w:lang w:eastAsia="zh-CN" w:bidi="hi-IN"/>
        </w:rPr>
        <w:t xml:space="preserve">. Возможно, включение ГАП стабилизирует </w:t>
      </w:r>
      <w:r>
        <w:rPr>
          <w:rFonts w:ascii="Times New Roman" w:eastAsia="DejaVu Sans" w:hAnsi="Times New Roman" w:cs="DejaVu Sans"/>
          <w:color w:val="101010"/>
          <w:sz w:val="28"/>
          <w:szCs w:val="28"/>
          <w:lang w:val="en-US" w:eastAsia="zh-CN" w:bidi="hi-IN"/>
        </w:rPr>
        <w:t>MXene</w:t>
      </w:r>
      <w:r>
        <w:rPr>
          <w:rFonts w:ascii="Times New Roman" w:eastAsia="DejaVu Sans" w:hAnsi="Times New Roman" w:cs="DejaVu Sans"/>
          <w:color w:val="101010"/>
          <w:sz w:val="28"/>
          <w:szCs w:val="28"/>
          <w:lang w:eastAsia="zh-CN" w:bidi="hi-IN"/>
        </w:rPr>
        <w:t>, снижая скорость его окисления и, следовательно, интенсивность образования активных форм кислорода. В то же время, присутствие ГАП обеспечивает равномерное распределение нано</w:t>
      </w:r>
      <w:r>
        <w:rPr>
          <w:rFonts w:ascii="Times New Roman" w:eastAsia="DejaVu Sans" w:hAnsi="Times New Roman" w:cs="DejaVu Sans"/>
          <w:color w:val="101010"/>
          <w:sz w:val="28"/>
          <w:szCs w:val="28"/>
          <w:lang w:val="kk-KZ" w:eastAsia="zh-CN" w:bidi="hi-IN"/>
        </w:rPr>
        <w:t>листов</w:t>
      </w:r>
      <w:r>
        <w:rPr>
          <w:rFonts w:ascii="Times New Roman" w:eastAsia="DejaVu Sans" w:hAnsi="Times New Roman" w:cs="DejaVu Sans"/>
          <w:color w:val="101010"/>
          <w:sz w:val="28"/>
          <w:szCs w:val="28"/>
          <w:lang w:eastAsia="zh-CN" w:bidi="hi-IN"/>
        </w:rPr>
        <w:t xml:space="preserve"> </w:t>
      </w:r>
      <w:r>
        <w:rPr>
          <w:rFonts w:ascii="Times New Roman" w:eastAsia="DejaVu Sans" w:hAnsi="Times New Roman" w:cs="DejaVu Sans"/>
          <w:color w:val="101010"/>
          <w:sz w:val="28"/>
          <w:szCs w:val="28"/>
          <w:lang w:val="en-US" w:eastAsia="zh-CN" w:bidi="hi-IN"/>
        </w:rPr>
        <w:t>MXene</w:t>
      </w:r>
      <w:r>
        <w:rPr>
          <w:rFonts w:ascii="Times New Roman" w:eastAsia="DejaVu Sans" w:hAnsi="Times New Roman" w:cs="DejaVu Sans"/>
          <w:color w:val="101010"/>
          <w:sz w:val="28"/>
          <w:szCs w:val="28"/>
          <w:lang w:val="kk-KZ" w:eastAsia="zh-CN" w:bidi="hi-IN"/>
        </w:rPr>
        <w:t xml:space="preserve"> </w:t>
      </w:r>
      <w:r>
        <w:rPr>
          <w:rFonts w:ascii="Times New Roman" w:eastAsia="DejaVu Sans" w:hAnsi="Times New Roman" w:cs="DejaVu Sans"/>
          <w:color w:val="101010"/>
          <w:sz w:val="28"/>
          <w:szCs w:val="28"/>
          <w:lang w:eastAsia="zh-CN" w:bidi="hi-IN"/>
        </w:rPr>
        <w:t xml:space="preserve">в матрице и повышает долговременную стабильность композита, что способствует поддержанию умеренной, но устойчивой </w:t>
      </w:r>
      <w:r>
        <w:rPr>
          <w:rFonts w:ascii="Times New Roman" w:eastAsia="DejaVu Sans" w:hAnsi="Times New Roman" w:cs="DejaVu Sans"/>
          <w:color w:val="101010"/>
          <w:sz w:val="28"/>
          <w:szCs w:val="28"/>
          <w:lang w:val="en-US" w:eastAsia="zh-CN" w:bidi="hi-IN"/>
        </w:rPr>
        <w:t>ROS</w:t>
      </w:r>
      <w:r>
        <w:rPr>
          <w:rFonts w:ascii="Times New Roman" w:eastAsia="DejaVu Sans" w:hAnsi="Times New Roman" w:cs="DejaVu Sans"/>
          <w:color w:val="101010"/>
          <w:sz w:val="28"/>
          <w:szCs w:val="28"/>
          <w:lang w:eastAsia="zh-CN" w:bidi="hi-IN"/>
        </w:rPr>
        <w:t xml:space="preserve">-активности. </w:t>
      </w:r>
      <w:r>
        <w:rPr>
          <w:rFonts w:ascii="Times New Roman" w:eastAsia="DejaVu Sans" w:hAnsi="Times New Roman" w:cs="Times New Roman"/>
          <w:sz w:val="28"/>
          <w:szCs w:val="28"/>
          <w:lang w:eastAsia="zh-CN" w:bidi="hi-IN"/>
        </w:rPr>
        <w:t>При этом уровень образования АФК у Гр+ бактерий был заметно выше, чем у Г</w:t>
      </w:r>
      <w:proofErr w:type="gramStart"/>
      <w:r>
        <w:rPr>
          <w:rFonts w:ascii="Times New Roman" w:eastAsia="DejaVu Sans" w:hAnsi="Times New Roman" w:cs="Times New Roman"/>
          <w:sz w:val="28"/>
          <w:szCs w:val="28"/>
          <w:lang w:eastAsia="zh-CN" w:bidi="hi-IN"/>
        </w:rPr>
        <w:t>р-</w:t>
      </w:r>
      <w:proofErr w:type="gramEnd"/>
      <w:r>
        <w:rPr>
          <w:rFonts w:ascii="Times New Roman" w:eastAsia="DejaVu Sans" w:hAnsi="Times New Roman" w:cs="Times New Roman"/>
          <w:sz w:val="28"/>
          <w:szCs w:val="28"/>
          <w:lang w:eastAsia="zh-CN" w:bidi="hi-IN"/>
        </w:rPr>
        <w:t xml:space="preserve">. Это различие также может быть объяснено особенностями строения клеточной стенки. </w:t>
      </w:r>
      <w:r>
        <w:rPr>
          <w:rFonts w:ascii="Times New Roman" w:eastAsia="DejaVu Sans" w:hAnsi="Times New Roman" w:cs="Times New Roman"/>
          <w:sz w:val="28"/>
          <w:szCs w:val="28"/>
          <w:lang w:val="kk-KZ" w:eastAsia="zh-CN" w:bidi="hi-IN"/>
        </w:rPr>
        <w:t>Г</w:t>
      </w:r>
      <w:r>
        <w:rPr>
          <w:rFonts w:ascii="Times New Roman" w:eastAsia="DejaVu Sans" w:hAnsi="Times New Roman" w:cs="Times New Roman"/>
          <w:sz w:val="28"/>
          <w:szCs w:val="28"/>
          <w:lang w:eastAsia="zh-CN" w:bidi="hi-IN"/>
        </w:rPr>
        <w:t>рамотрицательные бактерии имеют дополнительную внешнюю мембрану, богатую липополисахаридами, которая действует как барьер, ограничивающий взаимодействие MXene с клеточной стенкой и снижая проникновение АФК внутрь клетки.</w:t>
      </w:r>
      <w:r>
        <w:rPr>
          <w:rFonts w:ascii="Times New Roman" w:eastAsia="DejaVu Sans" w:hAnsi="Times New Roman" w:cs="Times New Roman"/>
          <w:sz w:val="28"/>
          <w:szCs w:val="28"/>
          <w:lang w:val="kk-KZ" w:eastAsia="zh-CN" w:bidi="hi-IN"/>
        </w:rPr>
        <w:t xml:space="preserve"> </w:t>
      </w:r>
      <w:r>
        <w:rPr>
          <w:rFonts w:ascii="Times New Roman" w:eastAsia="DejaVu Sans" w:hAnsi="Times New Roman" w:cs="Times New Roman"/>
          <w:sz w:val="28"/>
          <w:szCs w:val="28"/>
          <w:lang w:eastAsia="zh-CN" w:bidi="hi-IN"/>
        </w:rPr>
        <w:t>Кроме того, отрицательный заряд наружной мембраны грамотрицательных бактерий может способствовать электростатическому отталкиванию MXene, что также уменьшает эффективность их контактного действия. В результате наблюдается более низкий уровень генерации АФК и менее выраженный флуоресцентный сигнал.</w:t>
      </w:r>
    </w:p>
    <w:p w:rsidR="00E17FE1" w:rsidRDefault="00BB58D7">
      <w:pPr>
        <w:spacing w:after="0" w:line="240" w:lineRule="auto"/>
        <w:ind w:firstLine="567"/>
        <w:jc w:val="both"/>
        <w:rPr>
          <w:rFonts w:ascii="Times New Roman" w:eastAsia="DejaVu Sans" w:hAnsi="Times New Roman" w:cs="Times New Roman"/>
          <w:sz w:val="28"/>
          <w:szCs w:val="28"/>
          <w:lang w:val="kk-KZ" w:eastAsia="zh-CN" w:bidi="hi-IN"/>
        </w:rPr>
      </w:pPr>
      <w:r>
        <w:rPr>
          <w:rFonts w:ascii="Times New Roman" w:eastAsia="DejaVu Sans" w:hAnsi="Times New Roman" w:cs="Times New Roman"/>
          <w:sz w:val="28"/>
          <w:szCs w:val="28"/>
          <w:lang w:val="kk-KZ" w:eastAsia="zh-CN" w:bidi="hi-IN"/>
        </w:rPr>
        <w:t>Напротив, грамположительные бактерии не имеют внешн</w:t>
      </w:r>
      <w:r>
        <w:rPr>
          <w:rFonts w:ascii="Times New Roman" w:eastAsia="DejaVu Sans" w:hAnsi="Times New Roman" w:cs="Times New Roman"/>
          <w:sz w:val="28"/>
          <w:szCs w:val="28"/>
          <w:lang w:eastAsia="zh-CN" w:bidi="hi-IN"/>
        </w:rPr>
        <w:t>ую</w:t>
      </w:r>
      <w:r>
        <w:rPr>
          <w:rFonts w:ascii="Times New Roman" w:eastAsia="DejaVu Sans" w:hAnsi="Times New Roman" w:cs="Times New Roman"/>
          <w:sz w:val="28"/>
          <w:szCs w:val="28"/>
          <w:lang w:val="kk-KZ" w:eastAsia="zh-CN" w:bidi="hi-IN"/>
        </w:rPr>
        <w:t xml:space="preserve"> мембран</w:t>
      </w:r>
      <w:r>
        <w:rPr>
          <w:rFonts w:ascii="Times New Roman" w:eastAsia="DejaVu Sans" w:hAnsi="Times New Roman" w:cs="Times New Roman"/>
          <w:sz w:val="28"/>
          <w:szCs w:val="28"/>
          <w:lang w:eastAsia="zh-CN" w:bidi="hi-IN"/>
        </w:rPr>
        <w:t>у</w:t>
      </w:r>
      <w:r>
        <w:rPr>
          <w:rFonts w:ascii="Times New Roman" w:eastAsia="DejaVu Sans" w:hAnsi="Times New Roman" w:cs="Times New Roman"/>
          <w:sz w:val="28"/>
          <w:szCs w:val="28"/>
          <w:lang w:val="kk-KZ" w:eastAsia="zh-CN" w:bidi="hi-IN"/>
        </w:rPr>
        <w:t xml:space="preserve">, а их клеточная стенка представлена толстым, но пористым слоем </w:t>
      </w:r>
      <w:r>
        <w:rPr>
          <w:rFonts w:ascii="Times New Roman" w:eastAsia="DejaVu Sans" w:hAnsi="Times New Roman" w:cs="Times New Roman"/>
          <w:sz w:val="28"/>
          <w:szCs w:val="28"/>
          <w:lang w:val="kk-KZ" w:eastAsia="zh-CN" w:bidi="hi-IN"/>
        </w:rPr>
        <w:lastRenderedPageBreak/>
        <w:t xml:space="preserve">пептидогликана, который не препятствует проникновению кислородных радикалов и обеспечивает более прямой контакт материала с клеточной поверхностью </w:t>
      </w:r>
      <w:r>
        <w:rPr>
          <w:rFonts w:ascii="Times New Roman" w:eastAsia="DejaVu Sans" w:hAnsi="Times New Roman" w:cs="Times New Roman"/>
          <w:sz w:val="28"/>
          <w:szCs w:val="28"/>
          <w:lang w:eastAsia="zh-CN" w:bidi="hi-IN"/>
        </w:rPr>
        <w:t>[</w:t>
      </w:r>
      <w:r>
        <w:rPr>
          <w:rFonts w:ascii="Times New Roman" w:eastAsia="DejaVu Sans" w:hAnsi="Times New Roman" w:cs="DejaVu Sans"/>
          <w:sz w:val="28"/>
          <w:szCs w:val="28"/>
          <w:lang w:eastAsia="zh-CN" w:bidi="hi-IN"/>
        </w:rPr>
        <w:t>260, 261</w:t>
      </w:r>
      <w:r>
        <w:rPr>
          <w:rFonts w:ascii="Times New Roman" w:eastAsia="DejaVu Sans" w:hAnsi="Times New Roman" w:cs="Times New Roman"/>
          <w:sz w:val="28"/>
          <w:szCs w:val="28"/>
          <w:lang w:eastAsia="zh-CN" w:bidi="hi-IN"/>
        </w:rPr>
        <w:t>]</w:t>
      </w:r>
      <w:r>
        <w:rPr>
          <w:rFonts w:ascii="Times New Roman" w:eastAsia="DejaVu Sans" w:hAnsi="Times New Roman" w:cs="Times New Roman"/>
          <w:sz w:val="28"/>
          <w:szCs w:val="28"/>
          <w:lang w:val="kk-KZ" w:eastAsia="zh-CN" w:bidi="hi-IN"/>
        </w:rPr>
        <w:t>. Более того, высокая проницаемость пептидогликанового слоя облегчает диффузию реакционноспособных кислородных частиц внутрь клетки, что усиливает окислительный стресс и объясняет значительно более высокий уровень флуоресценции, наблюдаемый у грамположительных бактерий.</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Таким образом, источником генерации АФК в исследуемых композитах является MXene, </w:t>
      </w:r>
      <w:proofErr w:type="gramStart"/>
      <w:r>
        <w:rPr>
          <w:rFonts w:ascii="Times New Roman" w:eastAsia="DejaVu Sans" w:hAnsi="Times New Roman" w:cs="Times New Roman"/>
          <w:sz w:val="28"/>
          <w:szCs w:val="28"/>
          <w:lang w:eastAsia="zh-CN" w:bidi="hi-IN"/>
        </w:rPr>
        <w:t>обладающий</w:t>
      </w:r>
      <w:proofErr w:type="gramEnd"/>
      <w:r>
        <w:rPr>
          <w:rFonts w:ascii="Times New Roman" w:eastAsia="DejaVu Sans" w:hAnsi="Times New Roman" w:cs="Times New Roman"/>
          <w:sz w:val="28"/>
          <w:szCs w:val="28"/>
          <w:lang w:eastAsia="zh-CN" w:bidi="hi-IN"/>
        </w:rPr>
        <w:t xml:space="preserve"> собственной редокс-активностью. Более высокий уровень образования АФК при воздействии на грамположительные бактерии связан с их большей восприимчивостью к окислительному стрессу и доступной клеточной поверхностью для </w:t>
      </w:r>
      <w:r>
        <w:rPr>
          <w:rFonts w:ascii="Times New Roman" w:eastAsia="DejaVu Sans" w:hAnsi="Times New Roman" w:cs="Times New Roman"/>
          <w:sz w:val="28"/>
          <w:szCs w:val="28"/>
          <w:lang w:val="en-US" w:eastAsia="zh-CN" w:bidi="hi-IN"/>
        </w:rPr>
        <w:t>MXenes</w:t>
      </w:r>
      <w:r>
        <w:rPr>
          <w:rFonts w:ascii="Times New Roman" w:eastAsia="DejaVu Sans" w:hAnsi="Times New Roman" w:cs="Times New Roman"/>
          <w:sz w:val="28"/>
          <w:szCs w:val="28"/>
          <w:lang w:eastAsia="zh-CN" w:bidi="hi-IN"/>
        </w:rPr>
        <w:t>.</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Дополнительным подтверждением того, что подавление роста, а может и гибели бактерий происходит за счёт АФК, генерируемых двумерным материалом, являются результаты, полученные в специальной серии экспериментов. В них в реакционную смесь помимо бактерий и композитов вносили еще и антиоксидант. В этом качестве использовали аскорбиновую кислоту (АК), действующую как скэвенджер (улавливатель) активных форм кислорода. Она использовалась для нейтрализации АФК, </w:t>
      </w:r>
      <w:proofErr w:type="gramStart"/>
      <w:r>
        <w:rPr>
          <w:rFonts w:ascii="Times New Roman" w:eastAsia="DejaVu Sans" w:hAnsi="Times New Roman" w:cs="Times New Roman"/>
          <w:sz w:val="28"/>
          <w:szCs w:val="28"/>
          <w:lang w:eastAsia="zh-CN" w:bidi="hi-IN"/>
        </w:rPr>
        <w:t>продуцируемых</w:t>
      </w:r>
      <w:proofErr w:type="gramEnd"/>
      <w:r>
        <w:rPr>
          <w:rFonts w:ascii="Times New Roman" w:eastAsia="DejaVu Sans" w:hAnsi="Times New Roman" w:cs="Times New Roman"/>
          <w:sz w:val="28"/>
          <w:szCs w:val="28"/>
          <w:lang w:eastAsia="zh-CN" w:bidi="hi-IN"/>
        </w:rPr>
        <w:t xml:space="preserve"> </w:t>
      </w:r>
      <w:r>
        <w:rPr>
          <w:rFonts w:ascii="Times New Roman" w:eastAsia="DejaVu Sans" w:hAnsi="Times New Roman" w:cs="Times New Roman"/>
          <w:sz w:val="28"/>
          <w:szCs w:val="28"/>
          <w:lang w:val="en-US" w:eastAsia="zh-CN" w:bidi="hi-IN"/>
        </w:rPr>
        <w:t>MXene</w:t>
      </w:r>
      <w:r>
        <w:rPr>
          <w:rFonts w:ascii="Times New Roman" w:eastAsia="DejaVu Sans" w:hAnsi="Times New Roman" w:cs="Times New Roman"/>
          <w:sz w:val="28"/>
          <w:szCs w:val="28"/>
          <w:lang w:eastAsia="zh-CN" w:bidi="hi-IN"/>
        </w:rPr>
        <w:t xml:space="preserve">. Для этого </w:t>
      </w:r>
      <w:proofErr w:type="gramStart"/>
      <w:r>
        <w:rPr>
          <w:rFonts w:ascii="Times New Roman" w:eastAsia="DejaVu Sans" w:hAnsi="Times New Roman" w:cs="Times New Roman"/>
          <w:sz w:val="28"/>
          <w:szCs w:val="28"/>
          <w:lang w:eastAsia="zh-CN" w:bidi="hi-IN"/>
        </w:rPr>
        <w:t>тест-штаммы</w:t>
      </w:r>
      <w:proofErr w:type="gramEnd"/>
      <w:r>
        <w:rPr>
          <w:rFonts w:ascii="Times New Roman" w:eastAsia="DejaVu Sans" w:hAnsi="Times New Roman" w:cs="Times New Roman"/>
          <w:sz w:val="28"/>
          <w:szCs w:val="28"/>
          <w:lang w:eastAsia="zh-CN" w:bidi="hi-IN"/>
        </w:rPr>
        <w:t xml:space="preserve"> инкубировали с исследуемыми образцами </w:t>
      </w:r>
      <w:r>
        <w:rPr>
          <w:rFonts w:ascii="Times New Roman" w:eastAsia="DejaVu Sans" w:hAnsi="Times New Roman" w:cs="DejaVu Sans"/>
          <w:sz w:val="28"/>
          <w:szCs w:val="28"/>
          <w:lang w:eastAsia="zh-CN" w:bidi="hi-IN"/>
        </w:rPr>
        <w:t>в присутствии антиоксиданта</w:t>
      </w:r>
      <w:r>
        <w:rPr>
          <w:rFonts w:ascii="Times New Roman" w:eastAsia="DejaVu Sans" w:hAnsi="Times New Roman" w:cs="Times New Roman"/>
          <w:sz w:val="28"/>
          <w:szCs w:val="28"/>
          <w:lang w:eastAsia="zh-CN" w:bidi="hi-IN"/>
        </w:rPr>
        <w:t xml:space="preserve"> АК и без него. </w:t>
      </w:r>
      <w:r>
        <w:rPr>
          <w:rFonts w:ascii="Times New Roman" w:eastAsia="DejaVu Sans" w:hAnsi="Times New Roman" w:cs="DejaVu Sans"/>
          <w:color w:val="101010"/>
          <w:sz w:val="28"/>
          <w:szCs w:val="28"/>
          <w:lang w:eastAsia="zh-CN" w:bidi="hi-IN"/>
        </w:rPr>
        <w:t xml:space="preserve">После проводили посев на чашки Петри и подсчитывали процент выживших клеток. </w:t>
      </w:r>
      <w:r>
        <w:rPr>
          <w:rFonts w:ascii="Times New Roman" w:eastAsia="DejaVu Sans" w:hAnsi="Times New Roman" w:cs="Times New Roman"/>
          <w:sz w:val="28"/>
          <w:szCs w:val="28"/>
          <w:lang w:eastAsia="zh-CN" w:bidi="hi-IN"/>
        </w:rPr>
        <w:t xml:space="preserve">Влияние АК на рост </w:t>
      </w:r>
      <w:proofErr w:type="gramStart"/>
      <w:r>
        <w:rPr>
          <w:rFonts w:ascii="Times New Roman" w:eastAsia="DejaVu Sans" w:hAnsi="Times New Roman" w:cs="Times New Roman"/>
          <w:sz w:val="28"/>
          <w:szCs w:val="28"/>
          <w:lang w:eastAsia="zh-CN" w:bidi="hi-IN"/>
        </w:rPr>
        <w:t>тест-штаммов</w:t>
      </w:r>
      <w:proofErr w:type="gramEnd"/>
      <w:r>
        <w:rPr>
          <w:rFonts w:ascii="Times New Roman" w:eastAsia="DejaVu Sans" w:hAnsi="Times New Roman" w:cs="Times New Roman"/>
          <w:sz w:val="28"/>
          <w:szCs w:val="28"/>
          <w:lang w:eastAsia="zh-CN" w:bidi="hi-IN"/>
        </w:rPr>
        <w:t xml:space="preserve"> в присутвии композитов БЦ/ГАП и БЦ/ГАП/</w:t>
      </w:r>
      <w:r>
        <w:rPr>
          <w:rFonts w:ascii="Times New Roman" w:eastAsia="DejaVu Sans" w:hAnsi="Times New Roman" w:cs="Times New Roman"/>
          <w:sz w:val="28"/>
          <w:szCs w:val="28"/>
          <w:lang w:val="en-US" w:eastAsia="zh-CN" w:bidi="hi-IN"/>
        </w:rPr>
        <w:t>MXene</w:t>
      </w:r>
      <w:r>
        <w:rPr>
          <w:rFonts w:ascii="Times New Roman" w:eastAsia="DejaVu Sans" w:hAnsi="Times New Roman" w:cs="Times New Roman"/>
          <w:sz w:val="28"/>
          <w:szCs w:val="28"/>
          <w:lang w:eastAsia="zh-CN" w:bidi="hi-IN"/>
        </w:rPr>
        <w:t xml:space="preserve"> представлено на рисунке 35. </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В контрольных образцах наблюдался сплошной рост бактерий, что свидетельствует об отсутствии ингибирующего агента. В случае использования БЦ/MXene на питательной среде отмечалось образование единичных колоний, а контакт с</w:t>
      </w:r>
      <w:r>
        <w:rPr>
          <w:rFonts w:ascii="Times New Roman" w:eastAsia="DejaVu Sans" w:hAnsi="Times New Roman" w:cs="DejaVu Sans"/>
          <w:sz w:val="28"/>
          <w:szCs w:val="28"/>
          <w:lang w:eastAsia="zh-CN" w:bidi="hi-IN"/>
        </w:rPr>
        <w:t xml:space="preserve"> композитом БЦ/ГАП/MXene приводил к полному подавлению жизнедеятельности микроорганизмов. Этот феномен исчезал </w:t>
      </w:r>
      <w:r>
        <w:rPr>
          <w:rFonts w:ascii="Times New Roman" w:eastAsia="DejaVu Sans" w:hAnsi="Times New Roman" w:cs="Times New Roman"/>
          <w:sz w:val="28"/>
          <w:szCs w:val="28"/>
          <w:lang w:eastAsia="zh-CN" w:bidi="hi-IN"/>
        </w:rPr>
        <w:t>при добавлении АК, т.е. фиксировался рост обоих видов бактерий. Такой эффект объясняется тем, что АК проявляет защитное действие, блокируя реакционноспособные формы кислорода.</w:t>
      </w:r>
    </w:p>
    <w:p w:rsidR="00F644EE" w:rsidRDefault="00F644EE">
      <w:pPr>
        <w:spacing w:after="0" w:line="240" w:lineRule="auto"/>
        <w:ind w:firstLine="567"/>
        <w:jc w:val="both"/>
        <w:rPr>
          <w:rFonts w:ascii="Times New Roman" w:eastAsia="DejaVu Sans" w:hAnsi="Times New Roman" w:cs="DejaVu Sans"/>
          <w:color w:val="101010"/>
          <w:sz w:val="28"/>
          <w:szCs w:val="28"/>
          <w:lang w:eastAsia="zh-CN" w:bidi="hi-IN"/>
        </w:rPr>
      </w:pPr>
      <w:r>
        <w:rPr>
          <w:rFonts w:ascii="Times New Roman" w:eastAsia="DejaVu Sans" w:hAnsi="Times New Roman" w:cs="Times New Roman"/>
          <w:sz w:val="28"/>
          <w:szCs w:val="28"/>
          <w:lang w:eastAsia="zh-CN" w:bidi="hi-IN"/>
        </w:rPr>
        <w:t xml:space="preserve">Известно, что АК действует как донор электронов, взаимодействуя с супероксидными и гидроксильными радикалами и тем самым прерывая цепные окислительно-восстановительные реакции. По литературным данным, АК эффективно нейтрализует АФК, предотвращая развитие оксидативного стресса и повреждение клеточных мембран [262]. По данным Kora и Arunachalam [263], использование АК в качестве улавливателя активных форм кислорода приводит к 100% выживаемости </w:t>
      </w:r>
      <w:r>
        <w:rPr>
          <w:rFonts w:ascii="Times New Roman" w:eastAsia="DejaVu Sans" w:hAnsi="Times New Roman" w:cs="Times New Roman"/>
          <w:i/>
          <w:sz w:val="28"/>
          <w:szCs w:val="28"/>
          <w:lang w:eastAsia="zh-CN" w:bidi="hi-IN"/>
        </w:rPr>
        <w:t>P.aeruginosa</w:t>
      </w:r>
      <w:r>
        <w:rPr>
          <w:rFonts w:ascii="Times New Roman" w:eastAsia="DejaVu Sans" w:hAnsi="Times New Roman" w:cs="Times New Roman"/>
          <w:sz w:val="28"/>
          <w:szCs w:val="28"/>
          <w:lang w:eastAsia="zh-CN" w:bidi="hi-IN"/>
        </w:rPr>
        <w:t>.</w:t>
      </w:r>
    </w:p>
    <w:p w:rsidR="00E17FE1" w:rsidRDefault="00BB58D7">
      <w:pPr>
        <w:spacing w:after="0" w:line="240" w:lineRule="auto"/>
        <w:jc w:val="center"/>
        <w:rPr>
          <w:rFonts w:ascii="Times New Roman" w:eastAsia="DejaVu Sans" w:hAnsi="Times New Roman" w:cs="DejaVu Sans"/>
          <w:color w:val="101010"/>
          <w:sz w:val="28"/>
          <w:szCs w:val="28"/>
          <w:lang w:eastAsia="zh-CN" w:bidi="hi-IN"/>
        </w:rPr>
      </w:pPr>
      <w:r>
        <w:rPr>
          <w:rFonts w:ascii="Times New Roman" w:eastAsia="DejaVu Sans" w:hAnsi="Times New Roman" w:cs="DejaVu Sans"/>
          <w:noProof/>
          <w:color w:val="101010"/>
          <w:sz w:val="28"/>
          <w:szCs w:val="28"/>
          <w:lang w:eastAsia="ru-RU"/>
        </w:rPr>
        <w:lastRenderedPageBreak/>
        <w:drawing>
          <wp:inline distT="0" distB="0" distL="0" distR="0">
            <wp:extent cx="5025390" cy="2754630"/>
            <wp:effectExtent l="19050" t="0" r="3302" b="0"/>
            <wp:docPr id="849036391" name="Рисунок 2" descr="C:\Users\sava\Desktop\Диссертация\23.06.2025\10.11\Антиоксидант.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036391" name="Рисунок 2" descr="C:\Users\sava\Desktop\Диссертация\23.06.2025\10.11\Антиоксидант.bmp"/>
                    <pic:cNvPicPr>
                      <a:picLocks noChangeAspect="1" noChangeArrowheads="1"/>
                    </pic:cNvPicPr>
                  </pic:nvPicPr>
                  <pic:blipFill>
                    <a:blip r:embed="rId54" cstate="print"/>
                    <a:srcRect/>
                    <a:stretch>
                      <a:fillRect/>
                    </a:stretch>
                  </pic:blipFill>
                  <pic:spPr>
                    <a:xfrm>
                      <a:off x="0" y="0"/>
                      <a:ext cx="5048199" cy="2767458"/>
                    </a:xfrm>
                    <a:prstGeom prst="rect">
                      <a:avLst/>
                    </a:prstGeom>
                    <a:noFill/>
                    <a:ln w="9525">
                      <a:noFill/>
                      <a:miter lim="800000"/>
                      <a:headEnd/>
                      <a:tailEnd/>
                    </a:ln>
                  </pic:spPr>
                </pic:pic>
              </a:graphicData>
            </a:graphic>
          </wp:inline>
        </w:drawing>
      </w:r>
    </w:p>
    <w:p w:rsidR="00E17FE1" w:rsidRDefault="00E17FE1">
      <w:pPr>
        <w:spacing w:after="0" w:line="240" w:lineRule="auto"/>
        <w:ind w:firstLine="567"/>
        <w:jc w:val="both"/>
        <w:rPr>
          <w:rFonts w:ascii="Times New Roman" w:eastAsia="DejaVu Sans" w:hAnsi="Times New Roman" w:cs="DejaVu Sans"/>
          <w:color w:val="101010"/>
          <w:sz w:val="28"/>
          <w:szCs w:val="28"/>
          <w:lang w:eastAsia="zh-CN" w:bidi="hi-IN"/>
        </w:rPr>
      </w:pPr>
    </w:p>
    <w:p w:rsidR="00E17FE1" w:rsidRDefault="00BB58D7">
      <w:pPr>
        <w:tabs>
          <w:tab w:val="left" w:pos="1365"/>
        </w:tabs>
        <w:spacing w:after="0" w:line="240" w:lineRule="auto"/>
        <w:ind w:right="566" w:firstLine="567"/>
        <w:jc w:val="center"/>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Рисунок 35</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DejaVu Sans" w:hAnsi="Times New Roman" w:cs="Times New Roman"/>
          <w:sz w:val="28"/>
          <w:szCs w:val="28"/>
          <w:lang w:eastAsia="zh-CN" w:bidi="hi-IN"/>
        </w:rPr>
        <w:t xml:space="preserve">Влияние АК на выживаемость </w:t>
      </w:r>
      <w:r>
        <w:rPr>
          <w:rFonts w:ascii="Times New Roman" w:eastAsia="Times New Roman" w:hAnsi="Times New Roman" w:cs="Times New Roman"/>
          <w:i/>
          <w:sz w:val="28"/>
          <w:szCs w:val="28"/>
          <w:lang w:eastAsia="zh-CN" w:bidi="hi-IN"/>
        </w:rPr>
        <w:t>S.aureus</w:t>
      </w:r>
      <w:r>
        <w:rPr>
          <w:rFonts w:ascii="Times New Roman" w:eastAsia="Times New Roman" w:hAnsi="Times New Roman" w:cs="Times New Roman"/>
          <w:i/>
          <w:spacing w:val="-57"/>
          <w:sz w:val="28"/>
          <w:szCs w:val="28"/>
          <w:lang w:eastAsia="zh-CN" w:bidi="hi-IN"/>
        </w:rPr>
        <w:t xml:space="preserve">  </w:t>
      </w:r>
      <w:r>
        <w:rPr>
          <w:rFonts w:ascii="Times New Roman" w:eastAsia="Times New Roman" w:hAnsi="Times New Roman" w:cs="Times New Roman"/>
          <w:sz w:val="28"/>
          <w:szCs w:val="28"/>
          <w:lang w:val="kk-KZ" w:eastAsia="zh-CN" w:bidi="hi-IN"/>
        </w:rPr>
        <w:t>и</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i/>
          <w:sz w:val="28"/>
          <w:szCs w:val="28"/>
          <w:lang w:eastAsia="zh-CN" w:bidi="hi-IN"/>
        </w:rPr>
        <w:t>P.aeruginosa</w:t>
      </w:r>
    </w:p>
    <w:p w:rsidR="00E17FE1" w:rsidRDefault="00E17FE1">
      <w:pPr>
        <w:spacing w:after="0" w:line="240" w:lineRule="auto"/>
        <w:ind w:firstLine="567"/>
        <w:jc w:val="both"/>
        <w:rPr>
          <w:rFonts w:ascii="Times New Roman" w:eastAsia="DejaVu Sans" w:hAnsi="Times New Roman" w:cs="Times New Roman"/>
          <w:sz w:val="28"/>
          <w:szCs w:val="28"/>
          <w:lang w:eastAsia="zh-CN" w:bidi="hi-IN"/>
        </w:rPr>
      </w:pPr>
    </w:p>
    <w:p w:rsidR="00E17FE1" w:rsidRDefault="00BB58D7">
      <w:pPr>
        <w:spacing w:after="0" w:line="240" w:lineRule="auto"/>
        <w:ind w:firstLine="567"/>
        <w:jc w:val="both"/>
        <w:rPr>
          <w:rFonts w:ascii="Times New Roman" w:eastAsia="DejaVu Sans" w:hAnsi="Times New Roman" w:cs="DejaVu Sans"/>
          <w:sz w:val="28"/>
          <w:szCs w:val="28"/>
          <w:lang w:val="kk-KZ" w:eastAsia="zh-CN" w:bidi="hi-IN"/>
        </w:rPr>
      </w:pPr>
      <w:r>
        <w:rPr>
          <w:rFonts w:ascii="Times New Roman" w:eastAsia="DejaVu Sans" w:hAnsi="Times New Roman" w:cs="Times New Roman"/>
          <w:sz w:val="28"/>
          <w:szCs w:val="28"/>
          <w:lang w:eastAsia="zh-CN" w:bidi="hi-IN"/>
        </w:rPr>
        <w:t xml:space="preserve">Тем не менее, даже при наличии антиоксиданта ингибирующая активность MXene сохранялась частично, поскольку плотность клеток оставалась ниже, чем в контроле. Это указывает на присутствие дополнительного, неокислительного механизма действия. Согласно ряду исследований, MXene обладает двумерной ламеллярной структурой с острыми краями, способными механически повреждать клеточные стенки бактерий  [6, 264]. Этот эффект известен как механизм “нано-ножей”. При этом острые края MXene способны протыкать клеточную оболочку, нарушать её целостность и вызывать утечку цитоплазматического содержимого.  Например, такая контактная деструкция клеточной мембраны была подтверждена микроскопическими исследованиями (SEM и AFM), где наблюдалось деформирование бактериальных клеток и разрушение их морфологии вблизи пластин MXene [6, </w:t>
      </w:r>
      <w:r>
        <w:rPr>
          <w:rFonts w:ascii="Times New Roman"/>
          <w:sz w:val="28"/>
          <w:szCs w:val="28"/>
        </w:rPr>
        <w:t>264</w:t>
      </w:r>
      <w:r>
        <w:rPr>
          <w:rFonts w:ascii="Times New Roman" w:eastAsia="DejaVu Sans" w:hAnsi="Times New Roman" w:cs="Times New Roman"/>
          <w:sz w:val="28"/>
          <w:szCs w:val="28"/>
          <w:lang w:eastAsia="zh-CN" w:bidi="hi-IN"/>
        </w:rPr>
        <w:t xml:space="preserve">, 265]. </w:t>
      </w:r>
      <w:r>
        <w:rPr>
          <w:rFonts w:ascii="Times New Roman" w:eastAsia="DejaVu Sans" w:hAnsi="Times New Roman" w:cs="Times New Roman"/>
          <w:sz w:val="28"/>
          <w:szCs w:val="28"/>
          <w:lang w:val="kk-KZ" w:eastAsia="zh-CN" w:bidi="hi-IN"/>
        </w:rPr>
        <w:t>В свою очередь</w:t>
      </w:r>
      <w:r>
        <w:rPr>
          <w:rFonts w:ascii="Times New Roman" w:eastAsia="DejaVu Sans" w:hAnsi="Times New Roman" w:cs="DejaVu Sans"/>
          <w:sz w:val="28"/>
          <w:szCs w:val="28"/>
          <w:lang w:eastAsia="zh-CN" w:bidi="hi-IN"/>
        </w:rPr>
        <w:t>,</w:t>
      </w:r>
      <w:r>
        <w:rPr>
          <w:rFonts w:ascii="Times New Roman" w:eastAsia="DejaVu Sans" w:hAnsi="Times New Roman" w:cs="DejaVu Sans"/>
          <w:sz w:val="28"/>
          <w:szCs w:val="28"/>
          <w:lang w:val="kk-KZ" w:eastAsia="zh-CN" w:bidi="hi-IN"/>
        </w:rPr>
        <w:t xml:space="preserve"> включение </w:t>
      </w:r>
      <w:r>
        <w:rPr>
          <w:rFonts w:ascii="Times New Roman" w:eastAsia="DejaVu Sans" w:hAnsi="Times New Roman" w:cs="DejaVu Sans"/>
          <w:sz w:val="28"/>
          <w:szCs w:val="28"/>
          <w:lang w:eastAsia="zh-CN" w:bidi="hi-IN"/>
        </w:rPr>
        <w:t xml:space="preserve">ГАП </w:t>
      </w:r>
      <w:r>
        <w:rPr>
          <w:rFonts w:ascii="Times New Roman" w:eastAsia="DejaVu Sans" w:hAnsi="Times New Roman" w:cs="DejaVu Sans"/>
          <w:sz w:val="28"/>
          <w:szCs w:val="28"/>
          <w:lang w:val="kk-KZ" w:eastAsia="zh-CN" w:bidi="hi-IN"/>
        </w:rPr>
        <w:t>усиливает физическое повреждение бактериальных клеток</w:t>
      </w:r>
      <w:r>
        <w:rPr>
          <w:rFonts w:ascii="Times New Roman" w:eastAsia="DejaVu Sans" w:hAnsi="Times New Roman" w:cs="DejaVu Sans"/>
          <w:sz w:val="28"/>
          <w:szCs w:val="28"/>
          <w:lang w:eastAsia="zh-CN" w:bidi="hi-IN"/>
        </w:rPr>
        <w:t>.</w:t>
      </w:r>
      <w:r>
        <w:rPr>
          <w:rFonts w:ascii="Times New Roman" w:eastAsia="DejaVu Sans" w:hAnsi="Times New Roman" w:cs="DejaVu Sans"/>
          <w:sz w:val="28"/>
          <w:szCs w:val="28"/>
          <w:lang w:val="kk-KZ" w:eastAsia="zh-CN" w:bidi="hi-IN"/>
        </w:rPr>
        <w:t xml:space="preserve"> Это достигается за счёт стабилизации раскрытой структуры MXene и формирования микро</w:t>
      </w:r>
      <w:r>
        <w:rPr>
          <w:rFonts w:ascii="Times New Roman" w:eastAsia="DejaVu Sans" w:hAnsi="Times New Roman" w:cs="DejaVu Sans"/>
          <w:sz w:val="28"/>
          <w:szCs w:val="28"/>
          <w:lang w:eastAsia="zh-CN" w:bidi="hi-IN"/>
        </w:rPr>
        <w:t>рельефной</w:t>
      </w:r>
      <w:r>
        <w:rPr>
          <w:rFonts w:ascii="Times New Roman" w:eastAsia="DejaVu Sans" w:hAnsi="Times New Roman" w:cs="DejaVu Sans"/>
          <w:sz w:val="28"/>
          <w:szCs w:val="28"/>
          <w:lang w:val="kk-KZ" w:eastAsia="zh-CN" w:bidi="hi-IN"/>
        </w:rPr>
        <w:t xml:space="preserve"> поверхности с выступающими острыми </w:t>
      </w:r>
      <w:r>
        <w:rPr>
          <w:rFonts w:ascii="Times New Roman" w:eastAsia="DejaVu Sans" w:hAnsi="Times New Roman" w:cs="DejaVu Sans"/>
          <w:sz w:val="28"/>
          <w:szCs w:val="28"/>
          <w:lang w:eastAsia="zh-CN" w:bidi="hi-IN"/>
        </w:rPr>
        <w:t>краями</w:t>
      </w:r>
      <w:r>
        <w:rPr>
          <w:rFonts w:ascii="Times New Roman" w:eastAsia="DejaVu Sans" w:hAnsi="Times New Roman" w:cs="DejaVu Sans"/>
          <w:sz w:val="28"/>
          <w:szCs w:val="28"/>
          <w:lang w:val="kk-KZ" w:eastAsia="zh-CN" w:bidi="hi-IN"/>
        </w:rPr>
        <w:t>. Такая архитектура обеспечивает более тесный контакт композита с клеточной стенкой и повышает вероятность её механического разрушения. Кроме того, пористая структура и наличие гидроксильных групп ГАП увеличивают адгезию бактерий к поверхности материала, что дополнительно усиливает контактное воздействие и реализует “нано</w:t>
      </w:r>
      <w:r>
        <w:rPr>
          <w:rFonts w:ascii="Times New Roman" w:eastAsia="DejaVu Sans" w:hAnsi="Times New Roman" w:cs="DejaVu Sans"/>
          <w:sz w:val="28"/>
          <w:szCs w:val="28"/>
          <w:lang w:eastAsia="zh-CN" w:bidi="hi-IN"/>
        </w:rPr>
        <w:t>-</w:t>
      </w:r>
      <w:r>
        <w:rPr>
          <w:rFonts w:ascii="Times New Roman" w:eastAsia="DejaVu Sans" w:hAnsi="Times New Roman" w:cs="DejaVu Sans"/>
          <w:sz w:val="28"/>
          <w:szCs w:val="28"/>
          <w:lang w:val="kk-KZ" w:eastAsia="zh-CN" w:bidi="hi-IN"/>
        </w:rPr>
        <w:t>ножевой” механизм действия.</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Дополнительный вклад в антимикробное действие вносит зарядовая природа поверхности MXene. Отрицательно заряженные слои Ti</w:t>
      </w:r>
      <w:r>
        <w:rPr>
          <w:rFonts w:ascii="Cambria Math" w:eastAsia="DejaVu Sans" w:hAnsi="Cambria Math" w:cs="Cambria Math"/>
          <w:sz w:val="28"/>
          <w:szCs w:val="28"/>
          <w:lang w:eastAsia="zh-CN" w:bidi="hi-IN"/>
        </w:rPr>
        <w:t>₃</w:t>
      </w:r>
      <w:r>
        <w:rPr>
          <w:rFonts w:ascii="Times New Roman" w:eastAsia="DejaVu Sans" w:hAnsi="Times New Roman" w:cs="Times New Roman"/>
          <w:sz w:val="28"/>
          <w:szCs w:val="28"/>
          <w:lang w:eastAsia="zh-CN" w:bidi="hi-IN"/>
        </w:rPr>
        <w:t>C</w:t>
      </w:r>
      <w:r>
        <w:rPr>
          <w:rFonts w:ascii="Cambria Math" w:eastAsia="DejaVu Sans" w:hAnsi="Cambria Math" w:cs="Cambria Math"/>
          <w:sz w:val="28"/>
          <w:szCs w:val="28"/>
          <w:lang w:eastAsia="zh-CN" w:bidi="hi-IN"/>
        </w:rPr>
        <w:t>₂</w:t>
      </w:r>
      <w:r>
        <w:rPr>
          <w:rFonts w:ascii="Times New Roman" w:eastAsia="DejaVu Sans" w:hAnsi="Times New Roman" w:cs="Times New Roman"/>
          <w:sz w:val="28"/>
          <w:szCs w:val="28"/>
          <w:lang w:eastAsia="zh-CN" w:bidi="hi-IN"/>
        </w:rPr>
        <w:t>T</w:t>
      </w:r>
      <w:r>
        <w:rPr>
          <w:rFonts w:ascii="Times New Roman" w:eastAsia="DejaVu Sans" w:hAnsi="Times New Roman" w:cs="Times New Roman"/>
          <w:sz w:val="28"/>
          <w:szCs w:val="28"/>
          <w:vertAlign w:val="subscript"/>
          <w:lang w:eastAsia="zh-CN" w:bidi="hi-IN"/>
        </w:rPr>
        <w:t>x</w:t>
      </w:r>
      <w:r>
        <w:rPr>
          <w:rFonts w:ascii="Times New Roman" w:eastAsia="DejaVu Sans" w:hAnsi="Times New Roman" w:cs="Times New Roman"/>
          <w:sz w:val="28"/>
          <w:szCs w:val="28"/>
          <w:lang w:eastAsia="zh-CN" w:bidi="hi-IN"/>
        </w:rPr>
        <w:t xml:space="preserve"> взаимодействуют с положительно заряженными участками мембран бактерий, нарушая их структурную целостность и усиливая проницаемость, что облегчает проникновение реакционноспособных частиц и радикалов внутрь клетки</w:t>
      </w:r>
      <w:r>
        <w:rPr>
          <w:rFonts w:ascii="Times New Roman" w:eastAsia="DejaVu Sans" w:hAnsi="Times New Roman" w:cs="DejaVu Sans"/>
          <w:sz w:val="28"/>
          <w:szCs w:val="28"/>
          <w:lang w:eastAsia="zh-CN" w:bidi="hi-IN"/>
        </w:rPr>
        <w:t xml:space="preserve"> [188].</w:t>
      </w:r>
      <w:r>
        <w:rPr>
          <w:rFonts w:ascii="Times New Roman" w:eastAsia="DejaVu Sans" w:hAnsi="Times New Roman" w:cs="Times New Roman"/>
          <w:sz w:val="28"/>
          <w:szCs w:val="28"/>
          <w:lang w:eastAsia="zh-CN" w:bidi="hi-IN"/>
        </w:rPr>
        <w:t xml:space="preserve"> Эта активность усиливается еще и за счёт </w:t>
      </w:r>
      <w:r>
        <w:rPr>
          <w:rFonts w:ascii="Times New Roman" w:eastAsia="DejaVu Sans" w:hAnsi="Times New Roman" w:cs="Times New Roman"/>
          <w:sz w:val="28"/>
          <w:szCs w:val="28"/>
          <w:lang w:eastAsia="zh-CN" w:bidi="hi-IN"/>
        </w:rPr>
        <w:lastRenderedPageBreak/>
        <w:t xml:space="preserve">«лабиринтного эффекта», создаваемого многослойной структурой </w:t>
      </w:r>
      <w:r>
        <w:rPr>
          <w:rFonts w:ascii="Times New Roman" w:eastAsia="DejaVu Sans" w:hAnsi="Times New Roman" w:cs="Times New Roman"/>
          <w:sz w:val="28"/>
          <w:szCs w:val="28"/>
          <w:lang w:val="en-US" w:eastAsia="zh-CN" w:bidi="hi-IN"/>
        </w:rPr>
        <w:t>MXene</w:t>
      </w:r>
      <w:r>
        <w:rPr>
          <w:rFonts w:ascii="Times New Roman" w:eastAsia="DejaVu Sans" w:hAnsi="Times New Roman" w:cs="Times New Roman"/>
          <w:sz w:val="28"/>
          <w:szCs w:val="28"/>
          <w:lang w:eastAsia="zh-CN" w:bidi="hi-IN"/>
        </w:rPr>
        <w:t>. Данный механизм реализуется только при равномерном распределении частиц MXene в матрице БЦ, когда нанолисты образуют упорядоченные барьерные слои [188, 266, 267].</w:t>
      </w:r>
      <w:r>
        <w:rPr>
          <w:rFonts w:ascii="Times New Roman" w:eastAsia="DejaVu Sans" w:hAnsi="Times New Roman" w:cs="Times New Roman"/>
          <w:sz w:val="28"/>
          <w:szCs w:val="28"/>
          <w:lang w:val="kk-KZ" w:eastAsia="zh-CN" w:bidi="hi-IN"/>
        </w:rPr>
        <w:t xml:space="preserve"> В этом случае создаются пространственные препятствия, ограничивающие подвижность и адгезию бактерий, а также затрудняющие формирование биоплёнок и диффузию питательных веществ.</w:t>
      </w:r>
      <w:r>
        <w:rPr>
          <w:rFonts w:ascii="Times New Roman" w:eastAsia="DejaVu Sans" w:hAnsi="Times New Roman" w:cs="Times New Roman"/>
          <w:sz w:val="28"/>
          <w:szCs w:val="28"/>
          <w:lang w:eastAsia="zh-CN" w:bidi="hi-IN"/>
        </w:rPr>
        <w:t xml:space="preserve"> </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DejaVu Sans"/>
          <w:sz w:val="28"/>
          <w:szCs w:val="28"/>
          <w:lang w:eastAsia="zh-CN" w:bidi="hi-IN"/>
        </w:rPr>
        <w:t>Усиление антибактерильных свой</w:t>
      </w:r>
      <w:proofErr w:type="gramStart"/>
      <w:r>
        <w:rPr>
          <w:rFonts w:ascii="Times New Roman" w:eastAsia="DejaVu Sans" w:hAnsi="Times New Roman" w:cs="DejaVu Sans"/>
          <w:sz w:val="28"/>
          <w:szCs w:val="28"/>
          <w:lang w:eastAsia="zh-CN" w:bidi="hi-IN"/>
        </w:rPr>
        <w:t>ств пр</w:t>
      </w:r>
      <w:proofErr w:type="gramEnd"/>
      <w:r>
        <w:rPr>
          <w:rFonts w:ascii="Times New Roman" w:eastAsia="DejaVu Sans" w:hAnsi="Times New Roman" w:cs="DejaVu Sans"/>
          <w:sz w:val="28"/>
          <w:szCs w:val="28"/>
          <w:lang w:eastAsia="zh-CN" w:bidi="hi-IN"/>
        </w:rPr>
        <w:t>и включении ГАП может быть связано с повышением дисперсности и равномерности распределения частиц MXene в матрице БЦ, что обеспечивает больший контакт активных центров с бактериальными клетками. Кроме того, ГАП способствует стабилизации структуры композита и предотвращает агрегацию нанопластин MXene, сохраняя их доступную поверхность и реакционную активность.</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Совокупное действие генерируемых АФК, электростатических взаимодействий и физического барьерного эффекта определяет высокую антимикробную эффективность нанокомпозитов БЦ/M</w:t>
      </w:r>
      <w:proofErr w:type="gramStart"/>
      <w:r>
        <w:rPr>
          <w:rFonts w:ascii="Times New Roman" w:eastAsia="DejaVu Sans" w:hAnsi="Times New Roman" w:cs="Times New Roman"/>
          <w:sz w:val="28"/>
          <w:szCs w:val="28"/>
          <w:lang w:eastAsia="zh-CN" w:bidi="hi-IN"/>
        </w:rPr>
        <w:t>Х</w:t>
      </w:r>
      <w:proofErr w:type="gramEnd"/>
      <w:r>
        <w:rPr>
          <w:rFonts w:ascii="Times New Roman" w:eastAsia="DejaVu Sans" w:hAnsi="Times New Roman" w:cs="Times New Roman"/>
          <w:sz w:val="28"/>
          <w:szCs w:val="28"/>
          <w:lang w:eastAsia="zh-CN" w:bidi="hi-IN"/>
        </w:rPr>
        <w:t>ene и БЦ/ГАП/MХene.</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Полученные результаты согласуются с литературными сведениями, подчёркивающими значимость MXene-компонента в обеспечении бактерицидных свойств гибридных систем.</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На основании проведенных экспериментов представляется, что основным механизмом антибактериального действия MXene является генерация АФК, тогда как механическое повреждение клеточной стенки выступает дополнительным фактором, усиливающим </w:t>
      </w:r>
      <w:r>
        <w:rPr>
          <w:rFonts w:ascii="Times New Roman" w:eastAsia="DejaVu Sans" w:hAnsi="Times New Roman" w:cs="Times New Roman"/>
          <w:sz w:val="28"/>
          <w:szCs w:val="28"/>
          <w:lang w:val="kk-KZ" w:eastAsia="zh-CN" w:bidi="hi-IN"/>
        </w:rPr>
        <w:t>противомикробное действие</w:t>
      </w:r>
      <w:r>
        <w:rPr>
          <w:rFonts w:ascii="Times New Roman" w:eastAsia="DejaVu Sans" w:hAnsi="Times New Roman" w:cs="Times New Roman"/>
          <w:sz w:val="28"/>
          <w:szCs w:val="28"/>
          <w:lang w:eastAsia="zh-CN" w:bidi="hi-IN"/>
        </w:rPr>
        <w:t xml:space="preserve">. </w:t>
      </w:r>
    </w:p>
    <w:p w:rsidR="00E17FE1" w:rsidRDefault="00E17FE1">
      <w:pPr>
        <w:widowControl w:val="0"/>
        <w:autoSpaceDE w:val="0"/>
        <w:autoSpaceDN w:val="0"/>
        <w:spacing w:after="0" w:line="240" w:lineRule="auto"/>
        <w:ind w:firstLine="567"/>
        <w:jc w:val="both"/>
        <w:outlineLvl w:val="1"/>
        <w:rPr>
          <w:rFonts w:ascii="Times New Roman" w:eastAsia="DejaVu Sans" w:hAnsi="Times New Roman" w:cs="Times New Roman"/>
          <w:b/>
          <w:bCs/>
          <w:iCs/>
          <w:sz w:val="28"/>
          <w:szCs w:val="28"/>
          <w:lang w:eastAsia="zh-CN" w:bidi="hi-IN"/>
        </w:rPr>
      </w:pPr>
    </w:p>
    <w:p w:rsidR="00E17FE1" w:rsidRDefault="00BB58D7">
      <w:pPr>
        <w:widowControl w:val="0"/>
        <w:autoSpaceDE w:val="0"/>
        <w:autoSpaceDN w:val="0"/>
        <w:spacing w:before="76" w:after="0" w:line="240" w:lineRule="auto"/>
        <w:ind w:right="-1" w:firstLine="567"/>
        <w:jc w:val="both"/>
        <w:rPr>
          <w:rFonts w:ascii="Times New Roman" w:eastAsia="Times New Roman" w:hAnsi="Times New Roman" w:cs="Times New Roman"/>
          <w:b/>
          <w:sz w:val="28"/>
          <w:szCs w:val="28"/>
          <w:lang w:eastAsia="zh-CN" w:bidi="hi-IN"/>
        </w:rPr>
      </w:pPr>
      <w:r>
        <w:rPr>
          <w:rFonts w:ascii="Times New Roman" w:eastAsia="Times New Roman" w:hAnsi="Times New Roman" w:cs="Times New Roman"/>
          <w:b/>
          <w:sz w:val="28"/>
          <w:szCs w:val="28"/>
          <w:lang w:eastAsia="zh-CN" w:bidi="hi-IN"/>
        </w:rPr>
        <w:t>3.4.2 Оценка антибиопленочной активности композитных материалов</w:t>
      </w:r>
    </w:p>
    <w:p w:rsidR="00E17FE1" w:rsidRDefault="00BB58D7">
      <w:pPr>
        <w:widowControl w:val="0"/>
        <w:autoSpaceDE w:val="0"/>
        <w:autoSpaceDN w:val="0"/>
        <w:spacing w:after="0" w:line="240" w:lineRule="auto"/>
        <w:ind w:right="-1" w:firstLine="567"/>
        <w:jc w:val="both"/>
        <w:rPr>
          <w:rFonts w:ascii="Times New Roman" w:eastAsia="SimSun" w:hAnsi="Times New Roman" w:cs="Times New Roman"/>
          <w:sz w:val="28"/>
          <w:szCs w:val="28"/>
          <w:lang w:eastAsia="zh-CN" w:bidi="hi-IN"/>
        </w:rPr>
      </w:pPr>
      <w:r>
        <w:rPr>
          <w:rFonts w:ascii="Times New Roman" w:eastAsia="Times New Roman" w:hAnsi="Times New Roman" w:cs="Times New Roman"/>
          <w:sz w:val="28"/>
          <w:szCs w:val="28"/>
          <w:lang w:eastAsia="zh-CN" w:bidi="hi-IN"/>
        </w:rPr>
        <w:t>Серьезной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актуальной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проблемой</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для</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всех</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хирургических,</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том</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числе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ожоговых,</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стационаров являются инфекции, связанные с оказанием медицинской помощи,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 xml:space="preserve">вызываемые условно-патогенными мультирезистентными микроорганизмами, зачастую образующими биопленки. </w:t>
      </w:r>
      <w:r>
        <w:rPr>
          <w:rFonts w:ascii="Times New Roman" w:eastAsia="SimSun" w:hAnsi="Times New Roman" w:cs="Times New Roman"/>
          <w:sz w:val="28"/>
          <w:szCs w:val="28"/>
          <w:lang w:eastAsia="zh-CN" w:bidi="hi-IN"/>
        </w:rPr>
        <w:t xml:space="preserve">Она служит безопасным убежищем для входящих в нее клеток. Их физическую защиту осуществляет полисахаридный матрикс биопленки, в который погружены клетки. Физиологическая защита обеспечивается подавлением клеточной активности и даже трансформацией их в «персистеры» [268-270] . Еще один способ, который </w:t>
      </w:r>
      <w:proofErr w:type="gramStart"/>
      <w:r>
        <w:rPr>
          <w:rFonts w:ascii="Times New Roman" w:eastAsia="SimSun" w:hAnsi="Times New Roman" w:cs="Times New Roman"/>
          <w:sz w:val="28"/>
          <w:szCs w:val="28"/>
          <w:lang w:eastAsia="zh-CN" w:bidi="hi-IN"/>
        </w:rPr>
        <w:t>может повысить резистентность биопленочных бактерий заключается</w:t>
      </w:r>
      <w:proofErr w:type="gramEnd"/>
      <w:r>
        <w:rPr>
          <w:rFonts w:ascii="Times New Roman" w:eastAsia="SimSun" w:hAnsi="Times New Roman" w:cs="Times New Roman"/>
          <w:sz w:val="28"/>
          <w:szCs w:val="28"/>
          <w:lang w:eastAsia="zh-CN" w:bidi="hi-IN"/>
        </w:rPr>
        <w:t xml:space="preserve"> в распространении генов устойчивости среди членов такого сообщества. По </w:t>
      </w:r>
      <w:proofErr w:type="gramStart"/>
      <w:r>
        <w:rPr>
          <w:rFonts w:ascii="Times New Roman" w:eastAsia="SimSun" w:hAnsi="Times New Roman" w:cs="Times New Roman"/>
          <w:sz w:val="28"/>
          <w:szCs w:val="28"/>
          <w:lang w:eastAsia="zh-CN" w:bidi="hi-IN"/>
        </w:rPr>
        <w:t>сути</w:t>
      </w:r>
      <w:proofErr w:type="gramEnd"/>
      <w:r>
        <w:rPr>
          <w:rFonts w:ascii="Times New Roman" w:eastAsia="SimSun" w:hAnsi="Times New Roman" w:cs="Times New Roman"/>
          <w:sz w:val="28"/>
          <w:szCs w:val="28"/>
          <w:lang w:eastAsia="zh-CN" w:bidi="hi-IN"/>
        </w:rPr>
        <w:t xml:space="preserve"> назревает катастрофическая ситуация, вызванная ростом биопленок и появлением микробов, устойчивых к лекарствам. Поэтому ключом к решению этих проблем является предложение новых эффективных методов лечения, которые не приводят </w:t>
      </w:r>
      <w:proofErr w:type="gramStart"/>
      <w:r>
        <w:rPr>
          <w:rFonts w:ascii="Times New Roman" w:eastAsia="SimSun" w:hAnsi="Times New Roman" w:cs="Times New Roman"/>
          <w:sz w:val="28"/>
          <w:szCs w:val="28"/>
          <w:lang w:eastAsia="zh-CN" w:bidi="hi-IN"/>
        </w:rPr>
        <w:t>к</w:t>
      </w:r>
      <w:proofErr w:type="gramEnd"/>
      <w:r>
        <w:rPr>
          <w:rFonts w:ascii="Times New Roman" w:eastAsia="SimSun" w:hAnsi="Times New Roman" w:cs="Times New Roman"/>
          <w:sz w:val="28"/>
          <w:szCs w:val="28"/>
          <w:lang w:eastAsia="zh-CN" w:bidi="hi-IN"/>
        </w:rPr>
        <w:t xml:space="preserve"> фармацевтической резистентности. Инновационным подходом в данном контексте является создание раневых      покрытий  с антимикробными и антибиопленочными компонентами, не имеющими </w:t>
      </w:r>
      <w:r>
        <w:rPr>
          <w:rFonts w:ascii="Times New Roman" w:eastAsia="SimSun" w:hAnsi="Times New Roman" w:cs="Times New Roman"/>
          <w:sz w:val="28"/>
          <w:szCs w:val="28"/>
          <w:lang w:eastAsia="zh-CN" w:bidi="hi-IN"/>
        </w:rPr>
        <w:lastRenderedPageBreak/>
        <w:t>отношения к антибиотикам.</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Методы диагностики и тестирования антимикробной активности на биопленках, к сожалению, не всегда эффективны. Например, стандартные тесты на антимикробную чувствительность, которые включают инъекцию антибактериального агента в планктонные клетки (суспендированные), не могут точно предсказать эффективность этих агентов против патогенов, находящихся в биопленке. В связи с этим только на первом этапе исследований использовался метод образования биопленки в микротитровальных планшетах, который был частично модифицирован. Создание биопленок происходило на дисках, вырезанных из опытных материалов, которые затем тестировались с использованием стандартной 24-луночной планшетной установки. Экспериментально показано, что образование биопленки на дисках БЦ является воспроизводимым и простым в использовании.   Для окрашивания и количественного определения адгезивных биопленок использовался </w:t>
      </w:r>
      <w:proofErr w:type="gramStart"/>
      <w:r>
        <w:rPr>
          <w:rFonts w:ascii="Times New Roman" w:eastAsia="Times New Roman" w:hAnsi="Times New Roman" w:cs="Times New Roman"/>
          <w:sz w:val="28"/>
          <w:szCs w:val="28"/>
          <w:lang w:eastAsia="zh-CN" w:bidi="hi-IN"/>
        </w:rPr>
        <w:t>кристаллический</w:t>
      </w:r>
      <w:proofErr w:type="gramEnd"/>
      <w:r>
        <w:rPr>
          <w:rFonts w:ascii="Times New Roman" w:eastAsia="Times New Roman" w:hAnsi="Times New Roman" w:cs="Times New Roman"/>
          <w:sz w:val="28"/>
          <w:szCs w:val="28"/>
          <w:lang w:eastAsia="zh-CN" w:bidi="hi-IN"/>
        </w:rPr>
        <w:t xml:space="preserve"> фиолетовый. Судя по полученным данным, по прошествии 24 часов на поверхности БЦ присутствует развитая  как одн</w:t>
      </w:r>
      <w:proofErr w:type="gramStart"/>
      <w:r>
        <w:rPr>
          <w:rFonts w:ascii="Times New Roman" w:eastAsia="Times New Roman" w:hAnsi="Times New Roman" w:cs="Times New Roman"/>
          <w:sz w:val="28"/>
          <w:szCs w:val="28"/>
          <w:lang w:eastAsia="zh-CN" w:bidi="hi-IN"/>
        </w:rPr>
        <w:t>о-</w:t>
      </w:r>
      <w:proofErr w:type="gramEnd"/>
      <w:r>
        <w:rPr>
          <w:rFonts w:ascii="Times New Roman" w:eastAsia="Times New Roman" w:hAnsi="Times New Roman" w:cs="Times New Roman"/>
          <w:sz w:val="28"/>
          <w:szCs w:val="28"/>
          <w:lang w:eastAsia="zh-CN" w:bidi="hi-IN"/>
        </w:rPr>
        <w:t>, так и двухвидовая биопленка. Что касается исследуемых композитов, то на их поверхности биопленка или слабо образуется, или вообще отсутствует в некоторых вариантах (рисунок 36). Причем армирующие агенты, включенные в БЦ,  по-разному действуют на способность образовывать биопленки бактериями-мишенями. На матрице БЦ/</w:t>
      </w:r>
      <w:r>
        <w:rPr>
          <w:rFonts w:ascii="Times New Roman" w:eastAsia="Times New Roman" w:hAnsi="Times New Roman" w:cs="Times New Roman"/>
          <w:sz w:val="28"/>
          <w:szCs w:val="28"/>
          <w:lang w:val="en-US" w:eastAsia="zh-CN" w:bidi="hi-IN"/>
        </w:rPr>
        <w:t>M</w:t>
      </w:r>
      <w:proofErr w:type="gramStart"/>
      <w:r>
        <w:rPr>
          <w:rFonts w:ascii="Times New Roman" w:eastAsia="Times New Roman" w:hAnsi="Times New Roman" w:cs="Times New Roman"/>
          <w:sz w:val="28"/>
          <w:szCs w:val="28"/>
          <w:lang w:eastAsia="zh-CN" w:bidi="hi-IN"/>
        </w:rPr>
        <w:t>Х</w:t>
      </w:r>
      <w:proofErr w:type="gramEnd"/>
      <w:r>
        <w:rPr>
          <w:rFonts w:ascii="Times New Roman" w:eastAsia="Times New Roman" w:hAnsi="Times New Roman" w:cs="Times New Roman"/>
          <w:sz w:val="28"/>
          <w:szCs w:val="28"/>
          <w:lang w:val="en-US" w:eastAsia="zh-CN" w:bidi="hi-IN"/>
        </w:rPr>
        <w:t>ene</w:t>
      </w:r>
      <w:r>
        <w:rPr>
          <w:rFonts w:ascii="Times New Roman" w:eastAsia="Times New Roman" w:hAnsi="Times New Roman" w:cs="Times New Roman"/>
          <w:sz w:val="28"/>
          <w:szCs w:val="28"/>
          <w:lang w:eastAsia="zh-CN" w:bidi="hi-IN"/>
        </w:rPr>
        <w:t xml:space="preserve"> обнаружена слабая биопленка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sz w:val="28"/>
          <w:szCs w:val="28"/>
          <w:lang w:eastAsia="zh-CN" w:bidi="hi-IN"/>
        </w:rPr>
        <w:t>, а на БЦ/ГАП и БЦ/</w:t>
      </w:r>
      <w:r>
        <w:rPr>
          <w:rFonts w:ascii="Times New Roman" w:eastAsia="Times New Roman" w:hAnsi="Times New Roman" w:cs="Times New Roman"/>
          <w:sz w:val="28"/>
          <w:szCs w:val="28"/>
          <w:lang w:val="en-US" w:eastAsia="zh-CN" w:bidi="hi-IN"/>
        </w:rPr>
        <w:t>MXene</w:t>
      </w:r>
      <w:r>
        <w:rPr>
          <w:rFonts w:ascii="Times New Roman" w:eastAsia="Times New Roman" w:hAnsi="Times New Roman" w:cs="Times New Roman"/>
          <w:sz w:val="28"/>
          <w:szCs w:val="28"/>
          <w:lang w:eastAsia="zh-CN" w:bidi="hi-IN"/>
        </w:rPr>
        <w:t xml:space="preserve">/ГАП она </w:t>
      </w:r>
      <w:r>
        <w:rPr>
          <w:rFonts w:ascii="Times New Roman" w:eastAsia="Times New Roman" w:hAnsi="Times New Roman" w:cs="Times New Roman"/>
          <w:sz w:val="28"/>
          <w:szCs w:val="28"/>
          <w:lang w:val="kk-KZ" w:eastAsia="zh-CN" w:bidi="hi-IN"/>
        </w:rPr>
        <w:t>практически не наблюдается</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i/>
          <w:iCs/>
          <w:sz w:val="28"/>
          <w:szCs w:val="28"/>
          <w:lang w:eastAsia="zh-CN" w:bidi="hi-IN"/>
        </w:rPr>
        <w:t>P.aeruginosa</w:t>
      </w:r>
      <w:r>
        <w:rPr>
          <w:rFonts w:ascii="Times New Roman" w:eastAsia="Times New Roman" w:hAnsi="Times New Roman" w:cs="Times New Roman"/>
          <w:sz w:val="28"/>
          <w:szCs w:val="28"/>
          <w:lang w:val="kk-KZ" w:eastAsia="zh-CN" w:bidi="hi-IN"/>
        </w:rPr>
        <w:t xml:space="preserve"> менее </w:t>
      </w:r>
      <w:proofErr w:type="gramStart"/>
      <w:r>
        <w:rPr>
          <w:rFonts w:ascii="Times New Roman" w:eastAsia="Times New Roman" w:hAnsi="Times New Roman" w:cs="Times New Roman"/>
          <w:sz w:val="28"/>
          <w:szCs w:val="28"/>
          <w:lang w:val="kk-KZ" w:eastAsia="zh-CN" w:bidi="hi-IN"/>
        </w:rPr>
        <w:t>чувствительна</w:t>
      </w:r>
      <w:proofErr w:type="gramEnd"/>
      <w:r>
        <w:rPr>
          <w:rFonts w:ascii="Times New Roman" w:eastAsia="Times New Roman" w:hAnsi="Times New Roman" w:cs="Times New Roman"/>
          <w:sz w:val="28"/>
          <w:szCs w:val="28"/>
          <w:lang w:val="kk-KZ" w:eastAsia="zh-CN" w:bidi="hi-IN"/>
        </w:rPr>
        <w:t xml:space="preserve"> к активным компонентам комбинированных мембран: на диске с ГАП уровень окрашивания сопоставим с тем, что отмечен на диске только БЦ.  На скаффолдах </w:t>
      </w:r>
      <w:r>
        <w:rPr>
          <w:rFonts w:ascii="Times New Roman" w:eastAsia="Times New Roman" w:hAnsi="Times New Roman" w:cs="Times New Roman"/>
          <w:sz w:val="28"/>
          <w:szCs w:val="28"/>
          <w:lang w:eastAsia="zh-CN" w:bidi="hi-IN"/>
        </w:rPr>
        <w:t>БЦ/</w:t>
      </w:r>
      <w:r>
        <w:rPr>
          <w:rFonts w:ascii="Times New Roman" w:eastAsia="Times New Roman" w:hAnsi="Times New Roman" w:cs="Times New Roman"/>
          <w:sz w:val="28"/>
          <w:szCs w:val="28"/>
          <w:lang w:val="en-US" w:eastAsia="zh-CN" w:bidi="hi-IN"/>
        </w:rPr>
        <w:t>MXene</w:t>
      </w:r>
      <w:r>
        <w:rPr>
          <w:rFonts w:ascii="Times New Roman" w:eastAsia="Times New Roman" w:hAnsi="Times New Roman" w:cs="Times New Roman"/>
          <w:sz w:val="28"/>
          <w:szCs w:val="28"/>
          <w:lang w:eastAsia="zh-CN" w:bidi="hi-IN"/>
        </w:rPr>
        <w:t xml:space="preserve"> и БЦ/ГАП/</w:t>
      </w:r>
      <w:r>
        <w:rPr>
          <w:rFonts w:ascii="Times New Roman" w:eastAsia="Times New Roman" w:hAnsi="Times New Roman" w:cs="Times New Roman"/>
          <w:sz w:val="28"/>
          <w:szCs w:val="28"/>
          <w:lang w:val="en-US" w:eastAsia="zh-CN" w:bidi="hi-IN"/>
        </w:rPr>
        <w:t>M</w:t>
      </w:r>
      <w:r>
        <w:rPr>
          <w:rFonts w:ascii="Times New Roman" w:eastAsia="Times New Roman" w:hAnsi="Times New Roman" w:cs="Times New Roman"/>
          <w:sz w:val="28"/>
          <w:szCs w:val="28"/>
          <w:lang w:eastAsia="zh-CN" w:bidi="hi-IN"/>
        </w:rPr>
        <w:t>Х</w:t>
      </w:r>
      <w:r>
        <w:rPr>
          <w:rFonts w:ascii="Times New Roman" w:eastAsia="Times New Roman" w:hAnsi="Times New Roman" w:cs="Times New Roman"/>
          <w:sz w:val="28"/>
          <w:szCs w:val="28"/>
          <w:lang w:val="en-US" w:eastAsia="zh-CN" w:bidi="hi-IN"/>
        </w:rPr>
        <w:t>ene</w:t>
      </w:r>
      <w:r>
        <w:rPr>
          <w:rFonts w:ascii="Times New Roman" w:eastAsia="Times New Roman" w:hAnsi="Times New Roman" w:cs="Times New Roman"/>
          <w:sz w:val="28"/>
          <w:szCs w:val="28"/>
          <w:lang w:eastAsia="zh-CN" w:bidi="hi-IN"/>
        </w:rPr>
        <w:t xml:space="preserve"> отмечен антибиопленочный эффект, однако меньше, нежели в случае со стафилококком. </w:t>
      </w:r>
    </w:p>
    <w:p w:rsidR="00F644EE" w:rsidRDefault="00F644EE">
      <w:pPr>
        <w:widowControl w:val="0"/>
        <w:autoSpaceDE w:val="0"/>
        <w:autoSpaceDN w:val="0"/>
        <w:spacing w:after="0" w:line="240" w:lineRule="auto"/>
        <w:ind w:firstLine="567"/>
        <w:jc w:val="both"/>
        <w:rPr>
          <w:rFonts w:ascii="Times New Roman" w:eastAsia="Times New Roman" w:hAnsi="Times New Roman" w:cs="Times New Roman"/>
          <w:color w:val="101010"/>
          <w:sz w:val="28"/>
          <w:szCs w:val="28"/>
          <w:lang w:eastAsia="zh-CN" w:bidi="hi-IN"/>
        </w:rPr>
      </w:pPr>
      <w:r>
        <w:rPr>
          <w:rFonts w:ascii="Times New Roman" w:eastAsia="Times New Roman" w:hAnsi="Times New Roman" w:cs="Times New Roman"/>
          <w:sz w:val="28"/>
          <w:szCs w:val="28"/>
          <w:lang w:eastAsia="zh-CN" w:bidi="hi-IN"/>
        </w:rPr>
        <w:t xml:space="preserve">К настоящему времени расшифрованы основные биоцидные механизмы </w:t>
      </w:r>
      <w:r>
        <w:rPr>
          <w:rFonts w:ascii="Times New Roman" w:eastAsia="Times New Roman" w:hAnsi="Times New Roman" w:cs="Times New Roman"/>
          <w:sz w:val="28"/>
          <w:szCs w:val="28"/>
          <w:lang w:val="en-US" w:eastAsia="zh-CN" w:bidi="hi-IN"/>
        </w:rPr>
        <w:t>MXenes</w:t>
      </w:r>
      <w:r>
        <w:rPr>
          <w:rFonts w:ascii="Times New Roman" w:eastAsia="Times New Roman" w:hAnsi="Times New Roman" w:cs="Times New Roman"/>
          <w:sz w:val="28"/>
          <w:szCs w:val="28"/>
          <w:lang w:eastAsia="zh-CN" w:bidi="hi-IN"/>
        </w:rPr>
        <w:t>: 1) Генераторы активных форм кислорода (АФК) - вызывают окислительный стресс у микроорганизмов; 2) Нано-нож – способны разрезать клеточную стенку бактерий</w:t>
      </w:r>
      <w:r>
        <w:rPr>
          <w:rFonts w:ascii="Times New Roman" w:eastAsia="Times New Roman" w:hAnsi="Times New Roman" w:cs="Times New Roman"/>
          <w:sz w:val="28"/>
          <w:szCs w:val="28"/>
          <w:lang w:val="kk-KZ" w:eastAsia="zh-CN" w:bidi="hi-IN"/>
        </w:rPr>
        <w:t xml:space="preserve">; </w:t>
      </w:r>
      <w:r>
        <w:rPr>
          <w:rFonts w:ascii="Times New Roman" w:eastAsia="Times New Roman" w:hAnsi="Times New Roman" w:cs="Times New Roman"/>
          <w:sz w:val="28"/>
          <w:szCs w:val="28"/>
          <w:lang w:eastAsia="zh-CN" w:bidi="hi-IN"/>
        </w:rPr>
        <w:t xml:space="preserve">3) Нанотермические агенты - инактивация бактерий за счет генерации тепла при воздействии света  [92]. Обнаружена антимикробная активность в отношении таких стандартных моделей патогенов как </w:t>
      </w:r>
      <w:r>
        <w:rPr>
          <w:rFonts w:ascii="Times New Roman" w:eastAsia="Times New Roman" w:hAnsi="Times New Roman" w:cs="Times New Roman"/>
          <w:i/>
          <w:sz w:val="28"/>
          <w:szCs w:val="28"/>
          <w:lang w:eastAsia="zh-CN" w:bidi="hi-IN"/>
        </w:rPr>
        <w:t>E. coli</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i/>
          <w:sz w:val="28"/>
          <w:szCs w:val="28"/>
          <w:lang w:eastAsia="zh-CN" w:bidi="hi-IN"/>
        </w:rPr>
        <w:t>S.aureus</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i/>
          <w:sz w:val="28"/>
          <w:szCs w:val="28"/>
          <w:lang w:eastAsia="zh-CN" w:bidi="hi-IN"/>
        </w:rPr>
        <w:t>B.subtilis</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i/>
          <w:sz w:val="28"/>
          <w:szCs w:val="28"/>
          <w:lang w:eastAsia="zh-CN" w:bidi="hi-IN"/>
        </w:rPr>
        <w:t>P.aeruginosa</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i/>
          <w:sz w:val="28"/>
          <w:szCs w:val="28"/>
          <w:lang w:val="en-US" w:eastAsia="zh-CN" w:bidi="hi-IN"/>
        </w:rPr>
        <w:t>K</w:t>
      </w:r>
      <w:r>
        <w:rPr>
          <w:rFonts w:ascii="Times New Roman" w:eastAsia="Times New Roman" w:hAnsi="Times New Roman" w:cs="Times New Roman"/>
          <w:i/>
          <w:sz w:val="28"/>
          <w:szCs w:val="28"/>
          <w:lang w:eastAsia="zh-CN" w:bidi="hi-IN"/>
        </w:rPr>
        <w:t>.</w:t>
      </w:r>
      <w:r>
        <w:rPr>
          <w:rFonts w:ascii="Times New Roman" w:eastAsia="Times New Roman" w:hAnsi="Times New Roman" w:cs="Times New Roman"/>
          <w:i/>
          <w:sz w:val="28"/>
          <w:szCs w:val="28"/>
          <w:lang w:val="en-US" w:eastAsia="zh-CN" w:bidi="hi-IN"/>
        </w:rPr>
        <w:t>pneumonia</w:t>
      </w:r>
      <w:r>
        <w:rPr>
          <w:rFonts w:ascii="Times New Roman" w:eastAsia="Times New Roman" w:hAnsi="Times New Roman" w:cs="Times New Roman"/>
          <w:sz w:val="28"/>
          <w:szCs w:val="28"/>
          <w:lang w:eastAsia="zh-CN" w:bidi="hi-IN"/>
        </w:rPr>
        <w:t xml:space="preserve"> и др. [89-91]. В целом уже несколько раз </w:t>
      </w:r>
      <w:r>
        <w:rPr>
          <w:rFonts w:ascii="Times New Roman" w:eastAsia="Times New Roman" w:hAnsi="Times New Roman" w:cs="Times New Roman"/>
          <w:color w:val="212121"/>
          <w:sz w:val="28"/>
          <w:szCs w:val="28"/>
          <w:lang w:eastAsia="zh-CN" w:bidi="hi-IN"/>
        </w:rPr>
        <w:t>отмечалась более высокая</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 xml:space="preserve">активность MXenes в отношении грамположительных бактерий </w:t>
      </w:r>
      <w:r>
        <w:rPr>
          <w:rFonts w:ascii="Times New Roman" w:eastAsia="Times New Roman" w:hAnsi="Times New Roman" w:cs="Times New Roman"/>
          <w:color w:val="101010"/>
          <w:sz w:val="28"/>
          <w:szCs w:val="28"/>
          <w:lang w:eastAsia="zh-CN" w:bidi="hi-IN"/>
        </w:rPr>
        <w:t xml:space="preserve">[6]. </w:t>
      </w:r>
    </w:p>
    <w:p w:rsidR="00E17FE1" w:rsidRDefault="00F644EE">
      <w:pPr>
        <w:widowControl w:val="0"/>
        <w:autoSpaceDE w:val="0"/>
        <w:autoSpaceDN w:val="0"/>
        <w:spacing w:after="0" w:line="240" w:lineRule="auto"/>
        <w:ind w:firstLine="567"/>
        <w:jc w:val="both"/>
        <w:rPr>
          <w:rFonts w:ascii="Times New Roman" w:eastAsia="Times New Roman" w:hAnsi="Times New Roman" w:cs="Times New Roman"/>
          <w:sz w:val="28"/>
          <w:szCs w:val="28"/>
          <w:highlight w:val="yellow"/>
          <w:lang w:eastAsia="zh-CN" w:bidi="hi-IN"/>
        </w:rPr>
      </w:pPr>
      <w:r>
        <w:rPr>
          <w:rFonts w:ascii="Times New Roman" w:eastAsia="Times New Roman" w:hAnsi="Times New Roman" w:cs="Times New Roman"/>
          <w:color w:val="101010"/>
          <w:spacing w:val="1"/>
          <w:sz w:val="28"/>
          <w:szCs w:val="28"/>
          <w:lang w:eastAsia="zh-CN" w:bidi="hi-IN"/>
        </w:rPr>
        <w:t xml:space="preserve">Как уже упоминалось в предыдущем разделе, большинство исследователей считают, что такие </w:t>
      </w:r>
      <w:r>
        <w:rPr>
          <w:rFonts w:ascii="Times New Roman" w:eastAsia="Times New Roman" w:hAnsi="Times New Roman" w:cs="Times New Roman"/>
          <w:color w:val="101010"/>
          <w:sz w:val="28"/>
          <w:szCs w:val="28"/>
          <w:lang w:eastAsia="zh-CN" w:bidi="hi-IN"/>
        </w:rPr>
        <w:t>различия</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обусловлены</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особенностями</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клеточной</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стенки</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грамотрицател</w:t>
      </w:r>
      <w:r>
        <w:rPr>
          <w:rFonts w:ascii="Times New Roman" w:eastAsia="Times New Roman" w:hAnsi="Times New Roman" w:cs="Times New Roman"/>
          <w:color w:val="212121"/>
          <w:sz w:val="28"/>
          <w:szCs w:val="28"/>
          <w:lang w:eastAsia="zh-CN" w:bidi="hi-IN"/>
        </w:rPr>
        <w:t>ьных</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и</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грамположительных</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бактерий.</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pacing w:val="-1"/>
          <w:sz w:val="28"/>
          <w:szCs w:val="28"/>
          <w:lang w:eastAsia="zh-CN" w:bidi="hi-IN"/>
        </w:rPr>
        <w:t>Г</w:t>
      </w:r>
      <w:proofErr w:type="gramStart"/>
      <w:r>
        <w:rPr>
          <w:rFonts w:ascii="Times New Roman" w:eastAsia="Times New Roman" w:hAnsi="Times New Roman" w:cs="Times New Roman"/>
          <w:color w:val="212121"/>
          <w:spacing w:val="-1"/>
          <w:sz w:val="28"/>
          <w:szCs w:val="28"/>
          <w:lang w:eastAsia="zh-CN" w:bidi="hi-IN"/>
        </w:rPr>
        <w:t>р-</w:t>
      </w:r>
      <w:proofErr w:type="gramEnd"/>
      <w:r>
        <w:rPr>
          <w:rFonts w:ascii="Times New Roman" w:eastAsia="Times New Roman" w:hAnsi="Times New Roman" w:cs="Times New Roman"/>
          <w:color w:val="212121"/>
          <w:spacing w:val="-13"/>
          <w:sz w:val="28"/>
          <w:szCs w:val="28"/>
          <w:lang w:eastAsia="zh-CN" w:bidi="hi-IN"/>
        </w:rPr>
        <w:t xml:space="preserve"> </w:t>
      </w:r>
      <w:r>
        <w:rPr>
          <w:rFonts w:ascii="Times New Roman" w:eastAsia="Times New Roman" w:hAnsi="Times New Roman" w:cs="Times New Roman"/>
          <w:color w:val="212121"/>
          <w:spacing w:val="-1"/>
          <w:sz w:val="28"/>
          <w:szCs w:val="28"/>
          <w:lang w:eastAsia="zh-CN" w:bidi="hi-IN"/>
        </w:rPr>
        <w:t xml:space="preserve">бактерии, как </w:t>
      </w:r>
      <w:r>
        <w:rPr>
          <w:rFonts w:ascii="Times New Roman" w:eastAsia="Times New Roman" w:hAnsi="Times New Roman" w:cs="Times New Roman"/>
          <w:i/>
          <w:iCs/>
          <w:sz w:val="28"/>
          <w:szCs w:val="28"/>
          <w:lang w:eastAsia="zh-CN" w:bidi="hi-IN"/>
        </w:rPr>
        <w:t>P.aeruginosa</w:t>
      </w:r>
      <w:r>
        <w:rPr>
          <w:rFonts w:ascii="Times New Roman" w:eastAsia="Times New Roman" w:hAnsi="Times New Roman" w:cs="Times New Roman"/>
          <w:color w:val="212121"/>
          <w:spacing w:val="-13"/>
          <w:sz w:val="28"/>
          <w:szCs w:val="28"/>
          <w:lang w:eastAsia="zh-CN" w:bidi="hi-IN"/>
        </w:rPr>
        <w:t xml:space="preserve">  </w:t>
      </w:r>
      <w:r>
        <w:rPr>
          <w:rFonts w:ascii="Times New Roman" w:eastAsia="Times New Roman" w:hAnsi="Times New Roman" w:cs="Times New Roman"/>
          <w:color w:val="212121"/>
          <w:spacing w:val="-1"/>
          <w:sz w:val="28"/>
          <w:szCs w:val="28"/>
          <w:lang w:eastAsia="zh-CN" w:bidi="hi-IN"/>
        </w:rPr>
        <w:t>имеют</w:t>
      </w:r>
      <w:r>
        <w:rPr>
          <w:rFonts w:ascii="Times New Roman" w:eastAsia="Times New Roman" w:hAnsi="Times New Roman" w:cs="Times New Roman"/>
          <w:color w:val="212121"/>
          <w:spacing w:val="-13"/>
          <w:sz w:val="28"/>
          <w:szCs w:val="28"/>
          <w:lang w:eastAsia="zh-CN" w:bidi="hi-IN"/>
        </w:rPr>
        <w:t xml:space="preserve"> </w:t>
      </w:r>
      <w:r>
        <w:rPr>
          <w:rFonts w:ascii="Times New Roman" w:eastAsia="Times New Roman" w:hAnsi="Times New Roman" w:cs="Times New Roman"/>
          <w:color w:val="212121"/>
          <w:spacing w:val="-1"/>
          <w:sz w:val="28"/>
          <w:szCs w:val="28"/>
          <w:lang w:eastAsia="zh-CN" w:bidi="hi-IN"/>
        </w:rPr>
        <w:t>внешнюю</w:t>
      </w:r>
      <w:r>
        <w:rPr>
          <w:rFonts w:ascii="Times New Roman" w:eastAsia="Times New Roman" w:hAnsi="Times New Roman" w:cs="Times New Roman"/>
          <w:color w:val="212121"/>
          <w:spacing w:val="-13"/>
          <w:sz w:val="28"/>
          <w:szCs w:val="28"/>
          <w:lang w:eastAsia="zh-CN" w:bidi="hi-IN"/>
        </w:rPr>
        <w:t xml:space="preserve"> </w:t>
      </w:r>
      <w:r>
        <w:rPr>
          <w:rFonts w:ascii="Times New Roman" w:eastAsia="Times New Roman" w:hAnsi="Times New Roman" w:cs="Times New Roman"/>
          <w:color w:val="212121"/>
          <w:spacing w:val="-1"/>
          <w:sz w:val="28"/>
          <w:szCs w:val="28"/>
          <w:lang w:eastAsia="zh-CN" w:bidi="hi-IN"/>
        </w:rPr>
        <w:t>защитную</w:t>
      </w:r>
      <w:r>
        <w:rPr>
          <w:rFonts w:ascii="Times New Roman" w:eastAsia="Times New Roman" w:hAnsi="Times New Roman" w:cs="Times New Roman"/>
          <w:color w:val="212121"/>
          <w:spacing w:val="-13"/>
          <w:sz w:val="28"/>
          <w:szCs w:val="28"/>
          <w:lang w:eastAsia="zh-CN" w:bidi="hi-IN"/>
        </w:rPr>
        <w:t xml:space="preserve"> </w:t>
      </w:r>
      <w:r>
        <w:rPr>
          <w:rFonts w:ascii="Times New Roman" w:eastAsia="Times New Roman" w:hAnsi="Times New Roman" w:cs="Times New Roman"/>
          <w:color w:val="212121"/>
          <w:sz w:val="28"/>
          <w:szCs w:val="28"/>
          <w:lang w:eastAsia="zh-CN" w:bidi="hi-IN"/>
        </w:rPr>
        <w:t>липидную</w:t>
      </w:r>
      <w:r>
        <w:rPr>
          <w:rFonts w:ascii="Times New Roman" w:eastAsia="Times New Roman" w:hAnsi="Times New Roman" w:cs="Times New Roman"/>
          <w:color w:val="212121"/>
          <w:spacing w:val="-12"/>
          <w:sz w:val="28"/>
          <w:szCs w:val="28"/>
          <w:lang w:eastAsia="zh-CN" w:bidi="hi-IN"/>
        </w:rPr>
        <w:t xml:space="preserve"> </w:t>
      </w:r>
      <w:r>
        <w:rPr>
          <w:rFonts w:ascii="Times New Roman" w:eastAsia="Times New Roman" w:hAnsi="Times New Roman" w:cs="Times New Roman"/>
          <w:color w:val="212121"/>
          <w:sz w:val="28"/>
          <w:szCs w:val="28"/>
          <w:lang w:eastAsia="zh-CN" w:bidi="hi-IN"/>
        </w:rPr>
        <w:t>мембрану</w:t>
      </w:r>
      <w:r>
        <w:rPr>
          <w:rFonts w:ascii="Times New Roman" w:eastAsia="Times New Roman" w:hAnsi="Times New Roman" w:cs="Times New Roman"/>
          <w:color w:val="212121"/>
          <w:spacing w:val="-14"/>
          <w:sz w:val="28"/>
          <w:szCs w:val="28"/>
          <w:lang w:eastAsia="zh-CN" w:bidi="hi-IN"/>
        </w:rPr>
        <w:t xml:space="preserve"> </w:t>
      </w:r>
      <w:r>
        <w:rPr>
          <w:rFonts w:ascii="Times New Roman" w:eastAsia="Times New Roman" w:hAnsi="Times New Roman" w:cs="Times New Roman"/>
          <w:color w:val="212121"/>
          <w:sz w:val="28"/>
          <w:szCs w:val="28"/>
          <w:lang w:eastAsia="zh-CN" w:bidi="hi-IN"/>
        </w:rPr>
        <w:t>в</w:t>
      </w:r>
      <w:r>
        <w:rPr>
          <w:rFonts w:ascii="Times New Roman" w:eastAsia="Times New Roman" w:hAnsi="Times New Roman" w:cs="Times New Roman"/>
          <w:color w:val="212121"/>
          <w:spacing w:val="-13"/>
          <w:sz w:val="28"/>
          <w:szCs w:val="28"/>
          <w:lang w:eastAsia="zh-CN" w:bidi="hi-IN"/>
        </w:rPr>
        <w:t xml:space="preserve"> </w:t>
      </w:r>
      <w:r>
        <w:rPr>
          <w:rFonts w:ascii="Times New Roman" w:eastAsia="Times New Roman" w:hAnsi="Times New Roman" w:cs="Times New Roman"/>
          <w:color w:val="212121"/>
          <w:sz w:val="28"/>
          <w:szCs w:val="28"/>
          <w:lang w:eastAsia="zh-CN" w:bidi="hi-IN"/>
        </w:rPr>
        <w:t xml:space="preserve">клеточной </w:t>
      </w:r>
      <w:r>
        <w:rPr>
          <w:rFonts w:ascii="Times New Roman" w:eastAsia="Times New Roman" w:hAnsi="Times New Roman" w:cs="Times New Roman"/>
          <w:color w:val="212121"/>
          <w:spacing w:val="-58"/>
          <w:sz w:val="28"/>
          <w:szCs w:val="28"/>
          <w:lang w:eastAsia="zh-CN" w:bidi="hi-IN"/>
        </w:rPr>
        <w:t xml:space="preserve"> </w:t>
      </w:r>
      <w:r>
        <w:rPr>
          <w:rFonts w:ascii="Times New Roman" w:eastAsia="Times New Roman" w:hAnsi="Times New Roman" w:cs="Times New Roman"/>
          <w:color w:val="212121"/>
          <w:sz w:val="28"/>
          <w:szCs w:val="28"/>
          <w:lang w:eastAsia="zh-CN" w:bidi="hi-IN"/>
        </w:rPr>
        <w:t>стенке,</w:t>
      </w:r>
      <w:r>
        <w:rPr>
          <w:rFonts w:ascii="Times New Roman" w:eastAsia="Times New Roman" w:hAnsi="Times New Roman" w:cs="Times New Roman"/>
          <w:color w:val="212121"/>
          <w:spacing w:val="-11"/>
          <w:sz w:val="28"/>
          <w:szCs w:val="28"/>
          <w:lang w:eastAsia="zh-CN" w:bidi="hi-IN"/>
        </w:rPr>
        <w:t xml:space="preserve"> </w:t>
      </w:r>
      <w:r>
        <w:rPr>
          <w:rFonts w:ascii="Times New Roman" w:eastAsia="Times New Roman" w:hAnsi="Times New Roman" w:cs="Times New Roman"/>
          <w:color w:val="212121"/>
          <w:sz w:val="28"/>
          <w:szCs w:val="28"/>
          <w:lang w:eastAsia="zh-CN" w:bidi="hi-IN"/>
        </w:rPr>
        <w:t>которая</w:t>
      </w:r>
      <w:r>
        <w:rPr>
          <w:rFonts w:ascii="Times New Roman" w:eastAsia="Times New Roman" w:hAnsi="Times New Roman" w:cs="Times New Roman"/>
          <w:color w:val="212121"/>
          <w:spacing w:val="-9"/>
          <w:sz w:val="28"/>
          <w:szCs w:val="28"/>
          <w:lang w:eastAsia="zh-CN" w:bidi="hi-IN"/>
        </w:rPr>
        <w:t xml:space="preserve"> </w:t>
      </w:r>
      <w:r>
        <w:rPr>
          <w:rFonts w:ascii="Times New Roman" w:eastAsia="Times New Roman" w:hAnsi="Times New Roman" w:cs="Times New Roman"/>
          <w:color w:val="212121"/>
          <w:sz w:val="28"/>
          <w:szCs w:val="28"/>
          <w:lang w:eastAsia="zh-CN" w:bidi="hi-IN"/>
        </w:rPr>
        <w:t>может</w:t>
      </w:r>
      <w:r>
        <w:rPr>
          <w:rFonts w:ascii="Times New Roman" w:eastAsia="Times New Roman" w:hAnsi="Times New Roman" w:cs="Times New Roman"/>
          <w:color w:val="212121"/>
          <w:spacing w:val="-10"/>
          <w:sz w:val="28"/>
          <w:szCs w:val="28"/>
          <w:lang w:eastAsia="zh-CN" w:bidi="hi-IN"/>
        </w:rPr>
        <w:t xml:space="preserve"> </w:t>
      </w:r>
      <w:r>
        <w:rPr>
          <w:rFonts w:ascii="Times New Roman" w:eastAsia="Times New Roman" w:hAnsi="Times New Roman" w:cs="Times New Roman"/>
          <w:color w:val="212121"/>
          <w:sz w:val="28"/>
          <w:szCs w:val="28"/>
          <w:lang w:eastAsia="zh-CN" w:bidi="hi-IN"/>
        </w:rPr>
        <w:t>предотвратить</w:t>
      </w:r>
      <w:r>
        <w:rPr>
          <w:rFonts w:ascii="Times New Roman" w:eastAsia="Times New Roman" w:hAnsi="Times New Roman" w:cs="Times New Roman"/>
          <w:color w:val="212121"/>
          <w:spacing w:val="-10"/>
          <w:sz w:val="28"/>
          <w:szCs w:val="28"/>
          <w:lang w:eastAsia="zh-CN" w:bidi="hi-IN"/>
        </w:rPr>
        <w:t xml:space="preserve"> </w:t>
      </w:r>
      <w:r>
        <w:rPr>
          <w:rFonts w:ascii="Times New Roman" w:eastAsia="Times New Roman" w:hAnsi="Times New Roman" w:cs="Times New Roman"/>
          <w:color w:val="212121"/>
          <w:sz w:val="28"/>
          <w:szCs w:val="28"/>
          <w:lang w:eastAsia="zh-CN" w:bidi="hi-IN"/>
        </w:rPr>
        <w:t>прямое</w:t>
      </w:r>
      <w:r>
        <w:rPr>
          <w:rFonts w:ascii="Times New Roman" w:eastAsia="Times New Roman" w:hAnsi="Times New Roman" w:cs="Times New Roman"/>
          <w:color w:val="212121"/>
          <w:spacing w:val="-9"/>
          <w:sz w:val="28"/>
          <w:szCs w:val="28"/>
          <w:lang w:eastAsia="zh-CN" w:bidi="hi-IN"/>
        </w:rPr>
        <w:t xml:space="preserve"> </w:t>
      </w:r>
      <w:r>
        <w:rPr>
          <w:rFonts w:ascii="Times New Roman" w:eastAsia="Times New Roman" w:hAnsi="Times New Roman" w:cs="Times New Roman"/>
          <w:color w:val="212121"/>
          <w:sz w:val="28"/>
          <w:szCs w:val="28"/>
          <w:lang w:eastAsia="zh-CN" w:bidi="hi-IN"/>
        </w:rPr>
        <w:t>повреждение,</w:t>
      </w:r>
      <w:r>
        <w:rPr>
          <w:rFonts w:ascii="Times New Roman" w:eastAsia="Times New Roman" w:hAnsi="Times New Roman" w:cs="Times New Roman"/>
          <w:color w:val="212121"/>
          <w:spacing w:val="-10"/>
          <w:sz w:val="28"/>
          <w:szCs w:val="28"/>
          <w:lang w:eastAsia="zh-CN" w:bidi="hi-IN"/>
        </w:rPr>
        <w:t xml:space="preserve"> </w:t>
      </w:r>
      <w:r>
        <w:rPr>
          <w:rFonts w:ascii="Times New Roman" w:eastAsia="Times New Roman" w:hAnsi="Times New Roman" w:cs="Times New Roman"/>
          <w:color w:val="212121"/>
          <w:sz w:val="28"/>
          <w:szCs w:val="28"/>
          <w:lang w:eastAsia="zh-CN" w:bidi="hi-IN"/>
        </w:rPr>
        <w:t>вызванное</w:t>
      </w:r>
      <w:r>
        <w:rPr>
          <w:rFonts w:ascii="Times New Roman" w:eastAsia="Times New Roman" w:hAnsi="Times New Roman" w:cs="Times New Roman"/>
          <w:color w:val="212121"/>
          <w:spacing w:val="-9"/>
          <w:sz w:val="28"/>
          <w:szCs w:val="28"/>
          <w:lang w:eastAsia="zh-CN" w:bidi="hi-IN"/>
        </w:rPr>
        <w:t xml:space="preserve"> </w:t>
      </w:r>
      <w:r>
        <w:rPr>
          <w:rFonts w:ascii="Times New Roman" w:eastAsia="Times New Roman" w:hAnsi="Times New Roman" w:cs="Times New Roman"/>
          <w:color w:val="212121"/>
          <w:sz w:val="28"/>
          <w:szCs w:val="28"/>
          <w:lang w:eastAsia="zh-CN" w:bidi="hi-IN"/>
        </w:rPr>
        <w:t>частицами</w:t>
      </w:r>
      <w:r>
        <w:rPr>
          <w:rFonts w:ascii="Times New Roman" w:eastAsia="Times New Roman" w:hAnsi="Times New Roman" w:cs="Times New Roman"/>
          <w:color w:val="212121"/>
          <w:spacing w:val="-10"/>
          <w:sz w:val="28"/>
          <w:szCs w:val="28"/>
          <w:lang w:eastAsia="zh-CN" w:bidi="hi-IN"/>
        </w:rPr>
        <w:t xml:space="preserve"> </w:t>
      </w:r>
      <w:r>
        <w:rPr>
          <w:rFonts w:ascii="Times New Roman" w:eastAsia="Times New Roman" w:hAnsi="Times New Roman" w:cs="Times New Roman"/>
          <w:color w:val="212121"/>
          <w:sz w:val="28"/>
          <w:szCs w:val="28"/>
          <w:lang w:eastAsia="zh-CN" w:bidi="hi-IN"/>
        </w:rPr>
        <w:t>MXene.</w:t>
      </w:r>
      <w:r>
        <w:rPr>
          <w:rFonts w:ascii="Times New Roman" w:eastAsia="Times New Roman" w:hAnsi="Times New Roman" w:cs="Times New Roman"/>
          <w:color w:val="212121"/>
          <w:spacing w:val="-10"/>
          <w:sz w:val="28"/>
          <w:szCs w:val="28"/>
          <w:lang w:eastAsia="zh-CN" w:bidi="hi-IN"/>
        </w:rPr>
        <w:t xml:space="preserve"> </w:t>
      </w:r>
      <w:r>
        <w:rPr>
          <w:rFonts w:ascii="Times New Roman" w:eastAsia="Times New Roman" w:hAnsi="Times New Roman" w:cs="Times New Roman"/>
          <w:color w:val="212121"/>
          <w:sz w:val="28"/>
          <w:szCs w:val="28"/>
          <w:lang w:eastAsia="zh-CN" w:bidi="hi-IN"/>
        </w:rPr>
        <w:t>Отсутствие внешней мембраны у Гр+ бактерий</w:t>
      </w:r>
      <w:r>
        <w:rPr>
          <w:rFonts w:ascii="Times New Roman" w:eastAsia="Times New Roman" w:hAnsi="Times New Roman" w:cs="Times New Roman"/>
          <w:color w:val="212121"/>
          <w:spacing w:val="-11"/>
          <w:sz w:val="28"/>
          <w:szCs w:val="28"/>
          <w:lang w:eastAsia="zh-CN" w:bidi="hi-IN"/>
        </w:rPr>
        <w:t xml:space="preserve"> (в данном исследовании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212121"/>
          <w:sz w:val="28"/>
          <w:szCs w:val="28"/>
          <w:lang w:eastAsia="zh-CN" w:bidi="hi-IN"/>
        </w:rPr>
        <w:t xml:space="preserve">) делает их более восприимчивой мишенью </w:t>
      </w:r>
      <w:r>
        <w:rPr>
          <w:rFonts w:ascii="Times New Roman" w:eastAsia="Times New Roman" w:hAnsi="Times New Roman" w:cs="Times New Roman"/>
          <w:color w:val="212121"/>
          <w:sz w:val="28"/>
          <w:szCs w:val="28"/>
          <w:lang w:eastAsia="zh-CN" w:bidi="hi-IN"/>
        </w:rPr>
        <w:lastRenderedPageBreak/>
        <w:t>для</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прямого</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контакта</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с</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 xml:space="preserve">MXenes, несмотря на </w:t>
      </w:r>
      <w:r>
        <w:rPr>
          <w:rFonts w:ascii="Times New Roman" w:eastAsia="Times New Roman" w:hAnsi="Times New Roman" w:cs="Times New Roman"/>
          <w:color w:val="212121"/>
          <w:spacing w:val="1"/>
          <w:sz w:val="28"/>
          <w:szCs w:val="28"/>
          <w:lang w:eastAsia="zh-CN" w:bidi="hi-IN"/>
        </w:rPr>
        <w:t xml:space="preserve"> </w:t>
      </w:r>
      <w:r>
        <w:rPr>
          <w:rFonts w:ascii="Times New Roman" w:eastAsia="Times New Roman" w:hAnsi="Times New Roman" w:cs="Times New Roman"/>
          <w:color w:val="212121"/>
          <w:sz w:val="28"/>
          <w:szCs w:val="28"/>
          <w:lang w:eastAsia="zh-CN" w:bidi="hi-IN"/>
        </w:rPr>
        <w:t>толстый</w:t>
      </w:r>
      <w:r>
        <w:rPr>
          <w:rFonts w:ascii="Times New Roman" w:eastAsia="Times New Roman" w:hAnsi="Times New Roman" w:cs="Times New Roman"/>
          <w:color w:val="212121"/>
          <w:spacing w:val="-10"/>
          <w:sz w:val="28"/>
          <w:szCs w:val="28"/>
          <w:lang w:eastAsia="zh-CN" w:bidi="hi-IN"/>
        </w:rPr>
        <w:t xml:space="preserve"> </w:t>
      </w:r>
      <w:r>
        <w:rPr>
          <w:rFonts w:ascii="Times New Roman" w:eastAsia="Times New Roman" w:hAnsi="Times New Roman" w:cs="Times New Roman"/>
          <w:color w:val="212121"/>
          <w:sz w:val="28"/>
          <w:szCs w:val="28"/>
          <w:lang w:eastAsia="zh-CN" w:bidi="hi-IN"/>
        </w:rPr>
        <w:t>слой</w:t>
      </w:r>
      <w:r>
        <w:rPr>
          <w:rFonts w:ascii="Times New Roman" w:eastAsia="Times New Roman" w:hAnsi="Times New Roman" w:cs="Times New Roman"/>
          <w:color w:val="212121"/>
          <w:spacing w:val="-11"/>
          <w:sz w:val="28"/>
          <w:szCs w:val="28"/>
          <w:lang w:eastAsia="zh-CN" w:bidi="hi-IN"/>
        </w:rPr>
        <w:t xml:space="preserve"> </w:t>
      </w:r>
      <w:r>
        <w:rPr>
          <w:rFonts w:ascii="Times New Roman" w:eastAsia="Times New Roman" w:hAnsi="Times New Roman" w:cs="Times New Roman"/>
          <w:color w:val="212121"/>
          <w:sz w:val="28"/>
          <w:szCs w:val="28"/>
          <w:lang w:eastAsia="zh-CN" w:bidi="hi-IN"/>
        </w:rPr>
        <w:t>пептидогликана</w:t>
      </w:r>
      <w:r>
        <w:rPr>
          <w:rFonts w:ascii="Times New Roman" w:eastAsia="Times New Roman" w:hAnsi="Times New Roman" w:cs="Times New Roman"/>
          <w:color w:val="212121"/>
          <w:spacing w:val="-10"/>
          <w:sz w:val="28"/>
          <w:szCs w:val="28"/>
          <w:lang w:eastAsia="zh-CN" w:bidi="hi-IN"/>
        </w:rPr>
        <w:t xml:space="preserve"> </w:t>
      </w:r>
      <w:r>
        <w:rPr>
          <w:rFonts w:ascii="Times New Roman" w:eastAsia="Times New Roman" w:hAnsi="Times New Roman" w:cs="Times New Roman"/>
          <w:color w:val="212121"/>
          <w:sz w:val="28"/>
          <w:szCs w:val="28"/>
          <w:lang w:eastAsia="zh-CN" w:bidi="hi-IN"/>
        </w:rPr>
        <w:t>[</w:t>
      </w:r>
      <w:r>
        <w:rPr>
          <w:rFonts w:ascii="Times New Roman" w:eastAsia="Times New Roman" w:hAnsi="Times New Roman" w:cs="Times New Roman"/>
          <w:color w:val="101010"/>
          <w:sz w:val="28"/>
          <w:szCs w:val="28"/>
          <w:lang w:eastAsia="zh-CN" w:bidi="hi-IN"/>
        </w:rPr>
        <w:t>6</w:t>
      </w:r>
      <w:r>
        <w:rPr>
          <w:rFonts w:ascii="Times New Roman" w:eastAsia="Times New Roman" w:hAnsi="Times New Roman" w:cs="Times New Roman"/>
          <w:color w:val="212121"/>
          <w:sz w:val="28"/>
          <w:szCs w:val="28"/>
          <w:lang w:eastAsia="zh-CN" w:bidi="hi-IN"/>
        </w:rPr>
        <w:t>].</w:t>
      </w:r>
    </w:p>
    <w:p w:rsidR="00E17FE1" w:rsidRDefault="00813F75">
      <w:pPr>
        <w:widowControl w:val="0"/>
        <w:suppressAutoHyphens/>
        <w:spacing w:after="0" w:line="240" w:lineRule="auto"/>
        <w:ind w:firstLine="567"/>
        <w:jc w:val="center"/>
        <w:rPr>
          <w:rFonts w:ascii="Times New Roman" w:eastAsia="NSimSun" w:hAnsi="Times New Roman" w:cs="Times New Roman"/>
          <w:sz w:val="28"/>
          <w:szCs w:val="28"/>
          <w:lang w:eastAsia="zh-CN" w:bidi="hi-IN"/>
        </w:rPr>
      </w:pPr>
      <w:r>
        <w:rPr>
          <w:rFonts w:ascii="Times New Roman" w:eastAsia="NSimSun" w:hAnsi="Times New Roman" w:cs="Times New Roman"/>
          <w:noProof/>
          <w:sz w:val="28"/>
          <w:szCs w:val="28"/>
          <w:lang w:eastAsia="ru-RU"/>
        </w:rPr>
        <w:drawing>
          <wp:inline distT="0" distB="0" distL="0" distR="0">
            <wp:extent cx="5243613" cy="4863962"/>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cstate="print"/>
                    <a:srcRect/>
                    <a:stretch>
                      <a:fillRect/>
                    </a:stretch>
                  </pic:blipFill>
                  <pic:spPr bwMode="auto">
                    <a:xfrm>
                      <a:off x="0" y="0"/>
                      <a:ext cx="5248265" cy="4868277"/>
                    </a:xfrm>
                    <a:prstGeom prst="rect">
                      <a:avLst/>
                    </a:prstGeom>
                    <a:noFill/>
                    <a:ln w="9525">
                      <a:noFill/>
                      <a:miter lim="800000"/>
                      <a:headEnd/>
                      <a:tailEnd/>
                    </a:ln>
                  </pic:spPr>
                </pic:pic>
              </a:graphicData>
            </a:graphic>
          </wp:inline>
        </w:drawing>
      </w:r>
    </w:p>
    <w:p w:rsidR="00E17FE1" w:rsidRDefault="00E17FE1">
      <w:pPr>
        <w:shd w:val="clear" w:color="auto" w:fill="FFFFFF"/>
        <w:spacing w:after="0" w:line="240" w:lineRule="auto"/>
        <w:ind w:firstLine="567"/>
        <w:jc w:val="center"/>
        <w:rPr>
          <w:rFonts w:ascii="Times New Roman" w:eastAsia="NSimSun" w:hAnsi="Times New Roman" w:cs="Times New Roman"/>
          <w:sz w:val="28"/>
          <w:szCs w:val="28"/>
          <w:lang w:eastAsia="zh-CN" w:bidi="hi-IN"/>
        </w:rPr>
      </w:pPr>
    </w:p>
    <w:p w:rsidR="00E17FE1" w:rsidRDefault="00BB58D7">
      <w:pPr>
        <w:shd w:val="clear" w:color="auto" w:fill="FFFFFF"/>
        <w:spacing w:after="0" w:line="240" w:lineRule="auto"/>
        <w:ind w:firstLine="567"/>
        <w:jc w:val="center"/>
        <w:rPr>
          <w:rFonts w:ascii="Times New Roman" w:eastAsia="Times New Roman" w:hAnsi="Times New Roman" w:cs="Times New Roman"/>
          <w:sz w:val="28"/>
          <w:szCs w:val="28"/>
          <w:lang w:eastAsia="ru-RU" w:bidi="hi-IN"/>
        </w:rPr>
      </w:pPr>
      <w:r>
        <w:rPr>
          <w:rFonts w:ascii="Times New Roman" w:eastAsia="NSimSun" w:hAnsi="Times New Roman" w:cs="Times New Roman"/>
          <w:sz w:val="28"/>
          <w:szCs w:val="28"/>
          <w:lang w:eastAsia="zh-CN" w:bidi="hi-IN"/>
        </w:rPr>
        <w:t>Рисунок 36</w:t>
      </w:r>
      <w:r w:rsidR="006737E3">
        <w:rPr>
          <w:rFonts w:ascii="Times New Roman" w:eastAsia="Times New Roman" w:hAnsi="Times New Roman" w:cs="Times New Roman"/>
          <w:sz w:val="28"/>
          <w:szCs w:val="28"/>
          <w:lang w:eastAsia="ru-RU"/>
        </w:rPr>
        <w:t xml:space="preserve"> </w:t>
      </w:r>
      <w:r w:rsidR="006737E3" w:rsidRPr="00A551EF">
        <w:rPr>
          <w:rFonts w:cs="Times New Roman"/>
          <w:bCs/>
          <w:iCs/>
          <w:sz w:val="28"/>
          <w:szCs w:val="28"/>
        </w:rPr>
        <w:sym w:font="Symbol" w:char="F02D"/>
      </w:r>
      <w:r w:rsidR="006737E3">
        <w:rPr>
          <w:rFonts w:ascii="Times New Roman" w:eastAsia="Times New Roman" w:hAnsi="Times New Roman" w:cs="Times New Roman"/>
          <w:sz w:val="28"/>
          <w:szCs w:val="28"/>
          <w:lang w:eastAsia="ru-RU"/>
        </w:rPr>
        <w:t xml:space="preserve"> </w:t>
      </w:r>
      <w:r>
        <w:rPr>
          <w:rFonts w:ascii="Times New Roman" w:eastAsia="NSimSun" w:hAnsi="Times New Roman" w:cs="Times New Roman"/>
          <w:sz w:val="28"/>
          <w:szCs w:val="28"/>
          <w:lang w:eastAsia="zh-CN" w:bidi="hi-IN"/>
        </w:rPr>
        <w:t xml:space="preserve">Анализ биопленки. А </w:t>
      </w:r>
      <w:r>
        <w:rPr>
          <w:rFonts w:ascii="Times New Roman" w:eastAsia="Times New Roman" w:hAnsi="Times New Roman" w:cs="Times New Roman"/>
          <w:sz w:val="28"/>
          <w:szCs w:val="28"/>
          <w:lang w:eastAsia="ru-RU" w:bidi="hi-IN"/>
        </w:rPr>
        <w:t>–</w:t>
      </w:r>
      <w:r>
        <w:rPr>
          <w:rFonts w:ascii="Times New Roman" w:eastAsia="NSimSun" w:hAnsi="Times New Roman" w:cs="Times New Roman"/>
          <w:sz w:val="28"/>
          <w:szCs w:val="28"/>
          <w:lang w:eastAsia="zh-CN" w:bidi="hi-IN"/>
        </w:rPr>
        <w:t xml:space="preserve"> Визуализация</w:t>
      </w:r>
      <w:r>
        <w:rPr>
          <w:rFonts w:ascii="Times New Roman" w:eastAsia="Times New Roman" w:hAnsi="Times New Roman" w:cs="Times New Roman"/>
          <w:sz w:val="28"/>
          <w:szCs w:val="28"/>
          <w:lang w:eastAsia="ru-RU" w:bidi="hi-IN"/>
        </w:rPr>
        <w:t xml:space="preserve"> образования биопленок на поверхности исследуемых материалов размещенных в луночном планшете; В – Оптическая плотность биопленок при длине волны 570 нм;  </w:t>
      </w:r>
      <w:proofErr w:type="gramStart"/>
      <w:r>
        <w:rPr>
          <w:rFonts w:ascii="Times New Roman" w:eastAsia="Times New Roman" w:hAnsi="Times New Roman" w:cs="Times New Roman"/>
          <w:sz w:val="28"/>
          <w:szCs w:val="28"/>
          <w:lang w:eastAsia="ru-RU" w:bidi="hi-IN"/>
        </w:rPr>
        <w:t>С</w:t>
      </w:r>
      <w:proofErr w:type="gramEnd"/>
      <w:r>
        <w:rPr>
          <w:rFonts w:ascii="Times New Roman" w:eastAsia="Times New Roman" w:hAnsi="Times New Roman" w:cs="Times New Roman"/>
          <w:sz w:val="28"/>
          <w:szCs w:val="28"/>
          <w:lang w:eastAsia="ru-RU" w:bidi="hi-IN"/>
        </w:rPr>
        <w:t xml:space="preserve"> – Морфология биопленок</w:t>
      </w:r>
    </w:p>
    <w:p w:rsidR="00E17FE1" w:rsidRDefault="00E17FE1">
      <w:pPr>
        <w:widowControl w:val="0"/>
        <w:autoSpaceDE w:val="0"/>
        <w:autoSpaceDN w:val="0"/>
        <w:spacing w:after="0" w:line="240" w:lineRule="auto"/>
        <w:ind w:firstLine="567"/>
        <w:jc w:val="both"/>
        <w:rPr>
          <w:rFonts w:ascii="Times New Roman" w:eastAsia="Times New Roman" w:hAnsi="Times New Roman" w:cs="Times New Roman"/>
          <w:sz w:val="28"/>
          <w:szCs w:val="28"/>
          <w:highlight w:val="yellow"/>
          <w:lang w:eastAsia="zh-CN" w:bidi="hi-IN"/>
        </w:rPr>
      </w:pP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color w:val="101010"/>
          <w:sz w:val="28"/>
          <w:szCs w:val="28"/>
          <w:lang w:eastAsia="zh-CN" w:bidi="hi-IN"/>
        </w:rPr>
      </w:pPr>
      <w:r>
        <w:rPr>
          <w:rFonts w:ascii="Times New Roman" w:eastAsia="Times New Roman" w:hAnsi="Times New Roman" w:cs="Times New Roman"/>
          <w:sz w:val="28"/>
          <w:szCs w:val="28"/>
          <w:lang w:eastAsia="zh-CN" w:bidi="hi-IN"/>
        </w:rPr>
        <w:t>Еще</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одним</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фактором,</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который влияет на антимикробную активность композитов является поверхностный заряд</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pacing w:val="-1"/>
          <w:sz w:val="28"/>
          <w:szCs w:val="28"/>
          <w:lang w:eastAsia="zh-CN" w:bidi="hi-IN"/>
        </w:rPr>
        <w:t>материала</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pacing w:val="-1"/>
          <w:sz w:val="28"/>
          <w:szCs w:val="28"/>
          <w:lang w:eastAsia="zh-CN" w:bidi="hi-IN"/>
        </w:rPr>
        <w:t>и</w:t>
      </w:r>
      <w:r>
        <w:rPr>
          <w:rFonts w:ascii="Times New Roman" w:eastAsia="Times New Roman" w:hAnsi="Times New Roman" w:cs="Times New Roman"/>
          <w:spacing w:val="-13"/>
          <w:sz w:val="28"/>
          <w:szCs w:val="28"/>
          <w:lang w:eastAsia="zh-CN" w:bidi="hi-IN"/>
        </w:rPr>
        <w:t xml:space="preserve"> клеток </w:t>
      </w:r>
      <w:proofErr w:type="gramStart"/>
      <w:r>
        <w:rPr>
          <w:rFonts w:ascii="Times New Roman" w:eastAsia="Times New Roman" w:hAnsi="Times New Roman" w:cs="Times New Roman"/>
          <w:spacing w:val="-1"/>
          <w:sz w:val="28"/>
          <w:szCs w:val="28"/>
          <w:lang w:eastAsia="zh-CN" w:bidi="hi-IN"/>
        </w:rPr>
        <w:t>тест-мишеней</w:t>
      </w:r>
      <w:proofErr w:type="gramEnd"/>
      <w:r>
        <w:rPr>
          <w:rFonts w:ascii="Times New Roman" w:eastAsia="Times New Roman" w:hAnsi="Times New Roman" w:cs="Times New Roman"/>
          <w:spacing w:val="-1"/>
          <w:sz w:val="28"/>
          <w:szCs w:val="28"/>
          <w:lang w:eastAsia="zh-CN" w:bidi="hi-IN"/>
        </w:rPr>
        <w:t>.</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pacing w:val="-1"/>
          <w:sz w:val="28"/>
          <w:szCs w:val="28"/>
          <w:lang w:eastAsia="zh-CN" w:bidi="hi-IN"/>
        </w:rPr>
        <w:t>Противоположные</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заряды</w:t>
      </w:r>
      <w:r>
        <w:rPr>
          <w:rFonts w:ascii="Times New Roman" w:eastAsia="Times New Roman" w:hAnsi="Times New Roman" w:cs="Times New Roman"/>
          <w:spacing w:val="22"/>
          <w:sz w:val="28"/>
          <w:szCs w:val="28"/>
          <w:lang w:eastAsia="zh-CN" w:bidi="hi-IN"/>
        </w:rPr>
        <w:t xml:space="preserve"> </w:t>
      </w:r>
      <w:r>
        <w:rPr>
          <w:rFonts w:ascii="Times New Roman" w:eastAsia="Times New Roman" w:hAnsi="Times New Roman" w:cs="Times New Roman"/>
          <w:sz w:val="28"/>
          <w:szCs w:val="28"/>
          <w:lang w:eastAsia="zh-CN" w:bidi="hi-IN"/>
        </w:rPr>
        <w:t>композита</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бактерий</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способствуют</w:t>
      </w:r>
      <w:r>
        <w:rPr>
          <w:rFonts w:ascii="Times New Roman" w:eastAsia="Times New Roman" w:hAnsi="Times New Roman" w:cs="Times New Roman"/>
          <w:spacing w:val="-58"/>
          <w:sz w:val="28"/>
          <w:szCs w:val="28"/>
          <w:lang w:eastAsia="zh-CN" w:bidi="hi-IN"/>
        </w:rPr>
        <w:t xml:space="preserve"> </w:t>
      </w:r>
      <w:r>
        <w:rPr>
          <w:rFonts w:ascii="Times New Roman" w:eastAsia="Times New Roman" w:hAnsi="Times New Roman" w:cs="Times New Roman"/>
          <w:sz w:val="28"/>
          <w:szCs w:val="28"/>
          <w:lang w:eastAsia="zh-CN" w:bidi="hi-IN"/>
        </w:rPr>
        <w:t>притяжению и адсорбции наночастиц на мембране. В результате взаимодействия</w:t>
      </w:r>
      <w:r>
        <w:rPr>
          <w:rFonts w:ascii="Times New Roman" w:eastAsia="Times New Roman" w:hAnsi="Times New Roman" w:cs="Times New Roman"/>
          <w:spacing w:val="-57"/>
          <w:sz w:val="28"/>
          <w:szCs w:val="28"/>
          <w:lang w:eastAsia="zh-CN" w:bidi="hi-IN"/>
        </w:rPr>
        <w:t xml:space="preserve"> </w:t>
      </w:r>
      <w:r>
        <w:rPr>
          <w:rFonts w:ascii="Times New Roman" w:eastAsia="Times New Roman" w:hAnsi="Times New Roman" w:cs="Times New Roman"/>
          <w:spacing w:val="-1"/>
          <w:sz w:val="28"/>
          <w:szCs w:val="28"/>
          <w:lang w:eastAsia="zh-CN" w:bidi="hi-IN"/>
        </w:rPr>
        <w:t>с</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pacing w:val="-1"/>
          <w:sz w:val="28"/>
          <w:szCs w:val="28"/>
          <w:lang w:eastAsia="zh-CN" w:bidi="hi-IN"/>
        </w:rPr>
        <w:t xml:space="preserve">материалом, содержащим </w:t>
      </w:r>
      <w:r>
        <w:rPr>
          <w:rFonts w:ascii="Times New Roman" w:eastAsia="Times New Roman" w:hAnsi="Times New Roman" w:cs="Times New Roman"/>
          <w:color w:val="212121"/>
          <w:sz w:val="28"/>
          <w:szCs w:val="28"/>
          <w:lang w:eastAsia="zh-CN" w:bidi="hi-IN"/>
        </w:rPr>
        <w:t>Mxen</w:t>
      </w:r>
      <w:proofErr w:type="gramStart"/>
      <w:r>
        <w:rPr>
          <w:rFonts w:ascii="Times New Roman" w:eastAsia="Times New Roman" w:hAnsi="Times New Roman" w:cs="Times New Roman"/>
          <w:color w:val="212121"/>
          <w:sz w:val="28"/>
          <w:szCs w:val="28"/>
          <w:lang w:eastAsia="zh-CN" w:bidi="hi-IN"/>
        </w:rPr>
        <w:t>е</w:t>
      </w:r>
      <w:proofErr w:type="gramEnd"/>
      <w:r>
        <w:rPr>
          <w:rFonts w:ascii="Times New Roman" w:eastAsia="Times New Roman" w:hAnsi="Times New Roman" w:cs="Times New Roman"/>
          <w:color w:val="212121"/>
          <w:sz w:val="28"/>
          <w:szCs w:val="28"/>
          <w:lang w:eastAsia="zh-CN" w:bidi="hi-IN"/>
        </w:rPr>
        <w:t>,</w:t>
      </w:r>
      <w:r>
        <w:rPr>
          <w:rFonts w:ascii="Times New Roman" w:eastAsia="Times New Roman" w:hAnsi="Times New Roman" w:cs="Times New Roman"/>
          <w:spacing w:val="-10"/>
          <w:sz w:val="28"/>
          <w:szCs w:val="28"/>
          <w:lang w:eastAsia="zh-CN" w:bidi="hi-IN"/>
        </w:rPr>
        <w:t xml:space="preserve"> </w:t>
      </w:r>
      <w:r>
        <w:rPr>
          <w:rFonts w:ascii="Times New Roman" w:eastAsia="Times New Roman" w:hAnsi="Times New Roman" w:cs="Times New Roman"/>
          <w:spacing w:val="-1"/>
          <w:sz w:val="28"/>
          <w:szCs w:val="28"/>
          <w:lang w:eastAsia="zh-CN" w:bidi="hi-IN"/>
        </w:rPr>
        <w:t xml:space="preserve">нарушается </w:t>
      </w:r>
      <w:r>
        <w:rPr>
          <w:rFonts w:ascii="Times New Roman" w:eastAsia="Times New Roman" w:hAnsi="Times New Roman" w:cs="Times New Roman"/>
          <w:spacing w:val="-13"/>
          <w:sz w:val="28"/>
          <w:szCs w:val="28"/>
          <w:lang w:eastAsia="zh-CN" w:bidi="hi-IN"/>
        </w:rPr>
        <w:t xml:space="preserve"> ее </w:t>
      </w:r>
      <w:r>
        <w:rPr>
          <w:rFonts w:ascii="Times New Roman" w:eastAsia="Times New Roman" w:hAnsi="Times New Roman" w:cs="Times New Roman"/>
          <w:spacing w:val="-1"/>
          <w:sz w:val="28"/>
          <w:szCs w:val="28"/>
          <w:lang w:eastAsia="zh-CN" w:bidi="hi-IN"/>
        </w:rPr>
        <w:t>целостность</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pacing w:val="-14"/>
          <w:sz w:val="28"/>
          <w:szCs w:val="28"/>
          <w:lang w:eastAsia="zh-CN" w:bidi="hi-IN"/>
        </w:rPr>
        <w:t xml:space="preserve"> </w:t>
      </w:r>
      <w:r>
        <w:rPr>
          <w:rFonts w:ascii="Times New Roman" w:eastAsia="Times New Roman" w:hAnsi="Times New Roman" w:cs="Times New Roman"/>
          <w:sz w:val="28"/>
          <w:szCs w:val="28"/>
          <w:lang w:eastAsia="zh-CN" w:bidi="hi-IN"/>
        </w:rPr>
        <w:t>а за этим следует</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утечка</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клеточных</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 xml:space="preserve">компонентов. Через сделанные </w:t>
      </w:r>
      <w:r>
        <w:rPr>
          <w:rFonts w:ascii="Times New Roman" w:eastAsia="Times New Roman" w:hAnsi="Times New Roman" w:cs="Times New Roman"/>
          <w:color w:val="212121"/>
          <w:sz w:val="28"/>
          <w:szCs w:val="28"/>
          <w:lang w:eastAsia="zh-CN" w:bidi="hi-IN"/>
        </w:rPr>
        <w:t>Mxen</w:t>
      </w:r>
      <w:proofErr w:type="gramStart"/>
      <w:r>
        <w:rPr>
          <w:rFonts w:ascii="Times New Roman" w:eastAsia="Times New Roman" w:hAnsi="Times New Roman" w:cs="Times New Roman"/>
          <w:color w:val="212121"/>
          <w:sz w:val="28"/>
          <w:szCs w:val="28"/>
          <w:lang w:eastAsia="zh-CN" w:bidi="hi-IN"/>
        </w:rPr>
        <w:t>е</w:t>
      </w:r>
      <w:proofErr w:type="gramEnd"/>
      <w:r>
        <w:rPr>
          <w:rFonts w:ascii="Times New Roman" w:eastAsia="Times New Roman" w:hAnsi="Times New Roman" w:cs="Times New Roman"/>
          <w:color w:val="212121"/>
          <w:sz w:val="28"/>
          <w:szCs w:val="28"/>
          <w:lang w:eastAsia="zh-CN" w:bidi="hi-IN"/>
        </w:rPr>
        <w:t xml:space="preserve">-ом </w:t>
      </w:r>
      <w:r>
        <w:rPr>
          <w:rFonts w:ascii="Times New Roman" w:eastAsia="Times New Roman" w:hAnsi="Times New Roman" w:cs="Times New Roman"/>
          <w:sz w:val="28"/>
          <w:szCs w:val="28"/>
          <w:lang w:eastAsia="zh-CN" w:bidi="hi-IN"/>
        </w:rPr>
        <w:t>«дырки», он проникает в клетку</w:t>
      </w:r>
      <w:r>
        <w:rPr>
          <w:rFonts w:ascii="Times New Roman" w:eastAsia="Times New Roman" w:hAnsi="Times New Roman" w:cs="Times New Roman"/>
          <w:color w:val="212121"/>
          <w:sz w:val="28"/>
          <w:szCs w:val="28"/>
          <w:lang w:eastAsia="zh-CN" w:bidi="hi-IN"/>
        </w:rPr>
        <w:t xml:space="preserve">, а там он </w:t>
      </w:r>
      <w:r>
        <w:rPr>
          <w:rFonts w:ascii="Times New Roman" w:eastAsia="Times New Roman" w:hAnsi="Times New Roman" w:cs="Times New Roman"/>
          <w:sz w:val="28"/>
          <w:szCs w:val="28"/>
          <w:lang w:eastAsia="zh-CN" w:bidi="hi-IN"/>
        </w:rPr>
        <w:t>может</w:t>
      </w:r>
      <w:r>
        <w:rPr>
          <w:rFonts w:ascii="Times New Roman" w:eastAsia="Times New Roman" w:hAnsi="Times New Roman" w:cs="Times New Roman"/>
          <w:spacing w:val="-13"/>
          <w:sz w:val="28"/>
          <w:szCs w:val="28"/>
          <w:lang w:eastAsia="zh-CN" w:bidi="hi-IN"/>
        </w:rPr>
        <w:t xml:space="preserve"> </w:t>
      </w:r>
      <w:r>
        <w:rPr>
          <w:rFonts w:ascii="Times New Roman" w:eastAsia="Times New Roman" w:hAnsi="Times New Roman" w:cs="Times New Roman"/>
          <w:sz w:val="28"/>
          <w:szCs w:val="28"/>
          <w:lang w:eastAsia="zh-CN" w:bidi="hi-IN"/>
        </w:rPr>
        <w:t>образовывать</w:t>
      </w:r>
      <w:r>
        <w:rPr>
          <w:rFonts w:ascii="Times New Roman" w:eastAsia="Times New Roman" w:hAnsi="Times New Roman" w:cs="Times New Roman"/>
          <w:spacing w:val="-11"/>
          <w:sz w:val="28"/>
          <w:szCs w:val="28"/>
          <w:lang w:eastAsia="zh-CN" w:bidi="hi-IN"/>
        </w:rPr>
        <w:t xml:space="preserve"> </w:t>
      </w:r>
      <w:r>
        <w:rPr>
          <w:rFonts w:ascii="Times New Roman" w:eastAsia="Times New Roman" w:hAnsi="Times New Roman" w:cs="Times New Roman"/>
          <w:sz w:val="28"/>
          <w:szCs w:val="28"/>
          <w:lang w:eastAsia="zh-CN" w:bidi="hi-IN"/>
        </w:rPr>
        <w:t>активные</w:t>
      </w:r>
      <w:r>
        <w:rPr>
          <w:rFonts w:ascii="Times New Roman" w:eastAsia="Times New Roman" w:hAnsi="Times New Roman" w:cs="Times New Roman"/>
          <w:spacing w:val="-12"/>
          <w:sz w:val="28"/>
          <w:szCs w:val="28"/>
          <w:lang w:eastAsia="zh-CN" w:bidi="hi-IN"/>
        </w:rPr>
        <w:t xml:space="preserve"> </w:t>
      </w:r>
      <w:r>
        <w:rPr>
          <w:rFonts w:ascii="Times New Roman" w:eastAsia="Times New Roman" w:hAnsi="Times New Roman" w:cs="Times New Roman"/>
          <w:sz w:val="28"/>
          <w:szCs w:val="28"/>
          <w:lang w:eastAsia="zh-CN" w:bidi="hi-IN"/>
        </w:rPr>
        <w:t>формы кислорода,</w:t>
      </w:r>
      <w:r>
        <w:rPr>
          <w:rFonts w:ascii="Times New Roman" w:eastAsia="Times New Roman" w:hAnsi="Times New Roman" w:cs="Times New Roman"/>
          <w:spacing w:val="-9"/>
          <w:sz w:val="28"/>
          <w:szCs w:val="28"/>
          <w:lang w:eastAsia="zh-CN" w:bidi="hi-IN"/>
        </w:rPr>
        <w:t xml:space="preserve"> </w:t>
      </w:r>
      <w:r>
        <w:rPr>
          <w:rFonts w:ascii="Times New Roman" w:eastAsia="Times New Roman" w:hAnsi="Times New Roman" w:cs="Times New Roman"/>
          <w:sz w:val="28"/>
          <w:szCs w:val="28"/>
          <w:lang w:eastAsia="zh-CN" w:bidi="hi-IN"/>
        </w:rPr>
        <w:t>такие как супероксидные анионы (O</w:t>
      </w:r>
      <w:r>
        <w:rPr>
          <w:rFonts w:ascii="Times New Roman" w:eastAsia="Times New Roman" w:hAnsi="Times New Roman" w:cs="Times New Roman"/>
          <w:sz w:val="28"/>
          <w:szCs w:val="28"/>
          <w:vertAlign w:val="subscript"/>
          <w:lang w:eastAsia="zh-CN" w:bidi="hi-IN"/>
        </w:rPr>
        <w:t>2</w:t>
      </w:r>
      <w:r>
        <w:rPr>
          <w:rFonts w:ascii="Cambria Math" w:eastAsia="Times New Roman" w:hAnsi="Cambria Math" w:cs="Cambria Math"/>
          <w:sz w:val="28"/>
          <w:szCs w:val="28"/>
          <w:lang w:eastAsia="zh-CN" w:bidi="hi-IN"/>
        </w:rPr>
        <w:t>⁻</w:t>
      </w:r>
      <w:r>
        <w:rPr>
          <w:rFonts w:ascii="Times New Roman" w:eastAsia="Times New Roman" w:hAnsi="Times New Roman" w:cs="Times New Roman"/>
          <w:sz w:val="28"/>
          <w:szCs w:val="28"/>
          <w:lang w:eastAsia="zh-CN" w:bidi="hi-IN"/>
        </w:rPr>
        <w:t>), перекись водорода (H</w:t>
      </w:r>
      <w:r>
        <w:rPr>
          <w:rFonts w:ascii="Times New Roman" w:eastAsia="Times New Roman" w:hAnsi="Times New Roman" w:cs="Times New Roman"/>
          <w:sz w:val="28"/>
          <w:szCs w:val="28"/>
          <w:vertAlign w:val="subscript"/>
          <w:lang w:eastAsia="zh-CN" w:bidi="hi-IN"/>
        </w:rPr>
        <w:t>2</w:t>
      </w:r>
      <w:r>
        <w:rPr>
          <w:rFonts w:ascii="Times New Roman" w:eastAsia="Times New Roman" w:hAnsi="Times New Roman" w:cs="Times New Roman"/>
          <w:sz w:val="28"/>
          <w:szCs w:val="28"/>
          <w:lang w:eastAsia="zh-CN" w:bidi="hi-IN"/>
        </w:rPr>
        <w:t>O</w:t>
      </w:r>
      <w:r>
        <w:rPr>
          <w:rFonts w:ascii="Times New Roman" w:eastAsia="Times New Roman" w:hAnsi="Times New Roman" w:cs="Times New Roman"/>
          <w:sz w:val="28"/>
          <w:szCs w:val="28"/>
          <w:vertAlign w:val="subscript"/>
          <w:lang w:eastAsia="zh-CN" w:bidi="hi-IN"/>
        </w:rPr>
        <w:t>2</w:t>
      </w:r>
      <w:r>
        <w:rPr>
          <w:rFonts w:ascii="Times New Roman" w:eastAsia="Times New Roman" w:hAnsi="Times New Roman" w:cs="Times New Roman"/>
          <w:sz w:val="28"/>
          <w:szCs w:val="28"/>
          <w:lang w:eastAsia="zh-CN" w:bidi="hi-IN"/>
        </w:rPr>
        <w:t>) и гидроксильные радикалы</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(-OH).</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Во</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многих</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и</w:t>
      </w:r>
      <w:r>
        <w:rPr>
          <w:rFonts w:ascii="Times New Roman" w:eastAsia="Times New Roman" w:hAnsi="Times New Roman" w:cs="Times New Roman"/>
          <w:color w:val="141414"/>
          <w:sz w:val="28"/>
          <w:szCs w:val="28"/>
          <w:lang w:eastAsia="zh-CN" w:bidi="hi-IN"/>
        </w:rPr>
        <w:t>сследованиях постулируется, что окислительный стресс является общим механизмом</w:t>
      </w:r>
      <w:r>
        <w:rPr>
          <w:rFonts w:ascii="Times New Roman" w:eastAsia="Times New Roman" w:hAnsi="Times New Roman" w:cs="Times New Roman"/>
          <w:color w:val="141414"/>
          <w:spacing w:val="1"/>
          <w:sz w:val="28"/>
          <w:szCs w:val="28"/>
          <w:lang w:eastAsia="zh-CN" w:bidi="hi-IN"/>
        </w:rPr>
        <w:t xml:space="preserve"> </w:t>
      </w:r>
      <w:r>
        <w:rPr>
          <w:rFonts w:ascii="Times New Roman" w:eastAsia="Times New Roman" w:hAnsi="Times New Roman" w:cs="Times New Roman"/>
          <w:color w:val="141414"/>
          <w:sz w:val="28"/>
          <w:szCs w:val="28"/>
          <w:lang w:eastAsia="zh-CN" w:bidi="hi-IN"/>
        </w:rPr>
        <w:t>антибактериальн</w:t>
      </w:r>
      <w:r>
        <w:rPr>
          <w:rFonts w:ascii="Times New Roman" w:eastAsia="Times New Roman" w:hAnsi="Times New Roman" w:cs="Times New Roman"/>
          <w:color w:val="101010"/>
          <w:sz w:val="28"/>
          <w:szCs w:val="28"/>
          <w:lang w:eastAsia="zh-CN" w:bidi="hi-IN"/>
        </w:rPr>
        <w:t>ой активности</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наноматериалов на основе металлов, оксидов металлов и</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 xml:space="preserve">углерода </w:t>
      </w:r>
      <w:r>
        <w:rPr>
          <w:rFonts w:ascii="Times New Roman" w:eastAsia="Times New Roman" w:hAnsi="Times New Roman" w:cs="Times New Roman"/>
          <w:color w:val="101010"/>
          <w:spacing w:val="1"/>
          <w:sz w:val="28"/>
          <w:szCs w:val="28"/>
          <w:lang w:eastAsia="zh-CN" w:bidi="hi-IN"/>
        </w:rPr>
        <w:t xml:space="preserve"> </w:t>
      </w:r>
      <w:r>
        <w:rPr>
          <w:rFonts w:ascii="Times New Roman" w:eastAsia="Times New Roman" w:hAnsi="Times New Roman" w:cs="Times New Roman"/>
          <w:color w:val="101010"/>
          <w:sz w:val="28"/>
          <w:szCs w:val="28"/>
          <w:lang w:eastAsia="zh-CN" w:bidi="hi-IN"/>
        </w:rPr>
        <w:t>[</w:t>
      </w:r>
      <w:r>
        <w:rPr>
          <w:rFonts w:ascii="Times New Roman" w:eastAsia="Times New Roman" w:hAnsi="Times New Roman" w:cs="Times New Roman"/>
          <w:color w:val="141414"/>
          <w:sz w:val="28"/>
          <w:szCs w:val="28"/>
          <w:lang w:eastAsia="zh-CN" w:bidi="hi-IN"/>
        </w:rPr>
        <w:t>255-257</w:t>
      </w:r>
      <w:r>
        <w:rPr>
          <w:rFonts w:ascii="Times New Roman" w:eastAsia="Times New Roman" w:hAnsi="Times New Roman" w:cs="Times New Roman"/>
          <w:color w:val="101010"/>
          <w:sz w:val="28"/>
          <w:szCs w:val="28"/>
          <w:lang w:eastAsia="zh-CN" w:bidi="hi-IN"/>
        </w:rPr>
        <w:t xml:space="preserve">]. </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lastRenderedPageBreak/>
        <w:t xml:space="preserve">Похожий феномен наблюдается и для </w:t>
      </w:r>
      <w:r>
        <w:rPr>
          <w:rFonts w:ascii="Times New Roman" w:eastAsia="Times New Roman" w:hAnsi="Times New Roman" w:cs="Times New Roman"/>
          <w:sz w:val="28"/>
          <w:szCs w:val="28"/>
          <w:lang w:val="kk-KZ" w:eastAsia="zh-CN" w:bidi="hi-IN"/>
        </w:rPr>
        <w:t>двухвидовой биопленки: статистически значимое (</w:t>
      </w:r>
      <w:proofErr w:type="gramStart"/>
      <w:r>
        <w:rPr>
          <w:rFonts w:ascii="Times New Roman" w:eastAsia="Times New Roman" w:hAnsi="Times New Roman" w:cs="Times New Roman"/>
          <w:sz w:val="28"/>
          <w:szCs w:val="28"/>
          <w:lang w:val="kk-KZ" w:eastAsia="zh-CN" w:bidi="hi-IN"/>
        </w:rPr>
        <w:t>р</w:t>
      </w:r>
      <w:proofErr w:type="gramEnd"/>
      <w:r>
        <w:rPr>
          <w:rFonts w:ascii="Times New Roman" w:eastAsia="Times New Roman" w:hAnsi="Times New Roman" w:cs="Times New Roman"/>
          <w:sz w:val="28"/>
          <w:szCs w:val="28"/>
          <w:lang w:val="kk-KZ" w:eastAsia="zh-CN" w:bidi="hi-IN"/>
        </w:rPr>
        <w:t xml:space="preserve"> &lt; 0,05) снижение интенсивности окрашивания по сравнению с контрольным вариантом (только БЦ)  обнаружено  на дисках, в которых присутствует </w:t>
      </w:r>
      <w:r>
        <w:rPr>
          <w:rFonts w:ascii="Times New Roman" w:eastAsia="Times New Roman" w:hAnsi="Times New Roman" w:cs="Times New Roman"/>
          <w:color w:val="212121"/>
          <w:sz w:val="28"/>
          <w:szCs w:val="28"/>
          <w:lang w:eastAsia="zh-CN" w:bidi="hi-IN"/>
        </w:rPr>
        <w:t>MХene</w:t>
      </w:r>
      <w:r>
        <w:rPr>
          <w:rFonts w:ascii="Times New Roman" w:eastAsia="Times New Roman" w:hAnsi="Times New Roman" w:cs="Times New Roman"/>
          <w:sz w:val="28"/>
          <w:szCs w:val="28"/>
          <w:lang w:val="kk-KZ" w:eastAsia="zh-CN" w:bidi="hi-IN"/>
        </w:rPr>
        <w:t xml:space="preserve">.  </w:t>
      </w:r>
      <w:r>
        <w:rPr>
          <w:rFonts w:ascii="Times New Roman" w:eastAsia="Times New Roman" w:hAnsi="Times New Roman" w:cs="Times New Roman"/>
          <w:color w:val="212121"/>
          <w:sz w:val="28"/>
          <w:szCs w:val="28"/>
          <w:lang w:eastAsia="zh-CN" w:bidi="hi-IN"/>
        </w:rPr>
        <w:t>Максимальная редукция развития биопленки</w:t>
      </w:r>
      <w:r>
        <w:rPr>
          <w:rFonts w:ascii="Times New Roman" w:eastAsia="Times New Roman" w:hAnsi="Times New Roman" w:cs="Times New Roman"/>
          <w:sz w:val="28"/>
          <w:szCs w:val="28"/>
          <w:lang w:val="kk-KZ" w:eastAsia="zh-CN" w:bidi="hi-IN"/>
        </w:rPr>
        <w:t xml:space="preserve"> (</w:t>
      </w:r>
      <w:r>
        <w:rPr>
          <w:rFonts w:ascii="Times New Roman" w:eastAsia="Times New Roman" w:hAnsi="Times New Roman" w:cs="Times New Roman"/>
          <w:color w:val="212121"/>
          <w:sz w:val="28"/>
          <w:szCs w:val="28"/>
          <w:lang w:eastAsia="zh-CN" w:bidi="hi-IN"/>
        </w:rPr>
        <w:t xml:space="preserve">на 80%) по сравнению с первым вариантом – БЦ продемонстрировано </w:t>
      </w:r>
      <w:r>
        <w:rPr>
          <w:rFonts w:ascii="Times New Roman" w:eastAsia="Times New Roman" w:hAnsi="Times New Roman" w:cs="Times New Roman"/>
          <w:sz w:val="28"/>
          <w:szCs w:val="28"/>
          <w:lang w:val="kk-KZ" w:eastAsia="zh-CN" w:bidi="hi-IN"/>
        </w:rPr>
        <w:t xml:space="preserve">на дисках </w:t>
      </w:r>
      <w:r>
        <w:rPr>
          <w:rFonts w:ascii="Times New Roman" w:eastAsia="Times New Roman" w:hAnsi="Times New Roman" w:cs="Times New Roman"/>
          <w:sz w:val="28"/>
          <w:szCs w:val="28"/>
          <w:lang w:eastAsia="zh-CN" w:bidi="hi-IN"/>
        </w:rPr>
        <w:t>БЦ/</w:t>
      </w:r>
      <w:r>
        <w:rPr>
          <w:rFonts w:ascii="Times New Roman" w:eastAsia="Times New Roman" w:hAnsi="Times New Roman" w:cs="Times New Roman"/>
          <w:sz w:val="28"/>
          <w:szCs w:val="28"/>
          <w:lang w:val="en-US" w:eastAsia="zh-CN" w:bidi="hi-IN"/>
        </w:rPr>
        <w:t>M</w:t>
      </w:r>
      <w:proofErr w:type="gramStart"/>
      <w:r>
        <w:rPr>
          <w:rFonts w:ascii="Times New Roman" w:eastAsia="Times New Roman" w:hAnsi="Times New Roman" w:cs="Times New Roman"/>
          <w:sz w:val="28"/>
          <w:szCs w:val="28"/>
          <w:lang w:eastAsia="zh-CN" w:bidi="hi-IN"/>
        </w:rPr>
        <w:t>Х</w:t>
      </w:r>
      <w:proofErr w:type="gramEnd"/>
      <w:r>
        <w:rPr>
          <w:rFonts w:ascii="Times New Roman" w:eastAsia="Times New Roman" w:hAnsi="Times New Roman" w:cs="Times New Roman"/>
          <w:sz w:val="28"/>
          <w:szCs w:val="28"/>
          <w:lang w:val="en-US" w:eastAsia="zh-CN" w:bidi="hi-IN"/>
        </w:rPr>
        <w:t>ene</w:t>
      </w:r>
      <w:r>
        <w:rPr>
          <w:rFonts w:ascii="Times New Roman" w:eastAsia="Times New Roman" w:hAnsi="Times New Roman" w:cs="Times New Roman"/>
          <w:sz w:val="28"/>
          <w:szCs w:val="28"/>
          <w:lang w:eastAsia="zh-CN" w:bidi="hi-IN"/>
        </w:rPr>
        <w:t>/ГАП</w:t>
      </w:r>
      <w:r>
        <w:rPr>
          <w:rFonts w:ascii="Times New Roman" w:eastAsia="Times New Roman" w:hAnsi="Times New Roman" w:cs="Times New Roman"/>
          <w:color w:val="212121"/>
          <w:sz w:val="28"/>
          <w:szCs w:val="28"/>
          <w:lang w:eastAsia="zh-CN" w:bidi="hi-IN"/>
        </w:rPr>
        <w:t xml:space="preserve">. </w:t>
      </w:r>
      <w:r>
        <w:rPr>
          <w:rFonts w:ascii="Times New Roman" w:eastAsia="Times New Roman" w:hAnsi="Times New Roman" w:cs="Times New Roman"/>
          <w:sz w:val="28"/>
          <w:szCs w:val="28"/>
          <w:lang w:val="kk-KZ" w:eastAsia="zh-CN" w:bidi="hi-IN"/>
        </w:rPr>
        <w:t xml:space="preserve">Это свидетельствует об </w:t>
      </w:r>
      <w:r>
        <w:rPr>
          <w:rFonts w:ascii="Times New Roman" w:eastAsia="Times New Roman" w:hAnsi="Times New Roman" w:cs="Times New Roman"/>
          <w:sz w:val="28"/>
          <w:szCs w:val="28"/>
          <w:lang w:eastAsia="zh-CN" w:bidi="hi-IN"/>
        </w:rPr>
        <w:t>усилении ГАП анти</w:t>
      </w:r>
      <w:r>
        <w:rPr>
          <w:rFonts w:ascii="Times New Roman" w:eastAsia="Times New Roman" w:hAnsi="Times New Roman" w:cs="Times New Roman"/>
          <w:sz w:val="28"/>
          <w:szCs w:val="28"/>
          <w:lang w:val="kk-KZ" w:eastAsia="zh-CN" w:bidi="hi-IN"/>
        </w:rPr>
        <w:t xml:space="preserve">бактериального действия </w:t>
      </w:r>
      <w:r>
        <w:rPr>
          <w:rFonts w:ascii="Times New Roman" w:eastAsia="Times New Roman" w:hAnsi="Times New Roman" w:cs="Times New Roman"/>
          <w:color w:val="212121"/>
          <w:sz w:val="28"/>
          <w:szCs w:val="28"/>
          <w:lang w:eastAsia="zh-CN" w:bidi="hi-IN"/>
        </w:rPr>
        <w:t>Mxenе</w:t>
      </w:r>
      <w:r>
        <w:rPr>
          <w:rFonts w:ascii="Times New Roman" w:eastAsia="Times New Roman" w:hAnsi="Times New Roman" w:cs="Times New Roman"/>
          <w:sz w:val="28"/>
          <w:szCs w:val="28"/>
          <w:lang w:eastAsia="zh-CN" w:bidi="hi-IN"/>
        </w:rPr>
        <w:t>. Имеется в виду предотвращение их окисления, которое происходит в воде и биологических жидкостях. Во-первых, за счет связывания свободной ОН</w:t>
      </w:r>
      <w:r>
        <w:rPr>
          <w:rFonts w:ascii="Times New Roman" w:eastAsia="Times New Roman" w:hAnsi="Times New Roman" w:cs="Times New Roman"/>
          <w:sz w:val="28"/>
          <w:szCs w:val="28"/>
          <w:vertAlign w:val="superscript"/>
          <w:lang w:eastAsia="zh-CN" w:bidi="hi-IN"/>
        </w:rPr>
        <w:t>–</w:t>
      </w:r>
      <w:r>
        <w:rPr>
          <w:rFonts w:ascii="Times New Roman" w:eastAsia="Times New Roman" w:hAnsi="Times New Roman" w:cs="Times New Roman"/>
          <w:sz w:val="28"/>
          <w:szCs w:val="28"/>
          <w:lang w:eastAsia="zh-CN" w:bidi="hi-IN"/>
        </w:rPr>
        <w:t xml:space="preserve"> </w:t>
      </w:r>
      <w:proofErr w:type="gramStart"/>
      <w:r>
        <w:rPr>
          <w:rFonts w:ascii="Times New Roman" w:eastAsia="Times New Roman" w:hAnsi="Times New Roman" w:cs="Times New Roman"/>
          <w:sz w:val="28"/>
          <w:szCs w:val="28"/>
          <w:lang w:eastAsia="zh-CN" w:bidi="hi-IN"/>
        </w:rPr>
        <w:t>гр</w:t>
      </w:r>
      <w:proofErr w:type="gramEnd"/>
      <w:r>
        <w:rPr>
          <w:rFonts w:ascii="Times New Roman" w:eastAsia="Times New Roman" w:hAnsi="Times New Roman" w:cs="Times New Roman"/>
          <w:sz w:val="28"/>
          <w:szCs w:val="28"/>
          <w:lang w:eastAsia="zh-CN" w:bidi="hi-IN"/>
        </w:rPr>
        <w:t>уппы ГАП с концевой группой T</w:t>
      </w:r>
      <w:r>
        <w:rPr>
          <w:rFonts w:ascii="Times New Roman" w:eastAsia="Times New Roman" w:hAnsi="Times New Roman" w:cs="Times New Roman"/>
          <w:sz w:val="28"/>
          <w:szCs w:val="28"/>
          <w:vertAlign w:val="subscript"/>
          <w:lang w:eastAsia="zh-CN" w:bidi="hi-IN"/>
        </w:rPr>
        <w:t>x</w:t>
      </w:r>
      <w:r>
        <w:rPr>
          <w:rFonts w:ascii="Times New Roman" w:eastAsia="Times New Roman" w:hAnsi="Times New Roman" w:cs="Times New Roman"/>
          <w:sz w:val="28"/>
          <w:szCs w:val="28"/>
          <w:lang w:val="en-US" w:eastAsia="zh-CN" w:bidi="hi-IN"/>
        </w:rPr>
        <w:t>MXene</w:t>
      </w:r>
      <w:r>
        <w:rPr>
          <w:rFonts w:ascii="Times New Roman" w:eastAsia="Times New Roman" w:hAnsi="Times New Roman" w:cs="Times New Roman"/>
          <w:sz w:val="28"/>
          <w:szCs w:val="28"/>
          <w:lang w:eastAsia="zh-CN" w:bidi="hi-IN"/>
        </w:rPr>
        <w:t>, на его поверхности образуется защитный слой. Во-вторых, присутствие ОН</w:t>
      </w:r>
      <w:r>
        <w:rPr>
          <w:rFonts w:ascii="Times New Roman" w:eastAsia="Times New Roman" w:hAnsi="Times New Roman" w:cs="Times New Roman"/>
          <w:sz w:val="28"/>
          <w:szCs w:val="28"/>
          <w:vertAlign w:val="superscript"/>
          <w:lang w:eastAsia="zh-CN" w:bidi="hi-IN"/>
        </w:rPr>
        <w:t>–</w:t>
      </w:r>
      <w:r>
        <w:rPr>
          <w:rFonts w:ascii="Times New Roman" w:eastAsia="Times New Roman" w:hAnsi="Times New Roman" w:cs="Times New Roman"/>
          <w:sz w:val="28"/>
          <w:szCs w:val="28"/>
          <w:lang w:eastAsia="zh-CN" w:bidi="hi-IN"/>
        </w:rPr>
        <w:t xml:space="preserve"> </w:t>
      </w:r>
      <w:proofErr w:type="gramStart"/>
      <w:r>
        <w:rPr>
          <w:rFonts w:ascii="Times New Roman" w:eastAsia="Times New Roman" w:hAnsi="Times New Roman" w:cs="Times New Roman"/>
          <w:sz w:val="28"/>
          <w:szCs w:val="28"/>
          <w:lang w:eastAsia="zh-CN" w:bidi="hi-IN"/>
        </w:rPr>
        <w:t>гр</w:t>
      </w:r>
      <w:proofErr w:type="gramEnd"/>
      <w:r>
        <w:rPr>
          <w:rFonts w:ascii="Times New Roman" w:eastAsia="Times New Roman" w:hAnsi="Times New Roman" w:cs="Times New Roman"/>
          <w:sz w:val="28"/>
          <w:szCs w:val="28"/>
          <w:lang w:eastAsia="zh-CN" w:bidi="hi-IN"/>
        </w:rPr>
        <w:t>уппы ГАП на концевых участках MXene снижает  скорость перемещения катионов Ti в системе MXene, что уменьшает вероятность его объединения с молекулами О</w:t>
      </w:r>
      <w:r>
        <w:rPr>
          <w:rFonts w:ascii="Times New Roman" w:eastAsia="Times New Roman" w:hAnsi="Times New Roman" w:cs="Times New Roman"/>
          <w:sz w:val="28"/>
          <w:szCs w:val="28"/>
          <w:vertAlign w:val="superscript"/>
          <w:lang w:eastAsia="zh-CN" w:bidi="hi-IN"/>
        </w:rPr>
        <w:t>2-</w:t>
      </w:r>
      <w:r>
        <w:rPr>
          <w:rFonts w:ascii="Times New Roman" w:eastAsia="Times New Roman" w:hAnsi="Times New Roman" w:cs="Times New Roman"/>
          <w:sz w:val="28"/>
          <w:szCs w:val="28"/>
          <w:lang w:eastAsia="zh-CN" w:bidi="hi-IN"/>
        </w:rPr>
        <w:t xml:space="preserve"> [153].</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color w:val="101010"/>
          <w:sz w:val="28"/>
          <w:szCs w:val="28"/>
          <w:lang w:eastAsia="zh-CN" w:bidi="hi-IN"/>
        </w:rPr>
      </w:pPr>
      <w:r>
        <w:rPr>
          <w:rFonts w:ascii="Times New Roman" w:eastAsia="Times New Roman" w:hAnsi="Times New Roman" w:cs="Times New Roman"/>
          <w:color w:val="101010"/>
          <w:sz w:val="28"/>
          <w:szCs w:val="28"/>
          <w:lang w:eastAsia="zh-CN" w:bidi="hi-IN"/>
        </w:rPr>
        <w:t>Также ГАП может оказывать положительное влияние на гидрофильность поверхности Ti</w:t>
      </w:r>
      <w:r>
        <w:rPr>
          <w:rFonts w:ascii="Times New Roman" w:eastAsia="Times New Roman" w:hAnsi="Times New Roman" w:cs="Times New Roman"/>
          <w:color w:val="101010"/>
          <w:sz w:val="28"/>
          <w:szCs w:val="28"/>
          <w:vertAlign w:val="subscript"/>
          <w:lang w:eastAsia="zh-CN" w:bidi="hi-IN"/>
        </w:rPr>
        <w:t>3</w:t>
      </w:r>
      <w:r>
        <w:rPr>
          <w:rFonts w:ascii="Times New Roman" w:eastAsia="Times New Roman" w:hAnsi="Times New Roman" w:cs="Times New Roman"/>
          <w:color w:val="101010"/>
          <w:sz w:val="28"/>
          <w:szCs w:val="28"/>
          <w:lang w:eastAsia="zh-CN" w:bidi="hi-IN"/>
        </w:rPr>
        <w:t>С</w:t>
      </w:r>
      <w:r>
        <w:rPr>
          <w:rFonts w:ascii="Times New Roman" w:eastAsia="Times New Roman" w:hAnsi="Times New Roman" w:cs="Times New Roman"/>
          <w:color w:val="101010"/>
          <w:sz w:val="28"/>
          <w:szCs w:val="28"/>
          <w:vertAlign w:val="subscript"/>
          <w:lang w:eastAsia="zh-CN" w:bidi="hi-IN"/>
        </w:rPr>
        <w:t>2</w:t>
      </w:r>
      <w:r>
        <w:rPr>
          <w:rFonts w:ascii="Times New Roman" w:eastAsia="Times New Roman" w:hAnsi="Times New Roman" w:cs="Times New Roman"/>
          <w:color w:val="101010"/>
          <w:sz w:val="28"/>
          <w:szCs w:val="28"/>
          <w:lang w:val="en-US" w:eastAsia="zh-CN" w:bidi="hi-IN"/>
        </w:rPr>
        <w:t>T</w:t>
      </w:r>
      <w:r>
        <w:rPr>
          <w:rFonts w:ascii="Times New Roman" w:eastAsia="Times New Roman" w:hAnsi="Times New Roman" w:cs="Times New Roman"/>
          <w:color w:val="101010"/>
          <w:sz w:val="28"/>
          <w:szCs w:val="28"/>
          <w:vertAlign w:val="subscript"/>
          <w:lang w:val="en-US" w:eastAsia="zh-CN" w:bidi="hi-IN"/>
        </w:rPr>
        <w:t>x</w:t>
      </w:r>
      <w:r>
        <w:rPr>
          <w:rFonts w:ascii="Times New Roman" w:eastAsia="Times New Roman" w:hAnsi="Times New Roman" w:cs="Times New Roman"/>
          <w:color w:val="101010"/>
          <w:sz w:val="28"/>
          <w:szCs w:val="28"/>
          <w:lang w:val="en-US" w:eastAsia="zh-CN" w:bidi="hi-IN"/>
        </w:rPr>
        <w:t>M</w:t>
      </w:r>
      <w:r>
        <w:rPr>
          <w:rFonts w:ascii="Times New Roman" w:eastAsia="Times New Roman" w:hAnsi="Times New Roman" w:cs="Times New Roman"/>
          <w:color w:val="101010"/>
          <w:sz w:val="28"/>
          <w:szCs w:val="28"/>
          <w:lang w:eastAsia="zh-CN" w:bidi="hi-IN"/>
        </w:rPr>
        <w:t>Х</w:t>
      </w:r>
      <w:r>
        <w:rPr>
          <w:rFonts w:ascii="Times New Roman" w:eastAsia="Times New Roman" w:hAnsi="Times New Roman" w:cs="Times New Roman"/>
          <w:color w:val="101010"/>
          <w:sz w:val="28"/>
          <w:szCs w:val="28"/>
          <w:lang w:val="en-US" w:eastAsia="zh-CN" w:bidi="hi-IN"/>
        </w:rPr>
        <w:t>ene</w:t>
      </w:r>
      <w:r>
        <w:rPr>
          <w:rFonts w:ascii="Times New Roman" w:eastAsia="Times New Roman" w:hAnsi="Times New Roman" w:cs="Times New Roman"/>
          <w:color w:val="101010"/>
          <w:sz w:val="28"/>
          <w:szCs w:val="28"/>
          <w:lang w:eastAsia="zh-CN" w:bidi="hi-IN"/>
        </w:rPr>
        <w:t xml:space="preserve">, что в свою очередь может снизить возможность бактерий прилипать к их поверхности. Способность материала предупреждать адгезию бактерий к его поверхности является одним из важных аспектов антимикробной активности. Это особенно важно для применения в медицине, поскольку предотвращение бактериальной колонизации и биопленкообразования критично для уменьшения развития инфекции. </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color w:val="101010"/>
          <w:sz w:val="28"/>
          <w:szCs w:val="28"/>
          <w:lang w:eastAsia="zh-CN" w:bidi="hi-IN"/>
        </w:rPr>
      </w:pPr>
      <w:r>
        <w:rPr>
          <w:rFonts w:ascii="Times New Roman" w:eastAsia="Times New Roman" w:hAnsi="Times New Roman" w:cs="Times New Roman"/>
          <w:color w:val="101010"/>
          <w:sz w:val="28"/>
          <w:szCs w:val="28"/>
          <w:lang w:eastAsia="zh-CN" w:bidi="hi-IN"/>
        </w:rPr>
        <w:t>В отличие от Г</w:t>
      </w:r>
      <w:proofErr w:type="gramStart"/>
      <w:r>
        <w:rPr>
          <w:rFonts w:ascii="Times New Roman" w:eastAsia="Times New Roman" w:hAnsi="Times New Roman" w:cs="Times New Roman"/>
          <w:color w:val="101010"/>
          <w:sz w:val="28"/>
          <w:szCs w:val="28"/>
          <w:lang w:eastAsia="zh-CN" w:bidi="hi-IN"/>
        </w:rPr>
        <w:t>р-</w:t>
      </w:r>
      <w:proofErr w:type="gramEnd"/>
      <w:r>
        <w:rPr>
          <w:rFonts w:ascii="Times New Roman" w:eastAsia="Times New Roman" w:hAnsi="Times New Roman" w:cs="Times New Roman"/>
          <w:color w:val="101010"/>
          <w:sz w:val="28"/>
          <w:szCs w:val="28"/>
          <w:lang w:eastAsia="zh-CN" w:bidi="hi-IN"/>
        </w:rPr>
        <w:t xml:space="preserve"> бактерий, клеточная стенка Гр+ бактерий более гидрофобна, из за толстого слоя пептидогликана, </w:t>
      </w:r>
      <w:r>
        <w:rPr>
          <w:rFonts w:ascii="Times New Roman" w:eastAsia="Times New Roman" w:hAnsi="Times New Roman" w:cs="Times New Roman"/>
          <w:sz w:val="28"/>
          <w:szCs w:val="28"/>
          <w:lang w:eastAsia="zh-CN" w:bidi="hi-IN"/>
        </w:rPr>
        <w:t>поэтому им сложнее адсорбироваться на гидрофильных поверхностях [</w:t>
      </w:r>
      <w:r>
        <w:rPr>
          <w:rFonts w:ascii="Times New Roman" w:eastAsia="Times New Roman" w:hAnsi="Times New Roman" w:cs="Times New Roman"/>
          <w:color w:val="101010"/>
          <w:sz w:val="28"/>
          <w:szCs w:val="28"/>
          <w:lang w:eastAsia="zh-CN" w:bidi="hi-IN"/>
        </w:rPr>
        <w:t>271]</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color w:val="101010"/>
          <w:sz w:val="28"/>
          <w:szCs w:val="28"/>
          <w:lang w:eastAsia="zh-CN" w:bidi="hi-IN"/>
        </w:rPr>
        <w:t xml:space="preserve"> Этим можно объяснить меньший объем биопленки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на </w:t>
      </w:r>
      <w:proofErr w:type="gramStart"/>
      <w:r>
        <w:rPr>
          <w:rFonts w:ascii="Times New Roman" w:eastAsia="Times New Roman" w:hAnsi="Times New Roman" w:cs="Times New Roman"/>
          <w:sz w:val="28"/>
          <w:szCs w:val="28"/>
          <w:lang w:val="kk-KZ" w:eastAsia="zh-CN" w:bidi="hi-IN"/>
        </w:rPr>
        <w:t>ВС</w:t>
      </w:r>
      <w:proofErr w:type="gramEnd"/>
      <w:r>
        <w:rPr>
          <w:rFonts w:ascii="Times New Roman" w:eastAsia="Times New Roman" w:hAnsi="Times New Roman" w:cs="Times New Roman"/>
          <w:sz w:val="28"/>
          <w:szCs w:val="28"/>
          <w:lang w:val="kk-KZ" w:eastAsia="zh-CN" w:bidi="hi-IN"/>
        </w:rPr>
        <w:t>/</w:t>
      </w:r>
      <w:r>
        <w:rPr>
          <w:rFonts w:ascii="Times New Roman" w:eastAsia="Times New Roman" w:hAnsi="Times New Roman" w:cs="Times New Roman"/>
          <w:color w:val="212121"/>
          <w:sz w:val="28"/>
          <w:szCs w:val="28"/>
          <w:lang w:eastAsia="zh-CN" w:bidi="hi-IN"/>
        </w:rPr>
        <w:t>Mxenе/НА</w:t>
      </w:r>
      <w:r>
        <w:rPr>
          <w:rFonts w:ascii="Times New Roman" w:eastAsia="Times New Roman" w:hAnsi="Times New Roman" w:cs="Times New Roman"/>
          <w:color w:val="101010"/>
          <w:sz w:val="28"/>
          <w:szCs w:val="28"/>
          <w:lang w:eastAsia="zh-CN" w:bidi="hi-IN"/>
        </w:rPr>
        <w:t xml:space="preserve"> и преобладание палочковидных клеток </w:t>
      </w:r>
      <w:r>
        <w:rPr>
          <w:rFonts w:ascii="Times New Roman" w:eastAsia="Times New Roman" w:hAnsi="Times New Roman" w:cs="Times New Roman"/>
          <w:i/>
          <w:sz w:val="28"/>
          <w:szCs w:val="28"/>
          <w:lang w:eastAsia="zh-CN" w:bidi="hi-IN"/>
        </w:rPr>
        <w:t>P.aeruginosa</w:t>
      </w:r>
      <w:r>
        <w:rPr>
          <w:rFonts w:ascii="Times New Roman" w:eastAsia="Times New Roman" w:hAnsi="Times New Roman" w:cs="Times New Roman"/>
          <w:color w:val="101010"/>
          <w:sz w:val="28"/>
          <w:szCs w:val="28"/>
          <w:lang w:eastAsia="zh-CN" w:bidi="hi-IN"/>
        </w:rPr>
        <w:t xml:space="preserve"> в смешанном микробном сообществе, выделенных из этого материала.  Следует отдельно  обсудить факт отсутствия биопленки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на дисках с ГАП.  У большинства стафилокков, в том числе у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имеется </w:t>
      </w:r>
      <w:r>
        <w:rPr>
          <w:rFonts w:ascii="Times New Roman" w:eastAsia="Times New Roman" w:hAnsi="Times New Roman" w:cs="Times New Roman"/>
          <w:i/>
          <w:iCs/>
          <w:color w:val="101010"/>
          <w:sz w:val="28"/>
          <w:szCs w:val="28"/>
          <w:lang w:val="en-US" w:eastAsia="zh-CN" w:bidi="hi-IN"/>
        </w:rPr>
        <w:t>Bap</w:t>
      </w:r>
      <w:r>
        <w:rPr>
          <w:rFonts w:ascii="Times New Roman" w:eastAsia="Times New Roman" w:hAnsi="Times New Roman" w:cs="Times New Roman"/>
          <w:color w:val="101010"/>
          <w:sz w:val="28"/>
          <w:szCs w:val="28"/>
          <w:lang w:eastAsia="zh-CN" w:bidi="hi-IN"/>
        </w:rPr>
        <w:t xml:space="preserve"> белок (белок, ассоциированный с биопленкой). Этот белок способствует прикреплению, а также межклеточной адгезии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i/>
          <w:iCs/>
          <w:sz w:val="28"/>
          <w:szCs w:val="28"/>
          <w:lang w:eastAsia="zh-CN" w:bidi="hi-IN"/>
        </w:rPr>
        <w:t xml:space="preserve">, </w:t>
      </w:r>
      <w:r>
        <w:rPr>
          <w:rFonts w:ascii="Times New Roman" w:eastAsia="Times New Roman" w:hAnsi="Times New Roman" w:cs="Times New Roman"/>
          <w:sz w:val="28"/>
          <w:szCs w:val="28"/>
          <w:lang w:eastAsia="zh-CN" w:bidi="hi-IN"/>
        </w:rPr>
        <w:t xml:space="preserve">но активность его зависит от степени насыщения </w:t>
      </w:r>
      <w:r>
        <w:rPr>
          <w:rFonts w:ascii="Times New Roman" w:eastAsia="Times New Roman" w:hAnsi="Times New Roman" w:cs="Times New Roman"/>
          <w:color w:val="101010"/>
          <w:sz w:val="28"/>
          <w:szCs w:val="28"/>
          <w:lang w:eastAsia="zh-CN" w:bidi="hi-IN"/>
        </w:rPr>
        <w:t>Са</w:t>
      </w:r>
      <w:r>
        <w:rPr>
          <w:rFonts w:ascii="Times New Roman" w:eastAsia="Times New Roman" w:hAnsi="Times New Roman" w:cs="Times New Roman"/>
          <w:color w:val="101010"/>
          <w:sz w:val="28"/>
          <w:szCs w:val="28"/>
          <w:vertAlign w:val="superscript"/>
          <w:lang w:eastAsia="zh-CN" w:bidi="hi-IN"/>
        </w:rPr>
        <w:t>+2</w:t>
      </w:r>
      <w:r>
        <w:rPr>
          <w:rFonts w:ascii="Times New Roman" w:eastAsia="Times New Roman" w:hAnsi="Times New Roman" w:cs="Times New Roman"/>
          <w:color w:val="101010"/>
          <w:sz w:val="28"/>
          <w:szCs w:val="28"/>
          <w:vertAlign w:val="subscript"/>
          <w:lang w:eastAsia="zh-CN" w:bidi="hi-IN"/>
        </w:rPr>
        <w:t xml:space="preserve">. </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color w:val="101010"/>
          <w:sz w:val="28"/>
          <w:szCs w:val="28"/>
          <w:lang w:eastAsia="zh-CN" w:bidi="hi-IN"/>
        </w:rPr>
        <w:t xml:space="preserve"> Связывание с этим двухвалентным катионом делает </w:t>
      </w:r>
      <w:r>
        <w:rPr>
          <w:rFonts w:ascii="Times New Roman" w:eastAsia="Times New Roman" w:hAnsi="Times New Roman" w:cs="Times New Roman"/>
          <w:i/>
          <w:iCs/>
          <w:color w:val="101010"/>
          <w:sz w:val="28"/>
          <w:szCs w:val="28"/>
          <w:lang w:val="en-US" w:eastAsia="zh-CN" w:bidi="hi-IN"/>
        </w:rPr>
        <w:t>Bap</w:t>
      </w:r>
      <w:r>
        <w:rPr>
          <w:rFonts w:ascii="Times New Roman" w:eastAsia="Times New Roman" w:hAnsi="Times New Roman" w:cs="Times New Roman"/>
          <w:color w:val="101010"/>
          <w:sz w:val="28"/>
          <w:szCs w:val="28"/>
          <w:lang w:eastAsia="zh-CN" w:bidi="hi-IN"/>
        </w:rPr>
        <w:t xml:space="preserve"> белок некомпетентным для адгезии и формирования биопленки [272]. </w:t>
      </w:r>
      <w:proofErr w:type="gramStart"/>
      <w:r>
        <w:rPr>
          <w:rFonts w:ascii="Times New Roman" w:eastAsia="Times New Roman" w:hAnsi="Times New Roman" w:cs="Times New Roman"/>
          <w:color w:val="101010"/>
          <w:sz w:val="28"/>
          <w:szCs w:val="28"/>
          <w:lang w:eastAsia="zh-CN" w:bidi="hi-IN"/>
        </w:rPr>
        <w:t>Вероятно</w:t>
      </w:r>
      <w:proofErr w:type="gramEnd"/>
      <w:r>
        <w:rPr>
          <w:rFonts w:ascii="Times New Roman" w:eastAsia="Times New Roman" w:hAnsi="Times New Roman" w:cs="Times New Roman"/>
          <w:color w:val="101010"/>
          <w:sz w:val="28"/>
          <w:szCs w:val="28"/>
          <w:lang w:eastAsia="zh-CN" w:bidi="hi-IN"/>
        </w:rPr>
        <w:t xml:space="preserve"> Са</w:t>
      </w:r>
      <w:r>
        <w:rPr>
          <w:rFonts w:ascii="Times New Roman" w:eastAsia="Times New Roman" w:hAnsi="Times New Roman" w:cs="Times New Roman"/>
          <w:color w:val="101010"/>
          <w:sz w:val="28"/>
          <w:szCs w:val="28"/>
          <w:vertAlign w:val="superscript"/>
          <w:lang w:eastAsia="zh-CN" w:bidi="hi-IN"/>
        </w:rPr>
        <w:t>+2</w:t>
      </w:r>
      <w:r>
        <w:rPr>
          <w:rFonts w:ascii="Times New Roman" w:eastAsia="Times New Roman" w:hAnsi="Times New Roman" w:cs="Times New Roman"/>
          <w:color w:val="101010"/>
          <w:sz w:val="28"/>
          <w:szCs w:val="28"/>
          <w:vertAlign w:val="subscript"/>
          <w:lang w:eastAsia="zh-CN" w:bidi="hi-IN"/>
        </w:rPr>
        <w:t xml:space="preserve"> </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color w:val="101010"/>
          <w:sz w:val="28"/>
          <w:szCs w:val="28"/>
          <w:lang w:eastAsia="zh-CN" w:bidi="hi-IN"/>
        </w:rPr>
        <w:t xml:space="preserve"> диффундирует из БЦ/ГАП диска в питательную среду, инокулированную бактериями, связывается с этим белком, блокируя его активность. Т.е. </w:t>
      </w:r>
      <w:r>
        <w:rPr>
          <w:rFonts w:ascii="Times New Roman" w:eastAsia="Times New Roman" w:hAnsi="Times New Roman" w:cs="Times New Roman"/>
          <w:i/>
          <w:iCs/>
          <w:color w:val="101010"/>
          <w:sz w:val="28"/>
          <w:szCs w:val="28"/>
          <w:lang w:eastAsia="zh-CN" w:bidi="hi-IN"/>
        </w:rPr>
        <w:t>Bap</w:t>
      </w:r>
      <w:r>
        <w:rPr>
          <w:rFonts w:ascii="Times New Roman" w:eastAsia="Times New Roman" w:hAnsi="Times New Roman" w:cs="Times New Roman"/>
          <w:color w:val="101010"/>
          <w:sz w:val="28"/>
          <w:szCs w:val="28"/>
          <w:lang w:eastAsia="zh-CN" w:bidi="hi-IN"/>
        </w:rPr>
        <w:t xml:space="preserve"> действует как положительный регулятор клеточной адгезии, тогда как для </w:t>
      </w:r>
      <w:r>
        <w:rPr>
          <w:rFonts w:ascii="Times New Roman" w:eastAsia="Times New Roman" w:hAnsi="Times New Roman" w:cs="Times New Roman"/>
          <w:i/>
          <w:iCs/>
          <w:color w:val="101010"/>
          <w:sz w:val="28"/>
          <w:szCs w:val="28"/>
          <w:lang w:eastAsia="zh-CN" w:bidi="hi-IN"/>
        </w:rPr>
        <w:t>Bap</w:t>
      </w:r>
      <w:r>
        <w:rPr>
          <w:rFonts w:ascii="Times New Roman" w:eastAsia="Times New Roman" w:hAnsi="Times New Roman" w:cs="Times New Roman"/>
          <w:color w:val="101010"/>
          <w:sz w:val="28"/>
          <w:szCs w:val="28"/>
          <w:lang w:eastAsia="zh-CN" w:bidi="hi-IN"/>
        </w:rPr>
        <w:t>-Са</w:t>
      </w:r>
      <w:r>
        <w:rPr>
          <w:rFonts w:ascii="Times New Roman" w:eastAsia="Times New Roman" w:hAnsi="Times New Roman" w:cs="Times New Roman"/>
          <w:color w:val="101010"/>
          <w:sz w:val="28"/>
          <w:szCs w:val="28"/>
          <w:vertAlign w:val="superscript"/>
          <w:lang w:eastAsia="zh-CN" w:bidi="hi-IN"/>
        </w:rPr>
        <w:t>+2</w:t>
      </w:r>
      <w:r>
        <w:rPr>
          <w:rFonts w:ascii="Times New Roman" w:eastAsia="Times New Roman" w:hAnsi="Times New Roman" w:cs="Times New Roman"/>
          <w:color w:val="101010"/>
          <w:sz w:val="28"/>
          <w:szCs w:val="28"/>
          <w:vertAlign w:val="subscript"/>
          <w:lang w:eastAsia="zh-CN" w:bidi="hi-IN"/>
        </w:rPr>
        <w:t xml:space="preserve"> </w:t>
      </w:r>
      <w:r>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color w:val="101010"/>
          <w:sz w:val="28"/>
          <w:szCs w:val="28"/>
          <w:lang w:eastAsia="zh-CN" w:bidi="hi-IN"/>
        </w:rPr>
        <w:t xml:space="preserve">  действует как ингибитор. В результате бактерии не способны адгезироваться на БЦ матрице и биопленка не образуется. </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Биопленки обычно формируются на поверхности ран. Однако, в некоторых случаях, такие биопленки, как у </w:t>
      </w:r>
      <w:r>
        <w:rPr>
          <w:rFonts w:ascii="Times New Roman" w:eastAsia="Times New Roman" w:hAnsi="Times New Roman" w:cs="Times New Roman"/>
          <w:i/>
          <w:iCs/>
          <w:sz w:val="28"/>
          <w:szCs w:val="28"/>
          <w:lang w:eastAsia="zh-CN" w:bidi="hi-IN"/>
        </w:rPr>
        <w:t>P.aeruginosa</w:t>
      </w:r>
      <w:r>
        <w:rPr>
          <w:rFonts w:ascii="Times New Roman" w:eastAsia="Times New Roman" w:hAnsi="Times New Roman" w:cs="Times New Roman"/>
          <w:sz w:val="28"/>
          <w:szCs w:val="28"/>
          <w:lang w:eastAsia="zh-CN" w:bidi="hi-IN"/>
        </w:rPr>
        <w:t xml:space="preserve">, могут глубоко проникать в слои кожи, что затрудняет их обнаружение с помощью обычных методов исследования, таких как мазки из раны.  Как уже указывалось выше, для разработки противомикробной и антибиопленочной терапии важно иметь </w:t>
      </w:r>
      <w:r>
        <w:rPr>
          <w:rFonts w:ascii="Times New Roman" w:eastAsia="Times New Roman" w:hAnsi="Times New Roman" w:cs="Times New Roman"/>
          <w:sz w:val="28"/>
          <w:szCs w:val="28"/>
          <w:lang w:eastAsia="zh-CN" w:bidi="hi-IN"/>
        </w:rPr>
        <w:lastRenderedPageBreak/>
        <w:t xml:space="preserve">соответствующие микробиологические модели. Большинство методологий, используемых для этих целей, используют планктонные микробные культуры. Выбор экспериментальной платформы для опытов с биопленкой </w:t>
      </w:r>
      <w:r>
        <w:rPr>
          <w:rFonts w:ascii="Times New Roman" w:eastAsia="Times New Roman" w:hAnsi="Times New Roman" w:cs="Times New Roman"/>
          <w:sz w:val="28"/>
          <w:szCs w:val="28"/>
          <w:lang w:val="kk-KZ" w:eastAsia="zh-CN" w:bidi="hi-IN"/>
        </w:rPr>
        <w:t xml:space="preserve"> с одной стороны </w:t>
      </w:r>
      <w:r>
        <w:rPr>
          <w:rFonts w:ascii="Times New Roman" w:eastAsia="Times New Roman" w:hAnsi="Times New Roman" w:cs="Times New Roman"/>
          <w:sz w:val="28"/>
          <w:szCs w:val="28"/>
          <w:lang w:eastAsia="zh-CN" w:bidi="hi-IN"/>
        </w:rPr>
        <w:t xml:space="preserve">должен имитировать условия организма, или тканей, где она присутствует. С другой стороны, все больше исследователей стараются избежать «живых моделей» из этических и гуманных соображений. Примером такого подхода является модель хронической раны Лаббока LCWB.  Эта модель </w:t>
      </w:r>
      <w:r>
        <w:rPr>
          <w:rFonts w:ascii="Times New Roman" w:eastAsia="Times New Roman" w:hAnsi="Times New Roman" w:cs="Times New Roman"/>
          <w:i/>
          <w:iCs/>
          <w:sz w:val="28"/>
          <w:szCs w:val="28"/>
          <w:lang w:eastAsia="zh-CN" w:bidi="hi-IN"/>
        </w:rPr>
        <w:t>in vitro</w:t>
      </w:r>
      <w:r>
        <w:rPr>
          <w:rFonts w:ascii="Times New Roman" w:eastAsia="Times New Roman" w:hAnsi="Times New Roman" w:cs="Times New Roman"/>
          <w:sz w:val="28"/>
          <w:szCs w:val="28"/>
          <w:lang w:eastAsia="zh-CN" w:bidi="hi-IN"/>
        </w:rPr>
        <w:t xml:space="preserve"> оказалась реалистичной,  число  исследований с ней быстро растет и совершенствуется, она является экономически эффективной и простой в настройке [273]. Модель LCWB обеспечивает функциональную систему для тестирования антимикробных и антибиопленочных методов лечения, имитируя условия </w:t>
      </w:r>
      <w:r>
        <w:rPr>
          <w:rFonts w:ascii="Times New Roman" w:eastAsia="Times New Roman" w:hAnsi="Times New Roman" w:cs="Times New Roman"/>
          <w:i/>
          <w:iCs/>
          <w:sz w:val="28"/>
          <w:szCs w:val="28"/>
          <w:lang w:eastAsia="zh-CN" w:bidi="hi-IN"/>
        </w:rPr>
        <w:t>in vivo</w:t>
      </w:r>
      <w:r>
        <w:rPr>
          <w:rFonts w:ascii="Times New Roman" w:eastAsia="Times New Roman" w:hAnsi="Times New Roman" w:cs="Times New Roman"/>
          <w:sz w:val="28"/>
          <w:szCs w:val="28"/>
          <w:lang w:eastAsia="zh-CN" w:bidi="hi-IN"/>
        </w:rPr>
        <w:t xml:space="preserve">. </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Эта модель состоит из плазмы крови, эритроцитов и смешанной культуры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и </w:t>
      </w:r>
      <w:r>
        <w:rPr>
          <w:rFonts w:ascii="Times New Roman" w:eastAsia="Times New Roman" w:hAnsi="Times New Roman" w:cs="Times New Roman"/>
          <w:i/>
          <w:iCs/>
          <w:sz w:val="28"/>
          <w:szCs w:val="28"/>
          <w:lang w:eastAsia="zh-CN" w:bidi="hi-IN"/>
        </w:rPr>
        <w:t>P.aeruginosa</w:t>
      </w:r>
      <w:r>
        <w:rPr>
          <w:rFonts w:ascii="Times New Roman" w:eastAsia="Times New Roman" w:hAnsi="Times New Roman" w:cs="Times New Roman"/>
          <w:sz w:val="28"/>
          <w:szCs w:val="28"/>
          <w:lang w:eastAsia="zh-CN" w:bidi="hi-IN"/>
        </w:rPr>
        <w:t xml:space="preserve">, которые образуют коагулированную систему из двух видов биопленки в фибриновой сети, типичной для среды раны </w:t>
      </w:r>
      <w:r>
        <w:rPr>
          <w:rFonts w:ascii="Times New Roman" w:eastAsia="Times New Roman" w:hAnsi="Times New Roman" w:cs="Times New Roman"/>
          <w:i/>
          <w:iCs/>
          <w:sz w:val="28"/>
          <w:szCs w:val="28"/>
          <w:lang w:eastAsia="zh-CN" w:bidi="hi-IN"/>
        </w:rPr>
        <w:t>in vivo</w:t>
      </w:r>
      <w:r>
        <w:rPr>
          <w:rFonts w:ascii="Times New Roman" w:eastAsia="Times New Roman" w:hAnsi="Times New Roman" w:cs="Times New Roman"/>
          <w:sz w:val="28"/>
          <w:szCs w:val="28"/>
          <w:lang w:eastAsia="zh-CN" w:bidi="hi-IN"/>
        </w:rPr>
        <w:t xml:space="preserve"> и характеризуется быстрым созреванием многовидовой биопленки. Исследование было выполнено в соответствии с экспериментальными этапами, представленными на  рисунке 37.</w:t>
      </w:r>
    </w:p>
    <w:p w:rsidR="00E17FE1" w:rsidRDefault="00E17FE1">
      <w:pPr>
        <w:widowControl w:val="0"/>
        <w:autoSpaceDE w:val="0"/>
        <w:autoSpaceDN w:val="0"/>
        <w:spacing w:after="0" w:line="240" w:lineRule="auto"/>
        <w:ind w:right="142" w:firstLine="567"/>
        <w:jc w:val="both"/>
        <w:rPr>
          <w:rFonts w:ascii="Times New Roman" w:eastAsia="Times New Roman" w:hAnsi="Times New Roman" w:cs="Times New Roman"/>
          <w:sz w:val="24"/>
          <w:szCs w:val="24"/>
          <w:lang w:eastAsia="zh-CN" w:bidi="hi-IN"/>
        </w:rPr>
      </w:pPr>
    </w:p>
    <w:p w:rsidR="00E17FE1" w:rsidRDefault="00337D83">
      <w:pPr>
        <w:widowControl w:val="0"/>
        <w:autoSpaceDE w:val="0"/>
        <w:autoSpaceDN w:val="0"/>
        <w:spacing w:before="5" w:after="0" w:line="240" w:lineRule="auto"/>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noProof/>
          <w:sz w:val="28"/>
          <w:szCs w:val="28"/>
          <w:lang w:eastAsia="ru-RU"/>
        </w:rPr>
        <w:drawing>
          <wp:inline distT="0" distB="0" distL="0" distR="0">
            <wp:extent cx="4813004" cy="4822371"/>
            <wp:effectExtent l="19050" t="0" r="6646" b="0"/>
            <wp:docPr id="1" name="Рисунок 1" descr="C:\Users\sava\Desktop\Диссертация\Айжан статьи 05.11.2024\12.11\Фото Лаббока\WhatsApp Image 2025-01-31 at 17.07.46 (3) - копия.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va\Desktop\Диссертация\Айжан статьи 05.11.2024\12.11\Фото Лаббока\WhatsApp Image 2025-01-31 at 17.07.46 (3) - копия.jpeg"/>
                    <pic:cNvPicPr>
                      <a:picLocks noChangeAspect="1" noChangeArrowheads="1"/>
                    </pic:cNvPicPr>
                  </pic:nvPicPr>
                  <pic:blipFill>
                    <a:blip r:embed="rId56" cstate="print"/>
                    <a:srcRect/>
                    <a:stretch>
                      <a:fillRect/>
                    </a:stretch>
                  </pic:blipFill>
                  <pic:spPr bwMode="auto">
                    <a:xfrm>
                      <a:off x="0" y="0"/>
                      <a:ext cx="4817712" cy="4827089"/>
                    </a:xfrm>
                    <a:prstGeom prst="rect">
                      <a:avLst/>
                    </a:prstGeom>
                    <a:noFill/>
                    <a:ln w="9525">
                      <a:noFill/>
                      <a:miter lim="800000"/>
                      <a:headEnd/>
                      <a:tailEnd/>
                    </a:ln>
                  </pic:spPr>
                </pic:pic>
              </a:graphicData>
            </a:graphic>
          </wp:inline>
        </w:drawing>
      </w:r>
    </w:p>
    <w:p w:rsidR="00337D83" w:rsidRDefault="00337D83">
      <w:pPr>
        <w:widowControl w:val="0"/>
        <w:autoSpaceDE w:val="0"/>
        <w:autoSpaceDN w:val="0"/>
        <w:spacing w:after="0" w:line="240" w:lineRule="auto"/>
        <w:ind w:firstLine="567"/>
        <w:jc w:val="center"/>
        <w:rPr>
          <w:rFonts w:ascii="Times New Roman" w:eastAsia="Times New Roman" w:hAnsi="Times New Roman" w:cs="Times New Roman"/>
          <w:sz w:val="28"/>
          <w:szCs w:val="28"/>
          <w:lang w:eastAsia="zh-CN" w:bidi="hi-IN"/>
        </w:rPr>
      </w:pPr>
    </w:p>
    <w:p w:rsidR="00E17FE1" w:rsidRDefault="00BB58D7">
      <w:pPr>
        <w:widowControl w:val="0"/>
        <w:autoSpaceDE w:val="0"/>
        <w:autoSpaceDN w:val="0"/>
        <w:spacing w:after="0" w:line="240" w:lineRule="auto"/>
        <w:ind w:firstLine="567"/>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Рисунок</w:t>
      </w:r>
      <w:r>
        <w:rPr>
          <w:rFonts w:ascii="Times New Roman" w:eastAsia="Times New Roman" w:hAnsi="Times New Roman" w:cs="Times New Roman"/>
          <w:spacing w:val="-5"/>
          <w:sz w:val="28"/>
          <w:szCs w:val="28"/>
          <w:lang w:eastAsia="zh-CN" w:bidi="hi-IN"/>
        </w:rPr>
        <w:t xml:space="preserve"> </w:t>
      </w:r>
      <w:r>
        <w:rPr>
          <w:rFonts w:ascii="Times New Roman" w:eastAsia="Times New Roman" w:hAnsi="Times New Roman" w:cs="Times New Roman"/>
          <w:sz w:val="28"/>
          <w:szCs w:val="28"/>
          <w:lang w:eastAsia="zh-CN" w:bidi="hi-IN"/>
        </w:rPr>
        <w:t>37</w:t>
      </w:r>
      <w:r w:rsidR="00246F71">
        <w:rPr>
          <w:rFonts w:ascii="Times New Roman" w:eastAsia="Times New Roman" w:hAnsi="Times New Roman" w:cs="Times New Roman"/>
          <w:sz w:val="28"/>
          <w:szCs w:val="28"/>
          <w:lang w:eastAsia="ru-RU"/>
        </w:rPr>
        <w:t xml:space="preserve"> </w:t>
      </w:r>
      <w:r w:rsidR="00246F71" w:rsidRPr="00A551EF">
        <w:rPr>
          <w:rFonts w:cs="Times New Roman"/>
          <w:bCs/>
          <w:iCs/>
          <w:sz w:val="28"/>
          <w:szCs w:val="28"/>
        </w:rPr>
        <w:sym w:font="Symbol" w:char="F02D"/>
      </w:r>
      <w:r w:rsidR="00246F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zh-CN" w:bidi="hi-IN"/>
        </w:rPr>
        <w:t>Модель</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биопленки</w:t>
      </w:r>
      <w:r>
        <w:rPr>
          <w:rFonts w:ascii="Times New Roman" w:eastAsia="Times New Roman" w:hAnsi="Times New Roman" w:cs="Times New Roman"/>
          <w:spacing w:val="-4"/>
          <w:sz w:val="28"/>
          <w:szCs w:val="28"/>
          <w:lang w:eastAsia="zh-CN" w:bidi="hi-IN"/>
        </w:rPr>
        <w:t xml:space="preserve"> </w:t>
      </w:r>
      <w:r>
        <w:rPr>
          <w:rFonts w:ascii="Times New Roman" w:eastAsia="Times New Roman" w:hAnsi="Times New Roman" w:cs="Times New Roman"/>
          <w:sz w:val="28"/>
          <w:szCs w:val="28"/>
          <w:lang w:eastAsia="zh-CN" w:bidi="hi-IN"/>
        </w:rPr>
        <w:t>хронической</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раны</w:t>
      </w:r>
      <w:r>
        <w:rPr>
          <w:rFonts w:ascii="Times New Roman" w:eastAsia="Times New Roman" w:hAnsi="Times New Roman" w:cs="Times New Roman"/>
          <w:spacing w:val="-3"/>
          <w:sz w:val="28"/>
          <w:szCs w:val="28"/>
          <w:lang w:eastAsia="zh-CN" w:bidi="hi-IN"/>
        </w:rPr>
        <w:t xml:space="preserve"> </w:t>
      </w:r>
      <w:r>
        <w:rPr>
          <w:rFonts w:ascii="Times New Roman" w:eastAsia="Times New Roman" w:hAnsi="Times New Roman" w:cs="Times New Roman"/>
          <w:sz w:val="28"/>
          <w:szCs w:val="28"/>
          <w:lang w:eastAsia="zh-CN" w:bidi="hi-IN"/>
        </w:rPr>
        <w:t>Лаббока</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sz w:val="28"/>
          <w:szCs w:val="28"/>
          <w:lang w:eastAsia="zh-CN" w:bidi="hi-IN"/>
        </w:rPr>
      </w:pPr>
      <w:proofErr w:type="gramStart"/>
      <w:r>
        <w:rPr>
          <w:rFonts w:ascii="Times New Roman" w:eastAsia="Times New Roman" w:hAnsi="Times New Roman" w:cs="Times New Roman"/>
          <w:i/>
          <w:iCs/>
          <w:sz w:val="28"/>
          <w:szCs w:val="28"/>
          <w:lang w:val="en-US" w:eastAsia="zh-CN" w:bidi="hi-IN"/>
        </w:rPr>
        <w:lastRenderedPageBreak/>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w:t>
      </w:r>
      <w:r>
        <w:rPr>
          <w:rFonts w:ascii="Times New Roman" w:eastAsia="Times New Roman" w:hAnsi="Times New Roman" w:cs="Times New Roman"/>
          <w:sz w:val="28"/>
          <w:szCs w:val="28"/>
          <w:lang w:eastAsia="zh-CN" w:bidi="hi-IN"/>
        </w:rPr>
        <w:t>синтезирует коагулазу, которая создает нерастворимую фибриновую сеть, формируя каркас раневой биопленки, к которому могут прилипать бактерии.</w:t>
      </w:r>
      <w:proofErr w:type="gramEnd"/>
      <w:r>
        <w:rPr>
          <w:rFonts w:ascii="Times New Roman" w:eastAsia="Times New Roman" w:hAnsi="Times New Roman" w:cs="Times New Roman"/>
          <w:sz w:val="28"/>
          <w:szCs w:val="28"/>
          <w:lang w:eastAsia="zh-CN" w:bidi="hi-IN"/>
        </w:rPr>
        <w:t xml:space="preserve"> Полагаем, что это один из ключевых факторов, объясняющих частое инфицирование ран стафилококками, т.е. они  создают биогенную опору, на которой фиксируются не только клетки этого вида, но следом и другие бактерии, формируя полимикробные биопленки. </w:t>
      </w:r>
    </w:p>
    <w:p w:rsidR="00E17FE1" w:rsidRDefault="00BB58D7">
      <w:pPr>
        <w:widowControl w:val="0"/>
        <w:autoSpaceDE w:val="0"/>
        <w:autoSpaceDN w:val="0"/>
        <w:spacing w:after="0" w:line="240" w:lineRule="auto"/>
        <w:ind w:right="-1"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sz w:val="28"/>
          <w:szCs w:val="28"/>
          <w:lang w:eastAsia="zh-CN" w:bidi="hi-IN"/>
        </w:rPr>
        <w:t xml:space="preserve">Микробное сообщество в биопленке формируется поэтапно. На первом происходит адгезия клеток к субстрату, затем следует его колонизация и созревание биопленки. Адгезия способствует развитию трехмерной структуры, которая связывает бактерии друг с другом и точно воспроизводит пространственную микробную колонизацию хронической раны. В связи с этим ключевая задача проводимого исследования – оценить антибиопленочную активность полученных </w:t>
      </w:r>
      <w:proofErr w:type="gramStart"/>
      <w:r>
        <w:rPr>
          <w:rFonts w:ascii="Times New Roman" w:eastAsia="Times New Roman" w:hAnsi="Times New Roman" w:cs="Times New Roman"/>
          <w:sz w:val="28"/>
          <w:szCs w:val="28"/>
          <w:lang w:eastAsia="zh-CN" w:bidi="hi-IN"/>
        </w:rPr>
        <w:t>материалов</w:t>
      </w:r>
      <w:proofErr w:type="gramEnd"/>
      <w:r>
        <w:rPr>
          <w:rFonts w:ascii="Times New Roman" w:eastAsia="Times New Roman" w:hAnsi="Times New Roman" w:cs="Times New Roman"/>
          <w:sz w:val="28"/>
          <w:szCs w:val="28"/>
          <w:lang w:eastAsia="zh-CN" w:bidi="hi-IN"/>
        </w:rPr>
        <w:t xml:space="preserve"> как на стадии формирования, так и в зрелой биопленке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и </w:t>
      </w:r>
      <w:r>
        <w:rPr>
          <w:rFonts w:ascii="Times New Roman" w:eastAsia="Times New Roman" w:hAnsi="Times New Roman" w:cs="Times New Roman"/>
          <w:i/>
          <w:iCs/>
          <w:sz w:val="28"/>
          <w:szCs w:val="28"/>
          <w:lang w:eastAsia="zh-CN" w:bidi="hi-IN"/>
        </w:rPr>
        <w:t xml:space="preserve">P.aeruginosa. </w:t>
      </w:r>
      <w:r>
        <w:rPr>
          <w:rFonts w:ascii="Times New Roman" w:eastAsia="Times New Roman" w:hAnsi="Times New Roman" w:cs="Times New Roman"/>
          <w:sz w:val="28"/>
          <w:szCs w:val="28"/>
          <w:lang w:eastAsia="zh-CN" w:bidi="hi-IN"/>
        </w:rPr>
        <w:t xml:space="preserve">В первом случае в среду, инокулированную   смешанной культурой бактерий вносили отдельные компоненты материалов: БЦ, ГАП, </w:t>
      </w:r>
      <w:r>
        <w:rPr>
          <w:rFonts w:ascii="Times New Roman" w:eastAsia="Times New Roman" w:hAnsi="Times New Roman" w:cs="Times New Roman"/>
          <w:color w:val="212121"/>
          <w:sz w:val="28"/>
          <w:szCs w:val="28"/>
          <w:lang w:eastAsia="zh-CN" w:bidi="hi-IN"/>
        </w:rPr>
        <w:t>M</w:t>
      </w:r>
      <w:proofErr w:type="gramStart"/>
      <w:r>
        <w:rPr>
          <w:rFonts w:ascii="Times New Roman" w:eastAsia="Times New Roman" w:hAnsi="Times New Roman" w:cs="Times New Roman"/>
          <w:color w:val="212121"/>
          <w:sz w:val="28"/>
          <w:szCs w:val="28"/>
          <w:lang w:eastAsia="zh-CN" w:bidi="hi-IN"/>
        </w:rPr>
        <w:t>Х</w:t>
      </w:r>
      <w:proofErr w:type="gramEnd"/>
      <w:r>
        <w:rPr>
          <w:rFonts w:ascii="Times New Roman" w:eastAsia="Times New Roman" w:hAnsi="Times New Roman" w:cs="Times New Roman"/>
          <w:color w:val="212121"/>
          <w:sz w:val="28"/>
          <w:szCs w:val="28"/>
          <w:lang w:eastAsia="zh-CN" w:bidi="hi-IN"/>
        </w:rPr>
        <w:t xml:space="preserve">enе, MХenе/ГАП, а затем определяли количество клеток каждого вида в образовавшихся биопленках (рис. 38, Б). </w:t>
      </w:r>
    </w:p>
    <w:p w:rsidR="00F644EE" w:rsidRDefault="00BB58D7">
      <w:pPr>
        <w:widowControl w:val="0"/>
        <w:autoSpaceDE w:val="0"/>
        <w:autoSpaceDN w:val="0"/>
        <w:spacing w:after="0" w:line="240" w:lineRule="auto"/>
        <w:ind w:right="142"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color w:val="212121"/>
          <w:sz w:val="28"/>
          <w:szCs w:val="28"/>
          <w:lang w:eastAsia="zh-CN" w:bidi="hi-IN"/>
        </w:rPr>
        <w:t>Оказалось, что в присутствии  Mxen</w:t>
      </w:r>
      <w:proofErr w:type="gramStart"/>
      <w:r>
        <w:rPr>
          <w:rFonts w:ascii="Times New Roman" w:eastAsia="Times New Roman" w:hAnsi="Times New Roman" w:cs="Times New Roman"/>
          <w:color w:val="212121"/>
          <w:sz w:val="28"/>
          <w:szCs w:val="28"/>
          <w:lang w:eastAsia="zh-CN" w:bidi="hi-IN"/>
        </w:rPr>
        <w:t>е</w:t>
      </w:r>
      <w:proofErr w:type="gramEnd"/>
      <w:r>
        <w:rPr>
          <w:rFonts w:ascii="Times New Roman" w:eastAsia="Times New Roman" w:hAnsi="Times New Roman" w:cs="Times New Roman"/>
          <w:color w:val="212121"/>
          <w:sz w:val="28"/>
          <w:szCs w:val="28"/>
          <w:lang w:eastAsia="zh-CN" w:bidi="hi-IN"/>
        </w:rPr>
        <w:t xml:space="preserve"> рост стафилококов снижается на 52%, синегнойной палочки на 30%. А в присутствии только ГАП из смешанной биопленки высевается еще меньше клеток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212121"/>
          <w:sz w:val="28"/>
          <w:szCs w:val="28"/>
          <w:lang w:eastAsia="zh-CN" w:bidi="hi-IN"/>
        </w:rPr>
        <w:t xml:space="preserve"> и </w:t>
      </w:r>
      <w:r>
        <w:rPr>
          <w:rFonts w:ascii="Times New Roman" w:eastAsia="Times New Roman" w:hAnsi="Times New Roman" w:cs="Times New Roman"/>
          <w:i/>
          <w:color w:val="212121"/>
          <w:sz w:val="28"/>
          <w:szCs w:val="28"/>
          <w:lang w:eastAsia="zh-CN" w:bidi="hi-IN"/>
        </w:rPr>
        <w:t xml:space="preserve">P.aeruginosa </w:t>
      </w:r>
      <w:r>
        <w:rPr>
          <w:rFonts w:ascii="Times New Roman" w:eastAsia="Times New Roman" w:hAnsi="Times New Roman" w:cs="Times New Roman"/>
          <w:color w:val="212121"/>
          <w:sz w:val="28"/>
          <w:szCs w:val="28"/>
          <w:lang w:eastAsia="zh-CN" w:bidi="hi-IN"/>
        </w:rPr>
        <w:t xml:space="preserve">- только 25% и 37% от того количества, которое было зафиксировано в ничем не обработанных суспензиях. </w:t>
      </w:r>
      <w:r>
        <w:rPr>
          <w:rFonts w:ascii="Times New Roman" w:eastAsia="Times New Roman" w:hAnsi="Times New Roman" w:cs="Times New Roman"/>
          <w:sz w:val="28"/>
          <w:szCs w:val="28"/>
          <w:lang w:eastAsia="zh-CN" w:bidi="hi-IN"/>
        </w:rPr>
        <w:t xml:space="preserve">ГАП, </w:t>
      </w:r>
      <w:proofErr w:type="gramStart"/>
      <w:r>
        <w:rPr>
          <w:rFonts w:ascii="Times New Roman" w:eastAsia="Times New Roman" w:hAnsi="Times New Roman" w:cs="Times New Roman"/>
          <w:sz w:val="28"/>
          <w:szCs w:val="28"/>
          <w:lang w:eastAsia="zh-CN" w:bidi="hi-IN"/>
        </w:rPr>
        <w:t>содержащий</w:t>
      </w:r>
      <w:proofErr w:type="gramEnd"/>
      <w:r>
        <w:rPr>
          <w:rFonts w:ascii="Times New Roman" w:eastAsia="Times New Roman" w:hAnsi="Times New Roman" w:cs="Times New Roman"/>
          <w:sz w:val="28"/>
          <w:szCs w:val="28"/>
          <w:lang w:eastAsia="zh-CN" w:bidi="hi-IN"/>
        </w:rPr>
        <w:t xml:space="preserve"> Ca</w:t>
      </w:r>
      <w:r>
        <w:rPr>
          <w:rFonts w:ascii="Times New Roman" w:eastAsia="Times New Roman" w:hAnsi="Times New Roman" w:cs="Times New Roman"/>
          <w:sz w:val="28"/>
          <w:szCs w:val="28"/>
          <w:vertAlign w:val="superscript"/>
          <w:lang w:eastAsia="zh-CN" w:bidi="hi-IN"/>
        </w:rPr>
        <w:t xml:space="preserve">2+ </w:t>
      </w:r>
      <w:r>
        <w:rPr>
          <w:rFonts w:ascii="Times New Roman" w:eastAsia="Times New Roman" w:hAnsi="Times New Roman" w:cs="Times New Roman"/>
          <w:sz w:val="28"/>
          <w:szCs w:val="28"/>
          <w:lang w:eastAsia="zh-CN" w:bidi="hi-IN"/>
        </w:rPr>
        <w:t xml:space="preserve">способен препятствовать полимеризации фибрина, снижая способность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w:t>
      </w:r>
      <w:r>
        <w:rPr>
          <w:rFonts w:ascii="Times New Roman" w:eastAsia="Times New Roman" w:hAnsi="Times New Roman" w:cs="Times New Roman"/>
          <w:sz w:val="28"/>
          <w:szCs w:val="28"/>
          <w:lang w:eastAsia="zh-CN" w:bidi="hi-IN"/>
        </w:rPr>
        <w:t>коагулировать плазму, создавая эффективную и сложную сеть волокон. Фибрин образует сложную матрицу в процессах заживления ран, поскольку он служит субстратом для прикрепления клеток, пролиферации и формирования внеклеточного материала. Получается, что  Ca</w:t>
      </w:r>
      <w:r w:rsidRPr="00813F75">
        <w:rPr>
          <w:rFonts w:ascii="Times New Roman" w:eastAsia="Times New Roman" w:hAnsi="Times New Roman" w:cs="Times New Roman"/>
          <w:sz w:val="28"/>
          <w:szCs w:val="28"/>
          <w:vertAlign w:val="superscript"/>
          <w:lang w:eastAsia="zh-CN" w:bidi="hi-IN"/>
        </w:rPr>
        <w:t xml:space="preserve">2+ </w:t>
      </w:r>
      <w:r>
        <w:rPr>
          <w:rFonts w:ascii="Times New Roman" w:eastAsia="Times New Roman" w:hAnsi="Times New Roman" w:cs="Times New Roman"/>
          <w:sz w:val="28"/>
          <w:szCs w:val="28"/>
          <w:lang w:eastAsia="zh-CN" w:bidi="hi-IN"/>
        </w:rPr>
        <w:t xml:space="preserve">-связывание с </w:t>
      </w:r>
      <w:proofErr w:type="gramStart"/>
      <w:r>
        <w:rPr>
          <w:rFonts w:ascii="Times New Roman" w:eastAsia="Times New Roman" w:hAnsi="Times New Roman" w:cs="Times New Roman"/>
          <w:sz w:val="28"/>
          <w:szCs w:val="28"/>
          <w:lang w:eastAsia="zh-CN" w:bidi="hi-IN"/>
        </w:rPr>
        <w:t>γ-</w:t>
      </w:r>
      <w:proofErr w:type="gramEnd"/>
      <w:r>
        <w:rPr>
          <w:rFonts w:ascii="Times New Roman" w:eastAsia="Times New Roman" w:hAnsi="Times New Roman" w:cs="Times New Roman"/>
          <w:sz w:val="28"/>
          <w:szCs w:val="28"/>
          <w:lang w:eastAsia="zh-CN" w:bidi="hi-IN"/>
        </w:rPr>
        <w:t xml:space="preserve">цепью фибриногена имеет основополагающее значение для модуляции полимеризации фибрина. Это благоприятствует более поздней агрегации протофибрилл фибрина для формирования толстых волокон [274-276]. </w:t>
      </w:r>
    </w:p>
    <w:p w:rsidR="00E17FE1" w:rsidRDefault="00BB58D7">
      <w:pPr>
        <w:widowControl w:val="0"/>
        <w:autoSpaceDE w:val="0"/>
        <w:autoSpaceDN w:val="0"/>
        <w:spacing w:after="0" w:line="240" w:lineRule="auto"/>
        <w:ind w:right="142"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В соответствии с этими данными, </w:t>
      </w:r>
      <w:proofErr w:type="gramStart"/>
      <w:r>
        <w:rPr>
          <w:rFonts w:ascii="Times New Roman" w:eastAsia="Times New Roman" w:hAnsi="Times New Roman" w:cs="Times New Roman"/>
          <w:sz w:val="28"/>
          <w:szCs w:val="28"/>
          <w:lang w:eastAsia="zh-CN" w:bidi="hi-IN"/>
        </w:rPr>
        <w:t>результаты, полученные в настоящей работе свидетельствуют</w:t>
      </w:r>
      <w:proofErr w:type="gramEnd"/>
      <w:r>
        <w:rPr>
          <w:rFonts w:ascii="Times New Roman" w:eastAsia="Times New Roman" w:hAnsi="Times New Roman" w:cs="Times New Roman"/>
          <w:sz w:val="28"/>
          <w:szCs w:val="28"/>
          <w:lang w:eastAsia="zh-CN" w:bidi="hi-IN"/>
        </w:rPr>
        <w:t xml:space="preserve"> о том, что ГАП вызывает отсоединение бактерий путем разрушения фибринового каркаса, удерживающего вместе зрелые биопленки. </w:t>
      </w:r>
      <w:proofErr w:type="gramStart"/>
      <w:r>
        <w:rPr>
          <w:rFonts w:ascii="Times New Roman" w:eastAsia="Times New Roman" w:hAnsi="Times New Roman" w:cs="Times New Roman"/>
          <w:sz w:val="28"/>
          <w:szCs w:val="28"/>
          <w:lang w:eastAsia="zh-CN" w:bidi="hi-IN"/>
        </w:rPr>
        <w:t>Эти результаты подтверждаются данными о массе биопленок, формирующихся  в среде с ГАП, которая в среднем в</w:t>
      </w:r>
      <w:r w:rsidR="00F644EE">
        <w:rPr>
          <w:rFonts w:ascii="Times New Roman" w:eastAsia="Times New Roman" w:hAnsi="Times New Roman" w:cs="Times New Roman"/>
          <w:sz w:val="28"/>
          <w:szCs w:val="28"/>
          <w:lang w:eastAsia="zh-CN" w:bidi="hi-IN"/>
        </w:rPr>
        <w:t xml:space="preserve"> </w:t>
      </w:r>
      <w:r>
        <w:rPr>
          <w:rFonts w:ascii="Times New Roman" w:eastAsia="Times New Roman" w:hAnsi="Times New Roman" w:cs="Times New Roman"/>
          <w:sz w:val="28"/>
          <w:szCs w:val="28"/>
          <w:lang w:eastAsia="zh-CN" w:bidi="hi-IN"/>
        </w:rPr>
        <w:t xml:space="preserve">четверо меньше, чем в контрольных </w:t>
      </w:r>
      <w:r w:rsidRPr="00F644EE">
        <w:rPr>
          <w:rFonts w:ascii="Times New Roman" w:eastAsia="Times New Roman" w:hAnsi="Times New Roman" w:cs="Times New Roman"/>
          <w:sz w:val="28"/>
          <w:szCs w:val="28"/>
          <w:lang w:eastAsia="zh-CN" w:bidi="hi-IN"/>
        </w:rPr>
        <w:t>вариантах (рис.3</w:t>
      </w:r>
      <w:r w:rsidR="00F644EE" w:rsidRPr="00F644EE">
        <w:rPr>
          <w:rFonts w:ascii="Times New Roman" w:eastAsia="Times New Roman" w:hAnsi="Times New Roman" w:cs="Times New Roman"/>
          <w:sz w:val="28"/>
          <w:szCs w:val="28"/>
          <w:lang w:eastAsia="zh-CN" w:bidi="hi-IN"/>
        </w:rPr>
        <w:t>8</w:t>
      </w:r>
      <w:r w:rsidRPr="00F644EE">
        <w:rPr>
          <w:rFonts w:ascii="Times New Roman" w:eastAsia="Times New Roman" w:hAnsi="Times New Roman" w:cs="Times New Roman"/>
          <w:sz w:val="28"/>
          <w:szCs w:val="28"/>
          <w:lang w:eastAsia="zh-CN" w:bidi="hi-IN"/>
        </w:rPr>
        <w:t>, В).</w:t>
      </w:r>
      <w:proofErr w:type="gramEnd"/>
      <w:r w:rsidRPr="00F644EE">
        <w:rPr>
          <w:rFonts w:ascii="Times New Roman" w:eastAsia="Times New Roman" w:hAnsi="Times New Roman" w:cs="Times New Roman"/>
          <w:sz w:val="28"/>
          <w:szCs w:val="28"/>
          <w:lang w:eastAsia="zh-CN" w:bidi="hi-IN"/>
        </w:rPr>
        <w:t xml:space="preserve"> При</w:t>
      </w:r>
      <w:r>
        <w:rPr>
          <w:rFonts w:ascii="Times New Roman" w:eastAsia="Times New Roman" w:hAnsi="Times New Roman" w:cs="Times New Roman"/>
          <w:sz w:val="28"/>
          <w:szCs w:val="28"/>
          <w:lang w:eastAsia="zh-CN" w:bidi="hi-IN"/>
        </w:rPr>
        <w:t xml:space="preserve"> внесении в среду культивирования комплекса </w:t>
      </w:r>
      <w:r>
        <w:rPr>
          <w:rFonts w:ascii="Times New Roman" w:eastAsia="Times New Roman" w:hAnsi="Times New Roman" w:cs="Times New Roman"/>
          <w:color w:val="212121"/>
          <w:sz w:val="28"/>
          <w:szCs w:val="28"/>
          <w:lang w:eastAsia="zh-CN" w:bidi="hi-IN"/>
        </w:rPr>
        <w:t>M</w:t>
      </w:r>
      <w:proofErr w:type="gramStart"/>
      <w:r>
        <w:rPr>
          <w:rFonts w:ascii="Times New Roman" w:eastAsia="Times New Roman" w:hAnsi="Times New Roman" w:cs="Times New Roman"/>
          <w:color w:val="212121"/>
          <w:sz w:val="28"/>
          <w:szCs w:val="28"/>
          <w:lang w:eastAsia="zh-CN" w:bidi="hi-IN"/>
        </w:rPr>
        <w:t>Х</w:t>
      </w:r>
      <w:proofErr w:type="gramEnd"/>
      <w:r>
        <w:rPr>
          <w:rFonts w:ascii="Times New Roman" w:eastAsia="Times New Roman" w:hAnsi="Times New Roman" w:cs="Times New Roman"/>
          <w:color w:val="212121"/>
          <w:sz w:val="28"/>
          <w:szCs w:val="28"/>
          <w:lang w:eastAsia="zh-CN" w:bidi="hi-IN"/>
        </w:rPr>
        <w:t xml:space="preserve">enе/ГАП происходит снижение роста биопленки на 93% и 84% для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и </w:t>
      </w:r>
      <w:r>
        <w:rPr>
          <w:rFonts w:ascii="Times New Roman" w:eastAsia="Times New Roman" w:hAnsi="Times New Roman" w:cs="Times New Roman"/>
          <w:i/>
          <w:iCs/>
          <w:sz w:val="28"/>
          <w:szCs w:val="28"/>
          <w:lang w:eastAsia="zh-CN" w:bidi="hi-IN"/>
        </w:rPr>
        <w:t xml:space="preserve">P.aeruginosa </w:t>
      </w:r>
      <w:r>
        <w:rPr>
          <w:rFonts w:ascii="Times New Roman" w:eastAsia="Times New Roman" w:hAnsi="Times New Roman" w:cs="Times New Roman"/>
          <w:sz w:val="28"/>
          <w:szCs w:val="28"/>
          <w:lang w:eastAsia="zh-CN" w:bidi="hi-IN"/>
        </w:rPr>
        <w:t xml:space="preserve">соответственно. </w:t>
      </w:r>
    </w:p>
    <w:p w:rsidR="00E17FE1" w:rsidRDefault="00E17FE1">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p>
    <w:p w:rsidR="00E17FE1" w:rsidRDefault="00E17FE1">
      <w:pPr>
        <w:widowControl w:val="0"/>
        <w:autoSpaceDE w:val="0"/>
        <w:autoSpaceDN w:val="0"/>
        <w:spacing w:after="0" w:line="240" w:lineRule="auto"/>
        <w:ind w:right="-1" w:firstLine="567"/>
        <w:jc w:val="both"/>
        <w:rPr>
          <w:rFonts w:ascii="Times New Roman" w:eastAsia="Times New Roman" w:hAnsi="Times New Roman" w:cs="Times New Roman"/>
          <w:color w:val="212121"/>
          <w:sz w:val="28"/>
          <w:szCs w:val="28"/>
          <w:highlight w:val="yellow"/>
          <w:lang w:eastAsia="zh-CN" w:bidi="hi-IN"/>
        </w:rPr>
      </w:pPr>
    </w:p>
    <w:p w:rsidR="00E17FE1" w:rsidRDefault="003F5E95">
      <w:pPr>
        <w:widowControl w:val="0"/>
        <w:autoSpaceDE w:val="0"/>
        <w:autoSpaceDN w:val="0"/>
        <w:spacing w:after="0" w:line="240" w:lineRule="auto"/>
        <w:ind w:right="142" w:firstLine="567"/>
        <w:jc w:val="center"/>
        <w:rPr>
          <w:rFonts w:ascii="Times New Roman" w:eastAsia="Times New Roman" w:hAnsi="Times New Roman" w:cs="Times New Roman"/>
          <w:color w:val="212121"/>
          <w:sz w:val="28"/>
          <w:szCs w:val="28"/>
          <w:highlight w:val="yellow"/>
          <w:lang w:eastAsia="zh-CN" w:bidi="hi-IN"/>
        </w:rPr>
      </w:pPr>
      <w:r>
        <w:rPr>
          <w:rFonts w:ascii="Times New Roman" w:eastAsia="Times New Roman" w:hAnsi="Times New Roman" w:cs="Times New Roman"/>
          <w:noProof/>
          <w:color w:val="212121"/>
          <w:sz w:val="28"/>
          <w:szCs w:val="28"/>
          <w:lang w:eastAsia="ru-RU"/>
        </w:rPr>
        <w:lastRenderedPageBreak/>
        <w:drawing>
          <wp:inline distT="0" distB="0" distL="0" distR="0">
            <wp:extent cx="5125326" cy="7665396"/>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cstate="print"/>
                    <a:srcRect/>
                    <a:stretch>
                      <a:fillRect/>
                    </a:stretch>
                  </pic:blipFill>
                  <pic:spPr bwMode="auto">
                    <a:xfrm>
                      <a:off x="0" y="0"/>
                      <a:ext cx="5128079" cy="7669514"/>
                    </a:xfrm>
                    <a:prstGeom prst="rect">
                      <a:avLst/>
                    </a:prstGeom>
                    <a:noFill/>
                    <a:ln w="9525">
                      <a:noFill/>
                      <a:miter lim="800000"/>
                      <a:headEnd/>
                      <a:tailEnd/>
                    </a:ln>
                  </pic:spPr>
                </pic:pic>
              </a:graphicData>
            </a:graphic>
          </wp:inline>
        </w:drawing>
      </w:r>
    </w:p>
    <w:p w:rsidR="0092119C" w:rsidRDefault="0092119C">
      <w:pPr>
        <w:widowControl w:val="0"/>
        <w:autoSpaceDE w:val="0"/>
        <w:autoSpaceDN w:val="0"/>
        <w:spacing w:after="0" w:line="240" w:lineRule="auto"/>
        <w:ind w:right="142" w:firstLine="567"/>
        <w:jc w:val="center"/>
        <w:rPr>
          <w:rFonts w:ascii="Times New Roman" w:eastAsia="Times New Roman" w:hAnsi="Times New Roman" w:cs="Times New Roman"/>
          <w:color w:val="212121"/>
          <w:sz w:val="28"/>
          <w:szCs w:val="28"/>
          <w:highlight w:val="yellow"/>
          <w:lang w:eastAsia="zh-CN" w:bidi="hi-IN"/>
        </w:rPr>
      </w:pPr>
    </w:p>
    <w:p w:rsidR="00E17FE1" w:rsidRDefault="00BB58D7">
      <w:pPr>
        <w:widowControl w:val="0"/>
        <w:autoSpaceDE w:val="0"/>
        <w:autoSpaceDN w:val="0"/>
        <w:spacing w:after="0" w:line="240" w:lineRule="auto"/>
        <w:ind w:right="142" w:firstLine="567"/>
        <w:jc w:val="center"/>
        <w:rPr>
          <w:rFonts w:ascii="Times New Roman" w:eastAsia="Times New Roman" w:hAnsi="Times New Roman" w:cs="Times New Roman"/>
          <w:color w:val="212121"/>
          <w:sz w:val="28"/>
          <w:szCs w:val="28"/>
          <w:highlight w:val="yellow"/>
          <w:lang w:eastAsia="zh-CN" w:bidi="hi-IN"/>
        </w:rPr>
      </w:pPr>
      <w:r>
        <w:rPr>
          <w:rFonts w:ascii="Times New Roman" w:eastAsia="Times New Roman" w:hAnsi="Times New Roman" w:cs="Times New Roman"/>
          <w:sz w:val="28"/>
          <w:szCs w:val="28"/>
          <w:lang w:eastAsia="zh-CN" w:bidi="hi-IN"/>
        </w:rPr>
        <w:t>Рисунок 38</w:t>
      </w:r>
      <w:r w:rsidR="00246F71">
        <w:rPr>
          <w:rFonts w:ascii="Times New Roman" w:eastAsia="Times New Roman" w:hAnsi="Times New Roman" w:cs="Times New Roman"/>
          <w:sz w:val="28"/>
          <w:szCs w:val="28"/>
          <w:lang w:eastAsia="ru-RU"/>
        </w:rPr>
        <w:t xml:space="preserve"> </w:t>
      </w:r>
      <w:r w:rsidR="00246F71" w:rsidRPr="00A551EF">
        <w:rPr>
          <w:rFonts w:cs="Times New Roman"/>
          <w:bCs/>
          <w:iCs/>
          <w:sz w:val="28"/>
          <w:szCs w:val="28"/>
        </w:rPr>
        <w:sym w:font="Symbol" w:char="F02D"/>
      </w:r>
      <w:r w:rsidR="00246F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zh-CN" w:bidi="hi-IN"/>
        </w:rPr>
        <w:t xml:space="preserve">Антибиопленочная активность мембран. А - Процент снижения КОЕ/мг </w:t>
      </w:r>
      <w:r>
        <w:rPr>
          <w:rFonts w:ascii="Times New Roman" w:eastAsia="Times New Roman" w:hAnsi="Times New Roman" w:cs="Times New Roman"/>
          <w:i/>
          <w:sz w:val="28"/>
          <w:szCs w:val="28"/>
          <w:lang w:val="en-US" w:eastAsia="zh-CN" w:bidi="hi-IN"/>
        </w:rPr>
        <w:t>Staphylococcus</w:t>
      </w:r>
      <w:r>
        <w:rPr>
          <w:rFonts w:ascii="Times New Roman" w:eastAsia="Times New Roman" w:hAnsi="Times New Roman" w:cs="Times New Roman"/>
          <w:i/>
          <w:sz w:val="28"/>
          <w:szCs w:val="28"/>
          <w:lang w:eastAsia="zh-CN" w:bidi="hi-IN"/>
        </w:rPr>
        <w:t xml:space="preserve"> </w:t>
      </w:r>
      <w:r>
        <w:rPr>
          <w:rFonts w:ascii="Times New Roman" w:eastAsia="Times New Roman" w:hAnsi="Times New Roman" w:cs="Times New Roman"/>
          <w:i/>
          <w:sz w:val="28"/>
          <w:szCs w:val="28"/>
          <w:lang w:val="en-US" w:eastAsia="zh-CN" w:bidi="hi-IN"/>
        </w:rPr>
        <w:t>aureus</w:t>
      </w:r>
      <w:r>
        <w:rPr>
          <w:rFonts w:ascii="Times New Roman" w:eastAsia="Times New Roman" w:hAnsi="Times New Roman" w:cs="Times New Roman"/>
          <w:i/>
          <w:spacing w:val="-57"/>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z w:val="28"/>
          <w:szCs w:val="28"/>
          <w:lang w:val="en-US" w:eastAsia="zh-CN" w:bidi="hi-IN"/>
        </w:rPr>
        <w:t>MRSA</w:t>
      </w:r>
      <w:r>
        <w:rPr>
          <w:rFonts w:ascii="Times New Roman" w:eastAsia="Times New Roman" w:hAnsi="Times New Roman" w:cs="Times New Roman"/>
          <w:sz w:val="28"/>
          <w:szCs w:val="28"/>
          <w:lang w:eastAsia="zh-CN" w:bidi="hi-IN"/>
        </w:rPr>
        <w:t xml:space="preserve">) и </w:t>
      </w:r>
      <w:r>
        <w:rPr>
          <w:rFonts w:ascii="Times New Roman" w:eastAsia="Times New Roman" w:hAnsi="Times New Roman" w:cs="Times New Roman"/>
          <w:i/>
          <w:sz w:val="28"/>
          <w:szCs w:val="28"/>
          <w:lang w:val="en-US" w:eastAsia="zh-CN" w:bidi="hi-IN"/>
        </w:rPr>
        <w:t>Pseudomonas</w:t>
      </w:r>
      <w:r>
        <w:rPr>
          <w:rFonts w:ascii="Times New Roman" w:eastAsia="Times New Roman" w:hAnsi="Times New Roman" w:cs="Times New Roman"/>
          <w:i/>
          <w:spacing w:val="-13"/>
          <w:sz w:val="28"/>
          <w:szCs w:val="28"/>
          <w:lang w:eastAsia="zh-CN" w:bidi="hi-IN"/>
        </w:rPr>
        <w:t xml:space="preserve"> </w:t>
      </w:r>
      <w:r>
        <w:rPr>
          <w:rFonts w:ascii="Times New Roman" w:eastAsia="Times New Roman" w:hAnsi="Times New Roman" w:cs="Times New Roman"/>
          <w:i/>
          <w:sz w:val="28"/>
          <w:szCs w:val="28"/>
          <w:lang w:val="en-US" w:eastAsia="zh-CN" w:bidi="hi-IN"/>
        </w:rPr>
        <w:t>aeruginosa</w:t>
      </w:r>
      <w:r>
        <w:rPr>
          <w:rFonts w:ascii="Times New Roman" w:eastAsia="Times New Roman" w:hAnsi="Times New Roman" w:cs="Times New Roman"/>
          <w:i/>
          <w:spacing w:val="-10"/>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z w:val="28"/>
          <w:szCs w:val="28"/>
          <w:lang w:val="en-US" w:eastAsia="zh-CN" w:bidi="hi-IN"/>
        </w:rPr>
        <w:t>FQRPA</w:t>
      </w:r>
      <w:r>
        <w:rPr>
          <w:rFonts w:ascii="Times New Roman" w:eastAsia="Times New Roman" w:hAnsi="Times New Roman" w:cs="Times New Roman"/>
          <w:sz w:val="28"/>
          <w:szCs w:val="28"/>
          <w:lang w:eastAsia="zh-CN" w:bidi="hi-IN"/>
        </w:rPr>
        <w:t xml:space="preserve">) в формирующихся и зрелых </w:t>
      </w:r>
      <w:r>
        <w:rPr>
          <w:rFonts w:ascii="Times New Roman" w:eastAsia="Times New Roman" w:hAnsi="Times New Roman" w:cs="Times New Roman"/>
          <w:sz w:val="28"/>
          <w:szCs w:val="28"/>
          <w:lang w:val="en-US" w:eastAsia="zh-CN" w:bidi="hi-IN"/>
        </w:rPr>
        <w:t>LCWB</w:t>
      </w:r>
      <w:r>
        <w:rPr>
          <w:rFonts w:ascii="Times New Roman" w:eastAsia="Times New Roman" w:hAnsi="Times New Roman" w:cs="Times New Roman"/>
          <w:sz w:val="28"/>
          <w:szCs w:val="28"/>
          <w:lang w:eastAsia="zh-CN" w:bidi="hi-IN"/>
        </w:rPr>
        <w:t xml:space="preserve"> в присутствии БЦ, </w:t>
      </w:r>
      <w:r>
        <w:rPr>
          <w:rFonts w:ascii="Times New Roman" w:eastAsia="Times New Roman" w:hAnsi="Times New Roman" w:cs="Times New Roman"/>
          <w:sz w:val="28"/>
          <w:szCs w:val="28"/>
          <w:lang w:val="en-US" w:eastAsia="zh-CN" w:bidi="hi-IN"/>
        </w:rPr>
        <w:t>M</w:t>
      </w:r>
      <w:proofErr w:type="gramStart"/>
      <w:r>
        <w:rPr>
          <w:rFonts w:ascii="Times New Roman" w:eastAsia="Times New Roman" w:hAnsi="Times New Roman" w:cs="Times New Roman"/>
          <w:sz w:val="28"/>
          <w:szCs w:val="28"/>
          <w:lang w:eastAsia="zh-CN" w:bidi="hi-IN"/>
        </w:rPr>
        <w:t>Х</w:t>
      </w:r>
      <w:proofErr w:type="gramEnd"/>
      <w:r>
        <w:rPr>
          <w:rFonts w:ascii="Times New Roman" w:eastAsia="Times New Roman" w:hAnsi="Times New Roman" w:cs="Times New Roman"/>
          <w:sz w:val="28"/>
          <w:szCs w:val="28"/>
          <w:lang w:val="en-US" w:eastAsia="zh-CN" w:bidi="hi-IN"/>
        </w:rPr>
        <w:t>ene</w:t>
      </w:r>
      <w:r>
        <w:rPr>
          <w:rFonts w:ascii="Times New Roman" w:eastAsia="Times New Roman" w:hAnsi="Times New Roman" w:cs="Times New Roman"/>
          <w:sz w:val="28"/>
          <w:szCs w:val="28"/>
          <w:lang w:eastAsia="zh-CN" w:bidi="hi-IN"/>
        </w:rPr>
        <w:t xml:space="preserve">, ГАП и композита </w:t>
      </w:r>
      <w:r>
        <w:rPr>
          <w:rFonts w:ascii="Times New Roman" w:eastAsia="Times New Roman" w:hAnsi="Times New Roman" w:cs="Times New Roman"/>
          <w:sz w:val="28"/>
          <w:szCs w:val="28"/>
          <w:lang w:val="en-US" w:eastAsia="zh-CN" w:bidi="hi-IN"/>
        </w:rPr>
        <w:t>MXene</w:t>
      </w:r>
      <w:r>
        <w:rPr>
          <w:rFonts w:ascii="Times New Roman" w:eastAsia="Times New Roman" w:hAnsi="Times New Roman" w:cs="Times New Roman"/>
          <w:sz w:val="28"/>
          <w:szCs w:val="28"/>
          <w:lang w:eastAsia="zh-CN" w:bidi="hi-IN"/>
        </w:rPr>
        <w:t xml:space="preserve">/ГАП; </w:t>
      </w:r>
      <w:r>
        <w:rPr>
          <w:rFonts w:ascii="Times New Roman" w:eastAsia="Times New Roman" w:hAnsi="Times New Roman" w:cs="Times New Roman"/>
          <w:sz w:val="28"/>
          <w:szCs w:val="28"/>
          <w:lang w:val="en-US" w:eastAsia="zh-CN" w:bidi="hi-IN"/>
        </w:rPr>
        <w:t>B</w:t>
      </w:r>
      <w:r>
        <w:rPr>
          <w:rFonts w:ascii="Times New Roman" w:eastAsia="Times New Roman" w:hAnsi="Times New Roman" w:cs="Times New Roman"/>
          <w:sz w:val="28"/>
          <w:szCs w:val="28"/>
          <w:lang w:eastAsia="zh-CN" w:bidi="hi-IN"/>
        </w:rPr>
        <w:t xml:space="preserve"> – Вес </w:t>
      </w:r>
      <w:r>
        <w:rPr>
          <w:rFonts w:ascii="Times New Roman" w:eastAsia="Times New Roman" w:hAnsi="Times New Roman" w:cs="Times New Roman"/>
          <w:sz w:val="28"/>
          <w:szCs w:val="28"/>
          <w:lang w:val="en-US" w:eastAsia="zh-CN" w:bidi="hi-IN"/>
        </w:rPr>
        <w:t>LCWB</w:t>
      </w:r>
      <w:r>
        <w:rPr>
          <w:rFonts w:ascii="Times New Roman" w:eastAsia="Times New Roman" w:hAnsi="Times New Roman" w:cs="Times New Roman"/>
          <w:sz w:val="28"/>
          <w:szCs w:val="28"/>
          <w:lang w:eastAsia="zh-CN" w:bidi="hi-IN"/>
        </w:rPr>
        <w:t xml:space="preserve"> (мг) ± </w:t>
      </w:r>
      <w:r>
        <w:rPr>
          <w:rFonts w:ascii="Times New Roman" w:eastAsia="Times New Roman" w:hAnsi="Times New Roman" w:cs="Times New Roman"/>
          <w:sz w:val="28"/>
          <w:szCs w:val="28"/>
          <w:lang w:val="en-US" w:eastAsia="zh-CN" w:bidi="hi-IN"/>
        </w:rPr>
        <w:t>SD</w:t>
      </w:r>
      <w:r>
        <w:rPr>
          <w:rFonts w:ascii="Times New Roman" w:eastAsia="Times New Roman" w:hAnsi="Times New Roman" w:cs="Times New Roman"/>
          <w:sz w:val="28"/>
          <w:szCs w:val="28"/>
          <w:lang w:eastAsia="zh-CN" w:bidi="hi-IN"/>
        </w:rPr>
        <w:t xml:space="preserve"> и бактериальная нагрузка (КОЕ/</w:t>
      </w:r>
      <w:r>
        <w:rPr>
          <w:rFonts w:ascii="Times New Roman" w:eastAsia="Times New Roman" w:hAnsi="Times New Roman" w:cs="Times New Roman"/>
          <w:sz w:val="28"/>
          <w:szCs w:val="28"/>
          <w:lang w:val="en-US" w:eastAsia="zh-CN" w:bidi="hi-IN"/>
        </w:rPr>
        <w:t>LCWB</w:t>
      </w:r>
      <w:r>
        <w:rPr>
          <w:rFonts w:ascii="Times New Roman" w:eastAsia="Times New Roman" w:hAnsi="Times New Roman" w:cs="Times New Roman"/>
          <w:sz w:val="28"/>
          <w:szCs w:val="28"/>
          <w:lang w:eastAsia="zh-CN" w:bidi="hi-IN"/>
        </w:rPr>
        <w:t xml:space="preserve"> мг); </w:t>
      </w:r>
      <w:r>
        <w:rPr>
          <w:rFonts w:ascii="Times New Roman" w:eastAsia="Times New Roman" w:hAnsi="Times New Roman" w:cs="Times New Roman"/>
          <w:sz w:val="28"/>
          <w:szCs w:val="28"/>
          <w:lang w:val="en-US" w:eastAsia="zh-CN" w:bidi="hi-IN"/>
        </w:rPr>
        <w:t>C</w:t>
      </w:r>
      <w:r>
        <w:rPr>
          <w:rFonts w:ascii="Times New Roman" w:eastAsia="Times New Roman" w:hAnsi="Times New Roman" w:cs="Times New Roman"/>
          <w:sz w:val="28"/>
          <w:szCs w:val="28"/>
          <w:lang w:eastAsia="zh-CN" w:bidi="hi-IN"/>
        </w:rPr>
        <w:t xml:space="preserve"> - Фотографические изображения колоний (В) </w:t>
      </w:r>
      <w:r>
        <w:rPr>
          <w:rFonts w:ascii="Times New Roman" w:eastAsia="Times New Roman" w:hAnsi="Times New Roman" w:cs="Times New Roman"/>
          <w:i/>
          <w:sz w:val="28"/>
          <w:szCs w:val="28"/>
          <w:lang w:val="en-US" w:eastAsia="zh-CN" w:bidi="hi-IN"/>
        </w:rPr>
        <w:t>Staphylococcus</w:t>
      </w:r>
      <w:r>
        <w:rPr>
          <w:rFonts w:ascii="Times New Roman" w:eastAsia="Times New Roman" w:hAnsi="Times New Roman" w:cs="Times New Roman"/>
          <w:i/>
          <w:sz w:val="28"/>
          <w:szCs w:val="28"/>
          <w:lang w:eastAsia="zh-CN" w:bidi="hi-IN"/>
        </w:rPr>
        <w:t xml:space="preserve"> </w:t>
      </w:r>
      <w:r>
        <w:rPr>
          <w:rFonts w:ascii="Times New Roman" w:eastAsia="Times New Roman" w:hAnsi="Times New Roman" w:cs="Times New Roman"/>
          <w:i/>
          <w:sz w:val="28"/>
          <w:szCs w:val="28"/>
          <w:lang w:val="en-US" w:eastAsia="zh-CN" w:bidi="hi-IN"/>
        </w:rPr>
        <w:t>aureus</w:t>
      </w:r>
      <w:r>
        <w:rPr>
          <w:rFonts w:ascii="Times New Roman" w:eastAsia="Times New Roman" w:hAnsi="Times New Roman" w:cs="Times New Roman"/>
          <w:i/>
          <w:spacing w:val="-57"/>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z w:val="28"/>
          <w:szCs w:val="28"/>
          <w:lang w:val="en-US" w:eastAsia="zh-CN" w:bidi="hi-IN"/>
        </w:rPr>
        <w:t>MRSA</w:t>
      </w:r>
      <w:r>
        <w:rPr>
          <w:rFonts w:ascii="Times New Roman" w:eastAsia="Times New Roman" w:hAnsi="Times New Roman" w:cs="Times New Roman"/>
          <w:sz w:val="28"/>
          <w:szCs w:val="28"/>
          <w:lang w:eastAsia="zh-CN" w:bidi="hi-IN"/>
        </w:rPr>
        <w:t xml:space="preserve">) и </w:t>
      </w:r>
      <w:r>
        <w:rPr>
          <w:rFonts w:ascii="Times New Roman" w:eastAsia="Times New Roman" w:hAnsi="Times New Roman" w:cs="Times New Roman"/>
          <w:i/>
          <w:sz w:val="28"/>
          <w:szCs w:val="28"/>
          <w:lang w:val="en-US" w:eastAsia="zh-CN" w:bidi="hi-IN"/>
        </w:rPr>
        <w:t>Pseudomonas</w:t>
      </w:r>
      <w:r>
        <w:rPr>
          <w:rFonts w:ascii="Times New Roman" w:eastAsia="Times New Roman" w:hAnsi="Times New Roman" w:cs="Times New Roman"/>
          <w:i/>
          <w:spacing w:val="-13"/>
          <w:sz w:val="28"/>
          <w:szCs w:val="28"/>
          <w:lang w:eastAsia="zh-CN" w:bidi="hi-IN"/>
        </w:rPr>
        <w:t xml:space="preserve"> </w:t>
      </w:r>
      <w:r>
        <w:rPr>
          <w:rFonts w:ascii="Times New Roman" w:eastAsia="Times New Roman" w:hAnsi="Times New Roman" w:cs="Times New Roman"/>
          <w:i/>
          <w:sz w:val="28"/>
          <w:szCs w:val="28"/>
          <w:lang w:val="en-US" w:eastAsia="zh-CN" w:bidi="hi-IN"/>
        </w:rPr>
        <w:t>aeruginosa</w:t>
      </w:r>
      <w:r>
        <w:rPr>
          <w:rFonts w:ascii="Times New Roman" w:eastAsia="Times New Roman" w:hAnsi="Times New Roman" w:cs="Times New Roman"/>
          <w:i/>
          <w:spacing w:val="-10"/>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z w:val="28"/>
          <w:szCs w:val="28"/>
          <w:lang w:val="en-US" w:eastAsia="zh-CN" w:bidi="hi-IN"/>
        </w:rPr>
        <w:t>FQRPA</w:t>
      </w:r>
      <w:r>
        <w:rPr>
          <w:rFonts w:ascii="Times New Roman" w:eastAsia="Times New Roman" w:hAnsi="Times New Roman" w:cs="Times New Roman"/>
          <w:sz w:val="28"/>
          <w:szCs w:val="28"/>
          <w:lang w:eastAsia="zh-CN" w:bidi="hi-IN"/>
        </w:rPr>
        <w:t>)</w:t>
      </w:r>
    </w:p>
    <w:p w:rsidR="00F644EE" w:rsidRDefault="00F644EE">
      <w:pPr>
        <w:widowControl w:val="0"/>
        <w:autoSpaceDE w:val="0"/>
        <w:autoSpaceDN w:val="0"/>
        <w:spacing w:after="0" w:line="240" w:lineRule="auto"/>
        <w:ind w:firstLine="567"/>
        <w:jc w:val="both"/>
        <w:rPr>
          <w:rFonts w:ascii="Times New Roman" w:eastAsia="Times New Roman" w:hAnsi="Times New Roman" w:cs="Times New Roman"/>
          <w:bCs/>
          <w:sz w:val="28"/>
          <w:szCs w:val="28"/>
          <w:lang w:eastAsia="zh-CN" w:bidi="hi-IN"/>
        </w:rPr>
      </w:pPr>
      <w:r>
        <w:rPr>
          <w:rFonts w:ascii="Times New Roman" w:eastAsia="Times New Roman" w:hAnsi="Times New Roman" w:cs="Times New Roman"/>
          <w:sz w:val="28"/>
          <w:szCs w:val="28"/>
          <w:lang w:eastAsia="zh-CN" w:bidi="hi-IN"/>
        </w:rPr>
        <w:lastRenderedPageBreak/>
        <w:t>Собранная зрелая биопленка имела твердо-слизистую консистенцию и макроскопический вид, характеризующийся «центральной полостью», образованной кончиком пипетки, «поверхностной областью биопленки» на границе раздела среда/воздух и «нижней областью» на кончике насадки. В целом в процессе формирования биопленки до перевода на искусственное раневое ложе серьезных изменений микроскопической морфологии не наблюдалось.  После наложения на зрелую биопленку патчей с БЦ/</w:t>
      </w:r>
      <w:r>
        <w:rPr>
          <w:rFonts w:ascii="Times New Roman" w:eastAsia="Times New Roman" w:hAnsi="Times New Roman" w:cs="Times New Roman"/>
          <w:color w:val="212121"/>
          <w:sz w:val="28"/>
          <w:szCs w:val="28"/>
          <w:lang w:eastAsia="zh-CN" w:bidi="hi-IN"/>
        </w:rPr>
        <w:t>M</w:t>
      </w:r>
      <w:proofErr w:type="gramStart"/>
      <w:r>
        <w:rPr>
          <w:rFonts w:ascii="Times New Roman" w:eastAsia="Times New Roman" w:hAnsi="Times New Roman" w:cs="Times New Roman"/>
          <w:color w:val="212121"/>
          <w:sz w:val="28"/>
          <w:szCs w:val="28"/>
          <w:lang w:eastAsia="zh-CN" w:bidi="hi-IN"/>
        </w:rPr>
        <w:t>Х</w:t>
      </w:r>
      <w:proofErr w:type="gramEnd"/>
      <w:r>
        <w:rPr>
          <w:rFonts w:ascii="Times New Roman" w:eastAsia="Times New Roman" w:hAnsi="Times New Roman" w:cs="Times New Roman"/>
          <w:color w:val="212121"/>
          <w:sz w:val="28"/>
          <w:szCs w:val="28"/>
          <w:lang w:eastAsia="zh-CN" w:bidi="hi-IN"/>
        </w:rPr>
        <w:t>enе</w:t>
      </w:r>
      <w:r>
        <w:rPr>
          <w:rFonts w:ascii="Times New Roman" w:eastAsia="Times New Roman" w:hAnsi="Times New Roman" w:cs="Times New Roman"/>
          <w:sz w:val="28"/>
          <w:szCs w:val="28"/>
          <w:lang w:eastAsia="zh-CN" w:bidi="hi-IN"/>
        </w:rPr>
        <w:t xml:space="preserve"> продемонстрировано хорошее микробное ингибирование, подтверждая основной эффект против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color w:val="101010"/>
          <w:sz w:val="28"/>
          <w:szCs w:val="28"/>
          <w:lang w:eastAsia="zh-CN" w:bidi="hi-IN"/>
        </w:rPr>
        <w:t xml:space="preserve"> (</w:t>
      </w:r>
      <w:r>
        <w:rPr>
          <w:rFonts w:ascii="Times New Roman" w:eastAsia="Times New Roman" w:hAnsi="Times New Roman" w:cs="Times New Roman"/>
          <w:sz w:val="28"/>
          <w:szCs w:val="28"/>
          <w:lang w:eastAsia="zh-CN" w:bidi="hi-IN"/>
        </w:rPr>
        <w:t xml:space="preserve">67%). Антибиопленочное действие </w:t>
      </w:r>
      <w:r>
        <w:rPr>
          <w:rFonts w:ascii="Times New Roman" w:eastAsia="Times New Roman" w:hAnsi="Times New Roman" w:cs="Times New Roman"/>
          <w:color w:val="212121"/>
          <w:sz w:val="28"/>
          <w:szCs w:val="28"/>
          <w:lang w:eastAsia="zh-CN" w:bidi="hi-IN"/>
        </w:rPr>
        <w:t>Mxen</w:t>
      </w:r>
      <w:proofErr w:type="gramStart"/>
      <w:r>
        <w:rPr>
          <w:rFonts w:ascii="Times New Roman" w:eastAsia="Times New Roman" w:hAnsi="Times New Roman" w:cs="Times New Roman"/>
          <w:color w:val="212121"/>
          <w:sz w:val="28"/>
          <w:szCs w:val="28"/>
          <w:lang w:eastAsia="zh-CN" w:bidi="hi-IN"/>
        </w:rPr>
        <w:t>е</w:t>
      </w:r>
      <w:proofErr w:type="gramEnd"/>
      <w:r>
        <w:rPr>
          <w:rFonts w:ascii="Times New Roman" w:eastAsia="Times New Roman" w:hAnsi="Times New Roman" w:cs="Times New Roman"/>
          <w:sz w:val="28"/>
          <w:szCs w:val="28"/>
          <w:lang w:eastAsia="zh-CN" w:bidi="hi-IN"/>
        </w:rPr>
        <w:t xml:space="preserve"> обнаружено также и против </w:t>
      </w:r>
      <w:r>
        <w:rPr>
          <w:rFonts w:ascii="Times New Roman" w:eastAsia="Times New Roman" w:hAnsi="Times New Roman" w:cs="Times New Roman"/>
          <w:i/>
          <w:iCs/>
          <w:sz w:val="28"/>
          <w:szCs w:val="28"/>
          <w:lang w:eastAsia="zh-CN" w:bidi="hi-IN"/>
        </w:rPr>
        <w:t>P.aeruginosa</w:t>
      </w:r>
      <w:r>
        <w:rPr>
          <w:rFonts w:ascii="Times New Roman" w:eastAsia="Times New Roman" w:hAnsi="Times New Roman" w:cs="Times New Roman"/>
          <w:sz w:val="28"/>
          <w:szCs w:val="28"/>
          <w:lang w:eastAsia="zh-CN" w:bidi="hi-IN"/>
        </w:rPr>
        <w:t xml:space="preserve"> (59%) в биопленке двойного вида по сравнению с контрольными образцами (чистая БЦ). Наибольший эффект отмечен в вариантах с комбинированным покрытием БЦ/</w:t>
      </w:r>
      <w:r>
        <w:rPr>
          <w:rFonts w:ascii="Times New Roman" w:eastAsia="Times New Roman" w:hAnsi="Times New Roman" w:cs="Times New Roman"/>
          <w:color w:val="212121"/>
          <w:sz w:val="28"/>
          <w:szCs w:val="28"/>
          <w:lang w:eastAsia="zh-CN" w:bidi="hi-IN"/>
        </w:rPr>
        <w:t>M</w:t>
      </w:r>
      <w:proofErr w:type="gramStart"/>
      <w:r>
        <w:rPr>
          <w:rFonts w:ascii="Times New Roman" w:eastAsia="Times New Roman" w:hAnsi="Times New Roman" w:cs="Times New Roman"/>
          <w:color w:val="212121"/>
          <w:sz w:val="28"/>
          <w:szCs w:val="28"/>
          <w:lang w:eastAsia="zh-CN" w:bidi="hi-IN"/>
        </w:rPr>
        <w:t>Х</w:t>
      </w:r>
      <w:proofErr w:type="gramEnd"/>
      <w:r>
        <w:rPr>
          <w:rFonts w:ascii="Times New Roman" w:eastAsia="Times New Roman" w:hAnsi="Times New Roman" w:cs="Times New Roman"/>
          <w:color w:val="212121"/>
          <w:sz w:val="28"/>
          <w:szCs w:val="28"/>
          <w:lang w:eastAsia="zh-CN" w:bidi="hi-IN"/>
        </w:rPr>
        <w:t xml:space="preserve">enе/ГАП. В этом экспериментальном образце проценты снижения КОЕ/мг составляют 98% и 86% для </w:t>
      </w:r>
      <w:r>
        <w:rPr>
          <w:rFonts w:ascii="Times New Roman" w:eastAsia="Times New Roman" w:hAnsi="Times New Roman" w:cs="Times New Roman"/>
          <w:i/>
          <w:iCs/>
          <w:sz w:val="28"/>
          <w:szCs w:val="28"/>
          <w:lang w:val="en-US" w:eastAsia="zh-CN" w:bidi="hi-IN"/>
        </w:rPr>
        <w:t>S</w:t>
      </w:r>
      <w:r>
        <w:rPr>
          <w:rFonts w:ascii="Times New Roman" w:eastAsia="Times New Roman" w:hAnsi="Times New Roman" w:cs="Times New Roman"/>
          <w:i/>
          <w:iCs/>
          <w:sz w:val="28"/>
          <w:szCs w:val="28"/>
          <w:lang w:eastAsia="zh-CN" w:bidi="hi-IN"/>
        </w:rPr>
        <w:t>.</w:t>
      </w:r>
      <w:r>
        <w:rPr>
          <w:rFonts w:ascii="Times New Roman" w:eastAsia="Times New Roman" w:hAnsi="Times New Roman" w:cs="Times New Roman"/>
          <w:i/>
          <w:iCs/>
          <w:sz w:val="28"/>
          <w:szCs w:val="28"/>
          <w:lang w:val="en-US" w:eastAsia="zh-CN" w:bidi="hi-IN"/>
        </w:rPr>
        <w:t>aureus</w:t>
      </w:r>
      <w:r>
        <w:rPr>
          <w:rFonts w:ascii="Times New Roman" w:eastAsia="Times New Roman" w:hAnsi="Times New Roman" w:cs="Times New Roman"/>
          <w:sz w:val="28"/>
          <w:szCs w:val="28"/>
          <w:lang w:eastAsia="zh-CN" w:bidi="hi-IN"/>
        </w:rPr>
        <w:t xml:space="preserve"> и</w:t>
      </w:r>
      <w:r>
        <w:rPr>
          <w:rFonts w:ascii="Times New Roman" w:eastAsia="Times New Roman" w:hAnsi="Times New Roman" w:cs="Times New Roman"/>
          <w:i/>
          <w:iCs/>
          <w:sz w:val="28"/>
          <w:szCs w:val="28"/>
          <w:lang w:eastAsia="zh-CN" w:bidi="hi-IN"/>
        </w:rPr>
        <w:t xml:space="preserve"> P.aeruginosa</w:t>
      </w:r>
      <w:r>
        <w:rPr>
          <w:rFonts w:ascii="Times New Roman" w:eastAsia="Times New Roman" w:hAnsi="Times New Roman" w:cs="Times New Roman"/>
          <w:sz w:val="28"/>
          <w:szCs w:val="28"/>
          <w:lang w:eastAsia="zh-CN" w:bidi="hi-IN"/>
        </w:rPr>
        <w:t xml:space="preserve"> соответственно.</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bCs/>
          <w:sz w:val="28"/>
          <w:szCs w:val="28"/>
          <w:lang w:eastAsia="zh-CN" w:bidi="hi-IN"/>
        </w:rPr>
        <w:t xml:space="preserve">Как уже отмечено, основной механизм подавления роста и даже гибели бактерий заключается в физическом взаимодействии </w:t>
      </w:r>
      <w:r>
        <w:rPr>
          <w:rFonts w:ascii="Times New Roman" w:eastAsia="Times New Roman" w:hAnsi="Times New Roman" w:cs="Times New Roman"/>
          <w:bCs/>
          <w:color w:val="212121"/>
          <w:sz w:val="28"/>
          <w:szCs w:val="28"/>
          <w:lang w:eastAsia="zh-CN" w:bidi="hi-IN"/>
        </w:rPr>
        <w:t>M</w:t>
      </w:r>
      <w:proofErr w:type="gramStart"/>
      <w:r>
        <w:rPr>
          <w:rFonts w:ascii="Times New Roman" w:eastAsia="Times New Roman" w:hAnsi="Times New Roman" w:cs="Times New Roman"/>
          <w:bCs/>
          <w:color w:val="212121"/>
          <w:sz w:val="28"/>
          <w:szCs w:val="28"/>
          <w:lang w:eastAsia="zh-CN" w:bidi="hi-IN"/>
        </w:rPr>
        <w:t>Х</w:t>
      </w:r>
      <w:proofErr w:type="gramEnd"/>
      <w:r>
        <w:rPr>
          <w:rFonts w:ascii="Times New Roman" w:eastAsia="Times New Roman" w:hAnsi="Times New Roman" w:cs="Times New Roman"/>
          <w:bCs/>
          <w:color w:val="212121"/>
          <w:sz w:val="28"/>
          <w:szCs w:val="28"/>
          <w:lang w:eastAsia="zh-CN" w:bidi="hi-IN"/>
        </w:rPr>
        <w:t>enе</w:t>
      </w:r>
      <w:r>
        <w:rPr>
          <w:rFonts w:ascii="Times New Roman" w:eastAsia="Times New Roman" w:hAnsi="Times New Roman" w:cs="Times New Roman"/>
          <w:bCs/>
          <w:sz w:val="28"/>
          <w:szCs w:val="28"/>
          <w:lang w:eastAsia="zh-CN" w:bidi="hi-IN"/>
        </w:rPr>
        <w:t xml:space="preserve"> с клеточной поверхностью, что приводит к окислительному стрессу внутри клеток  [188].</w:t>
      </w:r>
      <w:r>
        <w:rPr>
          <w:rFonts w:ascii="Times New Roman" w:eastAsia="Times New Roman" w:hAnsi="Times New Roman" w:cs="Times New Roman"/>
          <w:sz w:val="28"/>
          <w:szCs w:val="28"/>
          <w:lang w:eastAsia="zh-CN" w:bidi="hi-IN"/>
        </w:rPr>
        <w:t xml:space="preserve"> Известно также, что в водной </w:t>
      </w:r>
      <w:proofErr w:type="gramStart"/>
      <w:r>
        <w:rPr>
          <w:rFonts w:ascii="Times New Roman" w:eastAsia="Times New Roman" w:hAnsi="Times New Roman" w:cs="Times New Roman"/>
          <w:sz w:val="28"/>
          <w:szCs w:val="28"/>
          <w:lang w:eastAsia="zh-CN" w:bidi="hi-IN"/>
        </w:rPr>
        <w:t>с</w:t>
      </w:r>
      <w:proofErr w:type="gramEnd"/>
      <w:r>
        <w:rPr>
          <w:rFonts w:ascii="Times New Roman" w:eastAsia="Times New Roman" w:hAnsi="Times New Roman" w:cs="Times New Roman"/>
          <w:sz w:val="28"/>
          <w:szCs w:val="28"/>
          <w:lang w:eastAsia="zh-CN" w:bidi="hi-IN"/>
        </w:rPr>
        <w:t xml:space="preserve"> среде и в присутствии кислорода отдельные слои </w:t>
      </w:r>
      <w:r>
        <w:rPr>
          <w:rFonts w:ascii="Times New Roman" w:eastAsia="Times New Roman" w:hAnsi="Times New Roman" w:cs="Times New Roman"/>
          <w:color w:val="212121"/>
          <w:sz w:val="28"/>
          <w:szCs w:val="28"/>
          <w:lang w:eastAsia="zh-CN" w:bidi="hi-IN"/>
        </w:rPr>
        <w:t>MХenе</w:t>
      </w:r>
      <w:r>
        <w:rPr>
          <w:rFonts w:ascii="Times New Roman" w:eastAsia="Times New Roman" w:hAnsi="Times New Roman" w:cs="Times New Roman"/>
          <w:color w:val="212121"/>
          <w:sz w:val="28"/>
          <w:szCs w:val="28"/>
          <w:lang w:val="en-US" w:eastAsia="zh-CN" w:bidi="hi-IN"/>
        </w:rPr>
        <w:t>s</w:t>
      </w:r>
      <w:r>
        <w:rPr>
          <w:rFonts w:ascii="Times New Roman" w:eastAsia="Times New Roman" w:hAnsi="Times New Roman" w:cs="Times New Roman"/>
          <w:color w:val="212121"/>
          <w:sz w:val="28"/>
          <w:szCs w:val="28"/>
          <w:lang w:eastAsia="zh-CN" w:bidi="hi-IN"/>
        </w:rPr>
        <w:t xml:space="preserve"> могут агрегировать между собой, что снижает их повреждающее действие. Фиксация Mxen</w:t>
      </w:r>
      <w:proofErr w:type="gramStart"/>
      <w:r>
        <w:rPr>
          <w:rFonts w:ascii="Times New Roman" w:eastAsia="Times New Roman" w:hAnsi="Times New Roman" w:cs="Times New Roman"/>
          <w:color w:val="212121"/>
          <w:sz w:val="28"/>
          <w:szCs w:val="28"/>
          <w:lang w:eastAsia="zh-CN" w:bidi="hi-IN"/>
        </w:rPr>
        <w:t>е</w:t>
      </w:r>
      <w:proofErr w:type="gramEnd"/>
      <w:r>
        <w:rPr>
          <w:rFonts w:ascii="Times New Roman" w:eastAsia="Times New Roman" w:hAnsi="Times New Roman" w:cs="Times New Roman"/>
          <w:color w:val="212121"/>
          <w:sz w:val="28"/>
          <w:szCs w:val="28"/>
          <w:lang w:eastAsia="zh-CN" w:bidi="hi-IN"/>
        </w:rPr>
        <w:t xml:space="preserve"> в фибриллах БЦ будет препятствовать их расслоению, подобным образом действует на MХenе и ГАП. Кроме того, в указанных условиях Mxen</w:t>
      </w:r>
      <w:proofErr w:type="gramStart"/>
      <w:r>
        <w:rPr>
          <w:rFonts w:ascii="Times New Roman" w:eastAsia="Times New Roman" w:hAnsi="Times New Roman" w:cs="Times New Roman"/>
          <w:color w:val="212121"/>
          <w:sz w:val="28"/>
          <w:szCs w:val="28"/>
          <w:lang w:eastAsia="zh-CN" w:bidi="hi-IN"/>
        </w:rPr>
        <w:t>е</w:t>
      </w:r>
      <w:proofErr w:type="gramEnd"/>
      <w:r>
        <w:rPr>
          <w:rFonts w:ascii="Times New Roman" w:eastAsia="Times New Roman" w:hAnsi="Times New Roman" w:cs="Times New Roman"/>
          <w:color w:val="212121"/>
          <w:sz w:val="28"/>
          <w:szCs w:val="28"/>
          <w:lang w:val="en-US" w:eastAsia="zh-CN" w:bidi="hi-IN"/>
        </w:rPr>
        <w:t>s</w:t>
      </w:r>
      <w:r>
        <w:rPr>
          <w:rFonts w:ascii="Times New Roman" w:eastAsia="Times New Roman" w:hAnsi="Times New Roman" w:cs="Times New Roman"/>
          <w:color w:val="212121"/>
          <w:sz w:val="28"/>
          <w:szCs w:val="28"/>
          <w:lang w:eastAsia="zh-CN" w:bidi="hi-IN"/>
        </w:rPr>
        <w:t xml:space="preserve"> могут окисляться, а ГАП предохраняет их от окисления. Это </w:t>
      </w:r>
      <w:proofErr w:type="gramStart"/>
      <w:r>
        <w:rPr>
          <w:rFonts w:ascii="Times New Roman" w:eastAsia="Times New Roman" w:hAnsi="Times New Roman" w:cs="Times New Roman"/>
          <w:color w:val="212121"/>
          <w:sz w:val="28"/>
          <w:szCs w:val="28"/>
          <w:lang w:eastAsia="zh-CN" w:bidi="hi-IN"/>
        </w:rPr>
        <w:t>происходит</w:t>
      </w:r>
      <w:proofErr w:type="gramEnd"/>
      <w:r>
        <w:rPr>
          <w:rFonts w:ascii="Times New Roman" w:eastAsia="Times New Roman" w:hAnsi="Times New Roman" w:cs="Times New Roman"/>
          <w:color w:val="212121"/>
          <w:sz w:val="28"/>
          <w:szCs w:val="28"/>
          <w:lang w:eastAsia="zh-CN" w:bidi="hi-IN"/>
        </w:rPr>
        <w:t xml:space="preserve"> во-первых, из-того, что </w:t>
      </w:r>
      <w:r>
        <w:rPr>
          <w:rFonts w:ascii="Times New Roman" w:eastAsia="Times New Roman" w:hAnsi="Times New Roman" w:cs="Times New Roman"/>
          <w:sz w:val="28"/>
          <w:szCs w:val="28"/>
          <w:lang w:eastAsia="zh-CN" w:bidi="hi-IN"/>
        </w:rPr>
        <w:t>ОН− из гидроксиапатита может предотвратить окисление MXene, создавая защитный слой, который реагирует с терминальной группой Tx. Во-вторых, гидроксид-ион из ГАП на концевых участках MXene может ослабить внутреннее электрическое поле и  уменьшить вероятность образования Ti</w:t>
      </w:r>
      <w:r>
        <w:rPr>
          <w:rFonts w:ascii="Times New Roman" w:eastAsia="Times New Roman" w:hAnsi="Times New Roman" w:cs="Times New Roman"/>
          <w:sz w:val="28"/>
          <w:szCs w:val="28"/>
          <w:vertAlign w:val="superscript"/>
          <w:lang w:eastAsia="zh-CN" w:bidi="hi-IN"/>
        </w:rPr>
        <w:t xml:space="preserve">4+ </w:t>
      </w:r>
      <w:r>
        <w:rPr>
          <w:rFonts w:ascii="Times New Roman" w:eastAsia="Times New Roman" w:hAnsi="Times New Roman" w:cs="Times New Roman"/>
          <w:sz w:val="28"/>
          <w:szCs w:val="28"/>
          <w:lang w:eastAsia="zh-CN" w:bidi="hi-IN"/>
        </w:rPr>
        <w:t>и О</w:t>
      </w:r>
      <w:proofErr w:type="gramStart"/>
      <w:r>
        <w:rPr>
          <w:rFonts w:ascii="Times New Roman" w:eastAsia="Times New Roman" w:hAnsi="Times New Roman" w:cs="Times New Roman"/>
          <w:sz w:val="28"/>
          <w:szCs w:val="28"/>
          <w:vertAlign w:val="superscript"/>
          <w:lang w:eastAsia="zh-CN" w:bidi="hi-IN"/>
        </w:rPr>
        <w:t>2</w:t>
      </w:r>
      <w:proofErr w:type="gramEnd"/>
      <w:r>
        <w:rPr>
          <w:rFonts w:ascii="Times New Roman" w:eastAsia="Times New Roman" w:hAnsi="Times New Roman" w:cs="Times New Roman"/>
          <w:sz w:val="28"/>
          <w:szCs w:val="28"/>
          <w:vertAlign w:val="superscript"/>
          <w:lang w:eastAsia="zh-CN" w:bidi="hi-IN"/>
        </w:rPr>
        <w:t>-</w:t>
      </w:r>
      <w:r>
        <w:rPr>
          <w:rFonts w:ascii="Times New Roman" w:eastAsia="Times New Roman" w:hAnsi="Times New Roman" w:cs="Times New Roman"/>
          <w:sz w:val="28"/>
          <w:szCs w:val="28"/>
          <w:lang w:eastAsia="zh-CN" w:bidi="hi-IN"/>
        </w:rPr>
        <w:t xml:space="preserve"> комбинации. Эти два механизма могут способствовать снижению окисления системы и уменьшению синтеза TiO</w:t>
      </w:r>
      <w:r>
        <w:rPr>
          <w:rFonts w:ascii="Times New Roman" w:eastAsia="Times New Roman" w:hAnsi="Times New Roman" w:cs="Times New Roman"/>
          <w:sz w:val="28"/>
          <w:szCs w:val="28"/>
          <w:vertAlign w:val="subscript"/>
          <w:lang w:eastAsia="zh-CN" w:bidi="hi-IN"/>
        </w:rPr>
        <w:t>2</w:t>
      </w:r>
      <w:r>
        <w:rPr>
          <w:rFonts w:ascii="Times New Roman" w:eastAsia="Times New Roman" w:hAnsi="Times New Roman" w:cs="Times New Roman"/>
          <w:sz w:val="28"/>
          <w:szCs w:val="28"/>
          <w:lang w:eastAsia="zh-CN" w:bidi="hi-IN"/>
        </w:rPr>
        <w:t xml:space="preserve"> [127].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Следует заметить также, что микроорганизмы могут секретировать внеклеточные полимерные веществ</w:t>
      </w:r>
      <w:proofErr w:type="gramStart"/>
      <w:r>
        <w:rPr>
          <w:rFonts w:ascii="Times New Roman" w:eastAsia="Times New Roman" w:hAnsi="Times New Roman" w:cs="Times New Roman"/>
          <w:sz w:val="28"/>
          <w:szCs w:val="28"/>
          <w:lang w:eastAsia="zh-CN" w:bidi="hi-IN"/>
        </w:rPr>
        <w:t>а-</w:t>
      </w:r>
      <w:proofErr w:type="gramEnd"/>
      <w:r>
        <w:rPr>
          <w:rFonts w:ascii="Times New Roman" w:eastAsia="Times New Roman" w:hAnsi="Times New Roman" w:cs="Times New Roman"/>
          <w:sz w:val="28"/>
          <w:szCs w:val="28"/>
          <w:lang w:eastAsia="zh-CN" w:bidi="hi-IN"/>
        </w:rPr>
        <w:t xml:space="preserve"> экзополисахариды (EPS) на поверхности клеток, которые играют важную роль в бионано-интерфейсных взаимодействиях. Экзополисахариды составляют матрицу биопленки, в которую погружены клетки бактерий.  Она в основном состоит из белков и полисахаридов, имеет высокое сродство к наноматериалам. Это может способствовать гетероагломерации между MXenes и бактериальными клетками. Предполагается, что физическое бионано-интерфейсное взаимодействие также способствует токсичности Ti</w:t>
      </w:r>
      <w:r>
        <w:rPr>
          <w:rFonts w:ascii="Times New Roman" w:eastAsia="Times New Roman" w:hAnsi="Times New Roman" w:cs="Times New Roman"/>
          <w:sz w:val="28"/>
          <w:szCs w:val="28"/>
          <w:vertAlign w:val="subscript"/>
          <w:lang w:eastAsia="zh-CN" w:bidi="hi-IN"/>
        </w:rPr>
        <w:t>3</w:t>
      </w:r>
      <w:r>
        <w:rPr>
          <w:rFonts w:ascii="Times New Roman" w:eastAsia="Times New Roman" w:hAnsi="Times New Roman" w:cs="Times New Roman"/>
          <w:sz w:val="28"/>
          <w:szCs w:val="28"/>
          <w:lang w:eastAsia="zh-CN" w:bidi="hi-IN"/>
        </w:rPr>
        <w:t>С</w:t>
      </w:r>
      <w:r>
        <w:rPr>
          <w:rFonts w:ascii="Times New Roman" w:eastAsia="Times New Roman" w:hAnsi="Times New Roman" w:cs="Times New Roman"/>
          <w:sz w:val="28"/>
          <w:szCs w:val="28"/>
          <w:vertAlign w:val="subscript"/>
          <w:lang w:eastAsia="zh-CN" w:bidi="hi-IN"/>
        </w:rPr>
        <w:t>2</w:t>
      </w:r>
      <w:r>
        <w:rPr>
          <w:rFonts w:ascii="Times New Roman" w:eastAsia="Times New Roman" w:hAnsi="Times New Roman" w:cs="Times New Roman"/>
          <w:sz w:val="28"/>
          <w:szCs w:val="28"/>
          <w:lang w:eastAsia="zh-CN" w:bidi="hi-IN"/>
        </w:rPr>
        <w:t>Т</w:t>
      </w:r>
      <w:r>
        <w:rPr>
          <w:rFonts w:ascii="Times New Roman" w:eastAsia="Times New Roman" w:hAnsi="Times New Roman" w:cs="Times New Roman"/>
          <w:sz w:val="28"/>
          <w:szCs w:val="28"/>
          <w:vertAlign w:val="subscript"/>
          <w:lang w:eastAsia="zh-CN" w:bidi="hi-IN"/>
        </w:rPr>
        <w:t>х</w:t>
      </w:r>
      <w:r>
        <w:rPr>
          <w:rFonts w:ascii="Times New Roman" w:eastAsia="Times New Roman" w:hAnsi="Times New Roman" w:cs="Times New Roman"/>
          <w:sz w:val="28"/>
          <w:szCs w:val="28"/>
          <w:lang w:val="en-US" w:eastAsia="zh-CN" w:bidi="hi-IN"/>
        </w:rPr>
        <w:t>MXene</w:t>
      </w:r>
      <w:r>
        <w:rPr>
          <w:rFonts w:ascii="Times New Roman" w:eastAsia="Times New Roman" w:hAnsi="Times New Roman" w:cs="Times New Roman"/>
          <w:sz w:val="28"/>
          <w:szCs w:val="28"/>
          <w:lang w:eastAsia="zh-CN" w:bidi="hi-IN"/>
        </w:rPr>
        <w:t xml:space="preserve"> [277]. </w:t>
      </w:r>
    </w:p>
    <w:p w:rsidR="00E17FE1" w:rsidRDefault="00BB58D7">
      <w:pPr>
        <w:widowControl w:val="0"/>
        <w:autoSpaceDE w:val="0"/>
        <w:autoSpaceDN w:val="0"/>
        <w:spacing w:after="0" w:line="240" w:lineRule="auto"/>
        <w:ind w:firstLine="567"/>
        <w:jc w:val="both"/>
        <w:outlineLvl w:val="1"/>
        <w:rPr>
          <w:rFonts w:ascii="Times New Roman" w:eastAsia="DejaVu Sans" w:hAnsi="Times New Roman" w:cs="Times New Roman"/>
          <w:b/>
          <w:bCs/>
          <w:iCs/>
          <w:sz w:val="28"/>
          <w:szCs w:val="28"/>
          <w:lang w:eastAsia="zh-CN" w:bidi="hi-IN"/>
        </w:rPr>
      </w:pPr>
      <w:r>
        <w:rPr>
          <w:rFonts w:ascii="Times New Roman" w:eastAsia="Times New Roman" w:hAnsi="Times New Roman" w:cs="Times New Roman"/>
          <w:sz w:val="28"/>
          <w:szCs w:val="28"/>
          <w:lang w:eastAsia="zh-CN" w:bidi="hi-IN"/>
        </w:rPr>
        <w:t>Судя по полученным результатам, исследуемые материалы по их антибиопленочной активности можно расположить в следующем порядке: БЦ/ГАП/M</w:t>
      </w:r>
      <w:proofErr w:type="gramStart"/>
      <w:r>
        <w:rPr>
          <w:rFonts w:ascii="Times New Roman" w:eastAsia="Times New Roman" w:hAnsi="Times New Roman" w:cs="Times New Roman"/>
          <w:sz w:val="28"/>
          <w:szCs w:val="28"/>
          <w:lang w:eastAsia="zh-CN" w:bidi="hi-IN"/>
        </w:rPr>
        <w:t>Х</w:t>
      </w:r>
      <w:proofErr w:type="gramEnd"/>
      <w:r>
        <w:rPr>
          <w:rFonts w:ascii="Times New Roman" w:eastAsia="Times New Roman" w:hAnsi="Times New Roman" w:cs="Times New Roman"/>
          <w:sz w:val="28"/>
          <w:szCs w:val="28"/>
          <w:lang w:eastAsia="zh-CN" w:bidi="hi-IN"/>
        </w:rPr>
        <w:t>ene → БЦ/</w:t>
      </w:r>
      <w:r>
        <w:rPr>
          <w:rFonts w:ascii="Times New Roman" w:eastAsia="Times New Roman" w:hAnsi="Times New Roman" w:cs="Times New Roman"/>
          <w:sz w:val="28"/>
          <w:szCs w:val="28"/>
          <w:lang w:val="en-US" w:eastAsia="zh-CN" w:bidi="hi-IN"/>
        </w:rPr>
        <w:t>MXene</w:t>
      </w:r>
      <w:r>
        <w:rPr>
          <w:rFonts w:ascii="Times New Roman" w:eastAsia="Times New Roman" w:hAnsi="Times New Roman" w:cs="Times New Roman"/>
          <w:sz w:val="28"/>
          <w:szCs w:val="28"/>
          <w:lang w:eastAsia="zh-CN" w:bidi="hi-IN"/>
        </w:rPr>
        <w:t xml:space="preserve"> → БЦ/ГАП. В модели LCWB  они способны  вмешиваться в кластеризацию бактерий в образовании двухвидовой биопленки, а также способны дезагрегировать и рассеивать микробные сидячие клетки </w:t>
      </w:r>
      <w:proofErr w:type="gramStart"/>
      <w:r>
        <w:rPr>
          <w:rFonts w:ascii="Times New Roman" w:eastAsia="Times New Roman" w:hAnsi="Times New Roman" w:cs="Times New Roman"/>
          <w:sz w:val="28"/>
          <w:szCs w:val="28"/>
          <w:lang w:eastAsia="zh-CN" w:bidi="hi-IN"/>
        </w:rPr>
        <w:t>в</w:t>
      </w:r>
      <w:proofErr w:type="gramEnd"/>
      <w:r>
        <w:rPr>
          <w:rFonts w:ascii="Times New Roman" w:eastAsia="Times New Roman" w:hAnsi="Times New Roman" w:cs="Times New Roman"/>
          <w:sz w:val="28"/>
          <w:szCs w:val="28"/>
          <w:lang w:eastAsia="zh-CN" w:bidi="hi-IN"/>
        </w:rPr>
        <w:t xml:space="preserve"> зрелой биопленке. Таким образом, на первой фазе </w:t>
      </w:r>
      <w:r>
        <w:rPr>
          <w:rFonts w:ascii="Times New Roman" w:eastAsia="Times New Roman" w:hAnsi="Times New Roman" w:cs="Times New Roman"/>
          <w:sz w:val="28"/>
          <w:szCs w:val="28"/>
          <w:lang w:eastAsia="zh-CN" w:bidi="hi-IN"/>
        </w:rPr>
        <w:lastRenderedPageBreak/>
        <w:t>микробной колонизации наиболее активный  гидрогель БЦ/ГАП/M</w:t>
      </w:r>
      <w:proofErr w:type="gramStart"/>
      <w:r>
        <w:rPr>
          <w:rFonts w:ascii="Times New Roman" w:eastAsia="Times New Roman" w:hAnsi="Times New Roman" w:cs="Times New Roman"/>
          <w:sz w:val="28"/>
          <w:szCs w:val="28"/>
          <w:lang w:eastAsia="zh-CN" w:bidi="hi-IN"/>
        </w:rPr>
        <w:t>Х</w:t>
      </w:r>
      <w:proofErr w:type="gramEnd"/>
      <w:r>
        <w:rPr>
          <w:rFonts w:ascii="Times New Roman" w:eastAsia="Times New Roman" w:hAnsi="Times New Roman" w:cs="Times New Roman"/>
          <w:sz w:val="28"/>
          <w:szCs w:val="28"/>
          <w:lang w:eastAsia="zh-CN" w:bidi="hi-IN"/>
        </w:rPr>
        <w:t>ene  может задерживать процесс инфекции, тогда как в зрелой биопленке он способствует разрушению кластерных бактерий, встроенных во внеклеточные полимерные вещества, что ведет высвобождению и гибели планктонных клеток. Таким образом, БЦ/ГАП/M</w:t>
      </w:r>
      <w:proofErr w:type="gramStart"/>
      <w:r>
        <w:rPr>
          <w:rFonts w:ascii="Times New Roman" w:eastAsia="Times New Roman" w:hAnsi="Times New Roman" w:cs="Times New Roman"/>
          <w:sz w:val="28"/>
          <w:szCs w:val="28"/>
          <w:lang w:eastAsia="zh-CN" w:bidi="hi-IN"/>
        </w:rPr>
        <w:t>Х</w:t>
      </w:r>
      <w:proofErr w:type="gramEnd"/>
      <w:r>
        <w:rPr>
          <w:rFonts w:ascii="Times New Roman" w:eastAsia="Times New Roman" w:hAnsi="Times New Roman" w:cs="Times New Roman"/>
          <w:sz w:val="28"/>
          <w:szCs w:val="28"/>
          <w:lang w:eastAsia="zh-CN" w:bidi="hi-IN"/>
        </w:rPr>
        <w:t>ene   можно считать действенным неантибиотическим соединением, эффективным против резистентных микроорганизмов, выделенных из хронических ран.</w:t>
      </w:r>
    </w:p>
    <w:p w:rsidR="00E17FE1" w:rsidRDefault="00E17FE1">
      <w:pPr>
        <w:widowControl w:val="0"/>
        <w:autoSpaceDE w:val="0"/>
        <w:autoSpaceDN w:val="0"/>
        <w:spacing w:after="0" w:line="240" w:lineRule="auto"/>
        <w:ind w:firstLine="567"/>
        <w:jc w:val="both"/>
        <w:outlineLvl w:val="1"/>
        <w:rPr>
          <w:rFonts w:ascii="Times New Roman" w:eastAsia="DejaVu Sans" w:hAnsi="Times New Roman" w:cs="Times New Roman"/>
          <w:b/>
          <w:bCs/>
          <w:iCs/>
          <w:sz w:val="28"/>
          <w:szCs w:val="28"/>
          <w:lang w:eastAsia="zh-CN" w:bidi="hi-IN"/>
        </w:rPr>
      </w:pPr>
    </w:p>
    <w:p w:rsidR="00E17FE1" w:rsidRDefault="00BB58D7">
      <w:pPr>
        <w:widowControl w:val="0"/>
        <w:autoSpaceDE w:val="0"/>
        <w:autoSpaceDN w:val="0"/>
        <w:spacing w:after="0" w:line="240" w:lineRule="auto"/>
        <w:ind w:firstLine="567"/>
        <w:jc w:val="both"/>
        <w:outlineLvl w:val="1"/>
        <w:rPr>
          <w:rFonts w:ascii="Times New Roman" w:eastAsia="Times New Roman" w:hAnsi="Times New Roman" w:cs="Times New Roman"/>
          <w:b/>
          <w:bCs/>
          <w:color w:val="212121"/>
          <w:sz w:val="28"/>
          <w:szCs w:val="28"/>
          <w:lang w:eastAsia="zh-CN" w:bidi="hi-IN"/>
        </w:rPr>
      </w:pPr>
      <w:r>
        <w:rPr>
          <w:rFonts w:ascii="Times New Roman" w:eastAsia="DejaVu Sans" w:hAnsi="Times New Roman" w:cs="Times New Roman"/>
          <w:b/>
          <w:bCs/>
          <w:iCs/>
          <w:sz w:val="28"/>
          <w:szCs w:val="28"/>
          <w:lang w:eastAsia="zh-CN" w:bidi="hi-IN"/>
        </w:rPr>
        <w:t xml:space="preserve">3.4.3 Исследование биосовместимости и цитотоксичности материалов в условиях </w:t>
      </w:r>
      <w:r>
        <w:rPr>
          <w:rFonts w:ascii="Times New Roman" w:eastAsia="DejaVu Sans" w:hAnsi="Times New Roman" w:cs="Times New Roman"/>
          <w:b/>
          <w:bCs/>
          <w:i/>
          <w:iCs/>
          <w:sz w:val="28"/>
          <w:szCs w:val="28"/>
          <w:lang w:eastAsia="zh-CN" w:bidi="hi-IN"/>
        </w:rPr>
        <w:t>in vitro</w:t>
      </w:r>
      <w:r>
        <w:rPr>
          <w:rFonts w:ascii="Times New Roman" w:eastAsia="Times New Roman" w:hAnsi="Times New Roman" w:cs="Times New Roman"/>
          <w:b/>
          <w:bCs/>
          <w:color w:val="212121"/>
          <w:sz w:val="28"/>
          <w:szCs w:val="28"/>
          <w:lang w:eastAsia="zh-CN" w:bidi="hi-IN"/>
        </w:rPr>
        <w:t xml:space="preserve"> </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Оценка биосовместимости является обязательным этапом разработки и внедрения новых биоматериалов, поскольку позволяет определить характер их взаимодействия с клетками и выявить потенциальные цитотоксические эффекты. Биосовместимость характеризует способность материала поддерживать жизнеспособность клеток без индукции повреждения клеточных мембран, нарушения метаболических процессов или запуска программированной клеточной гибели.</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Поскольку любые материалы, контактирующие с клетками in vitro, способны изменять их морфологию, кинетику роста и функциональное состояние, определение биосовместимости имеет ключевое значение для оценки перспектив применения композитов на основе бактериальной целлюлозы (БЦ), гидроксиапатита (ГАП) и MXene. Эти материалы представляют особый интерес благодаря их перспективам в регенеративной медицине, тканевой инженерии и разработке покрытий для имплантов.</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Для выявления цитотоксических эффектов и изучения особенностей клеточного ответа применяли комплекс взаимодополняющих методов:</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 морфологический анализ клеток, позволяющий оценить изменения формы, структурной организации и характера роста фибробластов;</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 количественное определение живых и мёртвых клеток методом исключения трипанового синего, обеспечивающее объективную оценку жизнеспособности клеточной популяции;</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 флуоресцентную микроскопию, применяемую для визуализации клеток, анализа их адгезивных свойств и пролиферативной активности;</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 МТТ-тест, позволяющий определить метаболическую активность клеток как интегральный показатель их функционального состояния.</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Совокупное применение этих методик позволило комплексно оценить влияние исследуемых материалов на жизнеспособность и пролиферацию фибробластов, а также определить их потенциальную безопасность и пригодность для дальнейшего биомедицинского применения.</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color w:val="212121"/>
          <w:sz w:val="28"/>
          <w:szCs w:val="28"/>
          <w:lang w:eastAsia="zh-CN" w:bidi="hi-IN"/>
        </w:rPr>
      </w:pPr>
      <w:r>
        <w:rPr>
          <w:rFonts w:ascii="Times New Roman" w:eastAsia="Times New Roman" w:hAnsi="Times New Roman" w:cs="Times New Roman"/>
          <w:color w:val="212121"/>
          <w:sz w:val="28"/>
          <w:szCs w:val="28"/>
          <w:lang w:eastAsia="zh-CN" w:bidi="hi-IN"/>
        </w:rPr>
        <w:t>Цитотоксичность материалов БЦ, БЦ/ГАП и БЦ/ГАП/MXene оценивали на клеточной линии фибробластов мыши NIH-3T3. Все полученные данные нормировали относительно показателей контрольной клеточной культуры.</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На третьи сутки эксперимента значимых морфологических отличий между контрольными культурами и культурами, инкубированными с </w:t>
      </w:r>
      <w:r>
        <w:rPr>
          <w:rFonts w:ascii="Times New Roman" w:eastAsia="Times New Roman" w:hAnsi="Times New Roman" w:cs="Times New Roman"/>
          <w:sz w:val="28"/>
          <w:szCs w:val="28"/>
          <w:lang w:eastAsia="zh-CN" w:bidi="hi-IN"/>
        </w:rPr>
        <w:lastRenderedPageBreak/>
        <w:t xml:space="preserve">материалами БЦ, БЦ/ГАП и БЦ/ГАП/MXene, не выявлено. Фибробласты формировали </w:t>
      </w:r>
      <w:proofErr w:type="gramStart"/>
      <w:r>
        <w:rPr>
          <w:rFonts w:ascii="Times New Roman" w:eastAsia="Times New Roman" w:hAnsi="Times New Roman" w:cs="Times New Roman"/>
          <w:sz w:val="28"/>
          <w:szCs w:val="28"/>
          <w:lang w:eastAsia="zh-CN" w:bidi="hi-IN"/>
        </w:rPr>
        <w:t>рыхлый</w:t>
      </w:r>
      <w:proofErr w:type="gramEnd"/>
      <w:r>
        <w:rPr>
          <w:rFonts w:ascii="Times New Roman" w:eastAsia="Times New Roman" w:hAnsi="Times New Roman" w:cs="Times New Roman"/>
          <w:sz w:val="28"/>
          <w:szCs w:val="28"/>
          <w:lang w:eastAsia="zh-CN" w:bidi="hi-IN"/>
        </w:rPr>
        <w:t xml:space="preserve"> монослой на поверхности лунок 12-луночного планшета. Наблюдалось большое количество делящихся клеток. Клетки имели преимущественно многоугольную форму, включая вытянутую, веретенообразную и звёздчатую. Цитоплазма была снабжена мелкими отростками, в ядрах большинства клеток визуализировались 2–3 ядрышка. Морфологические критерии указывали на их принадлежность к молодым пролиферирующим фибробластам.</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В группе БЦ/MXene наблюдалась частичная фрагментация клеток, свидетельствующая о снижении адгезии и возможном повреждении клеточной мембраны.</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Таким образом, морфология NIH-3T3 на 3-и сутки отражала их сохранённую функциональную активность, включая способность к пролиферации и взаимодействию с субстратом. Фибробласты, как ключевые клетки репаративного процесса, необходимы для регенерации тканей через миграцию и пролиферацию.</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Локально как в контрольных, так и в экспериментальных группах встречались клетки с пикнотичными ядрами и вакуолизированной цитоплазмой, что возможно связано с естественными процессами апоптоза.</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Для верификации наблюдений было проведено количественное определение общего числа клеток и числа погибших клеток методом исключения трипанового синего (Таблица 11).</w:t>
      </w:r>
    </w:p>
    <w:p w:rsidR="00E17FE1" w:rsidRDefault="00E17FE1">
      <w:pPr>
        <w:widowControl w:val="0"/>
        <w:autoSpaceDE w:val="0"/>
        <w:autoSpaceDN w:val="0"/>
        <w:spacing w:after="0" w:line="240" w:lineRule="auto"/>
        <w:ind w:firstLine="567"/>
        <w:rPr>
          <w:rFonts w:ascii="Times New Roman" w:eastAsia="Times New Roman" w:hAnsi="Times New Roman" w:cs="Times New Roman"/>
          <w:sz w:val="28"/>
          <w:szCs w:val="28"/>
          <w:lang w:eastAsia="zh-CN" w:bidi="hi-IN"/>
        </w:rPr>
      </w:pPr>
    </w:p>
    <w:p w:rsidR="00E17FE1" w:rsidRDefault="00BB58D7" w:rsidP="00E408BF">
      <w:pPr>
        <w:widowControl w:val="0"/>
        <w:autoSpaceDE w:val="0"/>
        <w:autoSpaceDN w:val="0"/>
        <w:spacing w:after="0" w:line="240" w:lineRule="auto"/>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bCs/>
          <w:sz w:val="28"/>
          <w:szCs w:val="28"/>
          <w:lang w:eastAsia="zh-CN" w:bidi="hi-IN"/>
        </w:rPr>
        <w:t>Таблица</w:t>
      </w:r>
      <w:r>
        <w:rPr>
          <w:rFonts w:ascii="Times New Roman" w:eastAsia="Times New Roman" w:hAnsi="Times New Roman" w:cs="Times New Roman"/>
          <w:bCs/>
          <w:spacing w:val="-9"/>
          <w:sz w:val="28"/>
          <w:szCs w:val="28"/>
          <w:lang w:eastAsia="zh-CN" w:bidi="hi-IN"/>
        </w:rPr>
        <w:t xml:space="preserve"> 1</w:t>
      </w:r>
      <w:r>
        <w:rPr>
          <w:rFonts w:ascii="Times New Roman" w:eastAsia="Times New Roman" w:hAnsi="Times New Roman" w:cs="Times New Roman"/>
          <w:bCs/>
          <w:sz w:val="28"/>
          <w:szCs w:val="28"/>
          <w:lang w:eastAsia="zh-CN" w:bidi="hi-IN"/>
        </w:rPr>
        <w:t>1</w:t>
      </w:r>
      <w:r>
        <w:rPr>
          <w:rFonts w:ascii="Times New Roman" w:eastAsia="Times New Roman" w:hAnsi="Times New Roman" w:cs="Times New Roman"/>
          <w:spacing w:val="-8"/>
          <w:sz w:val="28"/>
          <w:szCs w:val="28"/>
          <w:lang w:eastAsia="zh-CN" w:bidi="hi-IN"/>
        </w:rPr>
        <w:t xml:space="preserve"> </w:t>
      </w:r>
      <w:r>
        <w:rPr>
          <w:rFonts w:ascii="Times New Roman" w:eastAsia="Times New Roman" w:hAnsi="Times New Roman" w:cs="Times New Roman"/>
          <w:sz w:val="28"/>
          <w:szCs w:val="28"/>
          <w:lang w:eastAsia="zh-CN" w:bidi="hi-IN"/>
        </w:rPr>
        <w:t>–</w:t>
      </w:r>
      <w:r>
        <w:rPr>
          <w:rFonts w:ascii="Times New Roman" w:eastAsia="Times New Roman" w:hAnsi="Times New Roman" w:cs="Times New Roman"/>
          <w:spacing w:val="-9"/>
          <w:sz w:val="28"/>
          <w:szCs w:val="28"/>
          <w:lang w:eastAsia="zh-CN" w:bidi="hi-IN"/>
        </w:rPr>
        <w:t xml:space="preserve"> </w:t>
      </w:r>
      <w:r>
        <w:rPr>
          <w:rFonts w:ascii="Times New Roman" w:eastAsia="Times New Roman" w:hAnsi="Times New Roman" w:cs="Times New Roman"/>
          <w:sz w:val="28"/>
          <w:szCs w:val="28"/>
          <w:lang w:eastAsia="zh-CN" w:bidi="hi-IN"/>
        </w:rPr>
        <w:t>Количество</w:t>
      </w:r>
      <w:r>
        <w:rPr>
          <w:rFonts w:ascii="Times New Roman" w:eastAsia="Times New Roman" w:hAnsi="Times New Roman" w:cs="Times New Roman"/>
          <w:spacing w:val="-9"/>
          <w:sz w:val="28"/>
          <w:szCs w:val="28"/>
          <w:lang w:eastAsia="zh-CN" w:bidi="hi-IN"/>
        </w:rPr>
        <w:t xml:space="preserve"> </w:t>
      </w:r>
      <w:r>
        <w:rPr>
          <w:rFonts w:ascii="Times New Roman" w:eastAsia="Times New Roman" w:hAnsi="Times New Roman" w:cs="Times New Roman"/>
          <w:sz w:val="28"/>
          <w:szCs w:val="28"/>
          <w:lang w:eastAsia="zh-CN" w:bidi="hi-IN"/>
        </w:rPr>
        <w:t>клеток</w:t>
      </w:r>
      <w:r>
        <w:rPr>
          <w:rFonts w:ascii="Times New Roman" w:eastAsia="Times New Roman" w:hAnsi="Times New Roman" w:cs="Times New Roman"/>
          <w:spacing w:val="-9"/>
          <w:sz w:val="28"/>
          <w:szCs w:val="28"/>
          <w:lang w:eastAsia="zh-CN" w:bidi="hi-IN"/>
        </w:rPr>
        <w:t xml:space="preserve"> </w:t>
      </w:r>
      <w:r>
        <w:rPr>
          <w:rFonts w:ascii="Times New Roman" w:eastAsia="Times New Roman" w:hAnsi="Times New Roman" w:cs="Times New Roman"/>
          <w:sz w:val="28"/>
          <w:szCs w:val="28"/>
          <w:lang w:eastAsia="zh-CN" w:bidi="hi-IN"/>
        </w:rPr>
        <w:t>фибробластов</w:t>
      </w:r>
      <w:r>
        <w:rPr>
          <w:rFonts w:ascii="Times New Roman" w:eastAsia="Times New Roman" w:hAnsi="Times New Roman" w:cs="Times New Roman"/>
          <w:spacing w:val="-9"/>
          <w:sz w:val="28"/>
          <w:szCs w:val="28"/>
          <w:lang w:eastAsia="zh-CN" w:bidi="hi-IN"/>
        </w:rPr>
        <w:t xml:space="preserve"> </w:t>
      </w:r>
      <w:r>
        <w:rPr>
          <w:rFonts w:ascii="Times New Roman" w:eastAsia="Times New Roman" w:hAnsi="Times New Roman" w:cs="Times New Roman"/>
          <w:sz w:val="28"/>
          <w:szCs w:val="28"/>
          <w:lang w:eastAsia="zh-CN" w:bidi="hi-IN"/>
        </w:rPr>
        <w:t>NIH-3T3 на 3-й и 5-й дни культивирования в присутствии материалов (n = 7; p ≤ 0,05)</w:t>
      </w:r>
    </w:p>
    <w:p w:rsidR="00E17FE1" w:rsidRDefault="00E17FE1">
      <w:pPr>
        <w:widowControl w:val="0"/>
        <w:autoSpaceDE w:val="0"/>
        <w:autoSpaceDN w:val="0"/>
        <w:spacing w:after="0" w:line="240" w:lineRule="auto"/>
        <w:ind w:firstLine="567"/>
        <w:rPr>
          <w:rFonts w:ascii="Times New Roman" w:eastAsia="Times New Roman" w:hAnsi="Times New Roman" w:cs="Times New Roman"/>
          <w:sz w:val="28"/>
          <w:szCs w:val="28"/>
          <w:lang w:eastAsia="zh-CN" w:bidi="hi-IN"/>
        </w:rPr>
      </w:pPr>
    </w:p>
    <w:tbl>
      <w:tblPr>
        <w:tblStyle w:val="TableNormal11"/>
        <w:tblW w:w="9344"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39"/>
        <w:gridCol w:w="1843"/>
        <w:gridCol w:w="1842"/>
        <w:gridCol w:w="1622"/>
        <w:gridCol w:w="1598"/>
      </w:tblGrid>
      <w:tr w:rsidR="00E17FE1">
        <w:trPr>
          <w:trHeight w:val="276"/>
        </w:trPr>
        <w:tc>
          <w:tcPr>
            <w:tcW w:w="2439" w:type="dxa"/>
            <w:vMerge w:val="restart"/>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Экспериментальные  группы</w:t>
            </w:r>
          </w:p>
        </w:tc>
        <w:tc>
          <w:tcPr>
            <w:tcW w:w="3685" w:type="dxa"/>
            <w:gridSpan w:val="2"/>
            <w:vAlign w:val="center"/>
          </w:tcPr>
          <w:p w:rsidR="00E17FE1" w:rsidRDefault="00BB58D7">
            <w:pPr>
              <w:spacing w:after="0" w:line="240" w:lineRule="auto"/>
              <w:ind w:firstLine="567"/>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 день</w:t>
            </w:r>
          </w:p>
        </w:tc>
        <w:tc>
          <w:tcPr>
            <w:tcW w:w="3220" w:type="dxa"/>
            <w:gridSpan w:val="2"/>
            <w:vAlign w:val="center"/>
          </w:tcPr>
          <w:p w:rsidR="00E17FE1" w:rsidRDefault="00BB58D7">
            <w:pPr>
              <w:spacing w:after="0" w:line="240" w:lineRule="auto"/>
              <w:ind w:firstLine="567"/>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 день</w:t>
            </w:r>
          </w:p>
        </w:tc>
      </w:tr>
      <w:tr w:rsidR="00E17FE1">
        <w:trPr>
          <w:trHeight w:val="827"/>
        </w:trPr>
        <w:tc>
          <w:tcPr>
            <w:tcW w:w="2439" w:type="dxa"/>
            <w:vMerge/>
            <w:tcBorders>
              <w:top w:val="nil"/>
            </w:tcBorders>
            <w:vAlign w:val="center"/>
          </w:tcPr>
          <w:p w:rsidR="00E17FE1" w:rsidRDefault="00E17FE1">
            <w:pPr>
              <w:spacing w:after="0" w:line="240" w:lineRule="auto"/>
              <w:ind w:firstLine="567"/>
              <w:jc w:val="center"/>
              <w:rPr>
                <w:rFonts w:ascii="Times New Roman" w:eastAsia="DejaVu Sans" w:hAnsi="Times New Roman" w:cs="Times New Roman"/>
                <w:sz w:val="24"/>
                <w:szCs w:val="24"/>
                <w:lang w:eastAsia="zh-CN" w:bidi="hi-IN"/>
              </w:rPr>
            </w:pPr>
          </w:p>
        </w:tc>
        <w:tc>
          <w:tcPr>
            <w:tcW w:w="1843"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Общее количество клеток</w:t>
            </w:r>
          </w:p>
        </w:tc>
        <w:tc>
          <w:tcPr>
            <w:tcW w:w="1842"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Мертвые клетки</w:t>
            </w:r>
          </w:p>
        </w:tc>
        <w:tc>
          <w:tcPr>
            <w:tcW w:w="1622"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Общее количество клеток</w:t>
            </w:r>
          </w:p>
        </w:tc>
        <w:tc>
          <w:tcPr>
            <w:tcW w:w="1598"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Мертвые клетки</w:t>
            </w:r>
          </w:p>
        </w:tc>
      </w:tr>
      <w:tr w:rsidR="00E17FE1">
        <w:trPr>
          <w:trHeight w:val="552"/>
        </w:trPr>
        <w:tc>
          <w:tcPr>
            <w:tcW w:w="2439"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Контрольная культура фибробластов</w:t>
            </w:r>
          </w:p>
        </w:tc>
        <w:tc>
          <w:tcPr>
            <w:tcW w:w="1843" w:type="dxa"/>
            <w:vAlign w:val="center"/>
          </w:tcPr>
          <w:p w:rsidR="00E17FE1" w:rsidRDefault="00BB58D7">
            <w:pPr>
              <w:spacing w:after="0" w:line="240" w:lineRule="auto"/>
              <w:ind w:right="395" w:firstLine="142"/>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1.98х10</w:t>
            </w:r>
            <w:r>
              <w:rPr>
                <w:rFonts w:ascii="Times New Roman" w:eastAsia="Times New Roman" w:hAnsi="Times New Roman" w:cs="Times New Roman"/>
                <w:sz w:val="24"/>
                <w:szCs w:val="24"/>
                <w:vertAlign w:val="superscript"/>
                <w:lang w:eastAsia="zh-CN" w:bidi="hi-IN"/>
              </w:rPr>
              <w:t>4</w:t>
            </w:r>
          </w:p>
        </w:tc>
        <w:tc>
          <w:tcPr>
            <w:tcW w:w="1842" w:type="dxa"/>
          </w:tcPr>
          <w:p w:rsidR="00E17FE1" w:rsidRDefault="00BB58D7">
            <w:pPr>
              <w:spacing w:after="0" w:line="256" w:lineRule="exact"/>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1,88×10</w:t>
            </w:r>
            <w:r>
              <w:rPr>
                <w:rFonts w:ascii="Times New Roman" w:eastAsia="Times New Roman" w:hAnsi="Times New Roman" w:cs="Times New Roman"/>
                <w:sz w:val="24"/>
                <w:szCs w:val="24"/>
                <w:vertAlign w:val="superscript"/>
                <w:lang w:eastAsia="zh-CN" w:bidi="hi-IN"/>
              </w:rPr>
              <w:t>3а</w:t>
            </w:r>
          </w:p>
          <w:p w:rsidR="00E17FE1" w:rsidRDefault="00BB58D7">
            <w:pPr>
              <w:spacing w:after="0" w:line="256" w:lineRule="exact"/>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9.5%</w:t>
            </w:r>
          </w:p>
        </w:tc>
        <w:tc>
          <w:tcPr>
            <w:tcW w:w="1622" w:type="dxa"/>
            <w:vAlign w:val="center"/>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3.21х10</w:t>
            </w:r>
            <w:r>
              <w:rPr>
                <w:rFonts w:ascii="Times New Roman" w:eastAsia="Times New Roman" w:hAnsi="Times New Roman" w:cs="Times New Roman"/>
                <w:sz w:val="24"/>
                <w:szCs w:val="24"/>
                <w:vertAlign w:val="superscript"/>
                <w:lang w:eastAsia="zh-CN" w:bidi="hi-IN"/>
              </w:rPr>
              <w:t>4</w:t>
            </w:r>
          </w:p>
        </w:tc>
        <w:tc>
          <w:tcPr>
            <w:tcW w:w="1598" w:type="dxa"/>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4,84×10</w:t>
            </w:r>
            <w:r>
              <w:rPr>
                <w:rFonts w:ascii="Times New Roman" w:eastAsia="Times New Roman" w:hAnsi="Times New Roman" w:cs="Times New Roman"/>
                <w:sz w:val="24"/>
                <w:szCs w:val="24"/>
                <w:vertAlign w:val="superscript"/>
                <w:lang w:eastAsia="zh-CN" w:bidi="hi-IN"/>
              </w:rPr>
              <w:t>3b</w:t>
            </w:r>
          </w:p>
          <w:p w:rsidR="00E17FE1" w:rsidRDefault="00BB58D7">
            <w:pPr>
              <w:spacing w:after="0" w:line="256" w:lineRule="exact"/>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15.1%</w:t>
            </w:r>
          </w:p>
        </w:tc>
      </w:tr>
      <w:tr w:rsidR="00E17FE1">
        <w:trPr>
          <w:trHeight w:val="552"/>
        </w:trPr>
        <w:tc>
          <w:tcPr>
            <w:tcW w:w="2439"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БЦ</w:t>
            </w:r>
          </w:p>
        </w:tc>
        <w:tc>
          <w:tcPr>
            <w:tcW w:w="1843" w:type="dxa"/>
            <w:vAlign w:val="center"/>
          </w:tcPr>
          <w:p w:rsidR="00E17FE1" w:rsidRDefault="00BB58D7">
            <w:pPr>
              <w:spacing w:after="0" w:line="240" w:lineRule="auto"/>
              <w:ind w:right="395" w:firstLine="142"/>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1.53х10</w:t>
            </w:r>
            <w:r>
              <w:rPr>
                <w:rFonts w:ascii="Times New Roman" w:eastAsia="Times New Roman" w:hAnsi="Times New Roman" w:cs="Times New Roman"/>
                <w:sz w:val="24"/>
                <w:szCs w:val="24"/>
                <w:vertAlign w:val="superscript"/>
                <w:lang w:eastAsia="zh-CN" w:bidi="hi-IN"/>
              </w:rPr>
              <w:t>4</w:t>
            </w:r>
          </w:p>
        </w:tc>
        <w:tc>
          <w:tcPr>
            <w:tcW w:w="1842" w:type="dxa"/>
          </w:tcPr>
          <w:p w:rsidR="00E17FE1" w:rsidRDefault="00BB58D7">
            <w:pPr>
              <w:spacing w:after="0" w:line="256" w:lineRule="exact"/>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1,5×10</w:t>
            </w:r>
            <w:r>
              <w:rPr>
                <w:rFonts w:ascii="Times New Roman" w:eastAsia="Times New Roman" w:hAnsi="Times New Roman" w:cs="Times New Roman"/>
                <w:sz w:val="24"/>
                <w:szCs w:val="24"/>
                <w:vertAlign w:val="superscript"/>
                <w:lang w:eastAsia="zh-CN" w:bidi="hi-IN"/>
              </w:rPr>
              <w:t>3а</w:t>
            </w:r>
          </w:p>
          <w:p w:rsidR="00E17FE1" w:rsidRDefault="00BB58D7">
            <w:pPr>
              <w:spacing w:after="0" w:line="256" w:lineRule="exact"/>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9.8%</w:t>
            </w:r>
          </w:p>
        </w:tc>
        <w:tc>
          <w:tcPr>
            <w:tcW w:w="1622" w:type="dxa"/>
            <w:vAlign w:val="center"/>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1.92х10</w:t>
            </w:r>
            <w:r>
              <w:rPr>
                <w:rFonts w:ascii="Times New Roman" w:eastAsia="Times New Roman" w:hAnsi="Times New Roman" w:cs="Times New Roman"/>
                <w:sz w:val="24"/>
                <w:szCs w:val="24"/>
                <w:vertAlign w:val="superscript"/>
                <w:lang w:eastAsia="zh-CN" w:bidi="hi-IN"/>
              </w:rPr>
              <w:t>4</w:t>
            </w:r>
          </w:p>
        </w:tc>
        <w:tc>
          <w:tcPr>
            <w:tcW w:w="1598" w:type="dxa"/>
          </w:tcPr>
          <w:p w:rsidR="00E17FE1" w:rsidRDefault="00BB58D7">
            <w:pPr>
              <w:spacing w:after="0" w:line="256" w:lineRule="exact"/>
              <w:jc w:val="center"/>
              <w:rPr>
                <w:rFonts w:ascii="Times New Roman" w:eastAsia="Times New Roman" w:hAnsi="Times New Roman" w:cs="Times New Roman"/>
                <w:sz w:val="24"/>
                <w:szCs w:val="24"/>
                <w:vertAlign w:val="superscript"/>
                <w:lang w:eastAsia="zh-CN" w:bidi="hi-IN"/>
              </w:rPr>
            </w:pPr>
            <w:r>
              <w:rPr>
                <w:rFonts w:ascii="Times New Roman" w:eastAsia="Times New Roman" w:hAnsi="Times New Roman" w:cs="Times New Roman"/>
                <w:sz w:val="24"/>
                <w:szCs w:val="24"/>
                <w:lang w:eastAsia="zh-CN" w:bidi="hi-IN"/>
              </w:rPr>
              <w:t>2,84×10</w:t>
            </w:r>
            <w:r>
              <w:rPr>
                <w:rFonts w:ascii="Times New Roman" w:eastAsia="Times New Roman" w:hAnsi="Times New Roman" w:cs="Times New Roman"/>
                <w:sz w:val="24"/>
                <w:szCs w:val="24"/>
                <w:vertAlign w:val="superscript"/>
                <w:lang w:eastAsia="zh-CN" w:bidi="hi-IN"/>
              </w:rPr>
              <w:t>3a</w:t>
            </w:r>
          </w:p>
          <w:p w:rsidR="00E17FE1" w:rsidRDefault="00BB58D7">
            <w:pPr>
              <w:spacing w:after="0" w:line="256" w:lineRule="exact"/>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14.8%</w:t>
            </w:r>
          </w:p>
        </w:tc>
      </w:tr>
      <w:tr w:rsidR="00E17FE1">
        <w:trPr>
          <w:trHeight w:val="552"/>
        </w:trPr>
        <w:tc>
          <w:tcPr>
            <w:tcW w:w="2439"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БЦ/MXene</w:t>
            </w:r>
          </w:p>
        </w:tc>
        <w:tc>
          <w:tcPr>
            <w:tcW w:w="1843" w:type="dxa"/>
            <w:vAlign w:val="center"/>
          </w:tcPr>
          <w:p w:rsidR="00E17FE1" w:rsidRDefault="00BB58D7">
            <w:pPr>
              <w:spacing w:after="0" w:line="240" w:lineRule="auto"/>
              <w:ind w:right="395" w:firstLine="142"/>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2.8х10</w:t>
            </w:r>
            <w:r>
              <w:rPr>
                <w:rFonts w:ascii="Times New Roman" w:eastAsia="Times New Roman" w:hAnsi="Times New Roman" w:cs="Times New Roman"/>
                <w:sz w:val="24"/>
                <w:szCs w:val="24"/>
                <w:vertAlign w:val="superscript"/>
                <w:lang w:eastAsia="zh-CN" w:bidi="hi-IN"/>
              </w:rPr>
              <w:t>4</w:t>
            </w:r>
          </w:p>
        </w:tc>
        <w:tc>
          <w:tcPr>
            <w:tcW w:w="1842" w:type="dxa"/>
          </w:tcPr>
          <w:p w:rsidR="00E17FE1" w:rsidRDefault="00BB58D7">
            <w:pPr>
              <w:spacing w:after="0" w:line="240" w:lineRule="auto"/>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4,78x10</w:t>
            </w:r>
            <w:r>
              <w:rPr>
                <w:rFonts w:ascii="Times New Roman" w:eastAsia="Times New Roman" w:hAnsi="Times New Roman" w:cs="Times New Roman"/>
                <w:sz w:val="24"/>
                <w:szCs w:val="24"/>
                <w:vertAlign w:val="superscript"/>
                <w:lang w:eastAsia="zh-CN" w:bidi="hi-IN"/>
              </w:rPr>
              <w:t>3c</w:t>
            </w:r>
          </w:p>
          <w:p w:rsidR="00E17FE1" w:rsidRDefault="00BB58D7">
            <w:pPr>
              <w:spacing w:after="0" w:line="256" w:lineRule="exact"/>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17.1%</w:t>
            </w:r>
          </w:p>
        </w:tc>
        <w:tc>
          <w:tcPr>
            <w:tcW w:w="1622" w:type="dxa"/>
            <w:vAlign w:val="center"/>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3.05х10</w:t>
            </w:r>
            <w:r>
              <w:rPr>
                <w:rFonts w:ascii="Times New Roman" w:eastAsia="Times New Roman" w:hAnsi="Times New Roman" w:cs="Times New Roman"/>
                <w:sz w:val="24"/>
                <w:szCs w:val="24"/>
                <w:vertAlign w:val="superscript"/>
                <w:lang w:eastAsia="zh-CN" w:bidi="hi-IN"/>
              </w:rPr>
              <w:t>4</w:t>
            </w:r>
          </w:p>
        </w:tc>
        <w:tc>
          <w:tcPr>
            <w:tcW w:w="1598" w:type="dxa"/>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5.97x10</w:t>
            </w:r>
            <w:r>
              <w:rPr>
                <w:rFonts w:ascii="Times New Roman" w:eastAsia="Times New Roman" w:hAnsi="Times New Roman" w:cs="Times New Roman"/>
                <w:sz w:val="24"/>
                <w:szCs w:val="24"/>
                <w:vertAlign w:val="superscript"/>
                <w:lang w:eastAsia="zh-CN" w:bidi="hi-IN"/>
              </w:rPr>
              <w:t>3c</w:t>
            </w:r>
          </w:p>
          <w:p w:rsidR="00E17FE1" w:rsidRDefault="00BB58D7">
            <w:pPr>
              <w:spacing w:after="0" w:line="256" w:lineRule="exact"/>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19.6%</w:t>
            </w:r>
          </w:p>
        </w:tc>
      </w:tr>
      <w:tr w:rsidR="00E17FE1">
        <w:trPr>
          <w:trHeight w:val="551"/>
        </w:trPr>
        <w:tc>
          <w:tcPr>
            <w:tcW w:w="2439"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БЦ/ГАП</w:t>
            </w:r>
          </w:p>
        </w:tc>
        <w:tc>
          <w:tcPr>
            <w:tcW w:w="1843" w:type="dxa"/>
            <w:vAlign w:val="center"/>
          </w:tcPr>
          <w:p w:rsidR="00E17FE1" w:rsidRDefault="00BB58D7">
            <w:pPr>
              <w:spacing w:after="0" w:line="240" w:lineRule="auto"/>
              <w:ind w:right="395" w:firstLine="142"/>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2.05х10</w:t>
            </w:r>
            <w:r>
              <w:rPr>
                <w:rFonts w:ascii="Times New Roman" w:eastAsia="Times New Roman" w:hAnsi="Times New Roman" w:cs="Times New Roman"/>
                <w:sz w:val="24"/>
                <w:szCs w:val="24"/>
                <w:vertAlign w:val="superscript"/>
                <w:lang w:eastAsia="zh-CN" w:bidi="hi-IN"/>
              </w:rPr>
              <w:t>4</w:t>
            </w:r>
          </w:p>
        </w:tc>
        <w:tc>
          <w:tcPr>
            <w:tcW w:w="1842" w:type="dxa"/>
          </w:tcPr>
          <w:p w:rsidR="00E17FE1" w:rsidRDefault="00BB58D7">
            <w:pPr>
              <w:spacing w:after="0" w:line="256" w:lineRule="exact"/>
              <w:ind w:right="141"/>
              <w:jc w:val="center"/>
              <w:rPr>
                <w:rFonts w:ascii="Times New Roman" w:eastAsia="Times New Roman" w:hAnsi="Times New Roman" w:cs="Times New Roman"/>
                <w:sz w:val="24"/>
                <w:szCs w:val="24"/>
                <w:vertAlign w:val="superscript"/>
                <w:lang w:eastAsia="zh-CN" w:bidi="hi-IN"/>
              </w:rPr>
            </w:pPr>
            <w:r>
              <w:rPr>
                <w:rFonts w:ascii="Times New Roman" w:eastAsia="Times New Roman" w:hAnsi="Times New Roman" w:cs="Times New Roman"/>
                <w:sz w:val="24"/>
                <w:szCs w:val="24"/>
                <w:lang w:eastAsia="zh-CN" w:bidi="hi-IN"/>
              </w:rPr>
              <w:t>2,11×10</w:t>
            </w:r>
            <w:r>
              <w:rPr>
                <w:rFonts w:ascii="Times New Roman" w:eastAsia="Times New Roman" w:hAnsi="Times New Roman" w:cs="Times New Roman"/>
                <w:sz w:val="24"/>
                <w:szCs w:val="24"/>
                <w:vertAlign w:val="superscript"/>
                <w:lang w:eastAsia="zh-CN" w:bidi="hi-IN"/>
              </w:rPr>
              <w:t>3аb</w:t>
            </w:r>
          </w:p>
          <w:p w:rsidR="00E17FE1" w:rsidRDefault="00BB58D7">
            <w:pPr>
              <w:spacing w:after="0" w:line="256" w:lineRule="exact"/>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10.3%</w:t>
            </w:r>
          </w:p>
        </w:tc>
        <w:tc>
          <w:tcPr>
            <w:tcW w:w="1622" w:type="dxa"/>
            <w:vAlign w:val="center"/>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2.03х10</w:t>
            </w:r>
            <w:r>
              <w:rPr>
                <w:rFonts w:ascii="Times New Roman" w:eastAsia="Times New Roman" w:hAnsi="Times New Roman" w:cs="Times New Roman"/>
                <w:sz w:val="24"/>
                <w:szCs w:val="24"/>
                <w:vertAlign w:val="superscript"/>
                <w:lang w:eastAsia="zh-CN" w:bidi="hi-IN"/>
              </w:rPr>
              <w:t>4</w:t>
            </w:r>
          </w:p>
        </w:tc>
        <w:tc>
          <w:tcPr>
            <w:tcW w:w="1598" w:type="dxa"/>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2,94x10</w:t>
            </w:r>
            <w:r>
              <w:rPr>
                <w:rFonts w:ascii="Times New Roman" w:eastAsia="Times New Roman" w:hAnsi="Times New Roman" w:cs="Times New Roman"/>
                <w:sz w:val="24"/>
                <w:szCs w:val="24"/>
                <w:vertAlign w:val="superscript"/>
                <w:lang w:eastAsia="zh-CN" w:bidi="hi-IN"/>
              </w:rPr>
              <w:t>3a</w:t>
            </w:r>
          </w:p>
          <w:p w:rsidR="00E17FE1" w:rsidRDefault="00BB58D7">
            <w:pPr>
              <w:spacing w:after="0" w:line="256" w:lineRule="exact"/>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14.5%</w:t>
            </w:r>
          </w:p>
        </w:tc>
      </w:tr>
      <w:tr w:rsidR="00E17FE1">
        <w:trPr>
          <w:trHeight w:val="552"/>
        </w:trPr>
        <w:tc>
          <w:tcPr>
            <w:tcW w:w="2439" w:type="dxa"/>
            <w:vAlign w:val="center"/>
          </w:tcPr>
          <w:p w:rsidR="00E17FE1" w:rsidRDefault="00BB58D7">
            <w:pPr>
              <w:spacing w:after="0" w:line="240" w:lineRule="auto"/>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БЦ/ГАП/MXene</w:t>
            </w:r>
          </w:p>
        </w:tc>
        <w:tc>
          <w:tcPr>
            <w:tcW w:w="1843" w:type="dxa"/>
            <w:vAlign w:val="center"/>
          </w:tcPr>
          <w:p w:rsidR="00E17FE1" w:rsidRDefault="00BB58D7">
            <w:pPr>
              <w:spacing w:after="0" w:line="240" w:lineRule="auto"/>
              <w:ind w:right="395" w:firstLine="142"/>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3.68х10</w:t>
            </w:r>
            <w:r>
              <w:rPr>
                <w:rFonts w:ascii="Times New Roman" w:eastAsia="Times New Roman" w:hAnsi="Times New Roman" w:cs="Times New Roman"/>
                <w:sz w:val="24"/>
                <w:szCs w:val="24"/>
                <w:vertAlign w:val="superscript"/>
                <w:lang w:eastAsia="zh-CN" w:bidi="hi-IN"/>
              </w:rPr>
              <w:t>4</w:t>
            </w:r>
          </w:p>
        </w:tc>
        <w:tc>
          <w:tcPr>
            <w:tcW w:w="1842" w:type="dxa"/>
          </w:tcPr>
          <w:p w:rsidR="00E17FE1" w:rsidRDefault="00BB58D7">
            <w:pPr>
              <w:spacing w:after="0" w:line="240" w:lineRule="auto"/>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4,49x10</w:t>
            </w:r>
            <w:r>
              <w:rPr>
                <w:rFonts w:ascii="Times New Roman" w:eastAsia="Times New Roman" w:hAnsi="Times New Roman" w:cs="Times New Roman"/>
                <w:sz w:val="24"/>
                <w:szCs w:val="24"/>
                <w:vertAlign w:val="superscript"/>
                <w:lang w:eastAsia="zh-CN" w:bidi="hi-IN"/>
              </w:rPr>
              <w:t>3c</w:t>
            </w:r>
          </w:p>
          <w:p w:rsidR="00E17FE1" w:rsidRDefault="00BB58D7">
            <w:pPr>
              <w:spacing w:after="0" w:line="256" w:lineRule="exact"/>
              <w:ind w:right="141"/>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12.2%</w:t>
            </w:r>
          </w:p>
        </w:tc>
        <w:tc>
          <w:tcPr>
            <w:tcW w:w="1622" w:type="dxa"/>
            <w:vAlign w:val="center"/>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4.01х10</w:t>
            </w:r>
            <w:r>
              <w:rPr>
                <w:rFonts w:ascii="Times New Roman" w:eastAsia="Times New Roman" w:hAnsi="Times New Roman" w:cs="Times New Roman"/>
                <w:sz w:val="24"/>
                <w:szCs w:val="24"/>
                <w:vertAlign w:val="superscript"/>
                <w:lang w:eastAsia="zh-CN" w:bidi="hi-IN"/>
              </w:rPr>
              <w:t>4</w:t>
            </w:r>
          </w:p>
        </w:tc>
        <w:tc>
          <w:tcPr>
            <w:tcW w:w="1598" w:type="dxa"/>
          </w:tcPr>
          <w:p w:rsidR="00E17FE1" w:rsidRDefault="00BB58D7">
            <w:pPr>
              <w:spacing w:after="0" w:line="240" w:lineRule="auto"/>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6.77x10</w:t>
            </w:r>
            <w:r>
              <w:rPr>
                <w:rFonts w:ascii="Times New Roman" w:eastAsia="Times New Roman" w:hAnsi="Times New Roman" w:cs="Times New Roman"/>
                <w:sz w:val="24"/>
                <w:szCs w:val="24"/>
                <w:vertAlign w:val="superscript"/>
                <w:lang w:eastAsia="zh-CN" w:bidi="hi-IN"/>
              </w:rPr>
              <w:t>3d</w:t>
            </w:r>
          </w:p>
          <w:p w:rsidR="00E17FE1" w:rsidRDefault="00BB58D7">
            <w:pPr>
              <w:spacing w:after="0" w:line="256" w:lineRule="exact"/>
              <w:jc w:val="center"/>
              <w:rPr>
                <w:rFonts w:ascii="Times New Roman" w:eastAsia="Times New Roman" w:hAnsi="Times New Roman" w:cs="Times New Roman"/>
                <w:sz w:val="24"/>
                <w:szCs w:val="24"/>
                <w:lang w:eastAsia="zh-CN" w:bidi="hi-IN"/>
              </w:rPr>
            </w:pPr>
            <w:r>
              <w:rPr>
                <w:rFonts w:ascii="Times New Roman" w:eastAsia="Times New Roman" w:hAnsi="Times New Roman" w:cs="Times New Roman"/>
                <w:sz w:val="24"/>
                <w:szCs w:val="24"/>
                <w:lang w:eastAsia="zh-CN" w:bidi="hi-IN"/>
              </w:rPr>
              <w:t>16.9%</w:t>
            </w:r>
          </w:p>
        </w:tc>
      </w:tr>
      <w:tr w:rsidR="00E17FE1">
        <w:trPr>
          <w:trHeight w:val="552"/>
        </w:trPr>
        <w:tc>
          <w:tcPr>
            <w:tcW w:w="9344" w:type="dxa"/>
            <w:gridSpan w:val="5"/>
            <w:vAlign w:val="center"/>
          </w:tcPr>
          <w:p w:rsidR="00E17FE1" w:rsidRPr="009C570B" w:rsidRDefault="00BB58D7">
            <w:pPr>
              <w:spacing w:after="0" w:line="240" w:lineRule="auto"/>
              <w:jc w:val="both"/>
              <w:rPr>
                <w:rFonts w:ascii="Times New Roman" w:eastAsia="Times New Roman" w:hAnsi="Times New Roman" w:cs="Times New Roman"/>
                <w:sz w:val="24"/>
                <w:szCs w:val="24"/>
                <w:lang w:val="ru-RU" w:eastAsia="zh-CN" w:bidi="hi-IN"/>
              </w:rPr>
            </w:pPr>
            <w:r w:rsidRPr="009C570B">
              <w:rPr>
                <w:rFonts w:ascii="Times New Roman" w:eastAsia="Times New Roman" w:hAnsi="Times New Roman" w:cs="Times New Roman"/>
                <w:sz w:val="24"/>
                <w:szCs w:val="24"/>
                <w:lang w:val="ru-RU" w:eastAsia="zh-CN" w:bidi="hi-IN"/>
              </w:rPr>
              <w:t>Примечание: буквенные обозначения показывают статистически значимые различия (</w:t>
            </w:r>
            <w:r>
              <w:rPr>
                <w:rFonts w:ascii="Times New Roman" w:eastAsia="Times New Roman" w:hAnsi="Times New Roman" w:cs="Times New Roman"/>
                <w:sz w:val="24"/>
                <w:szCs w:val="24"/>
                <w:lang w:eastAsia="zh-CN" w:bidi="hi-IN"/>
              </w:rPr>
              <w:t>p</w:t>
            </w:r>
            <w:r w:rsidRPr="009C570B">
              <w:rPr>
                <w:rFonts w:ascii="Times New Roman" w:eastAsia="Times New Roman" w:hAnsi="Times New Roman" w:cs="Times New Roman"/>
                <w:sz w:val="24"/>
                <w:szCs w:val="24"/>
                <w:lang w:val="ru-RU" w:eastAsia="zh-CN" w:bidi="hi-IN"/>
              </w:rPr>
              <w:t>&lt;0,05) между группами внутри каждого временного интервала (3 день  и 5 день)</w:t>
            </w:r>
          </w:p>
        </w:tc>
      </w:tr>
    </w:tbl>
    <w:p w:rsidR="00E17FE1" w:rsidRDefault="00E17FE1">
      <w:pPr>
        <w:widowControl w:val="0"/>
        <w:autoSpaceDE w:val="0"/>
        <w:autoSpaceDN w:val="0"/>
        <w:spacing w:before="11" w:after="0" w:line="240" w:lineRule="auto"/>
        <w:ind w:firstLine="567"/>
        <w:rPr>
          <w:rFonts w:ascii="Times New Roman" w:eastAsia="Times New Roman" w:hAnsi="Times New Roman" w:cs="Times New Roman"/>
          <w:sz w:val="28"/>
          <w:szCs w:val="28"/>
          <w:lang w:eastAsia="zh-CN" w:bidi="hi-IN"/>
        </w:rPr>
      </w:pP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На 3-й день процент мёртвых клеток в группах БЦ, БЦ/ГАП и БЦ/ГАП/MXene составил 9,8%, 10,3% и 12,2% соответственно, что сопоставимо с контролем (9,5%). Полученные значения находятся в пределах </w:t>
      </w:r>
      <w:r>
        <w:rPr>
          <w:rFonts w:ascii="Times New Roman" w:eastAsia="Times New Roman" w:hAnsi="Times New Roman" w:cs="Times New Roman"/>
          <w:sz w:val="28"/>
          <w:szCs w:val="28"/>
          <w:lang w:eastAsia="zh-CN" w:bidi="hi-IN"/>
        </w:rPr>
        <w:lastRenderedPageBreak/>
        <w:t>нормы для первичных культур. Наибольшее количество нежизнеспособных клеток обнаружено в группе БЦ/MXene</w:t>
      </w:r>
      <w:r w:rsidR="00246F71">
        <w:rPr>
          <w:rFonts w:ascii="Times New Roman" w:eastAsia="Times New Roman" w:hAnsi="Times New Roman" w:cs="Times New Roman"/>
          <w:sz w:val="28"/>
          <w:szCs w:val="28"/>
          <w:lang w:eastAsia="ru-RU"/>
        </w:rPr>
        <w:t xml:space="preserve"> </w:t>
      </w:r>
      <w:r w:rsidR="00246F71" w:rsidRPr="00A551EF">
        <w:rPr>
          <w:rFonts w:cs="Times New Roman"/>
          <w:bCs/>
          <w:iCs/>
          <w:sz w:val="28"/>
          <w:szCs w:val="28"/>
        </w:rPr>
        <w:sym w:font="Symbol" w:char="F02D"/>
      </w:r>
      <w:r w:rsidR="00246F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zh-CN" w:bidi="hi-IN"/>
        </w:rPr>
        <w:t>17,1%, что на 7,6% выше, чем в контроле.</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Добавление гидроксиапатита в композит БЦ/ГАП/MXene снижало цитотоксичность MXene на 4,9%, вероятно, за счёт уменьшения интенсивности генерации активных форм кислорода (АФК).</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Известно, что токсичность двумерных листов Ti</w:t>
      </w:r>
      <w:r>
        <w:rPr>
          <w:rFonts w:ascii="Cambria Math" w:eastAsia="Times New Roman" w:hAnsi="Cambria Math" w:cs="Cambria Math"/>
          <w:sz w:val="28"/>
          <w:szCs w:val="28"/>
          <w:lang w:eastAsia="zh-CN" w:bidi="hi-IN"/>
        </w:rPr>
        <w:t>₃</w:t>
      </w:r>
      <w:r>
        <w:rPr>
          <w:rFonts w:ascii="Times New Roman" w:eastAsia="Times New Roman" w:hAnsi="Times New Roman" w:cs="Times New Roman"/>
          <w:sz w:val="28"/>
          <w:szCs w:val="28"/>
          <w:lang w:eastAsia="zh-CN" w:bidi="hi-IN"/>
        </w:rPr>
        <w:t>C</w:t>
      </w:r>
      <w:r>
        <w:rPr>
          <w:rFonts w:ascii="Cambria Math" w:eastAsia="Times New Roman" w:hAnsi="Cambria Math" w:cs="Cambria Math"/>
          <w:sz w:val="28"/>
          <w:szCs w:val="28"/>
          <w:lang w:eastAsia="zh-CN" w:bidi="hi-IN"/>
        </w:rPr>
        <w:t>₂</w:t>
      </w:r>
      <w:r>
        <w:rPr>
          <w:rFonts w:ascii="Times New Roman" w:eastAsia="Times New Roman" w:hAnsi="Times New Roman" w:cs="Times New Roman"/>
          <w:sz w:val="28"/>
          <w:szCs w:val="28"/>
          <w:lang w:eastAsia="zh-CN" w:bidi="hi-IN"/>
        </w:rPr>
        <w:t>Tx MXene обусловлена образованием ROS (O</w:t>
      </w:r>
      <w:r>
        <w:rPr>
          <w:rFonts w:ascii="Cambria Math" w:eastAsia="Times New Roman" w:hAnsi="Cambria Math" w:cs="Cambria Math"/>
          <w:sz w:val="28"/>
          <w:szCs w:val="28"/>
          <w:lang w:eastAsia="zh-CN" w:bidi="hi-IN"/>
        </w:rPr>
        <w:t>₂</w:t>
      </w:r>
      <w:r>
        <w:rPr>
          <w:rFonts w:ascii="Times New Roman" w:eastAsia="Times New Roman" w:hAnsi="Times New Roman" w:cs="Times New Roman"/>
          <w:sz w:val="28"/>
          <w:szCs w:val="28"/>
          <w:lang w:eastAsia="zh-CN" w:bidi="hi-IN"/>
        </w:rPr>
        <w:t>•−, H</w:t>
      </w:r>
      <w:r>
        <w:rPr>
          <w:rFonts w:ascii="Cambria Math" w:eastAsia="Times New Roman" w:hAnsi="Cambria Math" w:cs="Cambria Math"/>
          <w:sz w:val="28"/>
          <w:szCs w:val="28"/>
          <w:lang w:eastAsia="zh-CN" w:bidi="hi-IN"/>
        </w:rPr>
        <w:t>₂</w:t>
      </w:r>
      <w:r>
        <w:rPr>
          <w:rFonts w:ascii="Times New Roman" w:eastAsia="Times New Roman" w:hAnsi="Times New Roman" w:cs="Times New Roman"/>
          <w:sz w:val="28"/>
          <w:szCs w:val="28"/>
          <w:lang w:eastAsia="zh-CN" w:bidi="hi-IN"/>
        </w:rPr>
        <w:t>O</w:t>
      </w:r>
      <w:r>
        <w:rPr>
          <w:rFonts w:ascii="Cambria Math" w:eastAsia="Times New Roman" w:hAnsi="Cambria Math" w:cs="Cambria Math"/>
          <w:sz w:val="28"/>
          <w:szCs w:val="28"/>
          <w:lang w:eastAsia="zh-CN" w:bidi="hi-IN"/>
        </w:rPr>
        <w:t>₂</w:t>
      </w:r>
      <w:r>
        <w:rPr>
          <w:rFonts w:ascii="Times New Roman" w:eastAsia="Times New Roman" w:hAnsi="Times New Roman" w:cs="Times New Roman"/>
          <w:sz w:val="28"/>
          <w:szCs w:val="28"/>
          <w:lang w:eastAsia="zh-CN" w:bidi="hi-IN"/>
        </w:rPr>
        <w:t xml:space="preserve">) при контакте с водой, воздухом и биологическими </w:t>
      </w:r>
      <w:r w:rsidRPr="00E408BF">
        <w:rPr>
          <w:rFonts w:ascii="Times New Roman" w:eastAsia="Times New Roman" w:hAnsi="Times New Roman" w:cs="Times New Roman"/>
          <w:sz w:val="28"/>
          <w:szCs w:val="28"/>
          <w:lang w:eastAsia="zh-CN" w:bidi="hi-IN"/>
        </w:rPr>
        <w:t>жидкостями [278]. Hassan и соавт. показали, что включение ГАП в композит формирует защитный барьер, связывающий</w:t>
      </w:r>
      <w:r>
        <w:rPr>
          <w:rFonts w:ascii="Times New Roman" w:eastAsia="Times New Roman" w:hAnsi="Times New Roman" w:cs="Times New Roman"/>
          <w:sz w:val="28"/>
          <w:szCs w:val="28"/>
          <w:lang w:eastAsia="zh-CN" w:bidi="hi-IN"/>
        </w:rPr>
        <w:t xml:space="preserve"> концевые </w:t>
      </w:r>
      <w:proofErr w:type="gramStart"/>
      <w:r>
        <w:rPr>
          <w:rFonts w:ascii="Times New Roman" w:eastAsia="Times New Roman" w:hAnsi="Times New Roman" w:cs="Times New Roman"/>
          <w:sz w:val="28"/>
          <w:szCs w:val="28"/>
          <w:lang w:eastAsia="zh-CN" w:bidi="hi-IN"/>
        </w:rPr>
        <w:t>–О</w:t>
      </w:r>
      <w:proofErr w:type="gramEnd"/>
      <w:r>
        <w:rPr>
          <w:rFonts w:ascii="Times New Roman" w:eastAsia="Times New Roman" w:hAnsi="Times New Roman" w:cs="Times New Roman"/>
          <w:sz w:val="28"/>
          <w:szCs w:val="28"/>
          <w:lang w:eastAsia="zh-CN" w:bidi="hi-IN"/>
        </w:rPr>
        <w:t>Н-группы MXene, и снижает внутреннее электрическое поле, замедляя миграцию катионов Ti и их взаимодействие с O</w:t>
      </w:r>
      <w:r>
        <w:rPr>
          <w:rFonts w:ascii="Cambria Math" w:eastAsia="Times New Roman" w:hAnsi="Cambria Math" w:cs="Cambria Math"/>
          <w:sz w:val="28"/>
          <w:szCs w:val="28"/>
          <w:lang w:eastAsia="zh-CN" w:bidi="hi-IN"/>
        </w:rPr>
        <w:t>₂</w:t>
      </w:r>
      <w:r>
        <w:rPr>
          <w:rFonts w:ascii="Times New Roman" w:eastAsia="Times New Roman" w:hAnsi="Times New Roman" w:cs="Times New Roman"/>
          <w:sz w:val="28"/>
          <w:szCs w:val="28"/>
          <w:lang w:eastAsia="zh-CN" w:bidi="hi-IN"/>
        </w:rPr>
        <w:t>− [1</w:t>
      </w:r>
      <w:r w:rsidR="00E408BF" w:rsidRPr="00E408BF">
        <w:rPr>
          <w:rFonts w:ascii="Times New Roman" w:eastAsia="Times New Roman" w:hAnsi="Times New Roman" w:cs="Times New Roman"/>
          <w:sz w:val="28"/>
          <w:szCs w:val="28"/>
          <w:lang w:eastAsia="zh-CN" w:bidi="hi-IN"/>
        </w:rPr>
        <w:t>53</w:t>
      </w:r>
      <w:r>
        <w:rPr>
          <w:rFonts w:ascii="Times New Roman" w:eastAsia="Times New Roman" w:hAnsi="Times New Roman" w:cs="Times New Roman"/>
          <w:sz w:val="28"/>
          <w:szCs w:val="28"/>
          <w:lang w:eastAsia="zh-CN" w:bidi="hi-IN"/>
        </w:rPr>
        <w:t>].</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На 5-е сутки наблюдалось увеличение плотности клеток во всех экспериментальных и контрольных группах. Цитологические характеристики клеток в группах БЦ, БЦ/ГАП и БЦ/ГАП/MXene оставались сопоставимыми с контролем. Клетки представляли собой зрелые фибробласты с характерной веретенообразной формой и компактными ядрами. Процент мёртвых клеток не превышал 19,6%, что соответствует нормальным значениям для первичных культур.</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Максимальная плотность клеток отмечалась в центральных областях лунок, где встречались участки многослойного роста. Количество митозов уменьшалось, а число клеток с пикнотичными ядрами и признаками цитоплазматической деградации увеличивалось, что соответствует более поздней фазе роста культуры.</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Число погибших клеток в контрольной группе составило 15,1%, тогда как для композитов значения находились в диапазоне 14,5–19,6%. Таким образом, все исследуемые материалы не оказывали выраженного цитотоксического действия.</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В совокупности данные свидетельствуют о стабильном росте клеток, сохранении их морфофункциональной активности и отсутствии нарушений структурной ор</w:t>
      </w:r>
      <w:r>
        <w:rPr>
          <w:rFonts w:ascii="Times New Roman" w:eastAsia="Times New Roman" w:hAnsi="Times New Roman" w:cs="Times New Roman"/>
          <w:sz w:val="28"/>
          <w:szCs w:val="28"/>
          <w:lang w:val="kk-KZ" w:eastAsia="zh-CN" w:bidi="hi-IN"/>
        </w:rPr>
        <w:t>га</w:t>
      </w:r>
      <w:r>
        <w:rPr>
          <w:rFonts w:ascii="Times New Roman" w:eastAsia="Times New Roman" w:hAnsi="Times New Roman" w:cs="Times New Roman"/>
          <w:sz w:val="28"/>
          <w:szCs w:val="28"/>
          <w:lang w:eastAsia="zh-CN" w:bidi="hi-IN"/>
        </w:rPr>
        <w:t>низации клеток при контакте с исследуемыми композитами в течение 5 суток.</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Морфологический анализ показал более выраженную адгезию клеток к поверхностям БЦ, БЦ/ГАП и БЦ/ГАП/MXene по сравнению с БЦ/MXene. Это может быть связано с особенностями пористой архитектуры БЦ-содержащих материалов, обеспечивающих увеличенную площадь контакта и развитие фокальных адгезивных взаимодействий. Нанопористая структура БЦ формирует благоприятный матрикс для адгезии и пролиферации клеток [279].</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proofErr w:type="gramStart"/>
      <w:r>
        <w:rPr>
          <w:rFonts w:ascii="Times New Roman" w:eastAsia="Times New Roman" w:hAnsi="Times New Roman" w:cs="Times New Roman"/>
          <w:sz w:val="28"/>
          <w:szCs w:val="28"/>
          <w:lang w:eastAsia="zh-CN" w:bidi="hi-IN"/>
        </w:rPr>
        <w:t>Гидроксиапатит, интегрированный в композит, усиливает адгезию за счёт взаимодействия ионов Ca²</w:t>
      </w:r>
      <w:r>
        <w:rPr>
          <w:rFonts w:ascii="Cambria Math" w:eastAsia="Times New Roman" w:hAnsi="Cambria Math" w:cs="Cambria Math"/>
          <w:sz w:val="28"/>
          <w:szCs w:val="28"/>
          <w:lang w:eastAsia="zh-CN" w:bidi="hi-IN"/>
        </w:rPr>
        <w:t>⁺</w:t>
      </w:r>
      <w:r>
        <w:rPr>
          <w:rFonts w:ascii="Times New Roman" w:eastAsia="Times New Roman" w:hAnsi="Times New Roman" w:cs="Times New Roman"/>
          <w:sz w:val="28"/>
          <w:szCs w:val="28"/>
          <w:lang w:eastAsia="zh-CN" w:bidi="hi-IN"/>
        </w:rPr>
        <w:t xml:space="preserve"> с интегрин-опосредованными рецепторами, активируя сигнальные пути адгезии и клеточного роста [18; 280].</w:t>
      </w:r>
      <w:proofErr w:type="gramEnd"/>
      <w:r>
        <w:rPr>
          <w:rFonts w:ascii="Times New Roman" w:eastAsia="Times New Roman" w:hAnsi="Times New Roman" w:cs="Times New Roman"/>
          <w:sz w:val="28"/>
          <w:szCs w:val="28"/>
          <w:lang w:eastAsia="zh-CN" w:bidi="hi-IN"/>
        </w:rPr>
        <w:t xml:space="preserve"> Таким образом, ГАП не только снижает цитотоксичность MXene, но и улучшает его биосовместимость на молекулярном уровне.</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Метод флуоресцентной микроскопии был использован для оценки </w:t>
      </w:r>
      <w:r>
        <w:rPr>
          <w:rFonts w:ascii="Times New Roman" w:eastAsia="Times New Roman" w:hAnsi="Times New Roman" w:cs="Times New Roman"/>
          <w:sz w:val="28"/>
          <w:szCs w:val="28"/>
          <w:lang w:eastAsia="zh-CN" w:bidi="hi-IN"/>
        </w:rPr>
        <w:lastRenderedPageBreak/>
        <w:t>степени адгезии, плотности распределения и морфологических особенностей фибробластов NIH-3T3 при культивировании в присутствии исследуемых материалов (Рисунок 39).</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Как видно из представленных изображений, композиты на основе БЦ и БЦ/ГАП создают благоприятную микросреду для адгезии и пролиферации фибробластов NIH-3T3, обеспечивая плотность и равномерность распределения клеток, сопоставимые с контрольной культурой. В группе БЦ/MXene отмечается несколько менее выраженная клеточная адгезия, что может быть связано с частичным цитотоксическим воздействием MXene. В то же время включение гидроксиапатита в состав композита нивелирует это влияние и способствует улучшению клеточного ответа, что подтверждается увеличением плотности клеток и их равномерного распределения на поверхности материала.</w:t>
      </w:r>
    </w:p>
    <w:p w:rsidR="00E17FE1" w:rsidRDefault="00E17FE1">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p>
    <w:p w:rsidR="00E17FE1" w:rsidRDefault="00813F75">
      <w:pPr>
        <w:widowControl w:val="0"/>
        <w:autoSpaceDE w:val="0"/>
        <w:autoSpaceDN w:val="0"/>
        <w:spacing w:after="0" w:line="240" w:lineRule="auto"/>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noProof/>
          <w:sz w:val="28"/>
          <w:szCs w:val="28"/>
          <w:lang w:eastAsia="ru-RU"/>
        </w:rPr>
        <w:drawing>
          <wp:inline distT="0" distB="0" distL="0" distR="0">
            <wp:extent cx="5628005" cy="5606415"/>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cstate="print"/>
                    <a:srcRect/>
                    <a:stretch>
                      <a:fillRect/>
                    </a:stretch>
                  </pic:blipFill>
                  <pic:spPr bwMode="auto">
                    <a:xfrm>
                      <a:off x="0" y="0"/>
                      <a:ext cx="5628005" cy="5606415"/>
                    </a:xfrm>
                    <a:prstGeom prst="rect">
                      <a:avLst/>
                    </a:prstGeom>
                    <a:noFill/>
                    <a:ln w="9525">
                      <a:noFill/>
                      <a:miter lim="800000"/>
                      <a:headEnd/>
                      <a:tailEnd/>
                    </a:ln>
                  </pic:spPr>
                </pic:pic>
              </a:graphicData>
            </a:graphic>
          </wp:inline>
        </w:drawing>
      </w:r>
    </w:p>
    <w:p w:rsidR="00E17FE1" w:rsidRDefault="00E17FE1">
      <w:pPr>
        <w:widowControl w:val="0"/>
        <w:autoSpaceDE w:val="0"/>
        <w:autoSpaceDN w:val="0"/>
        <w:spacing w:after="0" w:line="240" w:lineRule="auto"/>
        <w:ind w:firstLine="567"/>
        <w:jc w:val="center"/>
        <w:rPr>
          <w:rFonts w:ascii="Times New Roman" w:eastAsia="Times New Roman" w:hAnsi="Times New Roman" w:cs="Times New Roman"/>
          <w:sz w:val="28"/>
          <w:szCs w:val="28"/>
          <w:lang w:eastAsia="zh-CN" w:bidi="hi-IN"/>
        </w:rPr>
      </w:pPr>
    </w:p>
    <w:p w:rsidR="00E17FE1" w:rsidRDefault="00BB58D7">
      <w:pPr>
        <w:widowControl w:val="0"/>
        <w:autoSpaceDE w:val="0"/>
        <w:autoSpaceDN w:val="0"/>
        <w:spacing w:after="0" w:line="240" w:lineRule="auto"/>
        <w:ind w:firstLine="567"/>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Рисунок 39 – Флуоресцентные</w:t>
      </w:r>
      <w:r>
        <w:rPr>
          <w:rFonts w:ascii="Times New Roman" w:eastAsia="Times New Roman" w:hAnsi="Times New Roman" w:cs="Times New Roman"/>
          <w:spacing w:val="-8"/>
          <w:sz w:val="28"/>
          <w:szCs w:val="28"/>
          <w:lang w:eastAsia="zh-CN" w:bidi="hi-IN"/>
        </w:rPr>
        <w:t xml:space="preserve"> </w:t>
      </w:r>
      <w:r>
        <w:rPr>
          <w:rFonts w:ascii="Times New Roman" w:eastAsia="Times New Roman" w:hAnsi="Times New Roman" w:cs="Times New Roman"/>
          <w:sz w:val="28"/>
          <w:szCs w:val="28"/>
          <w:lang w:eastAsia="zh-CN" w:bidi="hi-IN"/>
        </w:rPr>
        <w:t>изображения</w:t>
      </w:r>
      <w:r>
        <w:rPr>
          <w:rFonts w:ascii="Times New Roman" w:eastAsia="Times New Roman" w:hAnsi="Times New Roman" w:cs="Times New Roman"/>
          <w:spacing w:val="-8"/>
          <w:sz w:val="28"/>
          <w:szCs w:val="28"/>
          <w:lang w:eastAsia="zh-CN" w:bidi="hi-IN"/>
        </w:rPr>
        <w:t xml:space="preserve"> </w:t>
      </w:r>
      <w:r>
        <w:rPr>
          <w:rFonts w:ascii="Times New Roman" w:eastAsia="Times New Roman" w:hAnsi="Times New Roman" w:cs="Times New Roman"/>
          <w:sz w:val="28"/>
          <w:szCs w:val="28"/>
          <w:lang w:eastAsia="zh-CN" w:bidi="hi-IN"/>
        </w:rPr>
        <w:t>клеток</w:t>
      </w:r>
      <w:r>
        <w:rPr>
          <w:rFonts w:ascii="Times New Roman" w:eastAsia="Times New Roman" w:hAnsi="Times New Roman" w:cs="Times New Roman"/>
          <w:spacing w:val="-8"/>
          <w:sz w:val="28"/>
          <w:szCs w:val="28"/>
          <w:lang w:eastAsia="zh-CN" w:bidi="hi-IN"/>
        </w:rPr>
        <w:t xml:space="preserve"> </w:t>
      </w:r>
      <w:r>
        <w:rPr>
          <w:rFonts w:ascii="Times New Roman" w:eastAsia="Times New Roman" w:hAnsi="Times New Roman" w:cs="Times New Roman"/>
          <w:sz w:val="28"/>
          <w:szCs w:val="28"/>
          <w:lang w:val="en-US" w:eastAsia="zh-CN" w:bidi="hi-IN"/>
        </w:rPr>
        <w:t>NIH</w:t>
      </w:r>
      <w:r>
        <w:rPr>
          <w:rFonts w:ascii="Times New Roman" w:eastAsia="Times New Roman" w:hAnsi="Times New Roman" w:cs="Times New Roman"/>
          <w:sz w:val="28"/>
          <w:szCs w:val="28"/>
          <w:lang w:eastAsia="zh-CN" w:bidi="hi-IN"/>
        </w:rPr>
        <w:t>-3</w:t>
      </w:r>
      <w:r>
        <w:rPr>
          <w:rFonts w:ascii="Times New Roman" w:eastAsia="Times New Roman" w:hAnsi="Times New Roman" w:cs="Times New Roman"/>
          <w:sz w:val="28"/>
          <w:szCs w:val="28"/>
          <w:lang w:val="en-US" w:eastAsia="zh-CN" w:bidi="hi-IN"/>
        </w:rPr>
        <w:t>T</w:t>
      </w:r>
      <w:r>
        <w:rPr>
          <w:rFonts w:ascii="Times New Roman" w:eastAsia="Times New Roman" w:hAnsi="Times New Roman" w:cs="Times New Roman"/>
          <w:sz w:val="28"/>
          <w:szCs w:val="28"/>
          <w:lang w:eastAsia="zh-CN" w:bidi="hi-IN"/>
        </w:rPr>
        <w:t>3,</w:t>
      </w:r>
      <w:r>
        <w:rPr>
          <w:rFonts w:ascii="Times New Roman" w:eastAsia="Times New Roman" w:hAnsi="Times New Roman" w:cs="Times New Roman"/>
          <w:spacing w:val="-8"/>
          <w:sz w:val="28"/>
          <w:szCs w:val="28"/>
          <w:lang w:eastAsia="zh-CN" w:bidi="hi-IN"/>
        </w:rPr>
        <w:t xml:space="preserve"> </w:t>
      </w:r>
      <w:r>
        <w:rPr>
          <w:rFonts w:ascii="Times New Roman" w:eastAsia="Times New Roman" w:hAnsi="Times New Roman" w:cs="Times New Roman"/>
          <w:sz w:val="28"/>
          <w:szCs w:val="28"/>
          <w:lang w:eastAsia="zh-CN" w:bidi="hi-IN"/>
        </w:rPr>
        <w:t>культивированных</w:t>
      </w:r>
      <w:r>
        <w:rPr>
          <w:rFonts w:ascii="Times New Roman" w:eastAsia="Times New Roman" w:hAnsi="Times New Roman" w:cs="Times New Roman"/>
          <w:spacing w:val="-8"/>
          <w:sz w:val="28"/>
          <w:szCs w:val="28"/>
          <w:lang w:eastAsia="zh-CN" w:bidi="hi-IN"/>
        </w:rPr>
        <w:t xml:space="preserve"> </w:t>
      </w:r>
      <w:r>
        <w:rPr>
          <w:rFonts w:ascii="Times New Roman" w:eastAsia="Times New Roman" w:hAnsi="Times New Roman" w:cs="Times New Roman"/>
          <w:sz w:val="28"/>
          <w:szCs w:val="28"/>
          <w:lang w:eastAsia="zh-CN" w:bidi="hi-IN"/>
        </w:rPr>
        <w:t>с</w:t>
      </w:r>
      <w:r>
        <w:rPr>
          <w:rFonts w:ascii="Times New Roman" w:eastAsia="Times New Roman" w:hAnsi="Times New Roman" w:cs="Times New Roman"/>
          <w:spacing w:val="-57"/>
          <w:sz w:val="28"/>
          <w:szCs w:val="28"/>
          <w:lang w:eastAsia="zh-CN" w:bidi="hi-IN"/>
        </w:rPr>
        <w:t xml:space="preserve">  </w:t>
      </w:r>
      <w:r>
        <w:rPr>
          <w:rFonts w:ascii="Times New Roman" w:eastAsia="Times New Roman" w:hAnsi="Times New Roman" w:cs="Times New Roman"/>
          <w:sz w:val="28"/>
          <w:szCs w:val="28"/>
          <w:lang w:eastAsia="zh-CN" w:bidi="hi-IN"/>
        </w:rPr>
        <w:t>образцами</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БЦ,</w:t>
      </w:r>
      <w:r>
        <w:rPr>
          <w:rFonts w:ascii="Times New Roman" w:eastAsia="Times New Roman" w:hAnsi="Times New Roman" w:cs="Times New Roman"/>
          <w:spacing w:val="-1"/>
          <w:sz w:val="28"/>
          <w:szCs w:val="28"/>
          <w:lang w:eastAsia="zh-CN" w:bidi="hi-IN"/>
        </w:rPr>
        <w:t xml:space="preserve"> </w:t>
      </w:r>
      <w:r>
        <w:rPr>
          <w:rFonts w:ascii="Times New Roman" w:eastAsia="Times New Roman" w:hAnsi="Times New Roman" w:cs="Times New Roman"/>
          <w:sz w:val="28"/>
          <w:szCs w:val="28"/>
          <w:lang w:eastAsia="zh-CN" w:bidi="hi-IN"/>
        </w:rPr>
        <w:t>БЦ/</w:t>
      </w:r>
      <w:r>
        <w:rPr>
          <w:rFonts w:ascii="Times New Roman" w:eastAsia="Times New Roman" w:hAnsi="Times New Roman" w:cs="Times New Roman"/>
          <w:sz w:val="28"/>
          <w:szCs w:val="28"/>
          <w:lang w:val="en-US" w:eastAsia="zh-CN" w:bidi="hi-IN"/>
        </w:rPr>
        <w:t>MXene</w:t>
      </w:r>
      <w:r>
        <w:rPr>
          <w:rFonts w:ascii="Times New Roman" w:eastAsia="Times New Roman" w:hAnsi="Times New Roman" w:cs="Times New Roman"/>
          <w:sz w:val="28"/>
          <w:szCs w:val="28"/>
          <w:lang w:eastAsia="zh-CN" w:bidi="hi-IN"/>
        </w:rPr>
        <w:t>, БЦ/ГАП и</w:t>
      </w:r>
      <w:r>
        <w:rPr>
          <w:rFonts w:ascii="Times New Roman" w:eastAsia="Times New Roman" w:hAnsi="Times New Roman" w:cs="Times New Roman"/>
          <w:spacing w:val="-2"/>
          <w:sz w:val="28"/>
          <w:szCs w:val="28"/>
          <w:lang w:eastAsia="zh-CN" w:bidi="hi-IN"/>
        </w:rPr>
        <w:t xml:space="preserve"> </w:t>
      </w:r>
      <w:r>
        <w:rPr>
          <w:rFonts w:ascii="Times New Roman" w:eastAsia="Times New Roman" w:hAnsi="Times New Roman" w:cs="Times New Roman"/>
          <w:sz w:val="28"/>
          <w:szCs w:val="28"/>
          <w:lang w:eastAsia="zh-CN" w:bidi="hi-IN"/>
        </w:rPr>
        <w:t>БЦ/ГАП/</w:t>
      </w:r>
      <w:r>
        <w:rPr>
          <w:rFonts w:ascii="Times New Roman" w:eastAsia="Times New Roman" w:hAnsi="Times New Roman" w:cs="Times New Roman"/>
          <w:sz w:val="28"/>
          <w:szCs w:val="28"/>
          <w:lang w:val="en-US" w:eastAsia="zh-CN" w:bidi="hi-IN"/>
        </w:rPr>
        <w:t>MXene</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lastRenderedPageBreak/>
        <w:t>Метаболическая активность клеток оценивалась методом МТТ (Рисунок 40). Восстановление тетразолиевого красителя опосредовано NADPH-зависимыми оксидоредуктазами цитозоля [281] и отражает функциональное состояние клеток. Высокие значения МТТ свидетельствуют о сохранённой метаболической активности и пролиферации.</w:t>
      </w:r>
    </w:p>
    <w:p w:rsidR="00E17FE1" w:rsidRDefault="00E17FE1">
      <w:pPr>
        <w:widowControl w:val="0"/>
        <w:autoSpaceDE w:val="0"/>
        <w:autoSpaceDN w:val="0"/>
        <w:spacing w:after="0" w:line="240" w:lineRule="auto"/>
        <w:ind w:firstLine="567"/>
        <w:rPr>
          <w:rFonts w:ascii="Times New Roman" w:eastAsia="Times New Roman" w:hAnsi="Times New Roman" w:cs="Times New Roman"/>
          <w:sz w:val="28"/>
          <w:szCs w:val="28"/>
          <w:lang w:eastAsia="zh-CN" w:bidi="hi-IN"/>
        </w:rPr>
      </w:pPr>
    </w:p>
    <w:p w:rsidR="00E17FE1" w:rsidRDefault="00BB58D7">
      <w:pPr>
        <w:widowControl w:val="0"/>
        <w:autoSpaceDE w:val="0"/>
        <w:autoSpaceDN w:val="0"/>
        <w:spacing w:after="0" w:line="240" w:lineRule="auto"/>
        <w:ind w:firstLine="567"/>
        <w:rPr>
          <w:rFonts w:ascii="Times New Roman" w:eastAsia="Times New Roman" w:hAnsi="Times New Roman" w:cs="Times New Roman"/>
          <w:sz w:val="28"/>
          <w:szCs w:val="28"/>
          <w:lang w:val="en-US" w:eastAsia="zh-CN" w:bidi="hi-IN"/>
        </w:rPr>
      </w:pPr>
      <w:r>
        <w:rPr>
          <w:rFonts w:ascii="Times New Roman" w:eastAsia="Times New Roman" w:hAnsi="Times New Roman" w:cs="Times New Roman"/>
          <w:noProof/>
          <w:kern w:val="3"/>
          <w:sz w:val="28"/>
          <w:szCs w:val="28"/>
          <w:lang w:eastAsia="ru-RU"/>
        </w:rPr>
        <w:drawing>
          <wp:inline distT="0" distB="0" distL="0" distR="0">
            <wp:extent cx="5581650" cy="2238375"/>
            <wp:effectExtent l="19050" t="0" r="19050" b="0"/>
            <wp:docPr id="849036406"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E17FE1" w:rsidRDefault="00E17FE1">
      <w:pPr>
        <w:widowControl w:val="0"/>
        <w:autoSpaceDE w:val="0"/>
        <w:autoSpaceDN w:val="0"/>
        <w:spacing w:after="0" w:line="240" w:lineRule="auto"/>
        <w:ind w:firstLine="567"/>
        <w:jc w:val="center"/>
        <w:rPr>
          <w:rFonts w:ascii="Times New Roman" w:eastAsia="Times New Roman" w:hAnsi="Times New Roman" w:cs="Times New Roman"/>
          <w:b/>
          <w:bCs/>
          <w:sz w:val="28"/>
          <w:szCs w:val="28"/>
          <w:lang w:eastAsia="zh-CN" w:bidi="hi-IN"/>
        </w:rPr>
      </w:pPr>
    </w:p>
    <w:p w:rsidR="00E17FE1" w:rsidRPr="00AC0D2B" w:rsidRDefault="00BB58D7">
      <w:pPr>
        <w:widowControl w:val="0"/>
        <w:autoSpaceDE w:val="0"/>
        <w:autoSpaceDN w:val="0"/>
        <w:spacing w:after="0" w:line="240" w:lineRule="auto"/>
        <w:ind w:firstLine="567"/>
        <w:jc w:val="center"/>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Рисунок 40 – Метаболическая активность клеток мышиных фибробластов </w:t>
      </w:r>
      <w:r>
        <w:rPr>
          <w:rFonts w:ascii="Times New Roman" w:eastAsia="Times New Roman" w:hAnsi="Times New Roman" w:cs="Times New Roman"/>
          <w:sz w:val="28"/>
          <w:szCs w:val="28"/>
          <w:lang w:val="en-US" w:eastAsia="zh-CN" w:bidi="hi-IN"/>
        </w:rPr>
        <w:t>NIH</w:t>
      </w:r>
      <w:r>
        <w:rPr>
          <w:rFonts w:ascii="Times New Roman" w:eastAsia="Times New Roman" w:hAnsi="Times New Roman" w:cs="Times New Roman"/>
          <w:sz w:val="28"/>
          <w:szCs w:val="28"/>
          <w:lang w:eastAsia="zh-CN" w:bidi="hi-IN"/>
        </w:rPr>
        <w:t>-3</w:t>
      </w:r>
      <w:r>
        <w:rPr>
          <w:rFonts w:ascii="Times New Roman" w:eastAsia="Times New Roman" w:hAnsi="Times New Roman" w:cs="Times New Roman"/>
          <w:sz w:val="28"/>
          <w:szCs w:val="28"/>
          <w:lang w:val="en-US" w:eastAsia="zh-CN" w:bidi="hi-IN"/>
        </w:rPr>
        <w:t>T</w:t>
      </w:r>
      <w:r>
        <w:rPr>
          <w:rFonts w:ascii="Times New Roman" w:eastAsia="Times New Roman" w:hAnsi="Times New Roman" w:cs="Times New Roman"/>
          <w:sz w:val="28"/>
          <w:szCs w:val="28"/>
          <w:lang w:eastAsia="zh-CN" w:bidi="hi-IN"/>
        </w:rPr>
        <w:t>3, культивированных с образцами материалов</w:t>
      </w:r>
    </w:p>
    <w:p w:rsidR="00E408BF" w:rsidRPr="00AC0D2B" w:rsidRDefault="00E408BF">
      <w:pPr>
        <w:widowControl w:val="0"/>
        <w:autoSpaceDE w:val="0"/>
        <w:autoSpaceDN w:val="0"/>
        <w:spacing w:after="0" w:line="240" w:lineRule="auto"/>
        <w:ind w:firstLine="567"/>
        <w:jc w:val="center"/>
        <w:rPr>
          <w:rFonts w:ascii="Times New Roman" w:eastAsia="Times New Roman" w:hAnsi="Times New Roman" w:cs="Times New Roman"/>
          <w:sz w:val="28"/>
          <w:szCs w:val="28"/>
          <w:lang w:eastAsia="zh-CN" w:bidi="hi-IN"/>
        </w:rPr>
      </w:pP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Результаты показали, что в контрольной группе, а также в культурах с БЦ и БЦ/ГАП наблюдался рост метаболической активности на протяжении 72 и 120 часов. В группе БЦ/ГАП/MXene зафиксировано умеренное снижение активности на 3-и и 5-е сутки (≤19% и ≤25%, соответственно), однако значения оставались в пределах физиологической нормы, что подтверждает </w:t>
      </w:r>
      <w:proofErr w:type="gramStart"/>
      <w:r>
        <w:rPr>
          <w:rFonts w:ascii="Times New Roman" w:eastAsia="Times New Roman" w:hAnsi="Times New Roman" w:cs="Times New Roman"/>
          <w:sz w:val="28"/>
          <w:szCs w:val="28"/>
          <w:lang w:eastAsia="zh-CN" w:bidi="hi-IN"/>
        </w:rPr>
        <w:t>низкую</w:t>
      </w:r>
      <w:proofErr w:type="gramEnd"/>
      <w:r>
        <w:rPr>
          <w:rFonts w:ascii="Times New Roman" w:eastAsia="Times New Roman" w:hAnsi="Times New Roman" w:cs="Times New Roman"/>
          <w:sz w:val="28"/>
          <w:szCs w:val="28"/>
          <w:lang w:eastAsia="zh-CN" w:bidi="hi-IN"/>
        </w:rPr>
        <w:t xml:space="preserve"> цитотоксичность материала.</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Значения МТТ-анализа коррелировали с данными по выживаемости клеток, что дополнительно подтверждает отсутствие токсического влияния композитов и сохранение функциональной активности клеток.</w:t>
      </w:r>
    </w:p>
    <w:p w:rsidR="00E17FE1" w:rsidRDefault="00BB58D7">
      <w:pPr>
        <w:widowControl w:val="0"/>
        <w:autoSpaceDE w:val="0"/>
        <w:autoSpaceDN w:val="0"/>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Таким образом, результаты комплексного анализа показывают, что композиты на основе БЦ, БЦ/ГАП и БЦ/ГАП/MXene являются биосовместимыми и не оказывают выраженного цитотоксического действия на клетки NIH-3T3 в течение 5 суток культивирования. Интеграция гидроксиапатита снижает цитотоксичность MXene и способствует усилению адгезивных и пролиферативных свойств за счёт оптимизации микроструктуры композитов и активации молекулярных механизмов клеточного взаимодействия.</w:t>
      </w:r>
      <w:r>
        <w:rPr>
          <w:rFonts w:ascii="Times New Roman" w:eastAsia="DejaVu Sans" w:hAnsi="Times New Roman" w:cs="DejaVu Sans"/>
          <w:sz w:val="24"/>
          <w:szCs w:val="24"/>
          <w:lang w:eastAsia="zh-CN" w:bidi="hi-IN"/>
        </w:rPr>
        <w:t xml:space="preserve"> </w:t>
      </w:r>
      <w:r>
        <w:rPr>
          <w:rFonts w:ascii="Times New Roman" w:eastAsia="Times New Roman" w:hAnsi="Times New Roman" w:cs="Times New Roman"/>
          <w:sz w:val="28"/>
          <w:szCs w:val="28"/>
          <w:lang w:eastAsia="zh-CN" w:bidi="hi-IN"/>
        </w:rPr>
        <w:t>Полученные результаты подтверждают перспективность этих композитов для дальнейших исследований и потенциального использования в регенеративной медицине.</w:t>
      </w:r>
    </w:p>
    <w:p w:rsidR="00E17FE1" w:rsidRDefault="00BB58D7">
      <w:pPr>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Оценка антиоксидантного потенциала является важнейшим аспектом исследования функциональных биоматериалов, поскольку избыточное образование активных форм кислорода (ROS) играет ключевую роль в патогенезе воспалительных и дегенеративных состояний, </w:t>
      </w:r>
      <w:r>
        <w:rPr>
          <w:rFonts w:ascii="Times New Roman" w:eastAsia="Times New Roman" w:hAnsi="Times New Roman" w:cs="Times New Roman"/>
          <w:sz w:val="28"/>
          <w:szCs w:val="28"/>
          <w:lang w:eastAsia="zh-CN" w:bidi="hi-IN"/>
        </w:rPr>
        <w:lastRenderedPageBreak/>
        <w:t xml:space="preserve">сопровождающихся оксидативным стрессом. К числу наиболее валидированных инструментов количественной характеристики свободнорадикальной нейтрализующей активности относится спектрофотометрический тест с 2,2-дифенил-1-пикрилгидразилом (DPPH), </w:t>
      </w:r>
      <w:proofErr w:type="gramStart"/>
      <w:r>
        <w:rPr>
          <w:rFonts w:ascii="Times New Roman" w:eastAsia="Times New Roman" w:hAnsi="Times New Roman" w:cs="Times New Roman"/>
          <w:sz w:val="28"/>
          <w:szCs w:val="28"/>
          <w:lang w:eastAsia="zh-CN" w:bidi="hi-IN"/>
        </w:rPr>
        <w:t>включённым</w:t>
      </w:r>
      <w:proofErr w:type="gramEnd"/>
      <w:r>
        <w:rPr>
          <w:rFonts w:ascii="Times New Roman" w:eastAsia="Times New Roman" w:hAnsi="Times New Roman" w:cs="Times New Roman"/>
          <w:sz w:val="28"/>
          <w:szCs w:val="28"/>
          <w:lang w:eastAsia="zh-CN" w:bidi="hi-IN"/>
        </w:rPr>
        <w:t xml:space="preserve"> в стандартные аналитические протоколы при оценке редокс-активных систем.</w:t>
      </w:r>
    </w:p>
    <w:p w:rsidR="00E17FE1" w:rsidRDefault="00BB58D7">
      <w:pPr>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Метод основан на способности стабильного радикального катиона DPPH, обладающего характерным поглощением при 517 нм, подвергаться восстановлению при взаимодействии с антиоксидантами. Снижение оптической плотности реакционной смеси отражает антирадикальную активность исследуемого материала и позволяет строить дозозависимые кривые для последующего определения величины IC</w:t>
      </w:r>
      <w:r>
        <w:rPr>
          <w:rFonts w:ascii="Cambria Math" w:eastAsia="Times New Roman" w:hAnsi="Cambria Math" w:cs="Cambria Math"/>
          <w:sz w:val="28"/>
          <w:szCs w:val="28"/>
          <w:lang w:eastAsia="zh-CN" w:bidi="hi-IN"/>
        </w:rPr>
        <w:t>₅₀</w:t>
      </w:r>
      <w:r>
        <w:rPr>
          <w:rFonts w:ascii="Times New Roman" w:eastAsia="Times New Roman" w:hAnsi="Times New Roman" w:cs="Times New Roman"/>
          <w:sz w:val="28"/>
          <w:szCs w:val="28"/>
          <w:lang w:eastAsia="zh-CN" w:bidi="hi-IN"/>
        </w:rPr>
        <w:t xml:space="preserve"> — концентрации, обеспечивающей 50 % ингибирования радикала и служащей количественным показателем эффективности улавливания свободных радикалов.</w:t>
      </w:r>
    </w:p>
    <w:p w:rsidR="00E17FE1" w:rsidRDefault="00BB58D7">
      <w:pPr>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В рамках настоящего исследования метод DPPH был применён для объективной количественной оценки </w:t>
      </w:r>
      <w:proofErr w:type="gramStart"/>
      <w:r>
        <w:rPr>
          <w:rFonts w:ascii="Times New Roman" w:eastAsia="Times New Roman" w:hAnsi="Times New Roman" w:cs="Times New Roman"/>
          <w:sz w:val="28"/>
          <w:szCs w:val="28"/>
          <w:lang w:eastAsia="zh-CN" w:bidi="hi-IN"/>
        </w:rPr>
        <w:t>радикал-подавляющей</w:t>
      </w:r>
      <w:proofErr w:type="gramEnd"/>
      <w:r>
        <w:rPr>
          <w:rFonts w:ascii="Times New Roman" w:eastAsia="Times New Roman" w:hAnsi="Times New Roman" w:cs="Times New Roman"/>
          <w:sz w:val="28"/>
          <w:szCs w:val="28"/>
          <w:lang w:eastAsia="zh-CN" w:bidi="hi-IN"/>
        </w:rPr>
        <w:t xml:space="preserve"> способности композита БЦ/ГАП/MXene, содержащего двумерные нанолисты Ti</w:t>
      </w:r>
      <w:r>
        <w:rPr>
          <w:rFonts w:ascii="Cambria Math" w:eastAsia="Times New Roman" w:hAnsi="Cambria Math" w:cs="Cambria Math"/>
          <w:sz w:val="28"/>
          <w:szCs w:val="28"/>
          <w:lang w:eastAsia="zh-CN" w:bidi="hi-IN"/>
        </w:rPr>
        <w:t>₃</w:t>
      </w:r>
      <w:r>
        <w:rPr>
          <w:rFonts w:ascii="Times New Roman" w:eastAsia="Times New Roman" w:hAnsi="Times New Roman" w:cs="Times New Roman"/>
          <w:sz w:val="28"/>
          <w:szCs w:val="28"/>
          <w:lang w:eastAsia="zh-CN" w:bidi="hi-IN"/>
        </w:rPr>
        <w:t>C</w:t>
      </w:r>
      <w:r>
        <w:rPr>
          <w:rFonts w:ascii="Cambria Math" w:eastAsia="Times New Roman" w:hAnsi="Cambria Math" w:cs="Cambria Math"/>
          <w:sz w:val="28"/>
          <w:szCs w:val="28"/>
          <w:lang w:eastAsia="zh-CN" w:bidi="hi-IN"/>
        </w:rPr>
        <w:t>₂</w:t>
      </w:r>
      <w:r>
        <w:rPr>
          <w:rFonts w:ascii="Times New Roman" w:eastAsia="Times New Roman" w:hAnsi="Times New Roman" w:cs="Times New Roman"/>
          <w:sz w:val="28"/>
          <w:szCs w:val="28"/>
          <w:lang w:eastAsia="zh-CN" w:bidi="hi-IN"/>
        </w:rPr>
        <w:t>Tₓ, известные выраженными редокс-активными свойствами и способностью к улавливанию ROS. Дополнительно проведён сравнительный анализ с референсным антиоксидантом АК (аскорбиновая кислота), что позволило сопоставить функциональные характеристики исследуемого композита с установленным биохимическим эталоном.</w:t>
      </w:r>
    </w:p>
    <w:p w:rsidR="00E17FE1" w:rsidRDefault="00BB58D7">
      <w:pPr>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С учётом установленной </w:t>
      </w:r>
      <w:proofErr w:type="gramStart"/>
      <w:r>
        <w:rPr>
          <w:rFonts w:ascii="Times New Roman" w:eastAsia="Times New Roman" w:hAnsi="Times New Roman" w:cs="Times New Roman"/>
          <w:sz w:val="28"/>
          <w:szCs w:val="28"/>
          <w:lang w:eastAsia="zh-CN" w:bidi="hi-IN"/>
        </w:rPr>
        <w:t>радикал-подавляющей</w:t>
      </w:r>
      <w:proofErr w:type="gramEnd"/>
      <w:r>
        <w:rPr>
          <w:rFonts w:ascii="Times New Roman" w:eastAsia="Times New Roman" w:hAnsi="Times New Roman" w:cs="Times New Roman"/>
          <w:sz w:val="28"/>
          <w:szCs w:val="28"/>
          <w:lang w:eastAsia="zh-CN" w:bidi="hi-IN"/>
        </w:rPr>
        <w:t xml:space="preserve"> активности MXene особое внимание было уделено количественной оценке вклада MXene в составе композита. Антиоксидантный потенциал системы БЦ/ГАП/MXene (массовое соотношение 95/3/2%) определяли по способности экстрактов композита нейтрализовать стабильный свободный радикал DPPH. Поскольку массовая доля MXene в композите составляет 2 %, экстрагирование 0,10 г плёнки в 10 мл 50 % этанола обеспечивало концентрацию MXene в супернатанте порядка ≈200 мкг/мл. Последующее смешение экстракта с раствором DPPH в соотношении 1:1 приводило к рабочей концентрации MXene в реакционной системе около ≈100 мкг/мл.</w:t>
      </w:r>
    </w:p>
    <w:p w:rsidR="00E17FE1" w:rsidRDefault="00BB58D7">
      <w:pPr>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При данной концентрации композит БЦ/ГАП/MXene демонстрировал высокую эффективность </w:t>
      </w:r>
      <w:proofErr w:type="gramStart"/>
      <w:r>
        <w:rPr>
          <w:rFonts w:ascii="Times New Roman" w:eastAsia="Times New Roman" w:hAnsi="Times New Roman" w:cs="Times New Roman"/>
          <w:sz w:val="28"/>
          <w:szCs w:val="28"/>
          <w:lang w:eastAsia="zh-CN" w:bidi="hi-IN"/>
        </w:rPr>
        <w:t>радикал-подавления</w:t>
      </w:r>
      <w:proofErr w:type="gramEnd"/>
      <w:r>
        <w:rPr>
          <w:rFonts w:ascii="Times New Roman" w:eastAsia="Times New Roman" w:hAnsi="Times New Roman" w:cs="Times New Roman"/>
          <w:sz w:val="28"/>
          <w:szCs w:val="28"/>
          <w:lang w:eastAsia="zh-CN" w:bidi="hi-IN"/>
        </w:rPr>
        <w:t xml:space="preserve"> ≈87 %, что сопоставимо с активностью референсного антиоксиданта Trolox</w:t>
      </w:r>
      <w:r>
        <w:rPr>
          <w:rFonts w:ascii="Times New Roman" w:eastAsia="DejaVu Sans" w:hAnsi="Times New Roman" w:cs="Times New Roman"/>
          <w:sz w:val="28"/>
          <w:szCs w:val="28"/>
          <w:lang w:eastAsia="zh-CN" w:bidi="hi-IN"/>
        </w:rPr>
        <w:t xml:space="preserve">, </w:t>
      </w:r>
      <w:r>
        <w:rPr>
          <w:rFonts w:ascii="Times New Roman" w:eastAsia="Times New Roman" w:hAnsi="Times New Roman" w:cs="Times New Roman"/>
          <w:sz w:val="28"/>
          <w:szCs w:val="28"/>
          <w:lang w:eastAsia="zh-CN" w:bidi="hi-IN"/>
        </w:rPr>
        <w:t>который при той же концентрации обеспечивал ≈93 % ингибирования DPPH. При более низких концентрациях (≈3.12–25 мкг/мл) эффективность MXene возрастала дозозависимо от 50 % до 82 %, при этом оставалась близкой к активности АК, который в этих условиях обеспечивал ≈48–84 % ингибирования. Таким образом, композит проявляет антиоксидантную способность того же порядка, что и АК, демонстрируя выраженную эффективность уже в низкоконцентрационном диапазоне (Рисунок 41).</w:t>
      </w:r>
    </w:p>
    <w:p w:rsidR="00E17FE1" w:rsidRDefault="00E17FE1">
      <w:pPr>
        <w:spacing w:after="0" w:line="240" w:lineRule="auto"/>
        <w:ind w:firstLine="567"/>
        <w:jc w:val="center"/>
        <w:rPr>
          <w:rFonts w:ascii="Times New Roman" w:eastAsia="Times New Roman" w:hAnsi="Times New Roman" w:cs="Times New Roman"/>
          <w:color w:val="FF0000"/>
          <w:sz w:val="28"/>
          <w:szCs w:val="28"/>
          <w:highlight w:val="yellow"/>
          <w:lang w:val="kk-KZ" w:eastAsia="zh-CN" w:bidi="hi-IN"/>
        </w:rPr>
      </w:pPr>
    </w:p>
    <w:p w:rsidR="00E17FE1" w:rsidRDefault="00BB58D7">
      <w:pPr>
        <w:spacing w:after="0" w:line="240" w:lineRule="auto"/>
        <w:ind w:firstLine="567"/>
        <w:jc w:val="both"/>
        <w:rPr>
          <w:rFonts w:ascii="Times New Roman" w:eastAsia="Times New Roman" w:hAnsi="Times New Roman" w:cs="Times New Roman"/>
          <w:color w:val="FF0000"/>
          <w:sz w:val="28"/>
          <w:szCs w:val="28"/>
          <w:highlight w:val="yellow"/>
          <w:lang w:val="kk-KZ" w:eastAsia="zh-CN" w:bidi="hi-IN"/>
        </w:rPr>
      </w:pPr>
      <w:r>
        <w:rPr>
          <w:rFonts w:ascii="Times New Roman" w:eastAsia="Times New Roman" w:hAnsi="Times New Roman" w:cs="Times New Roman"/>
          <w:noProof/>
          <w:color w:val="FF0000"/>
          <w:sz w:val="28"/>
          <w:szCs w:val="28"/>
          <w:lang w:eastAsia="ru-RU"/>
        </w:rPr>
        <w:lastRenderedPageBreak/>
        <w:drawing>
          <wp:inline distT="0" distB="0" distL="0" distR="0">
            <wp:extent cx="5486400" cy="3200400"/>
            <wp:effectExtent l="0" t="0" r="0" b="0"/>
            <wp:docPr id="107374182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17FE1" w:rsidRDefault="00BB58D7">
      <w:pPr>
        <w:spacing w:after="0" w:line="240" w:lineRule="auto"/>
        <w:ind w:firstLine="567"/>
        <w:jc w:val="center"/>
        <w:outlineLvl w:val="2"/>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Рисунок 41</w:t>
      </w:r>
      <w:r w:rsidR="00246F71">
        <w:rPr>
          <w:rFonts w:ascii="Times New Roman" w:eastAsia="Times New Roman" w:hAnsi="Times New Roman" w:cs="Times New Roman"/>
          <w:sz w:val="28"/>
          <w:szCs w:val="28"/>
          <w:lang w:eastAsia="ru-RU"/>
        </w:rPr>
        <w:t xml:space="preserve"> </w:t>
      </w:r>
      <w:r w:rsidR="00246F71" w:rsidRPr="00A551EF">
        <w:rPr>
          <w:rFonts w:cs="Times New Roman"/>
          <w:bCs/>
          <w:iCs/>
          <w:sz w:val="28"/>
          <w:szCs w:val="28"/>
        </w:rPr>
        <w:sym w:font="Symbol" w:char="F02D"/>
      </w:r>
      <w:r w:rsidR="00246F7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zh-CN" w:bidi="hi-IN"/>
        </w:rPr>
        <w:t>Улавливание DPPH композитом БЦ/ГАП/MXene</w:t>
      </w:r>
    </w:p>
    <w:p w:rsidR="00E17FE1" w:rsidRDefault="00E17FE1">
      <w:pPr>
        <w:spacing w:after="0" w:line="240" w:lineRule="auto"/>
        <w:ind w:firstLine="567"/>
        <w:jc w:val="both"/>
        <w:rPr>
          <w:rFonts w:ascii="Times New Roman" w:eastAsia="Times New Roman" w:hAnsi="Times New Roman" w:cs="Times New Roman"/>
          <w:sz w:val="28"/>
          <w:szCs w:val="28"/>
          <w:lang w:eastAsia="zh-CN" w:bidi="hi-IN"/>
        </w:rPr>
      </w:pPr>
    </w:p>
    <w:p w:rsidR="00E17FE1" w:rsidRDefault="00BB58D7">
      <w:pPr>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Высокая эффективность DPPH-скэвенджинга свидетельствует о сохранении функциональной активности MXene внутри гибридной матрицы БЦ/ГАП. Вероятно, гидроксильные и оксо-терминальные группы MXene обеспечивают эффективный электронный обмен с радикальными формами, что приводит к их восстановлению и инактивации.</w:t>
      </w:r>
    </w:p>
    <w:p w:rsidR="00E17FE1" w:rsidRDefault="00BB58D7">
      <w:pPr>
        <w:spacing w:after="0" w:line="240" w:lineRule="auto"/>
        <w:ind w:firstLine="567"/>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Полученные дозозависимые кривые позволили определить параметр </w:t>
      </w:r>
      <w:r>
        <w:rPr>
          <w:rFonts w:ascii="Times New Roman" w:eastAsia="SimSun" w:hAnsi="Times New Roman" w:cs="Times New Roman"/>
          <w:sz w:val="28"/>
          <w:szCs w:val="28"/>
          <w:lang w:val="en-US" w:eastAsia="zh-CN"/>
        </w:rPr>
        <w:t>IC</w:t>
      </w:r>
      <w:r>
        <w:rPr>
          <w:rFonts w:ascii="Cambria Math" w:eastAsia="SimSun" w:hAnsi="Cambria Math" w:cs="Cambria Math"/>
          <w:sz w:val="28"/>
          <w:szCs w:val="28"/>
          <w:lang w:eastAsia="zh-CN"/>
        </w:rPr>
        <w:t>₅₀</w:t>
      </w:r>
      <w:r>
        <w:rPr>
          <w:rFonts w:ascii="Times New Roman" w:eastAsia="SimSun" w:hAnsi="Times New Roman" w:cs="Times New Roman"/>
          <w:sz w:val="28"/>
          <w:szCs w:val="28"/>
          <w:lang w:eastAsia="zh-CN"/>
        </w:rPr>
        <w:t xml:space="preserve">, характеризующий концентрацию, необходимую для подавления 50 % свободных радикалов </w:t>
      </w:r>
      <w:r>
        <w:rPr>
          <w:rFonts w:ascii="Times New Roman" w:eastAsia="SimSun" w:hAnsi="Times New Roman" w:cs="Times New Roman"/>
          <w:sz w:val="28"/>
          <w:szCs w:val="28"/>
          <w:lang w:val="en-US" w:eastAsia="zh-CN"/>
        </w:rPr>
        <w:t>DPPH</w:t>
      </w:r>
      <w:r>
        <w:rPr>
          <w:rFonts w:ascii="Times New Roman" w:eastAsia="SimSun" w:hAnsi="Times New Roman" w:cs="Times New Roman"/>
          <w:sz w:val="28"/>
          <w:szCs w:val="28"/>
          <w:lang w:eastAsia="zh-CN"/>
        </w:rPr>
        <w:t xml:space="preserve">. Для композита величина </w:t>
      </w:r>
      <w:r>
        <w:rPr>
          <w:rFonts w:ascii="Times New Roman" w:eastAsia="SimSun" w:hAnsi="Times New Roman" w:cs="Times New Roman"/>
          <w:sz w:val="28"/>
          <w:szCs w:val="28"/>
          <w:lang w:val="en-US" w:eastAsia="zh-CN"/>
        </w:rPr>
        <w:t>IC</w:t>
      </w:r>
      <w:r>
        <w:rPr>
          <w:rFonts w:ascii="Cambria Math" w:eastAsia="SimSun" w:hAnsi="Cambria Math" w:cs="Cambria Math"/>
          <w:sz w:val="28"/>
          <w:szCs w:val="28"/>
          <w:lang w:eastAsia="zh-CN"/>
        </w:rPr>
        <w:t>₅₀</w:t>
      </w:r>
      <w:r>
        <w:rPr>
          <w:rFonts w:ascii="Times New Roman" w:eastAsia="SimSun" w:hAnsi="Times New Roman" w:cs="Times New Roman"/>
          <w:sz w:val="28"/>
          <w:szCs w:val="28"/>
          <w:lang w:eastAsia="zh-CN"/>
        </w:rPr>
        <w:t xml:space="preserve"> составила ≈3,12 мкг/мл, что соответствует диапазону ≈4–6 мкг/мл, ранее описанному для </w:t>
      </w:r>
      <w:r>
        <w:rPr>
          <w:rFonts w:ascii="Times New Roman" w:eastAsia="SimSun" w:hAnsi="Times New Roman"/>
          <w:sz w:val="28"/>
          <w:szCs w:val="28"/>
          <w:lang w:eastAsia="zh-CN"/>
        </w:rPr>
        <w:t>металлоорганически</w:t>
      </w:r>
      <w:r>
        <w:rPr>
          <w:rFonts w:ascii="Times New Roman" w:eastAsia="SimSun" w:hAnsi="Times New Roman"/>
          <w:sz w:val="28"/>
          <w:szCs w:val="28"/>
          <w:lang w:val="kk-KZ" w:eastAsia="zh-CN"/>
        </w:rPr>
        <w:t>х</w:t>
      </w:r>
      <w:r>
        <w:rPr>
          <w:rFonts w:ascii="Times New Roman" w:eastAsia="SimSun" w:hAnsi="Times New Roman"/>
          <w:sz w:val="28"/>
          <w:szCs w:val="28"/>
          <w:lang w:eastAsia="zh-CN"/>
        </w:rPr>
        <w:t xml:space="preserve"> каркас</w:t>
      </w:r>
      <w:r>
        <w:rPr>
          <w:rFonts w:ascii="Times New Roman" w:eastAsia="SimSun" w:hAnsi="Times New Roman"/>
          <w:sz w:val="28"/>
          <w:szCs w:val="28"/>
          <w:lang w:val="kk-KZ" w:eastAsia="zh-CN"/>
        </w:rPr>
        <w:t>ов</w:t>
      </w:r>
      <w:r>
        <w:rPr>
          <w:rFonts w:ascii="Times New Roman" w:eastAsia="SimSun" w:hAnsi="Times New Roman" w:cs="Times New Roman"/>
          <w:sz w:val="28"/>
          <w:szCs w:val="28"/>
          <w:lang w:eastAsia="zh-CN"/>
        </w:rPr>
        <w:t xml:space="preserve"> [</w:t>
      </w:r>
      <w:r>
        <w:rPr>
          <w:rFonts w:ascii="Times New Roman" w:eastAsia="SimSun" w:hAnsi="Times New Roman"/>
          <w:sz w:val="28"/>
          <w:szCs w:val="28"/>
          <w:lang w:eastAsia="zh-CN"/>
        </w:rPr>
        <w:t>282</w:t>
      </w:r>
      <w:r>
        <w:rPr>
          <w:rFonts w:ascii="Times New Roman" w:eastAsia="SimSun" w:hAnsi="Times New Roman" w:cs="Times New Roman"/>
          <w:sz w:val="28"/>
          <w:szCs w:val="28"/>
          <w:lang w:eastAsia="zh-CN"/>
        </w:rPr>
        <w:t>], подтверждая высокую антиоксидантную активность материала, обусловленную развитой поверхностью и наличием функциональных терминалов (–</w:t>
      </w:r>
      <w:r>
        <w:rPr>
          <w:rFonts w:ascii="Times New Roman" w:eastAsia="SimSun" w:hAnsi="Times New Roman" w:cs="Times New Roman"/>
          <w:sz w:val="28"/>
          <w:szCs w:val="28"/>
          <w:lang w:val="en-US" w:eastAsia="zh-CN"/>
        </w:rPr>
        <w:t>O</w:t>
      </w:r>
      <w:r>
        <w:rPr>
          <w:rFonts w:ascii="Times New Roman" w:eastAsia="SimSun" w:hAnsi="Times New Roman" w:cs="Times New Roman"/>
          <w:sz w:val="28"/>
          <w:szCs w:val="28"/>
          <w:lang w:eastAsia="zh-CN"/>
        </w:rPr>
        <w:t>, –</w:t>
      </w:r>
      <w:r>
        <w:rPr>
          <w:rFonts w:ascii="Times New Roman" w:eastAsia="SimSun" w:hAnsi="Times New Roman" w:cs="Times New Roman"/>
          <w:sz w:val="28"/>
          <w:szCs w:val="28"/>
          <w:lang w:val="en-US" w:eastAsia="zh-CN"/>
        </w:rPr>
        <w:t>OH</w:t>
      </w:r>
      <w:r>
        <w:rPr>
          <w:rFonts w:ascii="Times New Roman" w:eastAsia="SimSun" w:hAnsi="Times New Roman" w:cs="Times New Roman"/>
          <w:sz w:val="28"/>
          <w:szCs w:val="28"/>
          <w:lang w:eastAsia="zh-CN"/>
        </w:rPr>
        <w:t>, –</w:t>
      </w:r>
      <w:r>
        <w:rPr>
          <w:rFonts w:ascii="Times New Roman" w:eastAsia="SimSun" w:hAnsi="Times New Roman" w:cs="Times New Roman"/>
          <w:sz w:val="28"/>
          <w:szCs w:val="28"/>
          <w:lang w:val="en-US" w:eastAsia="zh-CN"/>
        </w:rPr>
        <w:t>F</w:t>
      </w:r>
      <w:r>
        <w:rPr>
          <w:rFonts w:ascii="Times New Roman" w:eastAsia="SimSun" w:hAnsi="Times New Roman" w:cs="Times New Roman"/>
          <w:sz w:val="28"/>
          <w:szCs w:val="28"/>
          <w:lang w:eastAsia="zh-CN"/>
        </w:rPr>
        <w:t>), способствующих эффективному переносу электрона/водорода.</w:t>
      </w:r>
    </w:p>
    <w:p w:rsidR="00E17FE1" w:rsidRDefault="00BB58D7">
      <w:pPr>
        <w:spacing w:after="0" w:line="240" w:lineRule="auto"/>
        <w:ind w:firstLine="567"/>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Для сравнения референсный антиоксидант АК проявил сопоставимую способность к улавливанию радикалов, демонстрируя </w:t>
      </w:r>
      <w:r>
        <w:rPr>
          <w:rFonts w:ascii="Times New Roman" w:eastAsia="SimSun" w:hAnsi="Times New Roman" w:cs="Times New Roman"/>
          <w:sz w:val="28"/>
          <w:szCs w:val="28"/>
          <w:lang w:val="en-US" w:eastAsia="zh-CN"/>
        </w:rPr>
        <w:t>IC</w:t>
      </w:r>
      <w:r>
        <w:rPr>
          <w:rFonts w:ascii="Cambria Math" w:eastAsia="SimSun" w:hAnsi="Cambria Math" w:cs="Cambria Math"/>
          <w:sz w:val="28"/>
          <w:szCs w:val="28"/>
          <w:lang w:eastAsia="zh-CN"/>
        </w:rPr>
        <w:t>₅₀</w:t>
      </w:r>
      <w:r>
        <w:rPr>
          <w:rFonts w:ascii="Times New Roman" w:eastAsia="SimSun" w:hAnsi="Times New Roman" w:cs="Times New Roman"/>
          <w:sz w:val="28"/>
          <w:szCs w:val="28"/>
          <w:lang w:eastAsia="zh-CN"/>
        </w:rPr>
        <w:t xml:space="preserve"> ≈3,54 мкг/мл. Незначительно более высокая концентрация, требуемая для достижения 50 % подавления, позволяет заключить, что </w:t>
      </w:r>
      <w:r>
        <w:rPr>
          <w:rFonts w:ascii="Times New Roman" w:eastAsia="SimSun" w:hAnsi="Times New Roman" w:cs="Times New Roman"/>
          <w:sz w:val="28"/>
          <w:szCs w:val="28"/>
          <w:lang w:val="en-US" w:eastAsia="zh-CN"/>
        </w:rPr>
        <w:t>MXene</w:t>
      </w:r>
      <w:r>
        <w:rPr>
          <w:rFonts w:ascii="Times New Roman" w:eastAsia="SimSun" w:hAnsi="Times New Roman" w:cs="Times New Roman"/>
          <w:sz w:val="28"/>
          <w:szCs w:val="28"/>
          <w:lang w:eastAsia="zh-CN"/>
        </w:rPr>
        <w:t xml:space="preserve"> по уровню </w:t>
      </w:r>
      <w:proofErr w:type="gramStart"/>
      <w:r>
        <w:rPr>
          <w:rFonts w:ascii="Times New Roman" w:eastAsia="SimSun" w:hAnsi="Times New Roman" w:cs="Times New Roman"/>
          <w:sz w:val="28"/>
          <w:szCs w:val="28"/>
          <w:lang w:eastAsia="zh-CN"/>
        </w:rPr>
        <w:t>радикал-подавления</w:t>
      </w:r>
      <w:proofErr w:type="gramEnd"/>
      <w:r>
        <w:rPr>
          <w:rFonts w:ascii="Times New Roman" w:eastAsia="SimSun" w:hAnsi="Times New Roman" w:cs="Times New Roman"/>
          <w:sz w:val="28"/>
          <w:szCs w:val="28"/>
          <w:lang w:eastAsia="zh-CN"/>
        </w:rPr>
        <w:t xml:space="preserve"> практически не уступает АК, традиционно рассматриваемому как высокоэффективный стандарт. Это свидетельствует о том, что даже при низкой массовой доле (2 %) </w:t>
      </w:r>
      <w:r>
        <w:rPr>
          <w:rFonts w:ascii="Times New Roman" w:eastAsia="SimSun" w:hAnsi="Times New Roman" w:cs="Times New Roman"/>
          <w:sz w:val="28"/>
          <w:szCs w:val="28"/>
          <w:lang w:val="en-US" w:eastAsia="zh-CN"/>
        </w:rPr>
        <w:t>MXene</w:t>
      </w:r>
      <w:r>
        <w:rPr>
          <w:rFonts w:ascii="Times New Roman" w:eastAsia="SimSun" w:hAnsi="Times New Roman" w:cs="Times New Roman"/>
          <w:sz w:val="28"/>
          <w:szCs w:val="28"/>
          <w:lang w:eastAsia="zh-CN"/>
        </w:rPr>
        <w:t xml:space="preserve"> в составе композита БЦ/ГАП/</w:t>
      </w:r>
      <w:r>
        <w:rPr>
          <w:rFonts w:ascii="Times New Roman" w:eastAsia="SimSun" w:hAnsi="Times New Roman" w:cs="Times New Roman"/>
          <w:sz w:val="28"/>
          <w:szCs w:val="28"/>
          <w:lang w:val="en-US" w:eastAsia="zh-CN"/>
        </w:rPr>
        <w:t>MXene</w:t>
      </w:r>
      <w:r>
        <w:rPr>
          <w:rFonts w:ascii="Times New Roman" w:eastAsia="SimSun" w:hAnsi="Times New Roman" w:cs="Times New Roman"/>
          <w:sz w:val="28"/>
          <w:szCs w:val="28"/>
          <w:lang w:eastAsia="zh-CN"/>
        </w:rPr>
        <w:t xml:space="preserve"> вносит существенный вклад в антиоксидантный потенциал системы.</w:t>
      </w:r>
    </w:p>
    <w:p w:rsidR="00E17FE1" w:rsidRDefault="00BB58D7">
      <w:pPr>
        <w:spacing w:after="0" w:line="240" w:lineRule="auto"/>
        <w:ind w:firstLine="567"/>
        <w:jc w:val="both"/>
        <w:outlineLvl w:val="1"/>
        <w:rPr>
          <w:rFonts w:ascii="Times New Roman" w:eastAsia="Times New Roman" w:hAnsi="Times New Roman" w:cs="Times New Roman"/>
          <w:b/>
          <w:bCs/>
          <w:sz w:val="28"/>
          <w:szCs w:val="28"/>
          <w:lang w:eastAsia="zh-CN" w:bidi="hi-IN"/>
        </w:rPr>
      </w:pPr>
      <w:r>
        <w:rPr>
          <w:rFonts w:ascii="Times New Roman" w:eastAsia="DejaVu Sans" w:hAnsi="Times New Roman" w:cs="Times New Roman"/>
          <w:sz w:val="28"/>
          <w:szCs w:val="28"/>
          <w:lang w:eastAsia="zh-CN" w:bidi="hi-IN"/>
        </w:rPr>
        <w:t xml:space="preserve">Таким образом, MXene демонстрирует эффективность улавливания свободных радикалов, сопоставимую с АК, что подчёркивает перспективность его использования не только в качестве структурного компонента композита, но и как функционального элемента, обеспечивающего антиоксидантную защиту. Это особенно важно в контексте потенциального применения таких материалов для биомедицинских задач, </w:t>
      </w:r>
      <w:r>
        <w:rPr>
          <w:rFonts w:ascii="Times New Roman" w:eastAsia="DejaVu Sans" w:hAnsi="Times New Roman" w:cs="Times New Roman"/>
          <w:sz w:val="28"/>
          <w:szCs w:val="28"/>
          <w:lang w:eastAsia="zh-CN" w:bidi="hi-IN"/>
        </w:rPr>
        <w:lastRenderedPageBreak/>
        <w:t>связанных с контролем оксидативного стресса и предотвращением ROS-индуцированных повреждений тканей.</w:t>
      </w:r>
    </w:p>
    <w:p w:rsidR="00E17FE1" w:rsidRDefault="00BB58D7">
      <w:pPr>
        <w:spacing w:after="0" w:line="240" w:lineRule="auto"/>
        <w:ind w:firstLine="567"/>
        <w:jc w:val="both"/>
        <w:rPr>
          <w:rFonts w:ascii="Times New Roman" w:eastAsia="Times New Roman" w:hAnsi="Times New Roman" w:cs="Times New Roman"/>
          <w:sz w:val="28"/>
          <w:szCs w:val="28"/>
          <w:lang w:eastAsia="zh-CN" w:bidi="hi-IN"/>
        </w:rPr>
      </w:pPr>
      <w:r>
        <w:rPr>
          <w:rFonts w:ascii="Times New Roman" w:eastAsia="Times New Roman" w:hAnsi="Times New Roman" w:cs="Times New Roman"/>
          <w:sz w:val="28"/>
          <w:szCs w:val="28"/>
          <w:lang w:eastAsia="zh-CN" w:bidi="hi-IN"/>
        </w:rPr>
        <w:t xml:space="preserve">Полученные результаты подтверждают, что композит БЦ/ГАП/MXene обладает значительным антиоксидантным потенциалом, сопоставимым с АК, в отношении свободных радикалов (DPPH). </w:t>
      </w:r>
      <w:proofErr w:type="gramStart"/>
      <w:r>
        <w:rPr>
          <w:rFonts w:ascii="Times New Roman" w:eastAsia="Times New Roman" w:hAnsi="Times New Roman" w:cs="Times New Roman"/>
          <w:sz w:val="28"/>
          <w:szCs w:val="28"/>
          <w:lang w:eastAsia="zh-CN" w:bidi="hi-IN"/>
        </w:rPr>
        <w:t>Радикал-подавляющие</w:t>
      </w:r>
      <w:proofErr w:type="gramEnd"/>
      <w:r>
        <w:rPr>
          <w:rFonts w:ascii="Times New Roman" w:eastAsia="Times New Roman" w:hAnsi="Times New Roman" w:cs="Times New Roman"/>
          <w:sz w:val="28"/>
          <w:szCs w:val="28"/>
          <w:lang w:eastAsia="zh-CN" w:bidi="hi-IN"/>
        </w:rPr>
        <w:t xml:space="preserve"> свойства MXene обусловлены несколькими факторами: 1) </w:t>
      </w:r>
      <w:r>
        <w:rPr>
          <w:rFonts w:ascii="Times New Roman" w:eastAsia="Times New Roman" w:hAnsi="Times New Roman" w:cs="Times New Roman"/>
          <w:bCs/>
          <w:sz w:val="28"/>
          <w:szCs w:val="28"/>
          <w:lang w:eastAsia="zh-CN" w:bidi="hi-IN"/>
        </w:rPr>
        <w:t>Поверхностные функциональные группы</w:t>
      </w:r>
      <w:r>
        <w:rPr>
          <w:rFonts w:ascii="Times New Roman" w:eastAsia="Times New Roman" w:hAnsi="Times New Roman" w:cs="Times New Roman"/>
          <w:sz w:val="28"/>
          <w:szCs w:val="28"/>
          <w:lang w:eastAsia="zh-CN" w:bidi="hi-IN"/>
        </w:rPr>
        <w:t>. Терминалные концы –O, –OH и –F, присутствующие на Ti</w:t>
      </w:r>
      <w:r>
        <w:rPr>
          <w:rFonts w:ascii="Cambria Math" w:eastAsia="Times New Roman" w:hAnsi="Cambria Math" w:cs="Cambria Math"/>
          <w:sz w:val="28"/>
          <w:szCs w:val="28"/>
          <w:lang w:eastAsia="zh-CN" w:bidi="hi-IN"/>
        </w:rPr>
        <w:t>₃</w:t>
      </w:r>
      <w:r>
        <w:rPr>
          <w:rFonts w:ascii="Times New Roman" w:eastAsia="Times New Roman" w:hAnsi="Times New Roman" w:cs="Times New Roman"/>
          <w:sz w:val="28"/>
          <w:szCs w:val="28"/>
          <w:lang w:eastAsia="zh-CN" w:bidi="hi-IN"/>
        </w:rPr>
        <w:t>C</w:t>
      </w:r>
      <w:r>
        <w:rPr>
          <w:rFonts w:ascii="Cambria Math" w:eastAsia="Times New Roman" w:hAnsi="Cambria Math" w:cs="Cambria Math"/>
          <w:sz w:val="28"/>
          <w:szCs w:val="28"/>
          <w:lang w:eastAsia="zh-CN" w:bidi="hi-IN"/>
        </w:rPr>
        <w:t>₂</w:t>
      </w:r>
      <w:r>
        <w:rPr>
          <w:rFonts w:ascii="Times New Roman" w:eastAsia="Times New Roman" w:hAnsi="Times New Roman" w:cs="Times New Roman"/>
          <w:sz w:val="28"/>
          <w:szCs w:val="28"/>
          <w:lang w:eastAsia="zh-CN" w:bidi="hi-IN"/>
        </w:rPr>
        <w:t xml:space="preserve">Tₓ, служат активными центрами электронного обмена и редуцирования радикалов и пероксидов; 2) </w:t>
      </w:r>
      <w:r>
        <w:rPr>
          <w:rFonts w:ascii="Times New Roman" w:eastAsia="Times New Roman" w:hAnsi="Times New Roman" w:cs="Times New Roman"/>
          <w:bCs/>
          <w:sz w:val="28"/>
          <w:szCs w:val="28"/>
          <w:lang w:eastAsia="zh-CN" w:bidi="hi-IN"/>
        </w:rPr>
        <w:t>Высокая удельная поверхность нанолистов</w:t>
      </w:r>
      <w:r>
        <w:rPr>
          <w:rFonts w:ascii="Times New Roman" w:eastAsia="Times New Roman" w:hAnsi="Times New Roman" w:cs="Times New Roman"/>
          <w:sz w:val="28"/>
          <w:szCs w:val="28"/>
          <w:lang w:eastAsia="zh-CN" w:bidi="hi-IN"/>
        </w:rPr>
        <w:t xml:space="preserve">. Плоская 2D-морфология MXene обеспечивает большое количество доступных реакционно-способных сайтов, что повышает эффективность взаимодействия с ROS; 3) </w:t>
      </w:r>
      <w:r>
        <w:rPr>
          <w:rFonts w:ascii="Times New Roman" w:eastAsia="Times New Roman" w:hAnsi="Times New Roman" w:cs="Times New Roman"/>
          <w:bCs/>
          <w:sz w:val="28"/>
          <w:szCs w:val="28"/>
          <w:lang w:eastAsia="zh-CN" w:bidi="hi-IN"/>
        </w:rPr>
        <w:t>Электронная плотность Ti-центров</w:t>
      </w:r>
      <w:r>
        <w:rPr>
          <w:rFonts w:ascii="Times New Roman" w:eastAsia="Times New Roman" w:hAnsi="Times New Roman" w:cs="Times New Roman"/>
          <w:sz w:val="28"/>
          <w:szCs w:val="28"/>
          <w:lang w:eastAsia="zh-CN" w:bidi="hi-IN"/>
        </w:rPr>
        <w:t>. Титановые центры участвуют в восстановлении активных форм кислорода, проявляя псевдокаталитические (</w:t>
      </w:r>
      <w:r>
        <w:rPr>
          <w:rFonts w:ascii="Times New Roman" w:eastAsia="DejaVu Sans" w:hAnsi="Times New Roman" w:cs="Times New Roman"/>
          <w:color w:val="222222"/>
          <w:sz w:val="28"/>
          <w:szCs w:val="28"/>
          <w:shd w:val="clear" w:color="auto" w:fill="FFFFFF"/>
          <w:lang w:eastAsia="zh-CN" w:bidi="hi-IN"/>
        </w:rPr>
        <w:t>наноэнзим</w:t>
      </w:r>
      <w:r>
        <w:rPr>
          <w:rFonts w:ascii="Times New Roman" w:eastAsia="Times New Roman" w:hAnsi="Times New Roman" w:cs="Times New Roman"/>
          <w:sz w:val="28"/>
          <w:szCs w:val="28"/>
          <w:lang w:eastAsia="zh-CN" w:bidi="hi-IN"/>
        </w:rPr>
        <w:t xml:space="preserve">-подобные) свойства, способствующие снижению уровня ROS; 4) </w:t>
      </w:r>
      <w:r>
        <w:rPr>
          <w:rFonts w:ascii="Times New Roman" w:eastAsia="Times New Roman" w:hAnsi="Times New Roman" w:cs="Times New Roman"/>
          <w:bCs/>
          <w:sz w:val="28"/>
          <w:szCs w:val="28"/>
          <w:lang w:eastAsia="zh-CN" w:bidi="hi-IN"/>
        </w:rPr>
        <w:t>Структурная поддержка со стороны ГАП и БЦ.</w:t>
      </w:r>
      <w:r>
        <w:rPr>
          <w:rFonts w:ascii="Times New Roman" w:eastAsia="Times New Roman" w:hAnsi="Times New Roman" w:cs="Times New Roman"/>
          <w:b/>
          <w:bCs/>
          <w:sz w:val="28"/>
          <w:szCs w:val="28"/>
          <w:lang w:eastAsia="zh-CN" w:bidi="hi-IN"/>
        </w:rPr>
        <w:t xml:space="preserve"> </w:t>
      </w:r>
      <w:r>
        <w:rPr>
          <w:rFonts w:ascii="Times New Roman" w:eastAsia="Times New Roman" w:hAnsi="Times New Roman" w:cs="Times New Roman"/>
          <w:sz w:val="28"/>
          <w:szCs w:val="28"/>
          <w:lang w:eastAsia="zh-CN" w:bidi="hi-IN"/>
        </w:rPr>
        <w:t>Гидроксиапатит стабилизирует MXene, снижая его агрегацию и повышая доступность функциональных терминалов. Бактериальная целлюлоза формирует трёхмерную, постоянно гидратированную матрицу, обеспечивающую эффективную диффузию ROS к активным центрам композита.</w:t>
      </w:r>
    </w:p>
    <w:p w:rsidR="00E17FE1" w:rsidRDefault="00BB58D7">
      <w:pPr>
        <w:spacing w:after="0" w:line="240" w:lineRule="auto"/>
        <w:ind w:firstLine="567"/>
        <w:jc w:val="both"/>
        <w:rPr>
          <w:rFonts w:ascii="Times New Roman" w:eastAsia="DejaVu Sans" w:hAnsi="Times New Roman" w:cs="Times New Roman"/>
          <w:color w:val="FF0000"/>
          <w:sz w:val="28"/>
          <w:szCs w:val="28"/>
          <w:shd w:val="clear" w:color="auto" w:fill="FFFFFF"/>
          <w:lang w:val="kk-KZ" w:eastAsia="zh-CN" w:bidi="hi-IN"/>
        </w:rPr>
      </w:pPr>
      <w:r>
        <w:rPr>
          <w:rFonts w:ascii="Times New Roman" w:eastAsia="DejaVu Sans" w:hAnsi="Times New Roman" w:cs="Times New Roman"/>
          <w:color w:val="222222"/>
          <w:sz w:val="28"/>
          <w:szCs w:val="28"/>
          <w:shd w:val="clear" w:color="auto" w:fill="FFFFFF"/>
          <w:lang w:eastAsia="zh-CN" w:bidi="hi-IN"/>
        </w:rPr>
        <w:t>MXene (Ti</w:t>
      </w:r>
      <w:r>
        <w:rPr>
          <w:rFonts w:ascii="Cambria Math" w:eastAsia="DejaVu Sans" w:hAnsi="Cambria Math" w:cs="Cambria Math"/>
          <w:color w:val="222222"/>
          <w:sz w:val="28"/>
          <w:szCs w:val="28"/>
          <w:shd w:val="clear" w:color="auto" w:fill="FFFFFF"/>
          <w:lang w:eastAsia="zh-CN" w:bidi="hi-IN"/>
        </w:rPr>
        <w:t>₃</w:t>
      </w:r>
      <w:r>
        <w:rPr>
          <w:rFonts w:ascii="Times New Roman" w:eastAsia="DejaVu Sans" w:hAnsi="Times New Roman" w:cs="Times New Roman"/>
          <w:color w:val="222222"/>
          <w:sz w:val="28"/>
          <w:szCs w:val="28"/>
          <w:shd w:val="clear" w:color="auto" w:fill="FFFFFF"/>
          <w:lang w:eastAsia="zh-CN" w:bidi="hi-IN"/>
        </w:rPr>
        <w:t>C</w:t>
      </w:r>
      <w:r>
        <w:rPr>
          <w:rFonts w:ascii="Cambria Math" w:eastAsia="DejaVu Sans" w:hAnsi="Cambria Math" w:cs="Cambria Math"/>
          <w:color w:val="222222"/>
          <w:sz w:val="28"/>
          <w:szCs w:val="28"/>
          <w:shd w:val="clear" w:color="auto" w:fill="FFFFFF"/>
          <w:lang w:eastAsia="zh-CN" w:bidi="hi-IN"/>
        </w:rPr>
        <w:t>₂</w:t>
      </w:r>
      <w:r>
        <w:rPr>
          <w:rFonts w:ascii="Times New Roman" w:eastAsia="DejaVu Sans" w:hAnsi="Times New Roman" w:cs="Times New Roman"/>
          <w:color w:val="222222"/>
          <w:sz w:val="28"/>
          <w:szCs w:val="28"/>
          <w:shd w:val="clear" w:color="auto" w:fill="FFFFFF"/>
          <w:lang w:eastAsia="zh-CN" w:bidi="hi-IN"/>
        </w:rPr>
        <w:t>Tₓ) обладает редокс-амбивалентной наноэнзим-активностью [283]. Этот 2-</w:t>
      </w:r>
      <w:r>
        <w:rPr>
          <w:rFonts w:ascii="Times New Roman" w:eastAsia="DejaVu Sans" w:hAnsi="Times New Roman" w:cs="Times New Roman"/>
          <w:color w:val="222222"/>
          <w:sz w:val="28"/>
          <w:szCs w:val="28"/>
          <w:shd w:val="clear" w:color="auto" w:fill="FFFFFF"/>
          <w:lang w:val="en-US" w:eastAsia="zh-CN" w:bidi="hi-IN"/>
        </w:rPr>
        <w:t>D</w:t>
      </w:r>
      <w:r>
        <w:rPr>
          <w:rFonts w:ascii="Times New Roman" w:eastAsia="DejaVu Sans" w:hAnsi="Times New Roman" w:cs="Times New Roman"/>
          <w:color w:val="222222"/>
          <w:sz w:val="28"/>
          <w:szCs w:val="28"/>
          <w:shd w:val="clear" w:color="auto" w:fill="FFFFFF"/>
          <w:lang w:eastAsia="zh-CN" w:bidi="hi-IN"/>
        </w:rPr>
        <w:t xml:space="preserve"> материал</w:t>
      </w:r>
      <w:r>
        <w:rPr>
          <w:rFonts w:ascii="Times New Roman" w:eastAsia="DejaVu Sans" w:hAnsi="Times New Roman" w:cs="Times New Roman"/>
          <w:color w:val="FF0000"/>
          <w:sz w:val="28"/>
          <w:szCs w:val="28"/>
          <w:shd w:val="clear" w:color="auto" w:fill="FFFFFF"/>
          <w:lang w:val="kk-KZ" w:eastAsia="zh-CN" w:bidi="hi-IN"/>
        </w:rPr>
        <w:t xml:space="preserve"> </w:t>
      </w:r>
      <w:r>
        <w:rPr>
          <w:rFonts w:ascii="Times New Roman" w:eastAsia="DejaVu Sans" w:hAnsi="Times New Roman" w:cs="Times New Roman"/>
          <w:color w:val="222222"/>
          <w:sz w:val="28"/>
          <w:szCs w:val="28"/>
          <w:shd w:val="clear" w:color="auto" w:fill="FFFFFF"/>
          <w:lang w:eastAsia="zh-CN" w:bidi="hi-IN"/>
        </w:rPr>
        <w:t xml:space="preserve">в нормальных условиях может проявлять каталазоподобное </w:t>
      </w:r>
      <w:r>
        <w:rPr>
          <w:rFonts w:ascii="Times New Roman" w:eastAsia="DejaVu Sans" w:hAnsi="Times New Roman" w:cs="Times New Roman"/>
          <w:color w:val="222222"/>
          <w:sz w:val="28"/>
          <w:szCs w:val="28"/>
          <w:shd w:val="clear" w:color="auto" w:fill="FFFFFF"/>
          <w:lang w:val="en-US" w:eastAsia="zh-CN" w:bidi="hi-IN"/>
        </w:rPr>
        <w:t>H</w:t>
      </w:r>
      <w:r>
        <w:rPr>
          <w:rFonts w:ascii="Cambria Math" w:eastAsia="DejaVu Sans" w:hAnsi="Cambria Math" w:cs="Cambria Math"/>
          <w:color w:val="222222"/>
          <w:sz w:val="28"/>
          <w:szCs w:val="28"/>
          <w:shd w:val="clear" w:color="auto" w:fill="FFFFFF"/>
          <w:lang w:eastAsia="zh-CN" w:bidi="hi-IN"/>
        </w:rPr>
        <w:t>₂</w:t>
      </w:r>
      <w:r>
        <w:rPr>
          <w:rFonts w:ascii="Times New Roman" w:eastAsia="DejaVu Sans" w:hAnsi="Times New Roman" w:cs="Times New Roman"/>
          <w:color w:val="222222"/>
          <w:sz w:val="28"/>
          <w:szCs w:val="28"/>
          <w:shd w:val="clear" w:color="auto" w:fill="FFFFFF"/>
          <w:lang w:val="en-US" w:eastAsia="zh-CN" w:bidi="hi-IN"/>
        </w:rPr>
        <w:t>O</w:t>
      </w:r>
      <w:r>
        <w:rPr>
          <w:rFonts w:ascii="Cambria Math" w:eastAsia="DejaVu Sans" w:hAnsi="Cambria Math" w:cs="Cambria Math"/>
          <w:color w:val="222222"/>
          <w:sz w:val="28"/>
          <w:szCs w:val="28"/>
          <w:shd w:val="clear" w:color="auto" w:fill="FFFFFF"/>
          <w:lang w:eastAsia="zh-CN" w:bidi="hi-IN"/>
        </w:rPr>
        <w:t>₂</w:t>
      </w:r>
      <w:r>
        <w:rPr>
          <w:rFonts w:ascii="Times New Roman" w:eastAsia="DejaVu Sans" w:hAnsi="Times New Roman" w:cs="Times New Roman"/>
          <w:color w:val="222222"/>
          <w:sz w:val="28"/>
          <w:szCs w:val="28"/>
          <w:shd w:val="clear" w:color="auto" w:fill="FFFFFF"/>
          <w:lang w:eastAsia="zh-CN" w:bidi="hi-IN"/>
        </w:rPr>
        <w:t>-</w:t>
      </w:r>
      <w:r>
        <w:rPr>
          <w:rFonts w:ascii="Times New Roman" w:eastAsia="DejaVu Sans" w:hAnsi="Times New Roman" w:cs="Times New Roman"/>
          <w:color w:val="222222"/>
          <w:sz w:val="28"/>
          <w:szCs w:val="28"/>
          <w:shd w:val="clear" w:color="auto" w:fill="FFFFFF"/>
          <w:lang w:val="en-US" w:eastAsia="zh-CN" w:bidi="hi-IN"/>
        </w:rPr>
        <w:t>scavenging</w:t>
      </w:r>
      <w:r>
        <w:rPr>
          <w:rFonts w:ascii="Times New Roman" w:eastAsia="DejaVu Sans" w:hAnsi="Times New Roman" w:cs="Times New Roman"/>
          <w:color w:val="222222"/>
          <w:sz w:val="28"/>
          <w:szCs w:val="28"/>
          <w:shd w:val="clear" w:color="auto" w:fill="FFFFFF"/>
          <w:lang w:eastAsia="zh-CN" w:bidi="hi-IN"/>
        </w:rPr>
        <w:t>-действие, снижая оксидативный стресс тканей,</w:t>
      </w:r>
      <w:r>
        <w:rPr>
          <w:rFonts w:ascii="Times New Roman" w:eastAsia="DejaVu Sans" w:hAnsi="Times New Roman" w:cs="Times New Roman"/>
          <w:color w:val="FF0000"/>
          <w:sz w:val="28"/>
          <w:szCs w:val="28"/>
          <w:shd w:val="clear" w:color="auto" w:fill="FFFFFF"/>
          <w:lang w:val="kk-KZ" w:eastAsia="zh-CN" w:bidi="hi-IN"/>
        </w:rPr>
        <w:t xml:space="preserve"> </w:t>
      </w:r>
      <w:r>
        <w:rPr>
          <w:rFonts w:ascii="Times New Roman" w:eastAsia="DejaVu Sans" w:hAnsi="Times New Roman" w:cs="Times New Roman"/>
          <w:color w:val="222222"/>
          <w:sz w:val="28"/>
          <w:szCs w:val="28"/>
          <w:shd w:val="clear" w:color="auto" w:fill="FFFFFF"/>
          <w:lang w:eastAsia="zh-CN" w:bidi="hi-IN"/>
        </w:rPr>
        <w:t xml:space="preserve">тогда как при воспалении и наличии повышенных концентраций </w:t>
      </w:r>
      <w:r>
        <w:rPr>
          <w:rFonts w:ascii="Times New Roman" w:eastAsia="DejaVu Sans" w:hAnsi="Times New Roman" w:cs="Times New Roman"/>
          <w:color w:val="222222"/>
          <w:sz w:val="28"/>
          <w:szCs w:val="28"/>
          <w:shd w:val="clear" w:color="auto" w:fill="FFFFFF"/>
          <w:lang w:val="en-US" w:eastAsia="zh-CN" w:bidi="hi-IN"/>
        </w:rPr>
        <w:t>H</w:t>
      </w:r>
      <w:r>
        <w:rPr>
          <w:rFonts w:ascii="Cambria Math" w:eastAsia="DejaVu Sans" w:hAnsi="Cambria Math" w:cs="Cambria Math"/>
          <w:color w:val="222222"/>
          <w:sz w:val="28"/>
          <w:szCs w:val="28"/>
          <w:shd w:val="clear" w:color="auto" w:fill="FFFFFF"/>
          <w:lang w:eastAsia="zh-CN" w:bidi="hi-IN"/>
        </w:rPr>
        <w:t>₂</w:t>
      </w:r>
      <w:r>
        <w:rPr>
          <w:rFonts w:ascii="Times New Roman" w:eastAsia="DejaVu Sans" w:hAnsi="Times New Roman" w:cs="Times New Roman"/>
          <w:color w:val="222222"/>
          <w:sz w:val="28"/>
          <w:szCs w:val="28"/>
          <w:shd w:val="clear" w:color="auto" w:fill="FFFFFF"/>
          <w:lang w:val="en-US" w:eastAsia="zh-CN" w:bidi="hi-IN"/>
        </w:rPr>
        <w:t>O</w:t>
      </w:r>
      <w:r>
        <w:rPr>
          <w:rFonts w:ascii="Cambria Math" w:eastAsia="DejaVu Sans" w:hAnsi="Cambria Math" w:cs="Cambria Math"/>
          <w:color w:val="222222"/>
          <w:sz w:val="28"/>
          <w:szCs w:val="28"/>
          <w:shd w:val="clear" w:color="auto" w:fill="FFFFFF"/>
          <w:lang w:eastAsia="zh-CN" w:bidi="hi-IN"/>
        </w:rPr>
        <w:t>₂</w:t>
      </w:r>
      <w:r>
        <w:rPr>
          <w:rFonts w:ascii="Times New Roman" w:eastAsia="DejaVu Sans" w:hAnsi="Times New Roman" w:cs="Times New Roman"/>
          <w:color w:val="222222"/>
          <w:sz w:val="28"/>
          <w:szCs w:val="28"/>
          <w:shd w:val="clear" w:color="auto" w:fill="FFFFFF"/>
          <w:lang w:eastAsia="zh-CN" w:bidi="hi-IN"/>
        </w:rPr>
        <w:t xml:space="preserve">/металл-кофакторов реализует пероксидазоподобную активность с генерированием </w:t>
      </w:r>
      <w:proofErr w:type="gramStart"/>
      <w:r>
        <w:rPr>
          <w:rFonts w:ascii="Times New Roman" w:eastAsia="Times New Roman" w:hAnsi="Times New Roman" w:cs="Times New Roman"/>
          <w:sz w:val="28"/>
          <w:szCs w:val="28"/>
          <w:lang w:eastAsia="zh-CN" w:bidi="hi-IN"/>
        </w:rPr>
        <w:t>–</w:t>
      </w:r>
      <w:r>
        <w:rPr>
          <w:rFonts w:ascii="Times New Roman" w:eastAsia="DejaVu Sans" w:hAnsi="Times New Roman" w:cs="Times New Roman"/>
          <w:color w:val="222222"/>
          <w:sz w:val="28"/>
          <w:szCs w:val="28"/>
          <w:shd w:val="clear" w:color="auto" w:fill="FFFFFF"/>
          <w:lang w:eastAsia="zh-CN" w:bidi="hi-IN"/>
        </w:rPr>
        <w:t>О</w:t>
      </w:r>
      <w:proofErr w:type="gramEnd"/>
      <w:r>
        <w:rPr>
          <w:rFonts w:ascii="Times New Roman" w:eastAsia="DejaVu Sans" w:hAnsi="Times New Roman" w:cs="Times New Roman"/>
          <w:color w:val="222222"/>
          <w:sz w:val="28"/>
          <w:szCs w:val="28"/>
          <w:shd w:val="clear" w:color="auto" w:fill="FFFFFF"/>
          <w:lang w:eastAsia="zh-CN" w:bidi="hi-IN"/>
        </w:rPr>
        <w:t>Н [284, 285], обеспечивая выраженный антибактериальный эффект.</w:t>
      </w:r>
    </w:p>
    <w:p w:rsidR="00E17FE1" w:rsidRDefault="00BB58D7">
      <w:pPr>
        <w:spacing w:after="0" w:line="240" w:lineRule="auto"/>
        <w:ind w:firstLine="567"/>
        <w:jc w:val="both"/>
        <w:rPr>
          <w:rFonts w:ascii="Times New Roman" w:eastAsia="DejaVu Sans" w:hAnsi="Times New Roman" w:cs="Times New Roman"/>
          <w:color w:val="222222"/>
          <w:sz w:val="28"/>
          <w:szCs w:val="28"/>
          <w:shd w:val="clear" w:color="auto" w:fill="FFFFFF"/>
          <w:lang w:eastAsia="zh-CN" w:bidi="hi-IN"/>
        </w:rPr>
      </w:pPr>
      <w:r>
        <w:rPr>
          <w:rFonts w:ascii="Times New Roman" w:eastAsia="DejaVu Sans" w:hAnsi="Times New Roman" w:cs="Times New Roman"/>
          <w:color w:val="222222"/>
          <w:sz w:val="28"/>
          <w:szCs w:val="28"/>
          <w:shd w:val="clear" w:color="auto" w:fill="FFFFFF"/>
          <w:lang w:eastAsia="zh-CN" w:bidi="hi-IN"/>
        </w:rPr>
        <w:t>Таким образом, композит БЦ/ГАП/</w:t>
      </w:r>
      <w:r>
        <w:rPr>
          <w:rFonts w:ascii="Times New Roman" w:eastAsia="DejaVu Sans" w:hAnsi="Times New Roman" w:cs="Times New Roman"/>
          <w:color w:val="222222"/>
          <w:sz w:val="28"/>
          <w:szCs w:val="28"/>
          <w:shd w:val="clear" w:color="auto" w:fill="FFFFFF"/>
          <w:lang w:val="en-US" w:eastAsia="zh-CN" w:bidi="hi-IN"/>
        </w:rPr>
        <w:t>MXene</w:t>
      </w:r>
      <w:r>
        <w:rPr>
          <w:rFonts w:ascii="Times New Roman" w:eastAsia="DejaVu Sans" w:hAnsi="Times New Roman" w:cs="Times New Roman"/>
          <w:color w:val="222222"/>
          <w:sz w:val="28"/>
          <w:szCs w:val="28"/>
          <w:shd w:val="clear" w:color="auto" w:fill="FFFFFF"/>
          <w:lang w:eastAsia="zh-CN" w:bidi="hi-IN"/>
        </w:rPr>
        <w:t xml:space="preserve"> является бифункциональным редокс-модулятором, способным адаптивно переключаться между антиоксидантным и про-оксидантным режимами в зависимости от микроокружения раны.</w:t>
      </w:r>
    </w:p>
    <w:p w:rsidR="00E17FE1" w:rsidRDefault="00BB58D7">
      <w:pPr>
        <w:spacing w:after="0" w:line="240" w:lineRule="auto"/>
        <w:ind w:firstLine="567"/>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 xml:space="preserve">Благодаря этой присущей ему «умной» редокс-регуляции материал потенциально особенно полезен при лечении инфицированных ран. </w:t>
      </w:r>
      <w:proofErr w:type="gramStart"/>
      <w:r>
        <w:rPr>
          <w:rFonts w:ascii="Times New Roman" w:eastAsia="SimSun" w:hAnsi="Times New Roman" w:cs="Times New Roman"/>
          <w:sz w:val="28"/>
          <w:szCs w:val="28"/>
          <w:lang w:eastAsia="zh-CN"/>
        </w:rPr>
        <w:t xml:space="preserve">На ранней стадии, когда концентрация </w:t>
      </w:r>
      <w:r>
        <w:rPr>
          <w:rFonts w:ascii="Times New Roman" w:eastAsia="SimSun" w:hAnsi="Times New Roman" w:cs="Times New Roman"/>
          <w:sz w:val="28"/>
          <w:szCs w:val="28"/>
          <w:lang w:val="en-US" w:eastAsia="zh-CN"/>
        </w:rPr>
        <w:t>H</w:t>
      </w:r>
      <w:r>
        <w:rPr>
          <w:rFonts w:ascii="Cambria Math" w:eastAsia="SimSun" w:hAnsi="Cambria Math" w:cs="Cambria Math"/>
          <w:sz w:val="28"/>
          <w:szCs w:val="28"/>
          <w:lang w:eastAsia="zh-CN"/>
        </w:rPr>
        <w:t>₂</w:t>
      </w:r>
      <w:r>
        <w:rPr>
          <w:rFonts w:ascii="Times New Roman" w:eastAsia="SimSun" w:hAnsi="Times New Roman" w:cs="Times New Roman"/>
          <w:sz w:val="28"/>
          <w:szCs w:val="28"/>
          <w:lang w:val="en-US" w:eastAsia="zh-CN"/>
        </w:rPr>
        <w:t>O</w:t>
      </w:r>
      <w:r>
        <w:rPr>
          <w:rFonts w:ascii="Cambria Math" w:eastAsia="SimSun" w:hAnsi="Cambria Math" w:cs="Cambria Math"/>
          <w:sz w:val="28"/>
          <w:szCs w:val="28"/>
          <w:lang w:eastAsia="zh-CN"/>
        </w:rPr>
        <w:t>₂</w:t>
      </w:r>
      <w:r>
        <w:rPr>
          <w:rFonts w:ascii="Times New Roman" w:eastAsia="SimSun" w:hAnsi="Times New Roman" w:cs="Times New Roman"/>
          <w:sz w:val="28"/>
          <w:szCs w:val="28"/>
          <w:lang w:eastAsia="zh-CN"/>
        </w:rPr>
        <w:t xml:space="preserve"> и других воспалительных медиаторов повышена, </w:t>
      </w:r>
      <w:r>
        <w:rPr>
          <w:rFonts w:ascii="Times New Roman" w:eastAsia="SimSun" w:hAnsi="Times New Roman" w:cs="Times New Roman"/>
          <w:sz w:val="28"/>
          <w:szCs w:val="28"/>
          <w:lang w:val="en-US" w:eastAsia="zh-CN"/>
        </w:rPr>
        <w:t>MXene</w:t>
      </w:r>
      <w:r>
        <w:rPr>
          <w:rFonts w:ascii="Times New Roman" w:eastAsia="SimSun" w:hAnsi="Times New Roman" w:cs="Times New Roman"/>
          <w:sz w:val="28"/>
          <w:szCs w:val="28"/>
          <w:lang w:eastAsia="zh-CN"/>
        </w:rPr>
        <w:t xml:space="preserve"> катализирует образование бактерицидных </w:t>
      </w:r>
      <w:r>
        <w:rPr>
          <w:rFonts w:ascii="Times New Roman" w:eastAsia="SimSun" w:hAnsi="Times New Roman" w:cs="Times New Roman"/>
          <w:sz w:val="28"/>
          <w:szCs w:val="28"/>
          <w:lang w:val="en-US" w:eastAsia="zh-CN"/>
        </w:rPr>
        <w:t>ROS</w:t>
      </w:r>
      <w:r>
        <w:rPr>
          <w:rFonts w:ascii="Times New Roman" w:eastAsia="SimSun" w:hAnsi="Times New Roman" w:cs="Times New Roman"/>
          <w:sz w:val="28"/>
          <w:szCs w:val="28"/>
          <w:lang w:eastAsia="zh-CN"/>
        </w:rPr>
        <w:t xml:space="preserve"> (-ОН), способствуя быстрому подавлению микробной нагрузки и разрушению биоплёнок, что снижает риск развития хронического воспаления и резистентности к антибиотикам.</w:t>
      </w:r>
      <w:proofErr w:type="gramEnd"/>
      <w:r>
        <w:rPr>
          <w:rFonts w:ascii="Times New Roman" w:eastAsia="SimSun" w:hAnsi="Times New Roman" w:cs="Times New Roman"/>
          <w:sz w:val="28"/>
          <w:szCs w:val="28"/>
          <w:lang w:eastAsia="zh-CN"/>
        </w:rPr>
        <w:t xml:space="preserve"> По мере санации раны и снижения уровня </w:t>
      </w:r>
      <w:r>
        <w:rPr>
          <w:rFonts w:ascii="Times New Roman" w:eastAsia="SimSun" w:hAnsi="Times New Roman" w:cs="Times New Roman"/>
          <w:sz w:val="28"/>
          <w:szCs w:val="28"/>
          <w:lang w:val="en-US" w:eastAsia="zh-CN"/>
        </w:rPr>
        <w:t>H</w:t>
      </w:r>
      <w:r>
        <w:rPr>
          <w:rFonts w:ascii="Cambria Math" w:eastAsia="SimSun" w:hAnsi="Cambria Math" w:cs="Cambria Math"/>
          <w:sz w:val="28"/>
          <w:szCs w:val="28"/>
          <w:lang w:eastAsia="zh-CN"/>
        </w:rPr>
        <w:t>₂</w:t>
      </w:r>
      <w:r>
        <w:rPr>
          <w:rFonts w:ascii="Times New Roman" w:eastAsia="SimSun" w:hAnsi="Times New Roman" w:cs="Times New Roman"/>
          <w:sz w:val="28"/>
          <w:szCs w:val="28"/>
          <w:lang w:val="en-US" w:eastAsia="zh-CN"/>
        </w:rPr>
        <w:t>O</w:t>
      </w:r>
      <w:r>
        <w:rPr>
          <w:rFonts w:ascii="Cambria Math" w:eastAsia="SimSun" w:hAnsi="Cambria Math" w:cs="Cambria Math"/>
          <w:sz w:val="28"/>
          <w:szCs w:val="28"/>
          <w:lang w:eastAsia="zh-CN"/>
        </w:rPr>
        <w:t>₂</w:t>
      </w:r>
      <w:r>
        <w:rPr>
          <w:rFonts w:ascii="Times New Roman" w:eastAsia="SimSun" w:hAnsi="Times New Roman" w:cs="Times New Roman"/>
          <w:sz w:val="28"/>
          <w:szCs w:val="28"/>
          <w:lang w:eastAsia="zh-CN"/>
        </w:rPr>
        <w:t xml:space="preserve"> поведение материала переключается преимущественно в антиоксидантный режим: композит начинает утилизировать избыточные </w:t>
      </w:r>
      <w:r>
        <w:rPr>
          <w:rFonts w:ascii="Times New Roman" w:eastAsia="SimSun" w:hAnsi="Times New Roman" w:cs="Times New Roman"/>
          <w:sz w:val="28"/>
          <w:szCs w:val="28"/>
          <w:lang w:val="en-US" w:eastAsia="zh-CN"/>
        </w:rPr>
        <w:t>ROS</w:t>
      </w:r>
      <w:r>
        <w:rPr>
          <w:rFonts w:ascii="Times New Roman" w:eastAsia="SimSun" w:hAnsi="Times New Roman" w:cs="Times New Roman"/>
          <w:sz w:val="28"/>
          <w:szCs w:val="28"/>
          <w:lang w:eastAsia="zh-CN"/>
        </w:rPr>
        <w:t>, уменьшая оксидативное повреждение здоровых тканей, подавляя воспаление, поддерживая миграцию фибробластов, пролиферацию кератиноцитов и формирование новой внеклеточной матрицы.</w:t>
      </w:r>
    </w:p>
    <w:p w:rsidR="00E17FE1" w:rsidRDefault="00BB58D7">
      <w:pPr>
        <w:spacing w:after="0" w:line="240" w:lineRule="auto"/>
        <w:ind w:firstLine="567"/>
        <w:jc w:val="both"/>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lastRenderedPageBreak/>
        <w:t xml:space="preserve">Дополнительный вклад БЦ и ГАП усиливает регенеративный потенциал покрытия. БЦ обеспечивает влажную среду, газообмен, адгезию клеток и механическую защиту. В свою очередь, ГАП может высвобождать ионы </w:t>
      </w:r>
      <w:r>
        <w:rPr>
          <w:rFonts w:ascii="Times New Roman" w:eastAsia="SimSun" w:hAnsi="Times New Roman" w:cs="Times New Roman"/>
          <w:sz w:val="28"/>
          <w:szCs w:val="28"/>
          <w:lang w:val="en-US" w:eastAsia="zh-CN"/>
        </w:rPr>
        <w:t>Ca</w:t>
      </w:r>
      <w:r>
        <w:rPr>
          <w:rFonts w:ascii="Times New Roman" w:eastAsia="SimSun" w:hAnsi="Times New Roman" w:cs="Times New Roman"/>
          <w:sz w:val="28"/>
          <w:szCs w:val="28"/>
          <w:lang w:eastAsia="zh-CN"/>
        </w:rPr>
        <w:t>²</w:t>
      </w:r>
      <w:r>
        <w:rPr>
          <w:rFonts w:ascii="Cambria Math" w:eastAsia="SimSun" w:hAnsi="Cambria Math" w:cs="Cambria Math"/>
          <w:sz w:val="28"/>
          <w:szCs w:val="28"/>
          <w:lang w:eastAsia="zh-CN"/>
        </w:rPr>
        <w:t>⁺</w:t>
      </w:r>
      <w:r>
        <w:rPr>
          <w:rFonts w:ascii="Times New Roman" w:eastAsia="SimSun" w:hAnsi="Times New Roman" w:cs="Times New Roman"/>
          <w:sz w:val="28"/>
          <w:szCs w:val="28"/>
          <w:lang w:eastAsia="zh-CN"/>
        </w:rPr>
        <w:t>/</w:t>
      </w:r>
      <w:r>
        <w:rPr>
          <w:rFonts w:ascii="Times New Roman" w:eastAsia="SimSun" w:hAnsi="Times New Roman" w:cs="Times New Roman"/>
          <w:sz w:val="28"/>
          <w:szCs w:val="28"/>
          <w:lang w:val="en-US" w:eastAsia="zh-CN"/>
        </w:rPr>
        <w:t>PO</w:t>
      </w:r>
      <w:r>
        <w:rPr>
          <w:rFonts w:ascii="Cambria Math" w:eastAsia="SimSun" w:hAnsi="Cambria Math" w:cs="Cambria Math"/>
          <w:sz w:val="28"/>
          <w:szCs w:val="28"/>
          <w:lang w:eastAsia="zh-CN"/>
        </w:rPr>
        <w:t>₄</w:t>
      </w:r>
      <w:r>
        <w:rPr>
          <w:rFonts w:ascii="Times New Roman" w:eastAsia="SimSun" w:hAnsi="Times New Roman" w:cs="Times New Roman"/>
          <w:sz w:val="28"/>
          <w:szCs w:val="28"/>
          <w:lang w:eastAsia="zh-CN"/>
        </w:rPr>
        <w:t>³</w:t>
      </w:r>
      <w:r>
        <w:rPr>
          <w:rFonts w:ascii="Cambria Math" w:eastAsia="SimSun" w:hAnsi="Cambria Math" w:cs="Cambria Math"/>
          <w:sz w:val="28"/>
          <w:szCs w:val="28"/>
          <w:lang w:eastAsia="zh-CN"/>
        </w:rPr>
        <w:t>⁻</w:t>
      </w:r>
      <w:r>
        <w:rPr>
          <w:rFonts w:ascii="Times New Roman" w:eastAsia="SimSun" w:hAnsi="Times New Roman" w:cs="Times New Roman"/>
          <w:sz w:val="28"/>
          <w:szCs w:val="28"/>
          <w:lang w:eastAsia="zh-CN"/>
        </w:rPr>
        <w:t>, стимулировать ангиогенез и ремоделирование тканей. Таким образом, БЦ/ГАП/</w:t>
      </w:r>
      <w:r>
        <w:rPr>
          <w:rFonts w:ascii="Times New Roman" w:eastAsia="SimSun" w:hAnsi="Times New Roman" w:cs="Times New Roman"/>
          <w:sz w:val="28"/>
          <w:szCs w:val="28"/>
          <w:lang w:val="en-US" w:eastAsia="zh-CN"/>
        </w:rPr>
        <w:t>MXene</w:t>
      </w:r>
      <w:r>
        <w:rPr>
          <w:rFonts w:ascii="Times New Roman" w:eastAsia="SimSun" w:hAnsi="Times New Roman" w:cs="Times New Roman"/>
          <w:sz w:val="28"/>
          <w:szCs w:val="28"/>
          <w:lang w:eastAsia="zh-CN"/>
        </w:rPr>
        <w:t xml:space="preserve"> функционирует как интеллектуальное раневое покрытие двойного действия: на этапе инфекции – как локальный катализатор </w:t>
      </w:r>
      <w:proofErr w:type="gramStart"/>
      <w:r>
        <w:rPr>
          <w:rFonts w:ascii="Times New Roman" w:eastAsia="SimSun" w:hAnsi="Times New Roman" w:cs="Times New Roman"/>
          <w:sz w:val="28"/>
          <w:szCs w:val="28"/>
          <w:lang w:eastAsia="zh-CN"/>
        </w:rPr>
        <w:t>бактерицидных</w:t>
      </w:r>
      <w:proofErr w:type="gramEnd"/>
      <w:r>
        <w:rPr>
          <w:rFonts w:ascii="Times New Roman" w:eastAsia="SimSun" w:hAnsi="Times New Roman" w:cs="Times New Roman"/>
          <w:sz w:val="28"/>
          <w:szCs w:val="28"/>
          <w:lang w:eastAsia="zh-CN"/>
        </w:rPr>
        <w:t xml:space="preserve"> </w:t>
      </w:r>
      <w:r>
        <w:rPr>
          <w:rFonts w:ascii="Times New Roman" w:eastAsia="SimSun" w:hAnsi="Times New Roman" w:cs="Times New Roman"/>
          <w:sz w:val="28"/>
          <w:szCs w:val="28"/>
          <w:lang w:val="en-US" w:eastAsia="zh-CN"/>
        </w:rPr>
        <w:t>ROS</w:t>
      </w:r>
      <w:r>
        <w:rPr>
          <w:rFonts w:ascii="Times New Roman" w:eastAsia="SimSun" w:hAnsi="Times New Roman" w:cs="Times New Roman"/>
          <w:sz w:val="28"/>
          <w:szCs w:val="28"/>
          <w:lang w:eastAsia="zh-CN"/>
        </w:rPr>
        <w:t>, а на этапе репарации – как антиоксидантная платформа, способствующая заживлению.</w:t>
      </w:r>
    </w:p>
    <w:p w:rsidR="00E17FE1" w:rsidRDefault="00E17FE1">
      <w:pPr>
        <w:spacing w:after="0" w:line="240" w:lineRule="auto"/>
        <w:ind w:firstLine="567"/>
        <w:jc w:val="both"/>
        <w:rPr>
          <w:rFonts w:ascii="Times New Roman" w:eastAsia="DejaVu Sans" w:hAnsi="Times New Roman" w:cs="DejaVu Sans"/>
          <w:sz w:val="28"/>
          <w:szCs w:val="28"/>
          <w:lang w:eastAsia="zh-CN" w:bidi="hi-IN"/>
        </w:rPr>
      </w:pPr>
    </w:p>
    <w:p w:rsidR="00E17FE1" w:rsidRDefault="00E17FE1">
      <w:pPr>
        <w:spacing w:after="0" w:line="240" w:lineRule="auto"/>
        <w:ind w:firstLine="567"/>
        <w:jc w:val="both"/>
        <w:rPr>
          <w:rFonts w:ascii="Times New Roman" w:eastAsia="DejaVu Sans" w:hAnsi="Times New Roman" w:cs="DejaVu Sans"/>
          <w:sz w:val="28"/>
          <w:szCs w:val="28"/>
          <w:lang w:eastAsia="zh-CN" w:bidi="hi-IN"/>
        </w:rPr>
      </w:pPr>
    </w:p>
    <w:p w:rsidR="00E17FE1" w:rsidRDefault="00E17FE1">
      <w:pPr>
        <w:spacing w:after="0" w:line="240" w:lineRule="auto"/>
        <w:ind w:firstLine="567"/>
        <w:jc w:val="both"/>
        <w:rPr>
          <w:rFonts w:ascii="Times New Roman" w:eastAsia="DejaVu Sans" w:hAnsi="Times New Roman" w:cs="DejaVu Sans"/>
          <w:sz w:val="28"/>
          <w:szCs w:val="28"/>
          <w:lang w:eastAsia="zh-CN" w:bidi="hi-IN"/>
        </w:rPr>
      </w:pPr>
    </w:p>
    <w:p w:rsidR="00E17FE1" w:rsidRDefault="00E17FE1">
      <w:pPr>
        <w:spacing w:after="0" w:line="240" w:lineRule="auto"/>
        <w:ind w:firstLine="567"/>
        <w:jc w:val="both"/>
        <w:rPr>
          <w:rFonts w:ascii="Times New Roman" w:eastAsia="DejaVu Sans" w:hAnsi="Times New Roman" w:cs="DejaVu Sans"/>
          <w:sz w:val="28"/>
          <w:szCs w:val="28"/>
          <w:lang w:eastAsia="zh-CN" w:bidi="hi-IN"/>
        </w:rPr>
      </w:pPr>
    </w:p>
    <w:p w:rsidR="00E17FE1" w:rsidRPr="00AC0D2B" w:rsidRDefault="00E17FE1">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408BF" w:rsidRPr="00AC0D2B" w:rsidRDefault="00E408BF">
      <w:pPr>
        <w:spacing w:after="0" w:line="240" w:lineRule="auto"/>
        <w:ind w:firstLine="567"/>
        <w:jc w:val="both"/>
        <w:rPr>
          <w:rFonts w:ascii="Times New Roman" w:eastAsia="DejaVu Sans" w:hAnsi="Times New Roman" w:cs="DejaVu Sans"/>
          <w:sz w:val="28"/>
          <w:szCs w:val="28"/>
          <w:lang w:eastAsia="zh-CN" w:bidi="hi-IN"/>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E17FE1">
      <w:pPr>
        <w:spacing w:after="0" w:line="240" w:lineRule="auto"/>
        <w:ind w:firstLine="567"/>
        <w:rPr>
          <w:rFonts w:ascii="Times New Roman" w:hAnsi="Times New Roman" w:cs="Times New Roman"/>
          <w:b/>
          <w:sz w:val="28"/>
          <w:szCs w:val="28"/>
        </w:rPr>
      </w:pPr>
    </w:p>
    <w:p w:rsidR="00E17FE1" w:rsidRDefault="00BB58D7">
      <w:pPr>
        <w:spacing w:after="0" w:line="240" w:lineRule="auto"/>
        <w:ind w:right="-1"/>
        <w:contextualSpacing/>
        <w:jc w:val="center"/>
        <w:rPr>
          <w:rFonts w:ascii="Times New Roman" w:eastAsia="Calibri" w:hAnsi="Times New Roman" w:cs="Times New Roman"/>
          <w:b/>
          <w:sz w:val="28"/>
          <w:szCs w:val="28"/>
          <w:lang w:eastAsia="zh-CN" w:bidi="hi-IN"/>
        </w:rPr>
      </w:pPr>
      <w:r>
        <w:rPr>
          <w:rFonts w:ascii="Times New Roman" w:eastAsia="Calibri" w:hAnsi="Times New Roman" w:cs="Times New Roman"/>
          <w:b/>
          <w:sz w:val="28"/>
          <w:szCs w:val="28"/>
          <w:lang w:eastAsia="zh-CN" w:bidi="hi-IN"/>
        </w:rPr>
        <w:lastRenderedPageBreak/>
        <w:t>ЗАКЛЮЧЕНИЕ</w:t>
      </w:r>
    </w:p>
    <w:p w:rsidR="00E17FE1" w:rsidRDefault="00BB58D7">
      <w:pPr>
        <w:spacing w:after="0" w:line="240" w:lineRule="auto"/>
        <w:ind w:right="-1"/>
        <w:contextualSpacing/>
        <w:jc w:val="center"/>
        <w:rPr>
          <w:rFonts w:ascii="Times New Roman" w:eastAsia="DejaVu Sans" w:hAnsi="Times New Roman" w:cs="Times New Roman"/>
          <w:sz w:val="28"/>
          <w:szCs w:val="28"/>
          <w:lang w:eastAsia="zh-CN" w:bidi="hi-IN"/>
        </w:rPr>
      </w:pPr>
      <w:r>
        <w:rPr>
          <w:rFonts w:ascii="Times New Roman" w:eastAsia="Calibri" w:hAnsi="Times New Roman" w:cs="Times New Roman"/>
          <w:b/>
          <w:sz w:val="28"/>
          <w:szCs w:val="28"/>
          <w:lang w:eastAsia="zh-CN" w:bidi="hi-IN"/>
        </w:rPr>
        <w:t xml:space="preserve">  </w:t>
      </w:r>
    </w:p>
    <w:p w:rsidR="00E17FE1" w:rsidRDefault="00BB58D7">
      <w:pPr>
        <w:spacing w:after="0" w:line="240" w:lineRule="auto"/>
        <w:ind w:firstLine="567"/>
        <w:jc w:val="both"/>
        <w:rPr>
          <w:rFonts w:ascii="Times New Roman" w:eastAsia="DejaVu Sans" w:hAnsi="Times New Roman" w:cs="Times New Roman"/>
          <w:sz w:val="28"/>
          <w:szCs w:val="28"/>
          <w:lang w:eastAsia="zh-CN" w:bidi="hi-IN"/>
        </w:rPr>
      </w:pPr>
      <w:r>
        <w:rPr>
          <w:rFonts w:ascii="Times New Roman" w:eastAsia="DejaVu Sans" w:hAnsi="Times New Roman" w:cs="Times New Roman"/>
          <w:sz w:val="28"/>
          <w:szCs w:val="28"/>
          <w:lang w:eastAsia="zh-CN" w:bidi="hi-IN"/>
        </w:rPr>
        <w:t xml:space="preserve">Проведены комплексные исследования, посвященные разработке, изготовлению и всесторонней оценке новой трехкомпонентной раневой повязки на основе бактериальной целлюлозы (БЦ), MXene и гидроксиапатита (ГАП). Тройной композит БЦ/ГАП/MXene представляет собой многофункциональную неантибиотическую платформу, которая уникальным образом сочетает в себе структурную стабильность, мощную антибиопленочную активность и низкую цитотоксичность. Полученные результаты позволяют сделать следующие </w:t>
      </w:r>
      <w:r>
        <w:rPr>
          <w:rFonts w:ascii="Times New Roman" w:eastAsia="DejaVu Sans" w:hAnsi="Times New Roman" w:cs="Times New Roman"/>
          <w:b/>
          <w:sz w:val="28"/>
          <w:szCs w:val="28"/>
          <w:lang w:eastAsia="zh-CN" w:bidi="hi-IN"/>
        </w:rPr>
        <w:t>выводы:</w:t>
      </w:r>
    </w:p>
    <w:p w:rsidR="00E17FE1" w:rsidRDefault="00BB58D7">
      <w:pPr>
        <w:widowControl w:val="0"/>
        <w:suppressAutoHyphens/>
        <w:spacing w:after="0" w:line="240" w:lineRule="auto"/>
        <w:ind w:firstLine="567"/>
        <w:jc w:val="both"/>
        <w:rPr>
          <w:rFonts w:ascii="Times New Roman" w:eastAsia="Arial Unicode MS" w:hAnsi="Times New Roman"/>
          <w:color w:val="000000"/>
          <w:spacing w:val="-2"/>
          <w:sz w:val="28"/>
          <w:szCs w:val="28"/>
          <w:lang w:eastAsia="zh-CN"/>
        </w:rPr>
      </w:pPr>
      <w:r>
        <w:rPr>
          <w:rFonts w:ascii="Times New Roman" w:eastAsia="Arial Unicode MS" w:hAnsi="Times New Roman"/>
          <w:color w:val="000000"/>
          <w:spacing w:val="-2"/>
          <w:sz w:val="28"/>
          <w:szCs w:val="28"/>
          <w:lang w:eastAsia="zh-CN"/>
        </w:rPr>
        <w:t xml:space="preserve">1. Механически </w:t>
      </w:r>
      <w:proofErr w:type="gramStart"/>
      <w:r>
        <w:rPr>
          <w:rFonts w:ascii="Times New Roman" w:eastAsia="Arial Unicode MS" w:hAnsi="Times New Roman"/>
          <w:color w:val="000000"/>
          <w:spacing w:val="-2"/>
          <w:sz w:val="28"/>
          <w:szCs w:val="28"/>
          <w:lang w:eastAsia="zh-CN"/>
        </w:rPr>
        <w:t>прочная</w:t>
      </w:r>
      <w:proofErr w:type="gramEnd"/>
      <w:r>
        <w:rPr>
          <w:rFonts w:ascii="Times New Roman" w:eastAsia="Arial Unicode MS" w:hAnsi="Times New Roman"/>
          <w:color w:val="000000"/>
          <w:spacing w:val="-2"/>
          <w:sz w:val="28"/>
          <w:szCs w:val="28"/>
          <w:lang w:eastAsia="zh-CN"/>
        </w:rPr>
        <w:t xml:space="preserve"> (37,12+0,2 МПа) и эластичная (удлинение на 3,28+0,2 %) наноструктурированная БЦ, состоящая из нановолокон диаметром 15–35 нм и фибриллярными пучками размером 50–150 нм формируется на модифицированной среде с мелассой (2%). Культивирование штамма Komagataeibacter xylinus C-3 на этой среде в течение 7 суток обеспечивает повышение продуктивности образования плёнки до 12,8 г/л и снижение себестоимости синтезируемого биополимера в 5 раз.</w:t>
      </w:r>
    </w:p>
    <w:p w:rsidR="00E17FE1" w:rsidRDefault="00BB58D7">
      <w:pPr>
        <w:widowControl w:val="0"/>
        <w:suppressAutoHyphens/>
        <w:spacing w:after="0" w:line="240" w:lineRule="auto"/>
        <w:ind w:firstLine="567"/>
        <w:jc w:val="both"/>
        <w:rPr>
          <w:rFonts w:ascii="Times New Roman" w:eastAsia="Arial Unicode MS" w:hAnsi="Times New Roman"/>
          <w:color w:val="000000"/>
          <w:spacing w:val="-2"/>
          <w:sz w:val="28"/>
          <w:szCs w:val="28"/>
          <w:lang w:eastAsia="zh-CN"/>
        </w:rPr>
      </w:pPr>
      <w:r>
        <w:rPr>
          <w:rFonts w:ascii="Times New Roman" w:eastAsia="Arial Unicode MS" w:hAnsi="Times New Roman"/>
          <w:color w:val="000000"/>
          <w:spacing w:val="-2"/>
          <w:sz w:val="28"/>
          <w:szCs w:val="28"/>
          <w:lang w:eastAsia="zh-CN"/>
        </w:rPr>
        <w:t>2. Получен наноструктурированный композитный материал БЦ/ГАП/MXene путем интеграции предварительно сформированного комплекса ГАП/MXene в матрицу БЦ методом ex situ, обеспечивающим равномерное распределение наночастиц ГАП и листов MXene в структуре БЦ.</w:t>
      </w:r>
    </w:p>
    <w:p w:rsidR="00E17FE1" w:rsidRDefault="00BB58D7">
      <w:pPr>
        <w:widowControl w:val="0"/>
        <w:suppressAutoHyphens/>
        <w:spacing w:after="0" w:line="240" w:lineRule="auto"/>
        <w:ind w:firstLine="567"/>
        <w:jc w:val="both"/>
        <w:rPr>
          <w:rFonts w:ascii="Times New Roman" w:eastAsia="Arial Unicode MS" w:hAnsi="Times New Roman"/>
          <w:color w:val="000000"/>
          <w:spacing w:val="-2"/>
          <w:sz w:val="28"/>
          <w:szCs w:val="28"/>
          <w:lang w:eastAsia="zh-CN"/>
        </w:rPr>
      </w:pPr>
      <w:r>
        <w:rPr>
          <w:rFonts w:ascii="Times New Roman" w:eastAsia="Arial Unicode MS" w:hAnsi="Times New Roman"/>
          <w:color w:val="000000"/>
          <w:spacing w:val="-2"/>
          <w:sz w:val="28"/>
          <w:szCs w:val="28"/>
          <w:lang w:eastAsia="zh-CN"/>
        </w:rPr>
        <w:t xml:space="preserve">3. Комплексный структурный анализ композита БЦ/ГАП/MXene подтвердил успешную интеграцию всех компонентов в наномасштабе. СЭМ и ЭДС выявили отдельные микроагломераты ГАП (1–5 мкм), встроенные в матрицу БЦ/MXene, с элементным картированием, подтверждающим колокализацию Ca и P из ГАП и Ti из MXene. Визуализация поперечного сечения с помощью TEM и FIB </w:t>
      </w:r>
      <w:proofErr w:type="gramStart"/>
      <w:r>
        <w:rPr>
          <w:rFonts w:ascii="Times New Roman" w:eastAsia="Arial Unicode MS" w:hAnsi="Times New Roman"/>
          <w:color w:val="000000"/>
          <w:spacing w:val="-2"/>
          <w:sz w:val="28"/>
          <w:szCs w:val="28"/>
          <w:lang w:eastAsia="zh-CN"/>
        </w:rPr>
        <w:t>предоставила прямые доказательства</w:t>
      </w:r>
      <w:proofErr w:type="gramEnd"/>
      <w:r>
        <w:rPr>
          <w:rFonts w:ascii="Times New Roman" w:eastAsia="Arial Unicode MS" w:hAnsi="Times New Roman"/>
          <w:color w:val="000000"/>
          <w:spacing w:val="-2"/>
          <w:sz w:val="28"/>
          <w:szCs w:val="28"/>
          <w:lang w:eastAsia="zh-CN"/>
        </w:rPr>
        <w:t xml:space="preserve"> наличия наночастиц ГАП (50–200 нм), закрепленных на границе раздела между слоями БЦ и MXene, подтверждая иерархическую архитектуру с разделением фаз. Анализ XPS продемонстрировал значительный сдвиг энергии связи Ti 2p (Δ ≈ 2,5 эВ) в композите БЦ/ГАП/Mxene по сравнению с БЦ/MXene, что указывает на сильные интерфейсные электронные взаимодействия между MXene и ГАП. Добавление MXene/ГАП повышало прочность на разрыв до 43 МПа и увеличивало относительное удлинение при растяжении на 8 %  </w:t>
      </w:r>
    </w:p>
    <w:p w:rsidR="00E17FE1" w:rsidRDefault="00BB58D7">
      <w:pPr>
        <w:widowControl w:val="0"/>
        <w:suppressAutoHyphens/>
        <w:spacing w:after="0" w:line="240" w:lineRule="auto"/>
        <w:ind w:firstLine="567"/>
        <w:jc w:val="both"/>
        <w:rPr>
          <w:rFonts w:ascii="Times New Roman" w:eastAsia="Arial Unicode MS" w:hAnsi="Times New Roman"/>
          <w:color w:val="000000"/>
          <w:spacing w:val="-2"/>
          <w:sz w:val="28"/>
          <w:szCs w:val="28"/>
          <w:lang w:eastAsia="zh-CN"/>
        </w:rPr>
      </w:pPr>
      <w:r>
        <w:rPr>
          <w:rFonts w:ascii="Times New Roman" w:eastAsia="Arial Unicode MS" w:hAnsi="Times New Roman"/>
          <w:color w:val="000000"/>
          <w:spacing w:val="-2"/>
          <w:sz w:val="28"/>
          <w:szCs w:val="28"/>
          <w:lang w:eastAsia="zh-CN"/>
        </w:rPr>
        <w:t xml:space="preserve">4. Способы стерилизации нанокомпозита БЦ/ГАП/MXene холодной плазмой или этиленоксидом являются предпочтительными, поскольку обеспечивают минимальные изменения структуры и функциональных свойств материала с сохранением электропроводности и фототермического отклика на уровне 94–98 % </w:t>
      </w:r>
      <w:proofErr w:type="gramStart"/>
      <w:r>
        <w:rPr>
          <w:rFonts w:ascii="Times New Roman" w:eastAsia="Arial Unicode MS" w:hAnsi="Times New Roman"/>
          <w:color w:val="000000"/>
          <w:spacing w:val="-2"/>
          <w:sz w:val="28"/>
          <w:szCs w:val="28"/>
          <w:lang w:eastAsia="zh-CN"/>
        </w:rPr>
        <w:t>от</w:t>
      </w:r>
      <w:proofErr w:type="gramEnd"/>
      <w:r>
        <w:rPr>
          <w:rFonts w:ascii="Times New Roman" w:eastAsia="Arial Unicode MS" w:hAnsi="Times New Roman"/>
          <w:color w:val="000000"/>
          <w:spacing w:val="-2"/>
          <w:sz w:val="28"/>
          <w:szCs w:val="28"/>
          <w:lang w:eastAsia="zh-CN"/>
        </w:rPr>
        <w:t xml:space="preserve"> исходного. </w:t>
      </w:r>
    </w:p>
    <w:p w:rsidR="00E17FE1" w:rsidRDefault="00BB58D7">
      <w:pPr>
        <w:widowControl w:val="0"/>
        <w:suppressAutoHyphens/>
        <w:spacing w:after="0" w:line="240" w:lineRule="auto"/>
        <w:ind w:firstLine="567"/>
        <w:jc w:val="both"/>
        <w:rPr>
          <w:rFonts w:ascii="Times New Roman" w:eastAsia="Arial Unicode MS" w:hAnsi="Times New Roman"/>
          <w:color w:val="000000"/>
          <w:spacing w:val="-2"/>
          <w:sz w:val="28"/>
          <w:szCs w:val="28"/>
          <w:lang w:eastAsia="zh-CN"/>
        </w:rPr>
      </w:pPr>
      <w:r>
        <w:rPr>
          <w:rFonts w:ascii="Times New Roman" w:eastAsia="Arial Unicode MS" w:hAnsi="Times New Roman"/>
          <w:color w:val="000000"/>
          <w:spacing w:val="-2"/>
          <w:sz w:val="28"/>
          <w:szCs w:val="28"/>
          <w:lang w:eastAsia="zh-CN"/>
        </w:rPr>
        <w:t xml:space="preserve">5. Включение нанокомплекса ГАП/MXene в БЦ придает композиту БЦ/ГАП/MXene высокую антибактериальную и антибиоплёночную активность в отношении клинически </w:t>
      </w:r>
      <w:proofErr w:type="gramStart"/>
      <w:r>
        <w:rPr>
          <w:rFonts w:ascii="Times New Roman" w:eastAsia="Arial Unicode MS" w:hAnsi="Times New Roman"/>
          <w:color w:val="000000"/>
          <w:spacing w:val="-2"/>
          <w:sz w:val="28"/>
          <w:szCs w:val="28"/>
          <w:lang w:eastAsia="zh-CN"/>
        </w:rPr>
        <w:t>значимых</w:t>
      </w:r>
      <w:proofErr w:type="gramEnd"/>
      <w:r>
        <w:rPr>
          <w:rFonts w:ascii="Times New Roman" w:eastAsia="Arial Unicode MS" w:hAnsi="Times New Roman"/>
          <w:color w:val="000000"/>
          <w:spacing w:val="-2"/>
          <w:sz w:val="28"/>
          <w:szCs w:val="28"/>
          <w:lang w:eastAsia="zh-CN"/>
        </w:rPr>
        <w:t xml:space="preserve"> патогенов с множественной лекарственной устойчивостью.  Степень бактериостатического ингибирования роста 95% (P. aeruginosa) и 99% (S. aureus). В физиологически релевантной </w:t>
      </w:r>
      <w:r>
        <w:rPr>
          <w:rFonts w:ascii="Times New Roman" w:eastAsia="Arial Unicode MS" w:hAnsi="Times New Roman"/>
          <w:color w:val="000000"/>
          <w:spacing w:val="-2"/>
          <w:sz w:val="28"/>
          <w:szCs w:val="28"/>
          <w:lang w:eastAsia="zh-CN"/>
        </w:rPr>
        <w:lastRenderedPageBreak/>
        <w:t>модели хронической раневой биоплёнки (LCWB) наблюдалось снижение жизнеспособности MRSA до 98% и FQRPA до 86%.</w:t>
      </w:r>
    </w:p>
    <w:p w:rsidR="00E17FE1" w:rsidRDefault="00BB58D7">
      <w:pPr>
        <w:widowControl w:val="0"/>
        <w:suppressAutoHyphens/>
        <w:spacing w:after="0" w:line="240" w:lineRule="auto"/>
        <w:ind w:firstLine="567"/>
        <w:jc w:val="both"/>
        <w:rPr>
          <w:rFonts w:ascii="Times New Roman" w:eastAsia="Arial Unicode MS" w:hAnsi="Times New Roman" w:cs="Tahoma"/>
          <w:color w:val="000000"/>
          <w:spacing w:val="-2"/>
          <w:sz w:val="28"/>
          <w:szCs w:val="28"/>
          <w:lang w:eastAsia="zh-CN" w:bidi="en-US"/>
        </w:rPr>
      </w:pPr>
      <w:r>
        <w:rPr>
          <w:rFonts w:ascii="Times New Roman" w:eastAsia="Arial Unicode MS" w:hAnsi="Times New Roman"/>
          <w:color w:val="000000"/>
          <w:spacing w:val="-2"/>
          <w:sz w:val="28"/>
          <w:szCs w:val="28"/>
          <w:lang w:eastAsia="zh-CN"/>
        </w:rPr>
        <w:t>6. Наноструктурированная архитектура композита БЦ/ГАП/MXene способствует высокой адгезии фибробластов NIH-3T3 к поверхности материала и их активной пролиферации. Клетки, культивируемые на среде с материалом, характеризовались высоким уровнем метаболической активности в МТТ-тесте (&gt;81%), что указывает на отсутствие выраженной цитотоксичности и приемлемый уровень биосовместимости композита.</w:t>
      </w: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E17FE1">
      <w:pPr>
        <w:spacing w:after="0" w:line="240" w:lineRule="auto"/>
        <w:ind w:firstLine="567"/>
        <w:jc w:val="both"/>
        <w:rPr>
          <w:rFonts w:ascii="Times New Roman" w:hAnsi="Times New Roman" w:cs="Times New Roman"/>
          <w:b/>
          <w:sz w:val="28"/>
          <w:szCs w:val="28"/>
        </w:rPr>
      </w:pPr>
    </w:p>
    <w:p w:rsidR="00E17FE1" w:rsidRDefault="00BB58D7">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СПИСОК</w:t>
      </w:r>
      <w:r>
        <w:rPr>
          <w:rFonts w:ascii="Times New Roman" w:hAnsi="Times New Roman" w:cs="Times New Roman"/>
          <w:b/>
          <w:sz w:val="28"/>
          <w:szCs w:val="28"/>
          <w:lang w:val="en-US"/>
        </w:rPr>
        <w:t xml:space="preserve"> </w:t>
      </w:r>
      <w:r>
        <w:rPr>
          <w:rFonts w:ascii="Times New Roman" w:hAnsi="Times New Roman" w:cs="Times New Roman"/>
          <w:b/>
          <w:sz w:val="28"/>
          <w:szCs w:val="28"/>
        </w:rPr>
        <w:t>ИСПОЛЬЗОВАННЫХ</w:t>
      </w:r>
      <w:r>
        <w:rPr>
          <w:rFonts w:ascii="Times New Roman" w:hAnsi="Times New Roman" w:cs="Times New Roman"/>
          <w:b/>
          <w:sz w:val="28"/>
          <w:szCs w:val="28"/>
          <w:lang w:val="en-US"/>
        </w:rPr>
        <w:t xml:space="preserve"> </w:t>
      </w:r>
      <w:r>
        <w:rPr>
          <w:rFonts w:ascii="Times New Roman" w:hAnsi="Times New Roman" w:cs="Times New Roman"/>
          <w:b/>
          <w:sz w:val="28"/>
          <w:szCs w:val="28"/>
        </w:rPr>
        <w:t>ИСТОЧНИКОВ</w:t>
      </w:r>
    </w:p>
    <w:p w:rsidR="00E17FE1" w:rsidRDefault="00E17FE1">
      <w:pPr>
        <w:spacing w:after="0" w:line="240" w:lineRule="auto"/>
        <w:ind w:firstLine="567"/>
        <w:jc w:val="center"/>
        <w:rPr>
          <w:rFonts w:ascii="Times New Roman" w:hAnsi="Times New Roman" w:cs="Times New Roman"/>
          <w:b/>
          <w:sz w:val="28"/>
          <w:szCs w:val="28"/>
        </w:rPr>
      </w:pP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Goshisht M. K. Emerging Nanomaterial Strategies for Antibacterial and Antibiofilm Applications: Innovations in Bacterial Detection, Mechanistic Understanding, and Therapeutic Interventions to Address Antibiotic Resistance // APMIS. – 2025. – Vol. 133, № 7. – P. 70050.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Moradi F., Ghaedi A., Fooladfar Z., Bazrgar A. Recent advance on nanoparticles or nanomaterials with anti-multidrug resistant bacteria and anti-bacterial biofilm properties: A systematic review // Heliyon. – 2023. – Vol. 9, № 11. – P. 22105.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Nandhini J., Karthikeyan E., Rajeshkumar S. Nanomaterials for wound healing: Current status and futuristic frontier // Biomedical Technology. – 2024. – Vol. 6. – P. 26–45.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Portela R., Leal C. R., Almeida P. L., Sobral R. G. Bacterial cellulose: a versatile biopolymer for wound dressing applications // Microbial Biotechnology. – 2019. – Vol. 12, № 4. – P. 586–610.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Choi S. M., Rao K. M., Zo S. M., Shin E. J., Han S. S. Bacterial Cellulose a</w:t>
      </w:r>
      <w:r w:rsidR="00667C90">
        <w:rPr>
          <w:rFonts w:ascii="Times New Roman" w:hAnsi="Times New Roman" w:cs="Times New Roman"/>
          <w:sz w:val="28"/>
          <w:szCs w:val="28"/>
          <w:lang w:val="en-US"/>
        </w:rPr>
        <w:t>nd Its Applications // Polymers</w:t>
      </w:r>
      <w:r>
        <w:rPr>
          <w:rFonts w:ascii="Times New Roman" w:hAnsi="Times New Roman" w:cs="Times New Roman"/>
          <w:sz w:val="28"/>
          <w:szCs w:val="28"/>
          <w:lang w:val="en-US"/>
        </w:rPr>
        <w:t xml:space="preserve">. – 2022. – Vol. 14, № 6. – P. 1080.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Rasool K., Helal M., Ali A., Ren C. E., Gogotsi Y., Mahmoud K. A. Antibacterial Activity of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Tx MXene // ACS Nano. – 2016. – Vol. 10, № 3. – P. 3674–3684.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t xml:space="preserve"> Yang C., Luo Y., Lin H., Ge M., Shi J., Zhang X. Niobium Carbide MXene Augmented Medical Implant Elicits Bacterial Infection Elimination and Tissue Regeneration // ACS Nano. – 2021. – Vol. 15, № 1. – P. 1086–1099.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Zheng K., Li S., Jing L., Chen P.-Y., Xie J. Synergistic antimicrobial titanium carbide (MXene) conjugated with gold nanoclusters // Advanced Healthcare Materials. – 2020. – Vol. 9, № 19. – P. 2001007.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Lim G. P., Soon C. F., Ma N. L., Morsin M., Nayan N., Ahmad M. K., Tee K. S. Cytotoxicity of MXene-based nanomaterials for biomedical applications: A mini review // Environmental Research. – 2021. – Vol. 201. – P. 111592.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DejaVu Sans" w:hAnsi="Times New Roman" w:cs="Times New Roman"/>
          <w:sz w:val="28"/>
          <w:szCs w:val="28"/>
          <w:lang w:val="en-US"/>
        </w:rPr>
        <w:t xml:space="preserve">Okabayashi R., Nakamura M., Okabayashi T., Tanaka Y., Nagai A., Yamashita K. Efficacy of polarized hydroxyapatite and silk fibroin composite dressing gel on epidermal recovery from full-thickness skin wounds // Journal of Biomedical Materials Research Part B: Applied Biomaterials. – 2009. – Vol. 90, № 2. – P. 641–646.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DejaVu Sans" w:hAnsi="Times New Roman" w:cs="Times New Roman"/>
          <w:sz w:val="28"/>
          <w:szCs w:val="28"/>
          <w:lang w:val="en-US"/>
        </w:rPr>
        <w:t xml:space="preserve">Ribeiro N., Sousa A., Cunha-Reis C., Oliveira A. L., Granja P. L., Monteiro F. J., Sousa S. R. New prospects in skin regeneration and repair using nanophased hydroxyapatite embedded in collagen nanofibers // Nanomedicine: Nanotechnology, Biology, and Medicine. – 2021. – Vol. 33. – </w:t>
      </w:r>
      <w:r w:rsidR="00667C90">
        <w:rPr>
          <w:rFonts w:ascii="Times New Roman" w:hAnsi="Times New Roman" w:cs="Times New Roman"/>
          <w:sz w:val="28"/>
          <w:szCs w:val="28"/>
          <w:lang w:val="en-US"/>
        </w:rPr>
        <w:t xml:space="preserve">P. </w:t>
      </w:r>
      <w:r>
        <w:rPr>
          <w:rFonts w:ascii="Times New Roman" w:eastAsia="DejaVu Sans" w:hAnsi="Times New Roman" w:cs="Times New Roman"/>
          <w:sz w:val="28"/>
          <w:szCs w:val="28"/>
          <w:lang w:val="en-US"/>
        </w:rPr>
        <w:t xml:space="preserve">102353.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DejaVu Sans" w:hAnsi="Times New Roman" w:cs="Times New Roman"/>
          <w:sz w:val="28"/>
          <w:szCs w:val="28"/>
          <w:lang w:val="en-US"/>
        </w:rPr>
        <w:t xml:space="preserve">Jadali A., Ghazizadeh S. Protein kinase D is implicated in the reversible commitment to differentiation in primary cultures of mouse keratinocytes // Journal of Biological Chemistry. – 2010. – Vol. 285, № 30. – P. 23387–23397.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DejaVu Sans" w:hAnsi="Times New Roman" w:cs="Times New Roman"/>
          <w:sz w:val="28"/>
          <w:szCs w:val="28"/>
          <w:lang w:val="en-US"/>
        </w:rPr>
        <w:lastRenderedPageBreak/>
        <w:t xml:space="preserve">Bikle D. D., Ng D., Tu C. L., Oda Y., Xie Z. Calcium- and vitamin D-regulated keratinocyte differentiation // Molecular and Cellular Endocrinology. – 2001. – Vol. 177, № 1-2. – P. 161–171. </w:t>
      </w:r>
    </w:p>
    <w:p w:rsidR="00E17FE1" w:rsidRDefault="00BB58D7" w:rsidP="00BB58D7">
      <w:pPr>
        <w:numPr>
          <w:ilvl w:val="0"/>
          <w:numId w:val="5"/>
        </w:numPr>
        <w:spacing w:after="0" w:line="240" w:lineRule="auto"/>
        <w:ind w:firstLineChars="142" w:firstLine="395"/>
        <w:jc w:val="both"/>
        <w:rPr>
          <w:rFonts w:ascii="Times New Roman" w:hAnsi="Times New Roman" w:cs="Times New Roman"/>
          <w:sz w:val="28"/>
          <w:szCs w:val="28"/>
          <w:lang w:val="en-US"/>
        </w:rPr>
      </w:pPr>
      <w:r>
        <w:rPr>
          <w:rFonts w:ascii="Times New Roman" w:eastAsia="Calibri" w:hAnsi="Times New Roman" w:cs="Times New Roman"/>
          <w:bCs/>
          <w:spacing w:val="-2"/>
          <w:sz w:val="28"/>
          <w:szCs w:val="28"/>
          <w:lang w:val="en-US"/>
        </w:rPr>
        <w:t xml:space="preserve">Guziewicz W., Srivatsa S., Zambrzycki M., Dziadek M., Szatkowski P., Szymczak P., Berent K., Marciszko-Wiąckowska M., Radecka M., Kołodziejczyk A., Uhl T. MXene/Bacterial Cellulose Hybrid Materials for Sustainable Soft Electronics // Materials. – 2024. – Vol. 17, № 22. – P. 5513. </w:t>
      </w:r>
    </w:p>
    <w:p w:rsidR="00E17FE1" w:rsidRDefault="00BB58D7" w:rsidP="00BB58D7">
      <w:pPr>
        <w:numPr>
          <w:ilvl w:val="0"/>
          <w:numId w:val="5"/>
        </w:numPr>
        <w:spacing w:after="0" w:line="240" w:lineRule="auto"/>
        <w:ind w:firstLineChars="142" w:firstLine="395"/>
        <w:jc w:val="both"/>
        <w:rPr>
          <w:rFonts w:ascii="Times New Roman" w:hAnsi="Times New Roman" w:cs="Times New Roman"/>
          <w:sz w:val="28"/>
          <w:szCs w:val="28"/>
          <w:lang w:val="en-US"/>
        </w:rPr>
      </w:pPr>
      <w:r>
        <w:rPr>
          <w:rFonts w:ascii="Times New Roman" w:eastAsia="Calibri" w:hAnsi="Times New Roman" w:cs="Times New Roman"/>
          <w:bCs/>
          <w:spacing w:val="-2"/>
          <w:sz w:val="28"/>
          <w:szCs w:val="28"/>
          <w:lang w:val="en-US"/>
        </w:rPr>
        <w:t>İlhan S. N., Yilmaz B. A., Ciftci F. Functional bacterial cellulose-based MXene (Ti</w:t>
      </w:r>
      <w:r>
        <w:rPr>
          <w:rFonts w:ascii="Cambria Math" w:eastAsia="Calibri" w:hAnsi="Cambria Math" w:cs="Times New Roman"/>
          <w:bCs/>
          <w:spacing w:val="-2"/>
          <w:sz w:val="28"/>
          <w:szCs w:val="28"/>
          <w:lang w:val="en-US"/>
        </w:rPr>
        <w:t>₃</w:t>
      </w:r>
      <w:r>
        <w:rPr>
          <w:rFonts w:ascii="Times New Roman" w:eastAsia="Calibri" w:hAnsi="Times New Roman" w:cs="Times New Roman"/>
          <w:bCs/>
          <w:spacing w:val="-2"/>
          <w:sz w:val="28"/>
          <w:szCs w:val="28"/>
          <w:lang w:val="en-US"/>
        </w:rPr>
        <w:t>C</w:t>
      </w:r>
      <w:r>
        <w:rPr>
          <w:rFonts w:ascii="Cambria Math" w:eastAsia="Calibri" w:hAnsi="Cambria Math" w:cs="Times New Roman"/>
          <w:bCs/>
          <w:spacing w:val="-2"/>
          <w:sz w:val="28"/>
          <w:szCs w:val="28"/>
          <w:lang w:val="en-US"/>
        </w:rPr>
        <w:t>₂</w:t>
      </w:r>
      <w:r>
        <w:rPr>
          <w:rFonts w:ascii="Times New Roman" w:eastAsia="Calibri" w:hAnsi="Times New Roman" w:cs="Times New Roman"/>
          <w:bCs/>
          <w:spacing w:val="-2"/>
          <w:sz w:val="28"/>
          <w:szCs w:val="28"/>
          <w:lang w:val="en-US"/>
        </w:rPr>
        <w:t xml:space="preserve">Tₓ) electronic-skin patch for accelerated healing and monitoring // BME Frontiers. – 2025. – Vol. 6, № 1. – P. 0109. </w:t>
      </w:r>
    </w:p>
    <w:p w:rsidR="00E17FE1" w:rsidRDefault="00BB58D7" w:rsidP="00BB58D7">
      <w:pPr>
        <w:numPr>
          <w:ilvl w:val="0"/>
          <w:numId w:val="5"/>
        </w:numPr>
        <w:spacing w:after="0" w:line="240" w:lineRule="auto"/>
        <w:ind w:firstLineChars="142" w:firstLine="395"/>
        <w:jc w:val="both"/>
        <w:rPr>
          <w:rFonts w:ascii="Times New Roman" w:hAnsi="Times New Roman" w:cs="Times New Roman"/>
          <w:sz w:val="28"/>
          <w:szCs w:val="28"/>
          <w:lang w:val="en-US"/>
        </w:rPr>
      </w:pPr>
      <w:r>
        <w:rPr>
          <w:rFonts w:ascii="Times New Roman" w:eastAsia="Calibri" w:hAnsi="Times New Roman" w:cs="Times New Roman"/>
          <w:bCs/>
          <w:spacing w:val="-2"/>
          <w:sz w:val="28"/>
          <w:szCs w:val="28"/>
          <w:lang w:val="en-US"/>
        </w:rPr>
        <w:t xml:space="preserve">Grande C. J., Torres F. G., Gomez C. M., Bañó M. C. Nanocomposites of bacterial cellulose/hydroxyapatite for biomedical applications // Acta Biomaterialia. – 2009. – Vol. 5, № 5. – P. 1605–1615. </w:t>
      </w:r>
    </w:p>
    <w:p w:rsidR="00E17FE1" w:rsidRDefault="00BB58D7" w:rsidP="00BB58D7">
      <w:pPr>
        <w:numPr>
          <w:ilvl w:val="0"/>
          <w:numId w:val="5"/>
        </w:numPr>
        <w:spacing w:after="0" w:line="240" w:lineRule="auto"/>
        <w:ind w:firstLineChars="142" w:firstLine="395"/>
        <w:jc w:val="both"/>
        <w:rPr>
          <w:rFonts w:ascii="Times New Roman" w:hAnsi="Times New Roman" w:cs="Times New Roman"/>
          <w:sz w:val="28"/>
          <w:szCs w:val="28"/>
          <w:lang w:val="en-US"/>
        </w:rPr>
      </w:pPr>
      <w:r>
        <w:rPr>
          <w:rFonts w:ascii="Times New Roman" w:eastAsia="Calibri" w:hAnsi="Times New Roman" w:cs="Times New Roman"/>
          <w:bCs/>
          <w:spacing w:val="-2"/>
          <w:sz w:val="28"/>
          <w:szCs w:val="28"/>
          <w:lang w:val="en-US"/>
        </w:rPr>
        <w:t xml:space="preserve">Saska S., Barud H. S., Gaspar A. M. M., Marchetto R., Ribeiro S. J. L., Messaddeq Y. Bacterial cellulose-hydroxyapatite nanocomposites for bone regeneration // International Journal of Biomaterials. – 2011. – P. 175362. </w:t>
      </w:r>
    </w:p>
    <w:p w:rsidR="00E17FE1" w:rsidRDefault="00BB58D7" w:rsidP="00BB58D7">
      <w:pPr>
        <w:numPr>
          <w:ilvl w:val="0"/>
          <w:numId w:val="5"/>
        </w:numPr>
        <w:spacing w:after="0" w:line="240" w:lineRule="auto"/>
        <w:ind w:firstLineChars="142" w:firstLine="395"/>
        <w:jc w:val="both"/>
        <w:rPr>
          <w:rFonts w:ascii="Times New Roman" w:hAnsi="Times New Roman" w:cs="Times New Roman"/>
          <w:sz w:val="28"/>
          <w:szCs w:val="28"/>
          <w:lang w:val="en-US"/>
        </w:rPr>
      </w:pPr>
      <w:r>
        <w:rPr>
          <w:rFonts w:ascii="Times New Roman" w:eastAsia="Calibri" w:hAnsi="Times New Roman" w:cs="Times New Roman"/>
          <w:bCs/>
          <w:spacing w:val="-2"/>
          <w:sz w:val="28"/>
          <w:szCs w:val="28"/>
          <w:lang w:val="en-US"/>
        </w:rPr>
        <w:t xml:space="preserve">Fu Y., Zhang J.-B., Lin H., Mo A. C. 2D titanium carbide (MXene) nanosheets and 1D hydroxyapatite nanowires into free-standing nanocomposite membrane: in vitro and in vivo evaluations for bone regeneration // Materials Science and Engineering: C. – 2021. – Vol. 118. – P. 111367.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t xml:space="preserve"> Bhong M., Khan T. K. H., Devade K., Krishna B. V., Sura S., Eftikhaar H. K., Thethi H. P., Gupta N. Review of composite materials and applications // Materials Today: Proceedings. – 2023. – Vol. 22. – P. 1–15.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Davlet M., Smyrnova K., Pogrebnjak A. Advanced biomaterials in tissue engineering: A critical review of nanocomposites based on bacterial cellulose, MXenes, hydroxyapatite, and metal particles for regenerative medicine // Advances in Colloid and Interface Science. – 2025. – Vol. 345. – P. 103634.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t xml:space="preserve">Sultana N., Cole A., Strachan F. Biocomposite Scaffolds for Tissue Engineering: Materials, Fabrication Techniques and Future Directions // Materials. – 2024. – Vol. 17, № 22. – P. 5577.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t xml:space="preserve">Sultana N. Mechanical and biological properties of scaffold materials // Functional 3D Tissue Engineering Scaffolds. – 2018. – Chap. 1. – P. 1–21.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eastAsia="ru-RU"/>
        </w:rPr>
        <w:t xml:space="preserve">Vaiani L., Boccaccio A., Uva A. E., Palumbo G., Piccininni A., Guglielmi P., Cantore S., Santacroce L., Charitos I. A., &amp; Ballini A. Ceramic materials for biomedical applications: An overview on properties and fabrication processes // Journal of Functional Biomaterials. – 2023. – Vol. 14, № 3. – P. 146.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kk-KZ"/>
        </w:rPr>
        <w:t xml:space="preserve">Abouelkheir S. S., Kamara M. S., Atia S. M., Amer S. A., Youssef M. I., Abdelkawy R. S., Khattab S. N., Sabry S. A. Novel research on nanocellulose production by a marine Bacillus velezensis strain SMR: a comparative study // Scientific Reports. – 2020. – Vol. 10, № 1. – </w:t>
      </w:r>
      <w:r>
        <w:rPr>
          <w:rFonts w:ascii="Times New Roman" w:hAnsi="Times New Roman" w:cs="Times New Roman"/>
          <w:sz w:val="28"/>
          <w:szCs w:val="28"/>
          <w:lang w:val="en-US"/>
        </w:rPr>
        <w:t>P.</w:t>
      </w:r>
      <w:r>
        <w:rPr>
          <w:rFonts w:ascii="Times New Roman" w:hAnsi="Times New Roman" w:cs="Times New Roman"/>
          <w:sz w:val="28"/>
          <w:szCs w:val="28"/>
          <w:lang w:val="kk-KZ"/>
        </w:rPr>
        <w:t xml:space="preserve"> 14202. </w:t>
      </w:r>
    </w:p>
    <w:p w:rsidR="00E17FE1" w:rsidRPr="00E8668B"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Rahman M. M., Netravali A. N. Aligned bacterial cellulose arrays as “</w:t>
      </w:r>
      <w:r w:rsidRPr="00E8668B">
        <w:rPr>
          <w:rFonts w:ascii="Times New Roman" w:hAnsi="Times New Roman" w:cs="Times New Roman"/>
          <w:sz w:val="28"/>
          <w:szCs w:val="28"/>
          <w:lang w:val="en-US"/>
        </w:rPr>
        <w:t xml:space="preserve">green” nanofibers for composite materials // ACS Macro Letters. – 2016. – Vol. 5, № 9. – P. 1070–1074. </w:t>
      </w:r>
    </w:p>
    <w:p w:rsidR="00E17FE1" w:rsidRPr="00E8668B"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E8668B">
        <w:rPr>
          <w:rFonts w:ascii="Times New Roman" w:hAnsi="Times New Roman" w:cs="Times New Roman"/>
          <w:sz w:val="28"/>
          <w:szCs w:val="28"/>
          <w:lang w:val="en-US"/>
        </w:rPr>
        <w:lastRenderedPageBreak/>
        <w:t xml:space="preserve"> </w:t>
      </w:r>
      <w:r w:rsidR="00E8668B" w:rsidRPr="00E8668B">
        <w:rPr>
          <w:rFonts w:ascii="Times New Roman" w:hAnsi="Times New Roman" w:cs="Times New Roman"/>
          <w:sz w:val="28"/>
          <w:szCs w:val="28"/>
          <w:lang w:val="en-US"/>
        </w:rPr>
        <w:t>Commission Recommendation of 10 June 2022 on the definition of nanomaterial 2022/C 229/01.</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E8668B">
        <w:rPr>
          <w:rFonts w:ascii="Times New Roman" w:eastAsia="Times New Roman" w:hAnsi="Times New Roman" w:cs="Times New Roman"/>
          <w:sz w:val="28"/>
          <w:szCs w:val="28"/>
          <w:lang w:val="en-US"/>
        </w:rPr>
        <w:t>Ibrahim A. A., Dellinger A. L., Coscarelly J., Pathiraja G., Obare S. O., LaJeunesse D. Enhanced thermal and structural properties of bacterial cellulose with</w:t>
      </w:r>
      <w:r>
        <w:rPr>
          <w:rFonts w:ascii="Times New Roman" w:eastAsia="Times New Roman" w:hAnsi="Times New Roman" w:cs="Times New Roman"/>
          <w:sz w:val="28"/>
          <w:szCs w:val="28"/>
          <w:lang w:val="en-US"/>
        </w:rPr>
        <w:t xml:space="preserve"> MgAl</w:t>
      </w:r>
      <w:r>
        <w:rPr>
          <w:rFonts w:ascii="Cambria Math" w:eastAsia="Times New Roman" w:hAnsi="Cambria Math" w:cs="Times New Roman"/>
          <w:sz w:val="28"/>
          <w:szCs w:val="28"/>
          <w:lang w:val="en-US"/>
        </w:rPr>
        <w:t>₂</w:t>
      </w:r>
      <w:r>
        <w:rPr>
          <w:rFonts w:ascii="Times New Roman" w:eastAsia="Times New Roman" w:hAnsi="Times New Roman" w:cs="Times New Roman"/>
          <w:sz w:val="28"/>
          <w:szCs w:val="28"/>
          <w:lang w:val="en-US"/>
        </w:rPr>
        <w:t>O</w:t>
      </w:r>
      <w:r>
        <w:rPr>
          <w:rFonts w:ascii="Cambria Math" w:eastAsia="Times New Roman" w:hAnsi="Cambria Math" w:cs="Times New Roman"/>
          <w:sz w:val="28"/>
          <w:szCs w:val="28"/>
          <w:lang w:val="en-US"/>
        </w:rPr>
        <w:t>₄</w:t>
      </w:r>
      <w:r>
        <w:rPr>
          <w:rFonts w:ascii="Times New Roman" w:eastAsia="Times New Roman" w:hAnsi="Times New Roman" w:cs="Times New Roman"/>
          <w:sz w:val="28"/>
          <w:szCs w:val="28"/>
          <w:lang w:val="en-US"/>
        </w:rPr>
        <w:t xml:space="preserve"> nanoparticles integration // Materials Advances. – 2025. – Vol. 6. – P. 3063–3072.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Martirani-VonAbercron S.-M., Pacheco-Sánchez D. Bacterial cellulose: A highly versatile nanomaterial // Microbial Biotechnology. – 2023. – Vol. 16, № 6. – P. 1174–1178.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 Zhao J., Wu Q., Liu Y., Liu H., Xie Y., Hu C., Zhang X., Wang Y. Antibacterial activity of silver-doped zinc oxide nanoparticles against Escherichia coli and Staphylococcus aureus // Nanomaterials. – 2019. – Vol. 9, № 1. – P. 58.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 Fatima A., Ortiz-Albo P., Neves L. A., Nascimento F. X., Crespo J. G. Biosynthesis and characterization of bacterial cellulose membranes presenting relevant characteristics for air/gas filtration // Journal of Membrane Science. – 2023. – Vol. 674. – P. 121509. </w:t>
      </w:r>
      <w:r w:rsidR="00204340">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lang w:val="en-US"/>
        </w:rPr>
        <w:instrText xml:space="preserve"> HYPERLINK "https://doi.org/10.1016/j.memsci.2023.121509," </w:instrText>
      </w:r>
      <w:r w:rsidR="00204340">
        <w:rPr>
          <w:rFonts w:ascii="Times New Roman" w:eastAsia="Times New Roman" w:hAnsi="Times New Roman" w:cs="Times New Roman"/>
          <w:sz w:val="28"/>
          <w:szCs w:val="28"/>
        </w:rPr>
        <w:fldChar w:fldCharType="separate"/>
      </w:r>
    </w:p>
    <w:p w:rsidR="00E17FE1" w:rsidRDefault="00204340"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rPr>
        <w:fldChar w:fldCharType="end"/>
      </w:r>
      <w:r w:rsidR="00BB58D7">
        <w:rPr>
          <w:rFonts w:ascii="Times New Roman" w:eastAsia="Times New Roman" w:hAnsi="Times New Roman" w:cs="Times New Roman"/>
          <w:sz w:val="28"/>
          <w:szCs w:val="28"/>
          <w:lang w:val="en-US"/>
        </w:rPr>
        <w:t xml:space="preserve"> Poddar M. K., Dikshit P. K. Recent development in bacterial cellulose production and synthesis of cellulose-based conductive polymer nanocomposites // Nano Select. – 2021. – Vol. 2, № 9. – P. 1605–1628.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Barja F. Bacterial nanocellulose production and biomedical applications // Journal of Biomedical Research. – 2021. – Vol. 35, № 4. – P. 310–317.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Zhou Y., Reshmy R., Philip E., Thomas D., Sindhu R., Bhargava P. C., Tiwari A., Ruiz H. A., Madhavan A., Pandey A., Awasthi M. K. Bacterial nanocellulose: Optimized synthesis and biomedical applications // Industrial Crops and Products. – 2023. – Vol. 205. – P. 117589.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Singh S., Bhardwaj S., Tiwari P., Dev K., Ghosh K., Maji P. K. Recent advances in cellulose nanocrystals-based sensors: a review // Materials Advances. – 2024. – Vol. 5, № 7. – P. 2622–2654.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Ghilan A., Nicu R., Ciolacu D. E., Ciolacu F. Insight into the Latest Medical Applications of Nanocellulose // Materials. – 2023. – Vol. 16, № 12. – P. 4447.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Bao Y., He J., Song K., Guo J., Zhou X., Liu S. Functionalization and Antibacterial Applications of Cellulose-Based Composi</w:t>
      </w:r>
      <w:r w:rsidR="00667C90">
        <w:rPr>
          <w:rFonts w:ascii="Times New Roman" w:eastAsia="Times New Roman" w:hAnsi="Times New Roman" w:cs="Times New Roman"/>
          <w:sz w:val="28"/>
          <w:szCs w:val="28"/>
          <w:lang w:val="en-US"/>
        </w:rPr>
        <w:t>te Hydrogels // Polymers</w:t>
      </w:r>
      <w:r>
        <w:rPr>
          <w:rFonts w:ascii="Times New Roman" w:eastAsia="Times New Roman" w:hAnsi="Times New Roman" w:cs="Times New Roman"/>
          <w:sz w:val="28"/>
          <w:szCs w:val="28"/>
          <w:lang w:val="en-US"/>
        </w:rPr>
        <w:t xml:space="preserve">. – 2022. – Vol. 14, № 4. – P. 769.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  Li X., Wang Y., Chen Z., Liu J., Zhang Z., Li H., Gao C. Enhanced mechanical and antibacterial properties of nanocellulose-silver composit</w:t>
      </w:r>
      <w:r w:rsidR="00667C90">
        <w:rPr>
          <w:rFonts w:ascii="Times New Roman" w:eastAsia="Times New Roman" w:hAnsi="Times New Roman" w:cs="Times New Roman"/>
          <w:sz w:val="28"/>
          <w:szCs w:val="28"/>
          <w:lang w:val="en-US"/>
        </w:rPr>
        <w:t>e films // Nanomaterials</w:t>
      </w:r>
      <w:r>
        <w:rPr>
          <w:rFonts w:ascii="Times New Roman" w:eastAsia="Times New Roman" w:hAnsi="Times New Roman" w:cs="Times New Roman"/>
          <w:sz w:val="28"/>
          <w:szCs w:val="28"/>
          <w:lang w:val="en-US"/>
        </w:rPr>
        <w:t xml:space="preserve">. – 2020. – Vol. 10, № 3. – P. 406.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Sahin F., Kayra N., Aytekin A. O. Optimizing the production of bacterial cellulose nanofibers and nanocrystals through strategic fiber pretreatment // Biopolymers. – 2025. – Vol. 116, № 1. – P. 23634.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Cruz M. A., Flor-Unda O., Avila A., Garcia M. D., Cerda-Mejía L. Advances in bacterial cellulose production: A scoping review // Coatings. – 2024. – Vol. 14, № 11. – P. 1401.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lastRenderedPageBreak/>
        <w:t>Popa L., Ghica M. V., Tudoroiu E.-E., Ionescu D.-G., Dinu-Pîrvu C.-E. Bacterial cellulose — a remarkable polymer as a source for biomaterial</w:t>
      </w:r>
      <w:r w:rsidR="00667C90">
        <w:rPr>
          <w:rFonts w:ascii="Times New Roman" w:eastAsia="Times New Roman" w:hAnsi="Times New Roman" w:cs="Times New Roman"/>
          <w:sz w:val="28"/>
          <w:szCs w:val="28"/>
          <w:lang w:val="en-US"/>
        </w:rPr>
        <w:t>s tailoring // Materials</w:t>
      </w:r>
      <w:r>
        <w:rPr>
          <w:rFonts w:ascii="Times New Roman" w:eastAsia="Times New Roman" w:hAnsi="Times New Roman" w:cs="Times New Roman"/>
          <w:sz w:val="28"/>
          <w:szCs w:val="28"/>
          <w:lang w:val="en-US"/>
        </w:rPr>
        <w:t xml:space="preserve">. – 2022. – Vol. 15, № 3. – P. 1054.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Torres F. G., Commeaux S., Troncoso O. P. Biocompatibility of bacterial cellulose based biomaterials // Journal of Functional Biomaterials. – 2012. – Vol. 3, № 4. – P. 864–878.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 Kim S.-H., Lee J., Park J.-H., Choi Y.-J., Kim Y.-G., Kim K. Enhanced properties of bacterial cellulose-based nanocomposites for biomedical </w:t>
      </w:r>
      <w:r w:rsidR="00667C90">
        <w:rPr>
          <w:rFonts w:ascii="Times New Roman" w:eastAsia="Times New Roman" w:hAnsi="Times New Roman" w:cs="Times New Roman"/>
          <w:sz w:val="28"/>
          <w:szCs w:val="28"/>
          <w:lang w:val="en-US"/>
        </w:rPr>
        <w:t>applications // Polymers</w:t>
      </w:r>
      <w:r>
        <w:rPr>
          <w:rFonts w:ascii="Times New Roman" w:eastAsia="Times New Roman" w:hAnsi="Times New Roman" w:cs="Times New Roman"/>
          <w:sz w:val="28"/>
          <w:szCs w:val="28"/>
          <w:lang w:val="en-US"/>
        </w:rPr>
        <w:t xml:space="preserve">. – 2024. – Vol. 14, № 21. – P. 4670.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Girard V.-D., Chaussé J., Vermette P. Bacterial cellulose: a comprehensive review // Journal of Applied Polymer Science. – 2024. – Vol. 141, № 15. – P. 55163.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 Assis S. C. de, Morgado D. L., Scheidt D. T., Souza S. S. de, Cavallari M. R., Ando Junior O. H., Carrilho E. Review of bacterial nanocellulose-based electrochemical biosensors: functionalization, challenges, and future perspectives</w:t>
      </w:r>
      <w:r w:rsidR="00667C90">
        <w:rPr>
          <w:rFonts w:ascii="Times New Roman" w:eastAsia="Times New Roman" w:hAnsi="Times New Roman" w:cs="Times New Roman"/>
          <w:sz w:val="28"/>
          <w:szCs w:val="28"/>
          <w:lang w:val="en-US"/>
        </w:rPr>
        <w:t xml:space="preserve"> // Biosensors</w:t>
      </w:r>
      <w:r>
        <w:rPr>
          <w:rFonts w:ascii="Times New Roman" w:eastAsia="Times New Roman" w:hAnsi="Times New Roman" w:cs="Times New Roman"/>
          <w:sz w:val="28"/>
          <w:szCs w:val="28"/>
          <w:lang w:val="en-US"/>
        </w:rPr>
        <w:t xml:space="preserve">. – 2023. – Vol. 13, № 1. – P. 142.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 Gomes N. O., Carrilho E., Machado S. A. S., Sgobbi L. F. Bacterial cellulose-based electrochemical sensing platform: a smart material for miniaturized biosensors // Electrochimica Acta. – 2020. – Vol. 349. – P. 136341.</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Liu Y., Zhang H., Liu X., Wang Q., Li S., Song Y., Zhao X. Advanced functional cellulose-based biopolymers: synthesis, properties and biome</w:t>
      </w:r>
      <w:r w:rsidR="00667C90">
        <w:rPr>
          <w:rFonts w:ascii="Times New Roman" w:eastAsia="Times New Roman" w:hAnsi="Times New Roman" w:cs="Times New Roman"/>
          <w:sz w:val="28"/>
          <w:szCs w:val="28"/>
          <w:lang w:val="en-US"/>
        </w:rPr>
        <w:t>dical applications // Polymers</w:t>
      </w:r>
      <w:r>
        <w:rPr>
          <w:rFonts w:ascii="Times New Roman" w:eastAsia="Times New Roman" w:hAnsi="Times New Roman" w:cs="Times New Roman"/>
          <w:sz w:val="28"/>
          <w:szCs w:val="28"/>
          <w:lang w:val="en-US"/>
        </w:rPr>
        <w:t xml:space="preserve">. – 2025. – Vol. 15, № 16. – P. 3466.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eastAsia="Times New Roman" w:hAnsi="Times New Roman" w:cs="Times New Roman"/>
          <w:sz w:val="28"/>
          <w:szCs w:val="28"/>
          <w:lang w:val="en-US"/>
        </w:rPr>
        <w:t xml:space="preserve">Buldum G., Mantalaris A. Systematic understanding of recent </w:t>
      </w:r>
      <w:r w:rsidRPr="00F644EE">
        <w:rPr>
          <w:rFonts w:ascii="Times New Roman" w:eastAsia="Times New Roman" w:hAnsi="Times New Roman" w:cs="Times New Roman"/>
          <w:sz w:val="28"/>
          <w:szCs w:val="28"/>
          <w:lang w:val="en-US"/>
        </w:rPr>
        <w:t xml:space="preserve">developments in bacterial cellulose biosynthesis at genetic, bioprocess and product levels // International Journal of Molecular Sciences. – 2021. – Vol. 22, № 13. – P. 7192.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Talipova A. B., Buranych V. V., Savitskaya I. S., Bondar O. V., Turlybekuly A., Pogrebnjak A. D. Synthesis, properties, and applications of nanocomposite materials based on bacterial </w:t>
      </w:r>
      <w:r w:rsidR="00667C90" w:rsidRPr="00F644EE">
        <w:rPr>
          <w:rFonts w:ascii="Times New Roman" w:eastAsia="Times New Roman" w:hAnsi="Times New Roman" w:cs="Times New Roman"/>
          <w:sz w:val="28"/>
          <w:szCs w:val="28"/>
          <w:lang w:val="en-US"/>
        </w:rPr>
        <w:t>cellulose and MXene // Polymers</w:t>
      </w:r>
      <w:r w:rsidRPr="00F644EE">
        <w:rPr>
          <w:rFonts w:ascii="Times New Roman" w:eastAsia="Times New Roman" w:hAnsi="Times New Roman" w:cs="Times New Roman"/>
          <w:sz w:val="28"/>
          <w:szCs w:val="28"/>
          <w:lang w:val="en-US"/>
        </w:rPr>
        <w:t xml:space="preserve">. – 2023. – Vol. 15, № 20. – P. 4067.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 Lahiri D., Nag M., Dutta B., Dey A., Sarkar T., Pati S., Edinur H. A., Abdul Kari Z., Mohd Noor N. H., Ray R. R. Bacterial cellulose: production, characterization, and application as antimicrobial agent // International Journal of Molecular Sciences. – 2021. – Vol. 22, № 23. – P. 12984.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Koehler J., Brandl F. P., Goepferich A. Hydrogel wound dressings for bioactive treatment of acute and chronic wounds // European Polymer Journal. – 2018. – Vol. 100. – P. 1–11.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Dutta S. D., Patel D. K., Lim K.-T. Functional cellulose-based hydrogels as extracellular matrices for tissue engineering // Journal of Biological Engineering. – 2019. – Vol. 13. – P. 55.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Sawada M., Sridhar K., Kanda Y., Yamanaka S. Pure hydroxyapatite synthesis originating from amorphous calcium carbonate // Scientific Reports. – 2021. – Vol. 11, № 1. – P. 11546.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lastRenderedPageBreak/>
        <w:t>Singh A., Mishra A. K., Yadav R., Gautam S., Verma R. K., Choudhary R., Singh R. K. Electrospun nanofibers for biomedical applications: a compre</w:t>
      </w:r>
      <w:r w:rsidR="00667C90" w:rsidRPr="00F644EE">
        <w:rPr>
          <w:rFonts w:ascii="Times New Roman" w:hAnsi="Times New Roman" w:cs="Times New Roman"/>
          <w:sz w:val="28"/>
          <w:szCs w:val="28"/>
          <w:lang w:val="en-US"/>
        </w:rPr>
        <w:t>hensive review // Nanomaterials</w:t>
      </w:r>
      <w:r w:rsidRPr="00F644EE">
        <w:rPr>
          <w:rFonts w:ascii="Times New Roman" w:hAnsi="Times New Roman" w:cs="Times New Roman"/>
          <w:sz w:val="28"/>
          <w:szCs w:val="28"/>
          <w:lang w:val="en-US"/>
        </w:rPr>
        <w:t xml:space="preserve">. – 2021. – Vol. 11, № 10. – P. 2569.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Sultana S., Hossain M. S., Mahmud M., Mobarak M. B., Kabir M. H., Sharmin N., Ahmed S. UV-assisted synthesis of hydroxyapatite from eggshells at ambient temperature: cytotoxicity, drug delivery and bioactivity // RSC Advances. – 2021. – Vol. 11, № 6. – P. 3686–3694.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Mohd Pu’ad N. A. S., Koshy P., Abdullah H. Z., Idris M. I., Lee T. C. Syntheses of hydroxyapatite from natural sources // Heliyon. – 2019. – Vol. 5, № 5. – P. 01588.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Nambiar M., Yeow J. T. W. A comprehensive review of hydroxyapatite composites in biomedical applications // RSC Advances. – 2017. – Vol. 7, № 22. – P. 13372–13393.</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Chen H., Wang Q., Li Y., Wang X., Zhang Y., Jiang Y., Zhang X. Novel bioactive glass–ceramic coatings on titanium surfaces for improved osteogenic activity // Journal of Functional Biomaterials. – 2025. – Vol. 16, № 4. – P. 127.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Salama A., Khattab S. N., El-Shafei A., El-Sadek M. M. Injectable bacterial cellulose-based hydrogels reinforced with nanohydroxyapatite for bone tissue engineering // Materials Science and Engineering: C. – 2020. – Vol. 108. – P. 109965.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Kong B., Gao X., Shi R., Leong W. L., Cui L., Yang M., Wang J., Zhou X. Bacterial nanocellulose-based nanocomposites: synthesis, properties and biomedical applications // Frontiers in Molecular Biosciences. – 2021. – Vol. 8. – P. 627015.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Sun Y., Wang Y., Ji C., Ma J., He B. The impact of hydroxyapatite crystal structures and protein interactions on bone’s mechanical properties // Scientific Reports. – 2024. – Vol. 14, № 1. – P. 9786.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 Kareem Z., Eyiler E. Synthesis of hydroxyapatite from eggshells via wet chemical precipitation: a review // RSC Advances. – 2024. – Vol. 14, № 30. – P. 21439–21452.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Ha S. W., Jang H. L., Nam K. T., Beck G. R. Jr. Nano-hydroxyapatite modulates osteoblast lineage commitment by stimulation of DNA methylation and regulation of gene expression // Biomaterials. – 2015. – Vol. 65. – P. 32–42.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eastAsia="Times New Roman" w:hAnsi="Times New Roman" w:cs="Times New Roman"/>
          <w:sz w:val="28"/>
          <w:szCs w:val="28"/>
          <w:lang w:val="en-US"/>
        </w:rPr>
        <w:t xml:space="preserve">Zhang X., Feng Y., Li H., Liu J., Wang Y., Shi X., Yang L., Chen Y. Enhanced osteogenic and antibacterial performance of MXene–hydroxyapatite composite coatings on titanium implants // ACS Applied Materials &amp; Interfaces. – 2023. – Vol. 15, № 4. – P. 5332–5344.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Osuchukwu O. A., Salihi A., Abdullahi I., Abdulkareem B., Nwannenna C. S. Synthesis techniques, characterization and mechanical properties of natural derived hydroxyapatite scaffolds for bone implants: a review // SN Applied Sciences. – 2021. – Vol. 3. – P. 822.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Sultana S., Hossain M. S., Nayak S. K., Kabir M. H., Sharmin N., Ahmed S. Facile synthesis and characterization of hydroxyapatite from waste eggshell and </w:t>
      </w:r>
      <w:r w:rsidRPr="00F644EE">
        <w:rPr>
          <w:rFonts w:ascii="Times New Roman" w:hAnsi="Times New Roman" w:cs="Times New Roman"/>
          <w:sz w:val="28"/>
          <w:szCs w:val="28"/>
          <w:lang w:val="en-US"/>
        </w:rPr>
        <w:lastRenderedPageBreak/>
        <w:t>its antibacterial assessment</w:t>
      </w:r>
      <w:r>
        <w:rPr>
          <w:rFonts w:ascii="Times New Roman" w:hAnsi="Times New Roman" w:cs="Times New Roman"/>
          <w:sz w:val="28"/>
          <w:szCs w:val="28"/>
          <w:lang w:val="en-US"/>
        </w:rPr>
        <w:t xml:space="preserve"> // RSC Advances. – 2020. – Vol. 10, № 56. – P. 33964–33974.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Tarafdar A., Gaur V. K., Rawat N., Wankhade P. R., Gaur G. K., Awasthi M. K., Sagar N. A., Sirohi R. Advances in biomaterial production from animal derived waste // Bioengineered. – 2021. – Vol. 12, № 1. – P. 8247–8258.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Tommila M., Jokinen J., Wilson T., Forsback A.-P., Saukko P., Penttinen R., Ekholm E. Bioactive glass-derived hydroxyapatite-coating promotes granulation tissue growth in subcutaneous cellulose implants in rats // Acta </w:t>
      </w:r>
      <w:r w:rsidRPr="00F644EE">
        <w:rPr>
          <w:rFonts w:ascii="Times New Roman" w:hAnsi="Times New Roman" w:cs="Times New Roman"/>
          <w:sz w:val="28"/>
          <w:szCs w:val="28"/>
          <w:lang w:val="en-US"/>
        </w:rPr>
        <w:t xml:space="preserve">Biomaterialia. – 2008. – Vol. 4, № 2. – P. 354–361.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Ragab H. S., Ibrahim F. A., Abdallah F., Al-Ghamdi A. A., El-Tantawy F., Yakuphanoglu F. Synthesis and in vitro antibacterial properties of hydroxyapatite nanoparticles // IOSR Journal of Pharmacy and Biological Sciences. – 2014. – Vol. 9, № 1. – P. 77–85.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Protyai M. I. H., Rashid A. B. A comprehensive overview of recent progress in MXene-based polymer composites: their fabrication processes, advanced applications, and prospects // Heliyon. – 2024. – Vol. 10, № 17.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37030.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Jussambayev M., Shakenov K., Sultakhan S., Zhantikeyev U., Askaruly K., Toshtay K., Azat S. MXenes for sustainable energy: a comprehensive review on conservation and storage applications // Carbon Trends. – 2025. – Vol. 19. – P. 100471.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Pogorielov V. M., Smyrnova K., Kyrylenko S., Zahorodna V., Pogrebnjak A. MXenes — a new class of two-dimensional materials: Structure, properties and potential applicat</w:t>
      </w:r>
      <w:r w:rsidR="00667C90" w:rsidRPr="00F644EE">
        <w:rPr>
          <w:rFonts w:ascii="Times New Roman" w:hAnsi="Times New Roman" w:cs="Times New Roman"/>
          <w:sz w:val="28"/>
          <w:szCs w:val="28"/>
          <w:lang w:val="en-US"/>
        </w:rPr>
        <w:t>ions // Nanomaterials</w:t>
      </w:r>
      <w:r w:rsidRPr="00F644EE">
        <w:rPr>
          <w:rFonts w:ascii="Times New Roman" w:hAnsi="Times New Roman" w:cs="Times New Roman"/>
          <w:sz w:val="28"/>
          <w:szCs w:val="28"/>
          <w:lang w:val="en-US"/>
        </w:rPr>
        <w:t xml:space="preserve">. – 2021. – Vol. 11, № 12.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3412.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Said Z., Sohail M. A., Tabassum H., Sajid I. H., Ali H. M., Jamil F., Mishra Y. K., Pandey A. K. MXenes at the forefront: advances in energy storage and nanofluidic applications // Advanced Composites and Hybrid Materials. – 2025. – Vol. 8, № 4.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320.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Khan I. A., Yogarathinam L. T., Younas H., Mushtaq A., Aljundi I. H., Baig N. The rise of MXenes: synthesis, properties and fabrication of advanced membranes // Desalination. – 2026. – Vol. 620.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119598.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Sun Z. M. Progress in research and development on MAX phases: a family of layered ternary compounds // International Materials Reviews. – 2011. – Vol. 56, № 3. – P. 143–166.</w:t>
      </w:r>
    </w:p>
    <w:p w:rsidR="00E17FE1" w:rsidRPr="00F644EE" w:rsidRDefault="009E12D4" w:rsidP="009E12D4">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Ahmed E. M. Exploring the potential of MXenes in advanced energy storage systems: a review // RSC Advances. – 2025. – Vol. 15. – P. 44812–44863.</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Brette F., Kourati D., Paris M., Loupias L., Célérier S., Cabioch T., Deschamps M., Boucher F., Mauchamp V. Assessing the surface chemistry of 2D transition metal carbides (MXenes): a combined experimental/theoretical ¹³C solid state NMR approach // Journal of the American Chemical Society. – 2023. – Vol. 145. – P. 4003–4014.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Seredych M., Shuck C. E., Pinto D., Alhabeb M., Precetti E., Deysher G., Anasori B., Kurra N., Gogotsi Y. High-Temperature Behavior and Surface </w:t>
      </w:r>
      <w:r w:rsidRPr="00F644EE">
        <w:rPr>
          <w:rFonts w:ascii="Times New Roman" w:hAnsi="Times New Roman" w:cs="Times New Roman"/>
          <w:sz w:val="28"/>
          <w:szCs w:val="28"/>
          <w:lang w:val="en-US"/>
        </w:rPr>
        <w:lastRenderedPageBreak/>
        <w:t xml:space="preserve">Chemistry of Carbide MXenes Studied by Thermal Analysis // Chemistry of Materials. – 2019. – Vol. 31, № 9. – P. 3324–3332.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Long Y., Tao Y., Shang T., Yang H., Sun Z., Chen W., Yang Q.-H. Roles of metal ions in MXene synthesis, processing and applications: a perspective // Advanced Science. – 2022. – Vol. 9, № 12.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2200296.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Siwal S. S., Kaur H., Chauhan G., Thakur V. K. MXene-Based Nanomaterials for Biomedical Applications: Healthier Substitute Materials for the Future // Advanced NanoBiomed Research. – 2023. – Vol. 3, № 1.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2200123.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Dadashi Firouzjaei M., Nemani S. K., Sadrzadeh M., Wujcik E. K., Elliott M., Anasori B. Life-Cycle Assessment of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Tₓ MXene Synthesis // Advanced Materials. – 2023. – Vol. 35, № 31.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2300422.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Zhang H. Ultrathin Two-Dimensional Nanomaterials // ACS Nano. – 2015. – Vol. 9, № 10. – P. 9451–9469.</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Alhabeb M., Maleski K., Anasori B., Lelyukh P., Clark L., Sin S., Gogotsi Y. Guidelines for Synthesis and Processing of Two-Dimensional Titanium Carbide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00CB44A1" w:rsidRPr="00F644EE">
        <w:rPr>
          <w:rFonts w:ascii="Times New Roman" w:hAnsi="Times New Roman" w:cs="Times New Roman"/>
          <w:sz w:val="28"/>
          <w:szCs w:val="28"/>
          <w:lang w:val="en-US"/>
        </w:rPr>
        <w:t xml:space="preserve">Tₓ) </w:t>
      </w:r>
      <w:r w:rsidRPr="00F644EE">
        <w:rPr>
          <w:rFonts w:ascii="Times New Roman" w:hAnsi="Times New Roman" w:cs="Times New Roman"/>
          <w:sz w:val="28"/>
          <w:szCs w:val="28"/>
          <w:lang w:val="en-US"/>
        </w:rPr>
        <w:t xml:space="preserve">MXene // Chemistry of Materials. – 2017. – Vol. 29, № 18. – P. 7633–7644.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Dinesh R. P. R., Dinesh S., Siti N. A. Z. The effect of fluoride-based salt etching in the synthesis of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 MXene // Materials Research Proceedings. – 2023. – Vol. 29. – P. 59–65.</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Ahmed B., Hossain M. J., Islam T., Jalil A. M., Rakibuzzaman S. M., Surid S. M., Zabed M. R. I. Recent advancements of MXene/nanocellulose-based hydrogel and aerogel: a review // Advanced Energy &amp; Sustainability Research. – 2024. – Vol. 5, № 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Abid M. Z., Rafiq K., Aslam A., Jin R., Hussain E. Scope, evaluation and current perspectives of MXene synthesis strategies for state-of-the-art applications // Journal of Materials Chemistry A. – 2024. – Vol. 12. – P. 7351–7395.</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Mozafari M., Soroush M. Surface functionalization of MXenes // Materials Advances. – 2021. – Vol. 2, № 22. – P. 7277–7307.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Yu R., Zhang H., Guo B. Conductive biomaterials as bioactive wound dressing for wound healing and skin tissue engineering // Nano-Micro Letters. – 2022. – Vol. 14, № 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Li Y., Hu Y., Wei H., Cao W., Qi Y., Zhou S., Zhang P., Li H., Li G. L., Chai R. Two-dimensional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00797507" w:rsidRPr="00F644EE">
        <w:rPr>
          <w:rFonts w:ascii="Times New Roman" w:hAnsi="Times New Roman" w:cs="Times New Roman"/>
          <w:sz w:val="28"/>
          <w:szCs w:val="28"/>
          <w:lang w:val="en-US"/>
        </w:rPr>
        <w:t>Tₓ</w:t>
      </w:r>
      <w:r w:rsidRPr="00F644EE">
        <w:rPr>
          <w:rFonts w:ascii="Times New Roman" w:hAnsi="Times New Roman" w:cs="Times New Roman"/>
          <w:sz w:val="28"/>
          <w:szCs w:val="28"/>
          <w:lang w:val="en-US"/>
        </w:rPr>
        <w:t xml:space="preserve">MXene promotes electrophysiological maturation of neural circuits // Journal of Nanobiotechnology. – 2022. – Vol. 20, № 1. – P. 1–16.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Mayerberger E. A., Street R. M., McDaniel R. M., Barsoum M. W., Schauer C. L. Antibacterial properties of electrospun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Tₓ (MXene)/chitosan nanofibers // RSC Advances. – 2018. – Vol. 8. – P. 35386–35394.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Pandey R. P., Abdul Rasheed P., Gomez T., Rasool K., Ponraj J., Prenger K., Naguib M., Mahmoud K. A. Effect of sheet size and atomic structure on the antibacterial activity of niobium MXene nanosheets // ACS Applied Nano Materials. – 2020. – Vol. 3, № 11. – P. 11372–11382.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lastRenderedPageBreak/>
        <w:t xml:space="preserve">Wang W., Feng H., Liu J., Zhang M., Liu S., Feng C., Chen S., Chen H., Hu X., Tian S. A photocatalyst of cuprous oxide anchored on MXene nanosheets with dramatic enhancement of synergistic antibacterial ability // Chemical Engineering Journal. – 2020. – Vol. 386. – P. 124116.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Li H., Mu M., Chen B., Zhou L., Han B., Guo G. MXene-based nanomaterials for antibacterial and wound healing // Materials Research Letters. – 2024. – Vol. 12, № 2. – P. 67–87.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Gayathri V. G., Richard B., Chacko J. T., Bayry J., Rasheed P. A. Non-Ti MXenes: new biocompatible and biodegradable candidates for biomedical applications // Journal of Materials Chemistry B. – 2025. – Vol. 13. – P. 1212–1228.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Shamsabadi A. A., Sharifian Gh. M., Anasori B., Soroush M. Antimicrobial mode-of-action of colloidal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Tₓ MXene nanosheets // ACS Sustainable Chemistry &amp; Engineering. – 2018. – Vol. 6, № 12. – P. 16586–16596.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Wang L., Li Y., Zhao L., Qi Z., Gou J., Zhang S., Zhang J. Z. Recent advances in ultrathin two-dimensional materials and biomedical applications for reactive oxygen species generation and scavenging // Nanoscale. – 2020. – Vol. 12, № 38. – P. 19516–19535.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Seidi F., Arabi Shamsabadi A., Dadashi Firouzjaei M., Elliott M., Saeb M. R., Huang Y., Li C., Xiao H., Anasori B. MXenes Antibacterial Properties and Applications: A Review and Perspective // Small. – 2023. – Vol. 19, № 14.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2206716.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Khazaei M., Ranjbar A., Arai M., Sasaki T., Yunoki S. Electronic properties and applications of MXenes: a theoretical review // Journal of Materials Chemistry C. – 2017. – Vol. 5, № 10. – P. 2488–2503.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Joze-Majidi H., Zabihi E., Arab-Bafrani Z., Mir S. M., Reiter R. J. Comparative radiosensitization efficiency assessment of graphene oxide and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 MXene as 2D carbon-based nanoparticles against breast cancer cells: characterization, toxicity and mechanisms // 2D Materials. – 2023. – Vol. 10, № 2.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025021.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Chen J., Liu L., Wang W., Gao H., Li Z., Cheng G. Tailored hydrogel delivering niobium carbide boosts ROS-scavenging and antimicrobial activities for diabetic wound healing // Small. – 2022. – Vol. 18, № 27.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2201300.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Xin H., Liu Y., Xiao Y., Wen M., Sheng L., Jia Z. Design and nanoengineering of photoactive antimicrobials // Advanced Functional Materials. – 2024. – Vol. 34, № 38. – 2402607.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Lin H., Wang X., Yu L., Chen Y., Shi J. Two-Dimensional Ultrathin MXene Ceramic Nanosheets for Photothermal Conversion // Nano Letters. – 2017. – Vol. 17, № 1. – P. 384–391.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Schön A., Freire E. Reversibility and irreversibility in the temperature denaturation of monoclonal antibodies // Analytical Biochemistry. – 2021. – Vol. 626. – P. 114240.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Wang X., Yao M., Ma L., Yu P., Lu T., Lu Z., Yin J., Tang C., Tang H., Zhao S., Li Z., Wang H., Liu H., Zhang S. NIR-Responsive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 MXene </w:t>
      </w:r>
      <w:r w:rsidRPr="00F644EE">
        <w:rPr>
          <w:rFonts w:ascii="Times New Roman" w:hAnsi="Times New Roman" w:cs="Times New Roman"/>
          <w:sz w:val="28"/>
          <w:szCs w:val="28"/>
          <w:lang w:val="en-US"/>
        </w:rPr>
        <w:lastRenderedPageBreak/>
        <w:t xml:space="preserve">Colloidal Solution for Purulent Subcutaneous Infection Treatment // Advanced Healthcare Materials. – 2021. – Vol. 10, № 14.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2100392.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Tian Y., Li Y., Liu J., Lin Y., Jiao J., Chen B., Wang W., Wu S., Li C. Photothermal therapy with regulated Nrf2/NF-</w:t>
      </w:r>
      <w:r w:rsidRPr="00F644EE">
        <w:rPr>
          <w:rFonts w:ascii="Times New Roman" w:hAnsi="Times New Roman" w:cs="Times New Roman"/>
          <w:sz w:val="28"/>
          <w:szCs w:val="28"/>
        </w:rPr>
        <w:t>κ</w:t>
      </w:r>
      <w:r w:rsidRPr="00F644EE">
        <w:rPr>
          <w:rFonts w:ascii="Times New Roman" w:hAnsi="Times New Roman" w:cs="Times New Roman"/>
          <w:sz w:val="28"/>
          <w:szCs w:val="28"/>
          <w:lang w:val="en-US"/>
        </w:rPr>
        <w:t xml:space="preserve">B signaling pathway for treating bacteria-induced periodontitis // Bioactive Materials. – 2021. – Vol. 9. – P. 428–445.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Yang X., Huang J., Chen C., Zhou L., Ren H., Sun D. Biomimetic Design of Double-Sided Functionalized Silver Nanoparticle/Bacterial Cellulose/Hydroxyapatite Hydrogel Mesh for Temporary Cranioplasty // ACS Applied Materials &amp; Interfaces. – 2023. – Vol. 15, № 8. – P. 10506–10519.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Zhang G., Lu Y., Song J., Huang D., </w:t>
      </w:r>
      <w:proofErr w:type="gramStart"/>
      <w:r w:rsidRPr="00F644EE">
        <w:rPr>
          <w:rFonts w:ascii="Times New Roman" w:hAnsi="Times New Roman" w:cs="Times New Roman"/>
          <w:sz w:val="28"/>
          <w:szCs w:val="28"/>
          <w:lang w:val="en-US"/>
        </w:rPr>
        <w:t>An</w:t>
      </w:r>
      <w:proofErr w:type="gramEnd"/>
      <w:r w:rsidRPr="00F644EE">
        <w:rPr>
          <w:rFonts w:ascii="Times New Roman" w:hAnsi="Times New Roman" w:cs="Times New Roman"/>
          <w:sz w:val="28"/>
          <w:szCs w:val="28"/>
          <w:lang w:val="en-US"/>
        </w:rPr>
        <w:t xml:space="preserve"> M., Chen W., Han P., Yao X., Zhang X. A multifunctional nano-hydroxyapatite/MXene scaffold for the photothermal/dynamic treatment of bone tumours and simultaneous tissue regeneration // Journal of Colloid and Interface Science. – 2023. – Vol. 652, Pt B. – P. 1673–1684.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Sun S., Yuan R., Ling S., Zhou T., Wu Z., Fu M., He H., Li X., Zhang C. Self-healable, self-adhesive and degradable MXene-based multifunctional hydrogel for flexible epidermal sensors // ACS Applied Materials &amp; Interfaces. – 2024. – Vol. 16, № 6. – P. 7826–7837.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Mao L., Chen Z., Wang Y., Zhang Y., Chen C., (</w:t>
      </w:r>
      <w:r w:rsidRPr="00F644EE">
        <w:rPr>
          <w:rFonts w:ascii="Times New Roman" w:hAnsi="Times New Roman" w:cs="Times New Roman"/>
          <w:sz w:val="28"/>
          <w:szCs w:val="28"/>
        </w:rPr>
        <w:t>и</w:t>
      </w:r>
      <w:r w:rsidRPr="00F644EE">
        <w:rPr>
          <w:rFonts w:ascii="Times New Roman" w:hAnsi="Times New Roman" w:cs="Times New Roman"/>
          <w:sz w:val="28"/>
          <w:szCs w:val="28"/>
          <w:lang w:val="en-US"/>
        </w:rPr>
        <w:t xml:space="preserve"> </w:t>
      </w:r>
      <w:r w:rsidRPr="00F644EE">
        <w:rPr>
          <w:rFonts w:ascii="Times New Roman" w:hAnsi="Times New Roman" w:cs="Times New Roman"/>
          <w:sz w:val="28"/>
          <w:szCs w:val="28"/>
        </w:rPr>
        <w:t>др</w:t>
      </w:r>
      <w:r w:rsidRPr="00F644EE">
        <w:rPr>
          <w:rFonts w:ascii="Times New Roman" w:hAnsi="Times New Roman" w:cs="Times New Roman"/>
          <w:sz w:val="28"/>
          <w:szCs w:val="28"/>
          <w:lang w:val="en-US"/>
        </w:rPr>
        <w:t>.) Biodegradable and electroactive regenerated bacterial cellulose/MXene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Tₓ) composite hydrogel as wound dressing for accelerating skin wound healing under electrical stimulation // Advanced Healthcare Materials. – 2020. – Vol. 9, № 19. –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2000872.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Wang X., Yang X., Xiao X., Li X., Chen C., Sun D. Biomimetic design of platelet-rich plasma controlled release bacterial cellulose/hydroxyapatite composite hydrogel for bone tissue engineering // International Journal of Biological Macromolecules. – 2024. – Vol. 269, Pt 2. – P. 132124. </w:t>
      </w:r>
    </w:p>
    <w:p w:rsidR="00E17FE1" w:rsidRPr="00F644EE" w:rsidRDefault="00CB44A1" w:rsidP="00CB44A1">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Thanachotkullapat P., Sukyai P., Li Y.-C. E., Morakul S., Torgbo S. Fabrication, physicochemical characterization and in vitro evaluation of pre-osteoblast cells on bacterial cellulose/hydroxyapatite reinforced with chitosan composite scaffold for bone tissue engineering // International Journal of Biological Macromolecules. – 2025. – Vol. 334, – P. 148779.</w:t>
      </w:r>
      <w:r w:rsidR="00BB58D7" w:rsidRPr="00F644EE">
        <w:rPr>
          <w:rFonts w:ascii="Times New Roman" w:hAnsi="Times New Roman" w:cs="Times New Roman"/>
          <w:sz w:val="28"/>
          <w:szCs w:val="28"/>
          <w:lang w:val="en-US"/>
        </w:rPr>
        <w:t xml:space="preserve">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Liu H., Gao S., Li A., Zhang L., Zhao X., Zhang H., Wu J., Zhang P. Mussel-inspired conductive hydrogel with MXene for enhanced osteogenic and antibacterial performance // Materials Today Bio. – 2023. – Vol. 18. – P. 100740.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Liang Y., Qiao L., Qiao B., Guo B. Conductive hydrogels for tissue repair // Chemical Science. – 2023. – Vol. 14, № 12. – P. 3091–3116. </w:t>
      </w:r>
    </w:p>
    <w:p w:rsidR="009E12D4" w:rsidRPr="00F644EE" w:rsidRDefault="009E12D4" w:rsidP="009E12D4">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Wang Y., Wu T., Mo X., Wang Y. Recent advances and biomedical applications of conductive hydrogels for wound repair // Journal of Materials Chemistry B. – 2025. – Vol. 13. – P. 11148–11165. </w:t>
      </w:r>
    </w:p>
    <w:p w:rsidR="00E17FE1" w:rsidRPr="00F644EE" w:rsidRDefault="00BB58D7" w:rsidP="009E12D4">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Nie L., Wei Q., Li J., Deng Y., He X., Gao X., Ma X., Liu S., Sun Y., Jiang G., Okoro O. V., Shavandi A., Jing S. Fabrication and desired properties of conductive hydrogel dressings for wound healing // RSC Advances. – 2023. – Vol. 13, № 25. – P. 8502–8522.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lastRenderedPageBreak/>
        <w:t xml:space="preserve">Ren D., Zhang Y., Du B., Wang L., Gong M., Zhu W. An antibacterial, conductive nanocomposite hydrogel coupled with electrical stimulation for accelerated wound healing // International Journal of Nanomedicine. – 2024. – Vol. 19. – P. 4495–4513.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Zheng L., Li S., Luo J., Wang X. Latest advances on bacterial cellulose-based antibacterial materials as wound dressings // Frontiers in Bioengineering and Biotechnology. – 2020. – Vol. 8, P. 593768.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Paramshetti S., Angolkar M., Al Fatease A., Alshahrani S. M., Hani U., Garg A., Ravi G., Osmani R. A. M. Revolutionizing drug delivery and therapeutics: the biomedical applications of conductive polymers and composites-based systems // Pharmaceutics. – 2023. – Vol. 15, № 4, P. 1204.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Abdelhamid H. N., Mathew A. P. Cellulose-based nanomaterials advance biomedicine: a review // International Journal of Molecular Sciences. – 2022. – Vol. 23, № 10, P.  5405.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Rajwade J. M., Paknikar K. M., Kumbhar J. V. Applications of bacterial cellulose and its composites in biomedicine // Applied Microbiology and Biotechnology. – 2015. – Vol. 99, № 6. – P. 2491–2511.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Yang G., Zhang Z., Liu K., Ji X., Fatehi P., Chen J. A cellulose nanofibril-reinforced hydrogel with robust mechanical, self-healing, pH-responsive and antibacterial characteristics for wound dressing applications // Journal of Nanobiotechnology. – 2022. – Vol. 20, № 1, P. 312.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Loh E. Y. X., Mohamad N., Fauzi M. B., Ng M. H., Ng S. F., Mohd Amin M. C. I. Development of a bacterial cellulose-based hydrogel cell carrier containing keratinocytes and fibroblasts for full-thickness wound healing // Scientific Reports. – 2018. – Vol. 8,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2875.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Zhu Y., Hao L., Luo Y., Gao J., Xu F., Li H., Hao C., Lin C., Yu H., Zhu Y., Duan J. A composite dressing combining ultralong hydroxyapatite nanowire bio-paper and a calcium alginate hydrogel accelerates wound healing // Journal of Materials Chemistry B. – 2025. – Vol. 13, № 3. – P. 997–1012.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Hao L., Liang S., Han Q., Jing Y., Li J., Li Q., Wang A., Bai S., Yin J. Ultralong hydroxyapatite nanowires-incorporated dipeptide hydrogel with enhanced mechanical strength and superior in vivo osteogenesis activity // Colloids and Surfaces A: Physicochemical and Engineering Aspects. – 2023. – Vol. 664,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xml:space="preserve">. 131153.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Zhou L., Zheng H., Liu Z., Wang S., Liu Z., Chen F., Zhang H., Kong J., Zhou F., Zhang Q. Conductive antibacterial hemostatic multifunctional scaffolds based on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Tₓ MXene nanosheets for promoting multidrug-resistant bacteria-infected wound healing // ACS Nano. – 2021. – Vol. 15, № 2. – P. 2468–2480.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Liu J., Han X., Zhang T., Wu Y., Chen H., Li Q., Zhao X., Wang L., Zhang C. Reactive oxygen species (ROS) scavenging biomaterials for anti-inflammatory diseases: from mechanism to therapy // Journal of Hematology &amp; Oncology. – 2023. – Vol. 16, № 1, P. 116.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lastRenderedPageBreak/>
        <w:t xml:space="preserve">Checa J., Aran J. M. Reactive oxygen species: drivers of physiological and pathological processes // Journal of Inflammation Research. – 2020. – Vol. 13. – P. 1057–1073.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Liu J., Lu W., Lu X., Zhang L., Dong H., Li Y. Versatile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Tₓ MXene for free-radical scavenging // Nano Research. – 2022. – Vol. 15, № 3. – P. 2558–2566.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Hou L., Gong F., Liu B., Yang X., Chen L., Li G., Gong Y., Liang C., Yang N., Shen X., Liu Z., Cheng L. Orally administered titanium carbide nanosheets as anti-inflammatory therapy for colitis // Theranostics. – 2022. – Vol. 12, № 8. – P. 3834–3846.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Li Y., Fu R., Duan Z., Zhu C., Fan D. Artificial nonenzymatic antioxidant MXene nanosheet-anchored injectable hydrogel as a mild photothermal-controlled oxygen release platform for diabetic wound healing // ACS Nano. – 2022. – Vol. 16, № 5. – P. 7486–7502.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Geng H., Ren Y., Qin G., Wen T., Liu Q., Xu H., He W.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 nanosheets with broad-spectrum antioxidant activity for cytoprotection against oxidative stress // RSC Advances. – 2022. – Vol. 12, № 18. – P. 11128–11138.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Ju P. S., Mei H. Z., Jia L. Z., Fu J. J., Ma L. J., Li D. T., Hu X. S., Chen F. A green, ROS-scavenging and anti-bacterial hydrogel loading MnO</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-curcumin nanocomposite for the full-thickness wound healing // Journal of Drug Delivery Science and Technology. – 2024. – Vol. 100, P. 105951.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Fernandes I. de A. A., Maciel G. M., Rampazzo Ribeiro V., Rossetto R., Pedro A. C., Haminiuk C. W. I. The role of bacterial cellulose loaded with plant phenolics in prevention of UV-induced skin damage // Carbohydrate Polymer Technologies and Applications. – 2021. – Vol. 2. – P. 100122.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Pinmanee P., Sompinit K., Jantimaporn A., Khongkow M., Haltrich D., Nimchua T., Sukyai P. Purification and immobilization of superoxide dismutase obtained from Saccharomyces cerevisiae TBRC657 on bacterial cellulose and its protective effect against oxidative damage in fibroblasts // Biomolecules. – 2023. – Vol. 13, № 7, P. 1156.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Wang B., Huang Y., Cai Q., Du Z., Li X. Biomaterials for diabetic bone repair: Influencing mechanisms, multi-aspect progress and future prospects // Composites Part B: Engineering. – 2024. – Vol. 274, P. 111282.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Yu Y., Li X., Li J., Li D., Wang Q., Teng W. Dopamine-assisted co-deposition of hydroxyapatite-functionalised nanoparticles of polydopamine on implant surfaces to promote osteogenesis in environments with high ROS levels // Materials Science and Engineering: C – Materials for Biological Applications. – 2021. – Vol. 131, </w:t>
      </w:r>
      <w:r w:rsidR="00667C90"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112473.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Hosseini M., Shafiee A. Engineering bioactive scaffolds for skin regeneration // Small. – 2021. – Vol. 17, № 41, P. 2101384.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Zhang W.-J., Li S., Yan Y.-Z., Park S. S., Mohan A., Chung I., Ahn S.-K., Kim J.-R., Lee J. R., Ha C.-S. Dual (pH- and ROS-) responsive antibacterial MXene-based nanocarrier for drug delivery // International Journal of Molecular Sciences. – 2022. – Vol. 23, № 23, P. 14925.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lastRenderedPageBreak/>
        <w:t>Soleymaniha M., Shahbazi M.-A., Rafieerad A. R., Maleki A., Amiri A. Promoting role of MXene nanosheets in biomedical sciences: therapeutic and biosensing innovations // Advanced Healthcare Materials. – 2019. – Vol. 8, № 1, P. 1801137.</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Zhang J., Tang S., Ding N., Ma P., Zhang Z. Surface-modified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 MXene nanosheets for mesenchymal stem cell osteogenic differentiation via photothermal conversion // Nanoscale Advances. – 2023. – Vol. 5, № 12. – P. 2921–2932.</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Xie Z., Fan T., An J., Choi W., Duo Y., Ge Y., Zhang B., Nie G., Xie N., Zheng T., Chen Y., Zhang H., Kim J. S. Emerging combination strategies with phototherapy in cancer nanomedicine // Chemical Society Reviews. – 2020. – Vol. 49, № 22. – P. 8065–8087.</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Szuplewska A., Kulpińska D., Dybko A., Jastrzębska A. M., Wojciechowski T., Rozmysłowska A., Chudy M., Grabowska-Jadach I., Ziemkowska W., Brzózka Z., Olszyna A. 2D Ti</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C (MXene) as a novel highly efficient and selective agent for photothermal therapy // Materials Science and Engineering: C – Materials for Biological Applications. – 2019. – Vol. 98. – P. 874–886.</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Kyrylenko S., Gogotsi O., Baginskiy I., Balitskyi V., Zahorodna V., Husak Y., Yanko I., Pernakov M., Roshchupkin A., Lyndin M., Singer B. B., Buranych V., Pogrebnjak A., Sulaieva O., Solodovnyk O., Gogotsi Y., Pogorielov M. MXene-assisted ablation of cells with a pulsed near-infrared laser // ACS Applied Materials &amp; Interfaces. – 2022. – Vol. 14, № 25. – P. 28683–28696.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Du T., Zhao S., Dong W., Ma W., Zhou X., Wang Y., Zhang M. Surface modification of carbon fiber-reinforced polyetheretherketone with MXene nanosheets for enhanced photothermal antibacterial activity and osteogenicity // ACS Biomaterials Science &amp; Engineering. – 2022. – Vol. 8, № 6. – P. 2375–2389. </w:t>
      </w:r>
      <w:hyperlink r:id="rId61" w:history="1"/>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Chang L., Huang S., Zhao X., Hu Y., Ren X., Mei X., Chen Z. Preparation of ROS active and photothermal responsive hydroxyapatite nanoplatforms for anticancer therapy // Materials Science and Engineering: C – Materials for Biological Applications. – 2021. – Vol. 125, </w:t>
      </w:r>
      <w:r w:rsidR="0043169F"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112098.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Jo G., Park Y., Park M. H., Hyun H. Near-Infrared fluorescent hydroxyapatite nanoparticles for targeted photothermal cancer therapy // Pharmaceutics. – 2023. – Vol. 15, № 5, </w:t>
      </w:r>
      <w:r w:rsidR="0043169F"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1374.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Hong H., Kim M., Lee W., Jeon M., Lee C., Kim H., Im H.-J., Piao Y. Injectable biocompatible nanocomposites of Prussian blue nanoparticles and bacterial cellulose as a safe and effective photothermal cancer therapy // Journal of Nanobiotechnology. – 2023. – Vol. 21, № 1, </w:t>
      </w:r>
      <w:r w:rsidR="0043169F"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365.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Ma J., Zhang L., Lei B. Multifunctional MXene-based bioactive materials for integrated regeneration therapy // ACS Nano. – 2023. – Vol. 17, № 20. – P. 19526–19549.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Iravani S., Varma R. S. MXenes and MXene-based materials for tissue engineering and regenerative medicine: recent advances // Materials Advances. – 2021. – Vol. 2, № 9. – P. 2906–2917. </w:t>
      </w:r>
    </w:p>
    <w:p w:rsidR="00E17FE1" w:rsidRPr="00F644EE" w:rsidRDefault="009210ED"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lastRenderedPageBreak/>
        <w:t xml:space="preserve">Zhantlessova S., Savitskaya I., Kistaubayeva A., Ignatova L., Talipova A., Pogrebnjak A., Digel I. Advanced “Green” Prebiotic Composite of Bacterial Cellulose/Pullulan Based on Synthetic Biology-Powered Microbial Coculture Strategy // Polymers. – 2022. – Vol. 14, № 15, </w:t>
      </w:r>
      <w:r w:rsidRPr="00F644EE">
        <w:rPr>
          <w:rFonts w:ascii="Times New Roman" w:hAnsi="Times New Roman" w:cs="Times New Roman"/>
          <w:sz w:val="28"/>
          <w:szCs w:val="28"/>
        </w:rPr>
        <w:t>Р</w:t>
      </w:r>
      <w:r w:rsidRPr="00F644EE">
        <w:rPr>
          <w:rFonts w:ascii="Times New Roman" w:hAnsi="Times New Roman" w:cs="Times New Roman"/>
          <w:sz w:val="28"/>
          <w:szCs w:val="28"/>
          <w:lang w:val="en-US"/>
        </w:rPr>
        <w:t>. 3224.</w:t>
      </w:r>
      <w:r w:rsidR="00BB58D7" w:rsidRPr="00F644EE">
        <w:rPr>
          <w:rFonts w:ascii="Times New Roman" w:hAnsi="Times New Roman" w:cs="Times New Roman"/>
          <w:sz w:val="28"/>
          <w:szCs w:val="28"/>
          <w:lang w:val="en-US"/>
        </w:rPr>
        <w:t xml:space="preserve"> </w:t>
      </w:r>
    </w:p>
    <w:p w:rsidR="00E17FE1" w:rsidRPr="00F644EE" w:rsidRDefault="00837BEA" w:rsidP="00837BEA">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Gromovykh T. I., Tikchonova O. A., Bardakova K. N., Lutsenko S. V., Kiselyova O. I., Feldman N. B., Gavryushina I. A., Pigaleva M. A. Elaboration of bacterial cellulose matrix for the immobilisation of Escherichia coli cells // International Journal of Nanotechnology. – 2018. – Vol. 15, № 4/5. – P. 288–300.</w:t>
      </w:r>
      <w:r w:rsidR="00BB58D7" w:rsidRPr="00F644EE">
        <w:rPr>
          <w:rFonts w:ascii="Times New Roman" w:hAnsi="Times New Roman" w:cs="Times New Roman"/>
          <w:sz w:val="28"/>
          <w:szCs w:val="28"/>
          <w:lang w:val="en-US"/>
        </w:rPr>
        <w:t xml:space="preserve">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Farag S., Asker M. S. M., Mahmoud M. G., Ibrahim H., Amr A. Comparative Study for Bacterial Cellulose Production Using Egyptian Achromobacter sp. // Research</w:t>
      </w:r>
      <w:r>
        <w:rPr>
          <w:rFonts w:ascii="Times New Roman" w:hAnsi="Times New Roman" w:cs="Times New Roman"/>
          <w:sz w:val="28"/>
          <w:szCs w:val="28"/>
          <w:lang w:val="en-US"/>
        </w:rPr>
        <w:t xml:space="preserve"> Journal of Pharmaceutical, Biological and Chemical Sciences. – 2016. – Vol. 7, № 6. – P. 954–969.</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Ghidiu M., Lukatskaya M. R., Zhao M.-Q., Gogotsi Y., Barsoum M. W. Conductive two-dimensional titanium carbide ‘clay’ with high volumetric capacitance // Nature. – 2014. – Vol. 516, № 7529. – P. 78–81.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Hassan M. U., Lee S., Mehran M. T., Shahzad F., Husnain S. M., Ryu H. J. Post-decontamination treatment of MXene after adsorbing Cs from contaminated water with the enhanced thermal stability to form a stable radioactive waste matrix // Journal of Nuclear Materials. – 2021. – Vol. 543,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152566. </w:t>
      </w:r>
    </w:p>
    <w:p w:rsidR="005C340A" w:rsidRPr="005C340A" w:rsidRDefault="00BB58D7" w:rsidP="005C340A">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Daulbayev C., Sultanov F., Aldasheva M., Abdybekova A., Bakbolat B., Shams M., Chekiyeva A., Mansurov Z. Nanofibrous biologically soluble scaffolds </w:t>
      </w:r>
      <w:r w:rsidRPr="005C340A">
        <w:rPr>
          <w:rFonts w:ascii="Times New Roman" w:hAnsi="Times New Roman" w:cs="Times New Roman"/>
          <w:sz w:val="28"/>
          <w:szCs w:val="28"/>
          <w:lang w:val="en-US"/>
        </w:rPr>
        <w:t xml:space="preserve">as an effective drug delivery system // Comptes Rendus. Chimie. – 2021. – Vol. 24, № 1. – P. 1–9. </w:t>
      </w:r>
    </w:p>
    <w:p w:rsidR="005C340A" w:rsidRPr="005C340A" w:rsidRDefault="005C340A" w:rsidP="005C340A">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Ullah H., Santos H. A., Khan T. Applications of bacterial cellulose in food, cosmetics and biomedical fields // Cellulose. – 2016. – Vol. 23. – P. 2291–2314.</w:t>
      </w:r>
    </w:p>
    <w:p w:rsidR="00E17FE1" w:rsidRPr="005C340A" w:rsidRDefault="005C340A" w:rsidP="005C340A">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ISO 17665:2024 Sterilization of health care products — Moist heat — Requirements for the development, validation and routine control of a sterilization process for medical devices. – 2024.</w:t>
      </w:r>
    </w:p>
    <w:p w:rsidR="00E17FE1" w:rsidRPr="005C340A" w:rsidRDefault="005C340A" w:rsidP="005C340A">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ISO 11135:2014 Sterilization of health-care products — Ethylene oxide — Requirements for the development, validation and routine control of a sterilization process for medical devices. – 2014.</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Stoppel W. L., White J. C., Horava S. D., Henry A. C., Roberts S. C., Bhatia S. R. Terminal sterilization of alginate hydrogels: efficacy and impact on mechanical properties // Journal of Biomedical Materials Research Part B: Applied Biomaterials. – 2014. – Vol. 102, № 4. – P. 877–884.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Tyubaeva P., Zykova A., Podmasteriev V., Olkhov A., Popov A., Iordanskii A. The investigation of the structure and properties of ozone-sterilized nonwoven biopolymer materials for medical applications // Polymers. – 2021. – Vol. 13, № 8,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1268. </w:t>
      </w:r>
      <w:hyperlink r:id="rId62" w:history="1"/>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Ribeiro N., Soares G. C., Santos-Rosales V., Concheiro A., Alvarez-Lorenzo C., García-González C. A., Oliveira A. L. A new era for sterilization based on supercritical CO</w:t>
      </w:r>
      <w:r>
        <w:rPr>
          <w:rFonts w:ascii="Cambria Math" w:hAnsi="Cambria Math" w:cs="Times New Roman"/>
          <w:sz w:val="28"/>
          <w:szCs w:val="28"/>
          <w:lang w:val="en-US"/>
        </w:rPr>
        <w:t>₂</w:t>
      </w:r>
      <w:r>
        <w:rPr>
          <w:rFonts w:ascii="Times New Roman" w:hAnsi="Times New Roman" w:cs="Times New Roman"/>
          <w:sz w:val="28"/>
          <w:szCs w:val="28"/>
          <w:lang w:val="en-US"/>
        </w:rPr>
        <w:t xml:space="preserve"> technology // Journal of Biomedical Materials Research Part B: Applied Biomaterials. – 2020. – Vol. 108, № 2. – P. 399–428. </w:t>
      </w:r>
    </w:p>
    <w:p w:rsidR="00E17FE1" w:rsidRPr="005C340A"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lastRenderedPageBreak/>
        <w:t xml:space="preserve">Karthik C., Mavelil-Sam R., Thomas S., Thomas V. Cold Plasma Technology Based Eco-Friendly Food Packaging Biomaterials // Polymers. – 2024. – Vol. 16, № 2, </w:t>
      </w:r>
      <w:r w:rsidR="0043169F">
        <w:rPr>
          <w:rFonts w:ascii="Times New Roman" w:hAnsi="Times New Roman" w:cs="Times New Roman"/>
          <w:sz w:val="28"/>
          <w:szCs w:val="28"/>
          <w:lang w:val="en-US"/>
        </w:rPr>
        <w:t xml:space="preserve">P. </w:t>
      </w:r>
      <w:r w:rsidRPr="005C340A">
        <w:rPr>
          <w:rFonts w:ascii="Times New Roman" w:hAnsi="Times New Roman" w:cs="Times New Roman"/>
          <w:sz w:val="28"/>
          <w:szCs w:val="28"/>
          <w:lang w:val="en-US"/>
        </w:rPr>
        <w:t xml:space="preserve">230. </w:t>
      </w:r>
    </w:p>
    <w:p w:rsidR="00E17FE1" w:rsidRPr="005C340A" w:rsidRDefault="005C340A" w:rsidP="005C340A">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 xml:space="preserve">CLSI M26. Methods for Determining Bactericidal Activity of Antimicrobial Agents; Approved Guideline — Second Edition. – Wayne, </w:t>
      </w:r>
      <w:proofErr w:type="gramStart"/>
      <w:r w:rsidRPr="005C340A">
        <w:rPr>
          <w:rFonts w:ascii="Times New Roman" w:hAnsi="Times New Roman" w:cs="Times New Roman"/>
          <w:sz w:val="28"/>
          <w:szCs w:val="28"/>
          <w:lang w:val="en-US"/>
        </w:rPr>
        <w:t>PA :</w:t>
      </w:r>
      <w:proofErr w:type="gramEnd"/>
      <w:r w:rsidRPr="005C340A">
        <w:rPr>
          <w:rFonts w:ascii="Times New Roman" w:hAnsi="Times New Roman" w:cs="Times New Roman"/>
          <w:sz w:val="28"/>
          <w:szCs w:val="28"/>
          <w:lang w:val="en-US"/>
        </w:rPr>
        <w:t xml:space="preserve"> CLSI, 2015.</w:t>
      </w:r>
    </w:p>
    <w:p w:rsidR="00E17FE1" w:rsidRPr="005C340A"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 xml:space="preserve">Sun Y., Dowd S. E., Smith E., Rhoads D. D., Wolcott R. D. In vitro multispecies Lubbock chronic wound biofilm model // Wound Repair and Regeneration. – 2008. – Vol. 16, № 6. – P. 805–813. </w:t>
      </w:r>
    </w:p>
    <w:p w:rsidR="00E17FE1" w:rsidRPr="005C340A"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Di Lodovico S., Petrini M., Di Fermo P., De Pasquale V., De Martino L., D’Ercole S., Nocera F. P., Di Giulio M. Staphylococcus pseudintermedius and Pseudomonas</w:t>
      </w:r>
      <w:r>
        <w:rPr>
          <w:rFonts w:ascii="Times New Roman" w:hAnsi="Times New Roman" w:cs="Times New Roman"/>
          <w:sz w:val="28"/>
          <w:szCs w:val="28"/>
          <w:lang w:val="en-US"/>
        </w:rPr>
        <w:t xml:space="preserve"> aeruginosa Lubbock Chronic Wound Biofilm (LCWB): a suitable </w:t>
      </w:r>
      <w:r w:rsidRPr="005C340A">
        <w:rPr>
          <w:rFonts w:ascii="Times New Roman" w:hAnsi="Times New Roman" w:cs="Times New Roman"/>
          <w:sz w:val="28"/>
          <w:szCs w:val="28"/>
          <w:lang w:val="en-US"/>
        </w:rPr>
        <w:t xml:space="preserve">dual-species model for in vitro studies // Microbes and Infection. – 2024. – Vol. 26, № 8, </w:t>
      </w:r>
      <w:r w:rsidR="0043169F">
        <w:rPr>
          <w:rFonts w:ascii="Times New Roman" w:hAnsi="Times New Roman" w:cs="Times New Roman"/>
          <w:sz w:val="28"/>
          <w:szCs w:val="28"/>
          <w:lang w:val="en-US"/>
        </w:rPr>
        <w:t xml:space="preserve">P. </w:t>
      </w:r>
      <w:r w:rsidRPr="005C340A">
        <w:rPr>
          <w:rFonts w:ascii="Times New Roman" w:hAnsi="Times New Roman" w:cs="Times New Roman"/>
          <w:sz w:val="28"/>
          <w:szCs w:val="28"/>
          <w:lang w:val="en-US"/>
        </w:rPr>
        <w:t xml:space="preserve">105384. </w:t>
      </w:r>
      <w:hyperlink r:id="rId63" w:history="1"/>
    </w:p>
    <w:p w:rsidR="00E17FE1" w:rsidRPr="005C340A"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 xml:space="preserve">Kučera J., Sojka M., Pavlik V., Szuszkiewicz K., Velebny V., Klein P. Multispecies biofilm in an artificial wound bed — a novel model for in vitro assessment of solid antimicrobial dressings // Journal of Microbiological Methods. – 2014. – Vol. 103. – P. 18–24. </w:t>
      </w:r>
    </w:p>
    <w:p w:rsidR="00E17FE1" w:rsidRPr="005C340A" w:rsidRDefault="005C340A" w:rsidP="005C340A">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ISO 10993-5:2023 Biological evaluation of medical devices — Part 5: Tests for in vitro cytotoxicity. – 2023.</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5C340A">
        <w:rPr>
          <w:rFonts w:ascii="Times New Roman" w:hAnsi="Times New Roman" w:cs="Times New Roman"/>
          <w:sz w:val="28"/>
          <w:szCs w:val="28"/>
          <w:lang w:val="en-US"/>
        </w:rPr>
        <w:t>Sukumaran V., Senanayake S. Bacterial skin and soft tissue infections // Australian</w:t>
      </w:r>
      <w:r>
        <w:rPr>
          <w:rFonts w:ascii="Times New Roman" w:hAnsi="Times New Roman" w:cs="Times New Roman"/>
          <w:sz w:val="28"/>
          <w:szCs w:val="28"/>
          <w:lang w:val="en-US"/>
        </w:rPr>
        <w:t xml:space="preserve"> Prescriber. – 2016. – Vol. 39, № 5. – P. 159–163.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Anderson J. G., Tosi M. F., Asbell P. A. In vitro antimicrobial efficacy of a preservative-free combination of polyquaternium-1 and myristamidopropyl dimethylamine against microorganisms associated with contact-lens-related adverse events // Journal of Cataract &amp; Refractive Surgery. – 2012. – Vol. 38, № 4. – P. 690–698.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Cao L.-L., Zhang Z.-F., Min J., Yuan D., Yu J.-Y., Yu P. Beyond bone regeneration: Hydroxyapatite’s emerging potential in advanced wound management // Materials Today Communications. – 2025. – Vol. 48,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113426.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Hu Y., Catchmark J. M. Formation and characterization of spherelike bacterial cellulose particles produced by Acetobacter xylinum JCM 9730 strain // Biomacromolecules. – 2010. – Vol. 11, № 7. – P. 1727–1734.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rPr>
      </w:pPr>
      <w:r>
        <w:rPr>
          <w:rFonts w:ascii="Times New Roman" w:hAnsi="Times New Roman" w:cs="Times New Roman"/>
          <w:sz w:val="28"/>
          <w:szCs w:val="28"/>
        </w:rPr>
        <w:t xml:space="preserve">Гладышева Е. К. Биосинтез бактериальной целлюлозы на </w:t>
      </w:r>
      <w:proofErr w:type="gramStart"/>
      <w:r>
        <w:rPr>
          <w:rFonts w:ascii="Times New Roman" w:hAnsi="Times New Roman" w:cs="Times New Roman"/>
          <w:sz w:val="28"/>
          <w:szCs w:val="28"/>
        </w:rPr>
        <w:t>ферментативном</w:t>
      </w:r>
      <w:proofErr w:type="gramEnd"/>
      <w:r>
        <w:rPr>
          <w:rFonts w:ascii="Times New Roman" w:hAnsi="Times New Roman" w:cs="Times New Roman"/>
          <w:sz w:val="28"/>
          <w:szCs w:val="28"/>
        </w:rPr>
        <w:t xml:space="preserve"> гидролизате технической целлюлозы из плодовых оболочек овса // Известия вузов. Прикладная химия и биотехнология. – 2017. – Vol. 7, № 1. – P. 140–146.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Ul-Islam M., Khan T., Park J. K. Water holding and release properties of bacterial cellulose obtained by different methods of production // Carbohydrate Polymers. – 2012. – Vol. 88, № 2. – P. 596–603.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Chen G., Wu G., Chen L., Wang W., Hong Y., Lin X., Chen J., Yang Y. Recent advances in bacterial cellulose production and its biomedical applications // Microbial Biotechnology. – 2022. – Vol. 15, № 6. – P. 1721–1746.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Mohammadkazemi F., Doosthoseini K., Azin M. Effect of ethanol and medium on bacterial cellulose production by Gluconacetobacter xylinus (PTCC 1734) // Cellulose Chemistry and Technology. – 2015. – Vol. 49, № 5–6. – P. 455–462.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Montenegro-Silva P., Ellis T., Dourado F., Gama M., Domingues L. Enhanced bacterial cellulose production in Komagataeibacter sucrofermentans: impact of different PQQ-dependent dehydrogenase knockouts and ethanol supplementation // Biotechnology for Biofuels and Bioproducts. – 2024. – Vol. 17, № 1,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35.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Hong F., Qiu K. An alternative carbon source from konjac powder for enhancing production of bacterial cellulose in static cultures by a model strain Acetobacter aceti subsp. xylinus ATCC 23770 // Carbohydrate Polymers. – 2008. – Vol. 72, № 3. – P. 545–549.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Vázquez A., Foresti M. L., Cerrutti P., Galvagno M. A. Bacterial cellulose from simple and low-cost production media by Gluconacetobacter xylinus // Journal of Polymers and the Environment. – 2013. – Vol. 21, № 2. – P. 545–554.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 Z., Wang L., Hua J., Jia S., Zhang J., Liu H. Production of nano bacterial cellulose from waste water of candied jujube-processing industry using Acetobacter xylinum // Carbohydrate Polymers. – 2015. – Vol. 120. – P. 115–119.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Huang C., Yang X.-Y., Xiong L., Guo H.-J., Luo J., Wang B., Zhang H.-R., Lin X.-Q., Chen X.-D. Evaluating the possibility of using acetone-butanol-ethanol (ABE) fermentation wastewater for bacterial cellulose production by Gluconacetobacter xylinus // Letters in Applied Microbiology. – 2015. – Vol. 60, № 5. – P. 491–496.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Revin V. V., Dolganov A. V., Liyaskina E. V., Nazarova N. B., Balandina A. V., Devyataeva A. A., Revin V. D. Characterizing bacterial cellulose produced by Komagataeibacter sucrofermentans H-110 on molasses medium and obtaining a biocomposite based on it for the adsorption of fluoride // Polymers. – 2021. – Vol. 13, № 9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1422.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Keshk S. M. A. S., Razek T. M. A., Sameshima K. Bacterial cellulose production from beet molasses // African Journal of Biotechnology. – 2006. – Vol. 5, № 17 – P. 1519–1523.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Barshan S., Rezazadeh-Bari M., Almasi H., Amiri S. Optimization and </w:t>
      </w:r>
      <w:r w:rsidRPr="00F644EE">
        <w:rPr>
          <w:rFonts w:ascii="Times New Roman" w:hAnsi="Times New Roman" w:cs="Times New Roman"/>
          <w:sz w:val="28"/>
          <w:szCs w:val="28"/>
          <w:lang w:val="en-US"/>
        </w:rPr>
        <w:t xml:space="preserve">characterization of bacterial cellulose produced by Komagataeibacter xylinus PTCC 1734 using vinasse as a cheap cultivation medium // International Journal of Biological Macromolecules. – 2019. – Vol. 136 – P. 1188–1195.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Kumar U. V., Narayanasamy S., Uthandi S. Bacterial cellulose: A comprehensive review on biosynthesis, sustainable production, and multifaceted industrial applications // Food and Bioprocess Technology. – 2025. – Vol. 18, No. 3 – P. 153–174.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Shokatayeva D., Ignatova L., Savitskaya I., Kistaubaeva A., Talipova A., et al. Bacterial cellulose and pullulan from simple and low cost production media // Eurasian Chemico-Technological</w:t>
      </w:r>
      <w:r>
        <w:rPr>
          <w:rFonts w:ascii="Times New Roman" w:hAnsi="Times New Roman" w:cs="Times New Roman"/>
          <w:sz w:val="28"/>
          <w:szCs w:val="28"/>
          <w:lang w:val="en-US"/>
        </w:rPr>
        <w:t xml:space="preserve"> Journal. – 2019. – Vol. 21, No. 3 – P. 247–258.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Heydorn R. L., Lammers D., Gottschling M., Dohnt K. Effect of food industry by-products on bacterial cellulose production and its structural properties // Cellulose. – 2023. – Vol. 30 – P. 4159–4179.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Sharma A., Thakur M., Bhattacharya M., Mandal T., Goswami S. Commercial application of cellulose nano-composites – a review // Biotechnology Reports. – 2019. – Vol. 21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e00316.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Quijano L., Rodrigues R., Fischer D., Tovar-Castro J. D., Payne A., Navone L., Hu Y., Yan H., Pinmanee P., Poon E., Yang J. H., Barro E. Bacterial cellulose cookbook: a systematic review on sustainable and cost-effective substrates // Journal of Bioresources and Bioproducts. – 2024. – Vol. 9, No. 4 – P. 379–409.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Ye S., Liu J., Zhang X., Wang H., Li Y., Zhang T. MXene: A wonderful nanomaterial in antibacterial // Frontiers in Bioengineering and Biotechnology. – 2024. – Vol. 12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1338539.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Zarepour A., Rafati N., Khosravi A., Rabiee N., Iravani S., Zarrabi A. MXene-based composites in smart wound healing and dressings // Nanoscale Advances. – 2024. – Vol. 6 – P. 3513–3532.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Jia X.-T., Xing H.-W., Cheng X.-W., Zhang Z.-H., Wang Q., Zhou J.-Z., He Y.-Y., Li W.-J. Two-Dimensional Nanostructured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Tₓ MXene for Ceramic Materials: Preparation an</w:t>
      </w:r>
      <w:r w:rsidR="00667C90">
        <w:rPr>
          <w:rFonts w:ascii="Times New Roman" w:hAnsi="Times New Roman" w:cs="Times New Roman"/>
          <w:sz w:val="28"/>
          <w:szCs w:val="28"/>
          <w:lang w:val="en-US"/>
        </w:rPr>
        <w:t>d Applications // Nanomaterials</w:t>
      </w:r>
      <w:r>
        <w:rPr>
          <w:rFonts w:ascii="Times New Roman" w:hAnsi="Times New Roman" w:cs="Times New Roman"/>
          <w:sz w:val="28"/>
          <w:szCs w:val="28"/>
          <w:lang w:val="en-US"/>
        </w:rPr>
        <w:t xml:space="preserve">. – 2025. – Vol. 15, № 3.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204.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Liew J., Bashir S., Ramesh K., Ramesh S. R. A comprehensive characterisation of titanium carbide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 MXene with hydrothermal-assisted in-situ hydrofluoric acid etching // Materials Science and Engineering: B. – 2025. – Vol. 314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118076.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Urbankowski P., Anasori B., Makaryan T., Er D., Kota S., Walsh P. L., Zhao M., Shenoy V. B., Barsoum M. W., Gogotsi Y. Synthesis of two-dimensional titanium nitride Ti</w:t>
      </w:r>
      <w:r>
        <w:rPr>
          <w:rFonts w:ascii="Cambria Math" w:hAnsi="Cambria Math" w:cs="Times New Roman"/>
          <w:sz w:val="28"/>
          <w:szCs w:val="28"/>
          <w:lang w:val="en-US"/>
        </w:rPr>
        <w:t>₄</w:t>
      </w:r>
      <w:r>
        <w:rPr>
          <w:rFonts w:ascii="Times New Roman" w:hAnsi="Times New Roman" w:cs="Times New Roman"/>
          <w:sz w:val="28"/>
          <w:szCs w:val="28"/>
          <w:lang w:val="en-US"/>
        </w:rPr>
        <w:t>N</w:t>
      </w:r>
      <w:r>
        <w:rPr>
          <w:rFonts w:ascii="Cambria Math" w:hAnsi="Cambria Math" w:cs="Times New Roman"/>
          <w:sz w:val="28"/>
          <w:szCs w:val="28"/>
          <w:lang w:val="en-US"/>
        </w:rPr>
        <w:t>₃</w:t>
      </w:r>
      <w:r>
        <w:rPr>
          <w:rFonts w:ascii="Times New Roman" w:hAnsi="Times New Roman" w:cs="Times New Roman"/>
          <w:sz w:val="28"/>
          <w:szCs w:val="28"/>
          <w:lang w:val="en-US"/>
        </w:rPr>
        <w:t xml:space="preserve"> (MXene) // Nanoscale. – 2016. – Vol. 8, No. 22 – P. 11385–11391.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Wang Z., Zhou W., Yang H., Wang L., Li X., Zhou Z. MXenes: next-generation 2D nanomaterials for effective antimicrobial applications // Chemical Engineering Journal. – 2025. – Vol. 516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163681.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Miao L., Wang C., Hou J., Wang P., Xu Y., et al. Aggregation and removal of copper oxide (CuO) nanoparticles in wastewater environment and their effects on the microbial activities of wastewater biofilms // Bioresource Technology. – 2016. – Vol. 216 – P. 537–544. </w:t>
      </w:r>
      <w:hyperlink r:id="rId64" w:history="1"/>
    </w:p>
    <w:p w:rsidR="00CB44A1" w:rsidRDefault="00BB58D7" w:rsidP="00CB44A1">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Masih A., Tripathi S., Raj V. S., Thakur O. P. Optimum ultrasonication </w:t>
      </w:r>
      <w:r w:rsidRPr="00CB44A1">
        <w:rPr>
          <w:rFonts w:ascii="Times New Roman" w:hAnsi="Times New Roman" w:cs="Times New Roman"/>
          <w:sz w:val="28"/>
          <w:szCs w:val="28"/>
          <w:lang w:val="en-US"/>
        </w:rPr>
        <w:t>duration for effective antimicrobial activity of Ti</w:t>
      </w:r>
      <w:r w:rsidRPr="00CB44A1">
        <w:rPr>
          <w:rFonts w:ascii="Cambria Math" w:hAnsi="Cambria Math" w:cs="Times New Roman"/>
          <w:sz w:val="28"/>
          <w:szCs w:val="28"/>
          <w:lang w:val="en-US"/>
        </w:rPr>
        <w:t>₃</w:t>
      </w:r>
      <w:r w:rsidRPr="00CB44A1">
        <w:rPr>
          <w:rFonts w:ascii="Times New Roman" w:hAnsi="Times New Roman" w:cs="Times New Roman"/>
          <w:sz w:val="28"/>
          <w:szCs w:val="28"/>
          <w:lang w:val="en-US"/>
        </w:rPr>
        <w:t>C</w:t>
      </w:r>
      <w:r w:rsidRPr="00CB44A1">
        <w:rPr>
          <w:rFonts w:ascii="Cambria Math" w:hAnsi="Cambria Math" w:cs="Times New Roman"/>
          <w:sz w:val="28"/>
          <w:szCs w:val="28"/>
          <w:lang w:val="en-US"/>
        </w:rPr>
        <w:t>₂</w:t>
      </w:r>
      <w:r w:rsidRPr="00CB44A1">
        <w:rPr>
          <w:rFonts w:ascii="Times New Roman" w:hAnsi="Times New Roman" w:cs="Times New Roman"/>
          <w:sz w:val="28"/>
          <w:szCs w:val="28"/>
          <w:lang w:val="en-US"/>
        </w:rPr>
        <w:t xml:space="preserve">-MXene // Materials Chemistry and Physics. – 2024. – Vol. 328 – </w:t>
      </w:r>
      <w:r w:rsidR="0043169F" w:rsidRPr="00CB44A1">
        <w:rPr>
          <w:rFonts w:ascii="Times New Roman" w:hAnsi="Times New Roman" w:cs="Times New Roman"/>
          <w:sz w:val="28"/>
          <w:szCs w:val="28"/>
          <w:lang w:val="en-US"/>
        </w:rPr>
        <w:t xml:space="preserve">P. </w:t>
      </w:r>
      <w:r w:rsidRPr="00CB44A1">
        <w:rPr>
          <w:rFonts w:ascii="Times New Roman" w:hAnsi="Times New Roman" w:cs="Times New Roman"/>
          <w:sz w:val="28"/>
          <w:szCs w:val="28"/>
          <w:lang w:val="en-US"/>
        </w:rPr>
        <w:t xml:space="preserve">129979. </w:t>
      </w:r>
    </w:p>
    <w:p w:rsidR="00E17FE1" w:rsidRPr="00CB44A1" w:rsidRDefault="00BB58D7" w:rsidP="00CB44A1">
      <w:pPr>
        <w:numPr>
          <w:ilvl w:val="0"/>
          <w:numId w:val="5"/>
        </w:numPr>
        <w:spacing w:after="0" w:line="240" w:lineRule="auto"/>
        <w:ind w:firstLineChars="142" w:firstLine="398"/>
        <w:jc w:val="both"/>
        <w:rPr>
          <w:rFonts w:ascii="Times New Roman" w:hAnsi="Times New Roman" w:cs="Times New Roman"/>
          <w:sz w:val="28"/>
          <w:szCs w:val="28"/>
          <w:lang w:val="en-US"/>
        </w:rPr>
      </w:pPr>
      <w:r w:rsidRPr="00CB44A1">
        <w:rPr>
          <w:rFonts w:ascii="Times New Roman" w:hAnsi="Times New Roman" w:cs="Times New Roman"/>
          <w:sz w:val="28"/>
          <w:szCs w:val="28"/>
          <w:lang w:val="en-US"/>
        </w:rPr>
        <w:t>Alsafari I. A., Munir S., Zulfiqar S., Saif M. S., Warsi M. F., Shahid M. Synthesis, characterization, photocatalytic and antibacterial properties of copper ferrite/MXene (CuFe</w:t>
      </w:r>
      <w:r w:rsidRPr="00CB44A1">
        <w:rPr>
          <w:rFonts w:ascii="Cambria Math" w:hAnsi="Cambria Math" w:cs="Times New Roman"/>
          <w:sz w:val="28"/>
          <w:szCs w:val="28"/>
          <w:lang w:val="en-US"/>
        </w:rPr>
        <w:t>₂</w:t>
      </w:r>
      <w:r w:rsidRPr="00CB44A1">
        <w:rPr>
          <w:rFonts w:ascii="Times New Roman" w:hAnsi="Times New Roman" w:cs="Times New Roman"/>
          <w:sz w:val="28"/>
          <w:szCs w:val="28"/>
          <w:lang w:val="en-US"/>
        </w:rPr>
        <w:t>O</w:t>
      </w:r>
      <w:r w:rsidRPr="00CB44A1">
        <w:rPr>
          <w:rFonts w:ascii="Cambria Math" w:hAnsi="Cambria Math" w:cs="Times New Roman"/>
          <w:sz w:val="28"/>
          <w:szCs w:val="28"/>
          <w:lang w:val="en-US"/>
        </w:rPr>
        <w:t>₄</w:t>
      </w:r>
      <w:r w:rsidRPr="00CB44A1">
        <w:rPr>
          <w:rFonts w:ascii="Times New Roman" w:hAnsi="Times New Roman" w:cs="Times New Roman"/>
          <w:sz w:val="28"/>
          <w:szCs w:val="28"/>
          <w:lang w:val="en-US"/>
        </w:rPr>
        <w:t>/Ti</w:t>
      </w:r>
      <w:r w:rsidRPr="00CB44A1">
        <w:rPr>
          <w:rFonts w:ascii="Cambria Math" w:hAnsi="Cambria Math" w:cs="Times New Roman"/>
          <w:sz w:val="28"/>
          <w:szCs w:val="28"/>
          <w:lang w:val="en-US"/>
        </w:rPr>
        <w:t>₃</w:t>
      </w:r>
      <w:r w:rsidRPr="00CB44A1">
        <w:rPr>
          <w:rFonts w:ascii="Times New Roman" w:hAnsi="Times New Roman" w:cs="Times New Roman"/>
          <w:sz w:val="28"/>
          <w:szCs w:val="28"/>
          <w:lang w:val="en-US"/>
        </w:rPr>
        <w:t>C</w:t>
      </w:r>
      <w:r w:rsidRPr="00CB44A1">
        <w:rPr>
          <w:rFonts w:ascii="Cambria Math" w:hAnsi="Cambria Math" w:cs="Times New Roman"/>
          <w:sz w:val="28"/>
          <w:szCs w:val="28"/>
          <w:lang w:val="en-US"/>
        </w:rPr>
        <w:t>₂</w:t>
      </w:r>
      <w:r w:rsidRPr="00CB44A1">
        <w:rPr>
          <w:rFonts w:ascii="Times New Roman" w:hAnsi="Times New Roman" w:cs="Times New Roman"/>
          <w:sz w:val="28"/>
          <w:szCs w:val="28"/>
          <w:lang w:val="en-US"/>
        </w:rPr>
        <w:t xml:space="preserve">) nanohybrids // Ceramics International. – 2021. – Vol. 47, № 20 – P. 28874–28883. </w:t>
      </w:r>
    </w:p>
    <w:p w:rsidR="00E17FE1" w:rsidRPr="00CB44A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CB44A1">
        <w:rPr>
          <w:rFonts w:ascii="Times New Roman" w:hAnsi="Times New Roman" w:cs="Times New Roman"/>
          <w:sz w:val="28"/>
          <w:szCs w:val="28"/>
          <w:lang w:val="en-US"/>
        </w:rPr>
        <w:lastRenderedPageBreak/>
        <w:t xml:space="preserve">Akhter R., Maktedar S. S. MXenes: A comprehensive review of synthesis, properties, and progress in supercapacitor applications // Journal of Materiomics. – 2023. – Vol. 9, № 6 – P. 1196–1241. </w:t>
      </w:r>
    </w:p>
    <w:p w:rsidR="00E17FE1" w:rsidRDefault="00CB44A1" w:rsidP="00CB44A1">
      <w:pPr>
        <w:numPr>
          <w:ilvl w:val="0"/>
          <w:numId w:val="5"/>
        </w:numPr>
        <w:spacing w:after="0" w:line="240" w:lineRule="auto"/>
        <w:ind w:firstLineChars="142" w:firstLine="398"/>
        <w:jc w:val="both"/>
        <w:rPr>
          <w:rFonts w:ascii="Times New Roman" w:hAnsi="Times New Roman" w:cs="Times New Roman"/>
          <w:sz w:val="28"/>
          <w:szCs w:val="28"/>
          <w:lang w:val="en-US"/>
        </w:rPr>
      </w:pPr>
      <w:r w:rsidRPr="00CB44A1">
        <w:rPr>
          <w:rFonts w:ascii="Times New Roman" w:hAnsi="Times New Roman" w:cs="Times New Roman"/>
          <w:sz w:val="28"/>
          <w:szCs w:val="28"/>
          <w:lang w:val="en-US"/>
        </w:rPr>
        <w:t xml:space="preserve">Saju D. M., Sapna R., Deka U., Hareesh K. MXene material for supercapacitor applications: A comprehensive review on properties, synthesis and machine learning for supercapacitance performance prediction // Journal of Power Sources. – 2025. – Vol. 647. – </w:t>
      </w:r>
      <w:r>
        <w:rPr>
          <w:rFonts w:ascii="Times New Roman" w:hAnsi="Times New Roman" w:cs="Times New Roman"/>
          <w:sz w:val="28"/>
          <w:szCs w:val="28"/>
          <w:lang w:val="en-US"/>
        </w:rPr>
        <w:t>P</w:t>
      </w:r>
      <w:r w:rsidRPr="00CB44A1">
        <w:rPr>
          <w:rFonts w:ascii="Times New Roman" w:hAnsi="Times New Roman" w:cs="Times New Roman"/>
          <w:sz w:val="28"/>
          <w:szCs w:val="28"/>
          <w:lang w:val="en-US"/>
        </w:rPr>
        <w:t>. 237302.</w:t>
      </w:r>
      <w:r w:rsidR="00BB58D7">
        <w:rPr>
          <w:rFonts w:ascii="Times New Roman" w:hAnsi="Times New Roman" w:cs="Times New Roman"/>
          <w:sz w:val="28"/>
          <w:szCs w:val="28"/>
          <w:lang w:val="en-US"/>
        </w:rPr>
        <w:t xml:space="preserve">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Malchik F., Maldybayev K., Kan T., Kokhmetova S., Chae M. S., Kurbatov A., Galeyeva A., Kaupbay O., Nimkar A., Bergman G., Levi N., Zhang H., Jin Q., Lin Z., Shpigel N., Mandler D. Boosting the capacity of MXene electrodes in neutral aqueous electrolytes // Cell Reports Physical Science. – 2023. – Vol. 4, No. 7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101507. </w:t>
      </w:r>
    </w:p>
    <w:p w:rsidR="00C538A0" w:rsidRDefault="00C538A0" w:rsidP="00C538A0">
      <w:pPr>
        <w:numPr>
          <w:ilvl w:val="0"/>
          <w:numId w:val="5"/>
        </w:numPr>
        <w:spacing w:after="0" w:line="240" w:lineRule="auto"/>
        <w:ind w:firstLineChars="142" w:firstLine="398"/>
        <w:jc w:val="both"/>
        <w:rPr>
          <w:rFonts w:ascii="Times New Roman" w:hAnsi="Times New Roman" w:cs="Times New Roman"/>
          <w:sz w:val="28"/>
          <w:szCs w:val="28"/>
          <w:lang w:val="en-US"/>
        </w:rPr>
      </w:pPr>
      <w:r w:rsidRPr="00C538A0">
        <w:rPr>
          <w:rFonts w:ascii="Times New Roman" w:hAnsi="Times New Roman" w:cs="Times New Roman"/>
          <w:sz w:val="28"/>
          <w:szCs w:val="28"/>
          <w:lang w:val="en-US"/>
        </w:rPr>
        <w:t xml:space="preserve">Wu J., Yu Yanyan, Su Gaoxing. Safety Assessment of 2D MXenes: In Vitro and In Vivo // Nanomaterials. – 2022. – Vol. 12, № 5. – Art. 828. </w:t>
      </w:r>
    </w:p>
    <w:p w:rsidR="0043169F" w:rsidRDefault="00BB58D7" w:rsidP="00C538A0">
      <w:pPr>
        <w:numPr>
          <w:ilvl w:val="0"/>
          <w:numId w:val="5"/>
        </w:numPr>
        <w:spacing w:after="0" w:line="240" w:lineRule="auto"/>
        <w:ind w:firstLineChars="142" w:firstLine="398"/>
        <w:jc w:val="both"/>
        <w:rPr>
          <w:rFonts w:ascii="Times New Roman" w:hAnsi="Times New Roman" w:cs="Times New Roman"/>
          <w:sz w:val="28"/>
          <w:szCs w:val="28"/>
          <w:lang w:val="en-US"/>
        </w:rPr>
      </w:pPr>
      <w:r w:rsidRPr="0043169F">
        <w:rPr>
          <w:rFonts w:ascii="Times New Roman" w:hAnsi="Times New Roman" w:cs="Times New Roman"/>
          <w:sz w:val="28"/>
          <w:szCs w:val="28"/>
          <w:lang w:val="en-US"/>
        </w:rPr>
        <w:t xml:space="preserve">Zhang Y., Liu X., Wang J., Chen H., Li Z., Zhao Y. Photothermal-enhanced antibacterial activity of MXene-based nanocomposites for biomedical applications // Nanoscale. – 2024. </w:t>
      </w:r>
    </w:p>
    <w:p w:rsidR="00E17FE1" w:rsidRPr="0043169F"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43169F">
        <w:rPr>
          <w:rFonts w:ascii="Times New Roman" w:hAnsi="Times New Roman" w:cs="Times New Roman"/>
          <w:sz w:val="28"/>
          <w:szCs w:val="28"/>
          <w:lang w:val="en-US"/>
        </w:rPr>
        <w:t xml:space="preserve">Li T., Qiang W., Lei B. Bioactive surface-functionalized MXenes for biomedicine // Nanoscale. – 2025. – Vol. 17, № 9 – P. 4854–4891.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Yelten-Yilmaz A., Yilmaz S. Wet chemical precipitation synthesis of hydroxyapatite (HA) powders // Ceramics International. – 2018. – Vol. 44, № 8 – P. 9703–9710.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Prakasam V. P. A., Rajasree S. R. Extraction and characterization of biogenic nano-calcium derived from Daysciaena albida and Otolithes ruber: potential applications // Food Technology and Biotechnology. – 2025. – Vol. 63, No. 1 – P. 74–82.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Etinosa P. O., Osuchukwu O. A., Anisiji E. O., Lawal M. Y., Mohammed S. A., Ibitoye O. I., Oni P. G., Aderibigbe V. D., Aina T., Oyebode D., Nwigbo S. C. In-depth review of synthesis of hydroxyapatite biomaterials from natural resources and chemical reagents for biomedical applications // Arabian Journal of Chemistry. – 2024. – Vol. 17, No. 12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106010.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Perotti G. F., Barud H. S., Messaddeq Y., Ribeiro S. J. L., Constantino V. R. Bacterial cellulose–Laponite clay nanocomposites // Polymer. – 2011. – Vol. 52, № 1 – P. 157–163.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Huang-Chan Huang, Li-Chen Chen, Shih-Bin Lin, Chieh-Ping Hsu, Hui-Huang Chen. In situ modification of bacterial cellulose network structure by adding interfering substances during fermentation // Bioresource Technology. – 2010. – Vol. 101, № 15 – P. 6084–6091.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Shin Ping Lin, Iris Loira Calvar, Jeffrey M. Catchmark, Je-Ruei Liu, Ali Demirci, Kuan-Chen Cheng. Biosynthesis, production and applications of bacterial cellulose // Cellulose. – 2013. – Vol. 20, № 5 – P. 2191–2219.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Hu W., Chen S., Yang J., Li Z., Wang H. Functionalized bacterial cellulose derivatives and nanocomposites // Carbohydrate Polymers. – 2014. – Vol. 101 – P. 1043–1060.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Challa A. A., Saha N., Zhivkova T., Alexandrova R., Saha P. Bacterial cellulose/graphene oxide/hydroxyapatite biocomposite: a scaffold from sustainable sources for bone tissue engineering // ACS Applied Materials &amp; Interfaces. – 2025. – Vol. 17, № 1. – P. 572–582.</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Ramani D., Sastry T. P. Bacterial cellulose-reinforced hydroxyapatite functionalized graphene oxide: a potential osteoinductive composite // Cellulose. – 2014. – Vol. 21, № 5. – P. 3585–3595.</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Wang J., Wan Y., Han J., Lei X., Yan T., Gao C. Nanocomposite prepared by immobilising gelatin and hydroxyapatite on bacterial cellulose nanofibres // Micro &amp; Nano Letters. – 2011. – Vol. 6, № 3. – P. 133–136.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Zimmermann K. A., LeBlanc J. M., Sheets K. T., Fox R. W., Gatenholm P. Biomimetic design of a bacterial cellulose/hydroxyapatite nanocomposite for bone healing applications // Materials Science and Engineering: C. – 2011. – Vol. 31, № 1 – P. 43–49.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Hutchens S. A., Benson R. S., Evans B. R., Rawn C. J., O’Neill H. A resorbable calcium-deficient hydroxyapatite hydrogel composite for osseous regeneration // Cellulose. – 2009. – Vol. 16, № 5 – P. 887–898.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Nicoara A. I., Stoica A. E., Ene D.-I., Vasile B. S., Holban A. M., Neacsu I. A. In Situ and Ex Situ Designed Hydroxyapatite: Bacterial Cellulose Materials with Biome</w:t>
      </w:r>
      <w:r w:rsidR="00667C90">
        <w:rPr>
          <w:rFonts w:ascii="Times New Roman" w:hAnsi="Times New Roman" w:cs="Times New Roman"/>
          <w:sz w:val="28"/>
          <w:szCs w:val="28"/>
          <w:lang w:val="en-US"/>
        </w:rPr>
        <w:t>dical Applications // Materials</w:t>
      </w:r>
      <w:r>
        <w:rPr>
          <w:rFonts w:ascii="Times New Roman" w:hAnsi="Times New Roman" w:cs="Times New Roman"/>
          <w:sz w:val="28"/>
          <w:szCs w:val="28"/>
          <w:lang w:val="en-US"/>
        </w:rPr>
        <w:t xml:space="preserve">. – 2020. – Vol. 13, № 21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4793.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Orelma H., Morales L. O., Johansson L. S., Hoeger I. C., Filpponen I., Castro C., Rojas O. J., Laine J. Affibody conjugation onto bacterial cellulose tubes and bioseparation of human serum albumin // RSC Advances. – 2014. – Vol. 4, № 93 – P. 51440–51450.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Wang J., Wan Y., Huang Y. Immobilisation of heparin on bacterial </w:t>
      </w:r>
      <w:r w:rsidRPr="00F644EE">
        <w:rPr>
          <w:rFonts w:ascii="Times New Roman" w:hAnsi="Times New Roman" w:cs="Times New Roman"/>
          <w:sz w:val="28"/>
          <w:szCs w:val="28"/>
          <w:lang w:val="en-US"/>
        </w:rPr>
        <w:t xml:space="preserve">cellulose-chitosan nano-fibres surfaces via the cross-linking technique // IET Nanobiotechnology. – 2012. – Vol. 6, № 2 – P. 52-57.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Talipova A., Kistaubayeva A., Pogrebnjak A., Turlybekuly A., Savitskaya I., Saidildina S. Features of Bacterial Cellulose Hydroxyapatite Nanocomposites Obtained by Two Different Techniques // Nanomaterials in Biomedical Application and Biosensors (NAP-2019). Springer Proceedings in Physics, Springer, Singapore. – 2020. - Vol. 244. - P.161-167.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rPr>
      </w:pPr>
      <w:r w:rsidRPr="00F644EE">
        <w:rPr>
          <w:rFonts w:ascii="Times New Roman" w:hAnsi="Times New Roman" w:cs="Times New Roman"/>
          <w:sz w:val="28"/>
          <w:szCs w:val="28"/>
          <w:lang w:val="kk-KZ"/>
        </w:rPr>
        <w:t xml:space="preserve">Turlybekuly A., Sagidugumar A., Otarov Y., Magazov N., Pogrebnjak A., Savitskaya I., Akatan K., Kistaubayeva A. </w:t>
      </w:r>
      <w:r w:rsidRPr="00F644EE">
        <w:rPr>
          <w:rFonts w:ascii="Times New Roman" w:hAnsi="Times New Roman" w:cs="Times New Roman"/>
          <w:sz w:val="28"/>
          <w:szCs w:val="28"/>
          <w:lang w:val="en-US"/>
        </w:rPr>
        <w:t xml:space="preserve">, Talipova A. Bacterial Cellulose/Hydroxyapatite Printed Scaffolds for Bone Engineering // Nanomaterials in Biomedical Application and Biosensors (NAP-2019). </w:t>
      </w:r>
      <w:r w:rsidRPr="00F644EE">
        <w:rPr>
          <w:rFonts w:ascii="Times New Roman" w:hAnsi="Times New Roman" w:cs="Times New Roman"/>
          <w:sz w:val="28"/>
          <w:szCs w:val="28"/>
        </w:rPr>
        <w:t>Springer Proceedings in Physics, Springer, Singapore. – 2020. -Vol. 244. - P. 1-7.</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Abu Hasan N. S., Mohamad S., Sy Mohamad S. F., Arzmi M. H., Supian N. N. I. Ex-situ development and characterization of composite film based on bacterial cellulose derived from oil palm frond juice and chitosan as food packaging // Pertanika Journal of Science &amp; Technology. – 2023. – Vol. 31, № 3.</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Casals E., Gusta M. F., Bastus N., Rello J., Puntes V. Silver Nanoparticles and Antibiotics: A Promising Synergistic Approach to Multidrug-Resistant Infections // Microorganisms. – 2025. – Vol. 13, № 4 – </w:t>
      </w:r>
      <w:r w:rsidR="0043169F"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952.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lastRenderedPageBreak/>
        <w:t xml:space="preserve">Sukhodub L. F., Pogrebnjak A. D., Sukhodub L. B., Sagidugumar A., Kistaubayeva A. S., Savitskaya I. S., Talipova A., Sadibekov A., Kantay N., Akatan K., Turlybekuly A. Antibacterial and physical characteristics of silver-loaded hydroxyapatite/alginate composites // Functional Composites and Structures. – 2021. – Vol. 3, № 4 – </w:t>
      </w:r>
      <w:r w:rsidR="0043169F"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045010.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Wang C., Wang X., Zhang L., Yin L. MXene for high energy and power density: a perspective // JPhys Energy. – 2020. – Vol. 2, № 4 – </w:t>
      </w:r>
      <w:r w:rsidR="00667C90"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041002.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Pogrebnjak A. D., Smyrnova K. V., Talipova A. B. MXenes for environmental applications // Eurasian Journal of Ecology. – 2022. – № 1(70). – P. 16–23.</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Chen K., Qiu N., Deng Q., Kang M. H., Yang H., Baek J. U., Koh Y. H., Du S., Huang Q., Kim H. E. Cytocompatibility of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AlC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Ti</w:t>
      </w:r>
      <w:r w:rsidRPr="00F644EE">
        <w:rPr>
          <w:rFonts w:ascii="Cambria Math" w:hAnsi="Cambria Math" w:cs="Times New Roman"/>
          <w:sz w:val="28"/>
          <w:szCs w:val="28"/>
          <w:lang w:val="en-US"/>
        </w:rPr>
        <w:t>₃</w:t>
      </w:r>
      <w:r w:rsidRPr="00F644EE">
        <w:rPr>
          <w:rFonts w:ascii="Times New Roman" w:hAnsi="Times New Roman" w:cs="Times New Roman"/>
          <w:sz w:val="28"/>
          <w:szCs w:val="28"/>
          <w:lang w:val="en-US"/>
        </w:rPr>
        <w:t>SiC</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and Ti</w:t>
      </w:r>
      <w:r w:rsidRPr="00F644EE">
        <w:rPr>
          <w:rFonts w:ascii="Cambria Math" w:hAnsi="Cambria Math" w:cs="Times New Roman"/>
          <w:sz w:val="28"/>
          <w:szCs w:val="28"/>
          <w:lang w:val="en-US"/>
        </w:rPr>
        <w:t>₂</w:t>
      </w:r>
      <w:r w:rsidRPr="00F644EE">
        <w:rPr>
          <w:rFonts w:ascii="Times New Roman" w:hAnsi="Times New Roman" w:cs="Times New Roman"/>
          <w:sz w:val="28"/>
          <w:szCs w:val="28"/>
          <w:lang w:val="en-US"/>
        </w:rPr>
        <w:t xml:space="preserve">AlN: In Vitro Tests and First-Principles Calculations // ACS Biomaterials Science &amp; Engineering. – 2017. – Vol. 3, № 10. – P. 2293–2301.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Vasil’kov A., Budnikov A., Gromovykh</w:t>
      </w:r>
      <w:r>
        <w:rPr>
          <w:rFonts w:ascii="Times New Roman" w:hAnsi="Times New Roman" w:cs="Times New Roman"/>
          <w:sz w:val="28"/>
          <w:szCs w:val="28"/>
          <w:lang w:val="en-US"/>
        </w:rPr>
        <w:t xml:space="preserve"> T., Pigaleva M., Sadykova V., Arkharova N., Naumkin A. Effect of bacterial cellulose plasma treatment on the biological activity of Ag nanoparticles deposited using magnetro</w:t>
      </w:r>
      <w:r w:rsidR="00667C90">
        <w:rPr>
          <w:rFonts w:ascii="Times New Roman" w:hAnsi="Times New Roman" w:cs="Times New Roman"/>
          <w:sz w:val="28"/>
          <w:szCs w:val="28"/>
          <w:lang w:val="en-US"/>
        </w:rPr>
        <w:t>n deposition // Polymers</w:t>
      </w:r>
      <w:r>
        <w:rPr>
          <w:rFonts w:ascii="Times New Roman" w:hAnsi="Times New Roman" w:cs="Times New Roman"/>
          <w:sz w:val="28"/>
          <w:szCs w:val="28"/>
          <w:lang w:val="en-US"/>
        </w:rPr>
        <w:t xml:space="preserve">. – 2022. – Vol. 14, № 18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3907.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Gomes G. C., Borghi F. F., Ospina R. O., López E. O., Borges F. O., Mello A. Nd:YAG (532 nm) pulsed laser deposition produces crystalline hydroxyapatite thin coatings at room temperature // Surface and Coatings Technology. – 2017. – Vol. 329 – P. 174–183.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Yuan K., Hao P., Hu X., Zhang J., Zhou Y. Experimental and computational studies on S-decorated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 MXene as anode material in Li-ion batteries // Journal of Materials Science. – 2022. – Vol. 57 – P. 7001–7011.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Natu V., Benchakar M., Canaff C., Habrioux A., Célérier S., Barsoum M. W. A critical analysis of the X-ray photoelectron spectra of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Tz MXenes // Matter. – 2021. – Vol. 4, № 4 – P. 1224–1251.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Sonaglia E., Schifano E., Sharbaf M., Uccelletti D., Felici A. C., Santarelli M. L. Bacterial nanocellulose hydrogel for the green cleaning of copper stains from marble // Gels. – 2024. – Vol. 10, № 2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150.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Anasori B., Lukatskaya M. R., Gogotsi Y. 2D metal carbides and nitrides (</w:t>
      </w:r>
      <w:r w:rsidRPr="00F644EE">
        <w:rPr>
          <w:rFonts w:ascii="Times New Roman" w:hAnsi="Times New Roman" w:cs="Times New Roman"/>
          <w:sz w:val="28"/>
          <w:szCs w:val="28"/>
          <w:lang w:val="en-US"/>
        </w:rPr>
        <w:t xml:space="preserve">MXenes) for energy storage // Nature Reviews Materials. – 2017. – Vol. 2 – </w:t>
      </w:r>
      <w:r w:rsidR="0043169F"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 16098.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rPr>
      </w:pPr>
      <w:r w:rsidRPr="00F644EE">
        <w:rPr>
          <w:rFonts w:ascii="Times New Roman" w:hAnsi="Times New Roman" w:cs="Times New Roman"/>
          <w:sz w:val="28"/>
          <w:szCs w:val="28"/>
        </w:rPr>
        <w:t>Шокатаева Д.Х., Савицкая И.С., Кистаубаева А.С., Абдулжанова М.А. Талипова А.Б. Структурные и механические свойства бактериальной целлюлозы, полученной при культивировании продуцента на средах с производственными отходами // Вестник КазНУ экологический. – 2018. – 2(55), 2018. – С. 80-91.</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Sknepnek A., Filipović</w:t>
      </w:r>
      <w:r>
        <w:rPr>
          <w:rFonts w:ascii="Times New Roman" w:hAnsi="Times New Roman" w:cs="Times New Roman"/>
          <w:sz w:val="28"/>
          <w:szCs w:val="28"/>
          <w:lang w:val="en-US"/>
        </w:rPr>
        <w:t xml:space="preserve"> S., Pavlović V. B., Mirković N., Miletić D., Gržetić J., Mirković M. Effects of synthesis parameters on structure and antimicrobial properties of bacterial cellulose/hydroxyapatite/TiO</w:t>
      </w:r>
      <w:r>
        <w:rPr>
          <w:rFonts w:ascii="Cambria Math" w:hAnsi="Cambria Math" w:cs="Times New Roman"/>
          <w:sz w:val="28"/>
          <w:szCs w:val="28"/>
          <w:lang w:val="en-US"/>
        </w:rPr>
        <w:t>₂</w:t>
      </w:r>
      <w:r>
        <w:rPr>
          <w:rFonts w:ascii="Times New Roman" w:hAnsi="Times New Roman" w:cs="Times New Roman"/>
          <w:sz w:val="28"/>
          <w:szCs w:val="28"/>
          <w:lang w:val="en-US"/>
        </w:rPr>
        <w:t xml:space="preserve"> polymer–ceramic composite material // Polymers. – 2024. – Vol. 16, № 4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470.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Ma C., Cao W., Zhang W., Ma M.-G., Sun W.-M., Zhang J., Chen F. Wearable, ultrathin and transparent bacterial celluloses/MXene film with Janus structure and excellent mechanical property for electromagnetic interference shielding // Chemical Engineering Journal. – 2021. – Vol. 403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126438.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Zhang H., Wang L., Chen Q., Li P., Zhou A., Cao X., Hu Q. Preparation, mechanical and anti-friction performance of MXene/polymer composites // Materials &amp; Design. – 2016. – Vol. 92 – P. 682–689. </w:t>
      </w:r>
    </w:p>
    <w:p w:rsidR="00E17FE1" w:rsidRPr="006A6D75"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Doğan E., Tokcan P., Diken M. E., Yılmaz B., Kızılduman B. K., Sabaz P. </w:t>
      </w:r>
      <w:r w:rsidRPr="006A6D75">
        <w:rPr>
          <w:rFonts w:ascii="Times New Roman" w:hAnsi="Times New Roman" w:cs="Times New Roman"/>
          <w:sz w:val="28"/>
          <w:szCs w:val="28"/>
          <w:lang w:val="en-US"/>
        </w:rPr>
        <w:t xml:space="preserve">Synthesis, Characterization and Some Biological Properties of PVA/PVP/PN Hydrogel Nanocomposites: Antibacterial and Biocompatibility // Advances in Materials Science. – 2019. – Vol. 19, № 3. – P. 32–45. </w:t>
      </w:r>
    </w:p>
    <w:p w:rsidR="00E17FE1" w:rsidRPr="006A6D75" w:rsidRDefault="006A6D75" w:rsidP="006A6D75">
      <w:pPr>
        <w:numPr>
          <w:ilvl w:val="0"/>
          <w:numId w:val="5"/>
        </w:numPr>
        <w:spacing w:after="0" w:line="240" w:lineRule="auto"/>
        <w:ind w:firstLineChars="142" w:firstLine="398"/>
        <w:jc w:val="both"/>
        <w:rPr>
          <w:rFonts w:ascii="Times New Roman" w:hAnsi="Times New Roman" w:cs="Times New Roman"/>
          <w:sz w:val="28"/>
          <w:szCs w:val="28"/>
          <w:lang w:val="en-US"/>
        </w:rPr>
      </w:pPr>
      <w:r w:rsidRPr="006A6D75">
        <w:rPr>
          <w:rFonts w:ascii="Times New Roman" w:hAnsi="Times New Roman" w:cs="Times New Roman"/>
          <w:sz w:val="28"/>
          <w:szCs w:val="28"/>
          <w:lang w:val="en-US"/>
        </w:rPr>
        <w:t>ISO 11137-1:2025 Sterilization of health care products — Radiation — Part 1: Requirements for development, validation and routine control of a sterilization process for medical devices. – 2025.</w:t>
      </w:r>
    </w:p>
    <w:p w:rsidR="00E17FE1" w:rsidRPr="006A6D75"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6A6D75">
        <w:rPr>
          <w:rFonts w:ascii="Times New Roman" w:hAnsi="Times New Roman" w:cs="Times New Roman"/>
          <w:sz w:val="28"/>
          <w:szCs w:val="28"/>
          <w:lang w:val="en-US"/>
        </w:rPr>
        <w:t xml:space="preserve">Munarin F., Bozzini S., Visai L., Tanzi M. C., Petrini P. Sterilization treatments on polysaccharides: Effects and side effects on pectin // Food Hydrocolloids. – 2013. – Vol. 31, № 1. – P. 74–84.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6A6D75">
        <w:rPr>
          <w:rFonts w:ascii="Times New Roman" w:hAnsi="Times New Roman" w:cs="Times New Roman"/>
          <w:sz w:val="28"/>
          <w:szCs w:val="28"/>
          <w:lang w:val="en-US"/>
        </w:rPr>
        <w:t>Moore</w:t>
      </w:r>
      <w:r>
        <w:rPr>
          <w:rFonts w:ascii="Times New Roman" w:hAnsi="Times New Roman" w:cs="Times New Roman"/>
          <w:sz w:val="28"/>
          <w:szCs w:val="28"/>
          <w:lang w:val="en-US"/>
        </w:rPr>
        <w:t xml:space="preserve"> E., Cortese Y. J., Colbert D. M. A Review of Sterilization Methods and Their Commercial Impacts on Polysaccharide-Based Biomaterials // Macromol — A Journal of Macromolecular Research. – 2025. – Vol. 5, № 4.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 45.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Mahmoud Y. A.-G., Elkaliny N. E., Elshikh F. M., Ashraf Y., Metwally K., Yahya G., Sherif S. Cold plasma as a revolutionary antimicrobial modality: a multifaceted weapon against antibiotic resistance // Antibiotics. – 2025. – Vol. 14, № 9.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 930.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Herczeg C. K., Song J. Sterilization of polymeric implants: challenges and opportunities // ACS Applied Bio Materials. – 2022. – Vol. 5, № 11. – P. 5077–5088.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Vink P., Pleijsier K. Aeration of ethylene oxide-sterilized polymers // Biomaterials. – 1986. – Vol. 7, № 3. – P. 225–230.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Xue H., Ji L., Zhang K., Wang P., Liao X., Tan J. Preparation, properties, and applications of polysaccharide-based films: a comprehensive overview // Journal of Future Foods. – 2025.</w:t>
      </w:r>
      <w:r w:rsidR="0043169F">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 05.011. </w:t>
      </w:r>
      <w:hyperlink r:id="rId65" w:history="1"/>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Kumar S., Park H. M., Nguyen V. H., Kim M., Nasir N., Suleman M., Lee S., Seo Y. Oxidation-driven auto-conversion of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Tₓ MXene to TiO</w:t>
      </w:r>
      <w:r>
        <w:rPr>
          <w:rFonts w:ascii="Cambria Math" w:hAnsi="Cambria Math" w:cs="Times New Roman"/>
          <w:sz w:val="28"/>
          <w:szCs w:val="28"/>
          <w:lang w:val="en-US"/>
        </w:rPr>
        <w:t>₂</w:t>
      </w:r>
      <w:r>
        <w:rPr>
          <w:rFonts w:ascii="Times New Roman" w:hAnsi="Times New Roman" w:cs="Times New Roman"/>
          <w:sz w:val="28"/>
          <w:szCs w:val="28"/>
          <w:lang w:val="en-US"/>
        </w:rPr>
        <w:t xml:space="preserve"> nanoparticles for photocatalytic applications // Journal of Alloys and Compounds. – 2024. – Vol. 976.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 173399.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Chiper A. S., Borcia G. Stable surface modification by cold atmospheric</w:t>
      </w:r>
      <w:r>
        <w:rPr>
          <w:rFonts w:ascii="Cambria Math" w:hAnsi="Cambria Math" w:cs="Times New Roman"/>
          <w:sz w:val="28"/>
          <w:szCs w:val="28"/>
          <w:lang w:val="en-US"/>
        </w:rPr>
        <w:t>‐</w:t>
      </w:r>
      <w:r>
        <w:rPr>
          <w:rFonts w:ascii="Times New Roman" w:hAnsi="Times New Roman" w:cs="Times New Roman"/>
          <w:sz w:val="28"/>
          <w:szCs w:val="28"/>
          <w:lang w:val="en-US"/>
        </w:rPr>
        <w:t>pressure plasma: comparative study on cellulose</w:t>
      </w:r>
      <w:r>
        <w:rPr>
          <w:rFonts w:ascii="Cambria Math" w:hAnsi="Cambria Math" w:cs="Times New Roman"/>
          <w:sz w:val="28"/>
          <w:szCs w:val="28"/>
          <w:lang w:val="en-US"/>
        </w:rPr>
        <w:t>‐</w:t>
      </w:r>
      <w:r>
        <w:rPr>
          <w:rFonts w:ascii="Times New Roman" w:hAnsi="Times New Roman" w:cs="Times New Roman"/>
          <w:sz w:val="28"/>
          <w:szCs w:val="28"/>
          <w:lang w:val="en-US"/>
        </w:rPr>
        <w:t xml:space="preserve">based and synthetic polymers // Polymers. – 2023. – Vol. 15, № 20.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 4172.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Bowler P. G., Duerden B. I., Armstrong D. G. Wound microbiology and associated approaches to wound management // Clinical Microbiology Reviews. – 2001. – Vol. 14, № 2. – P. 244–269.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Natsha S., Lacey H., Belkebir S., Attili A., Atatra A., Daragmeh R., Abu-Safa A., Dheansa B., Khayyat R. Microbial profile of burn wound injuries in the </w:t>
      </w:r>
      <w:r>
        <w:rPr>
          <w:rFonts w:ascii="Times New Roman" w:hAnsi="Times New Roman" w:cs="Times New Roman"/>
          <w:sz w:val="28"/>
          <w:szCs w:val="28"/>
          <w:lang w:val="en-US"/>
        </w:rPr>
        <w:lastRenderedPageBreak/>
        <w:t xml:space="preserve">Northern West Bank — a retrospective cohort study // Burns Open. – 2025. – Vol. 9.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100379. </w:t>
      </w:r>
      <w:hyperlink r:id="rId66" w:history="1"/>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Mulani M. S., Kamble E. E., Kumkar S. N., Tawre M. S., Pardesi K. R. Emerging strategies to combat ESKAPE pathogens in the era of antimicrobial resistance: a review // Frontiers in Microbiology. – 2019. – Vol. 10, </w:t>
      </w:r>
      <w:r w:rsidR="0043169F">
        <w:rPr>
          <w:rFonts w:ascii="Times New Roman" w:hAnsi="Times New Roman" w:cs="Times New Roman"/>
          <w:sz w:val="28"/>
          <w:szCs w:val="28"/>
          <w:lang w:val="en-US"/>
        </w:rPr>
        <w:t>P. 539.</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Ahmed S. K., Hussein S., Qurbani K., Ibrahim R. H., Fareeq A., Mahmood K. A., Mohamed M. G. Antimicrobial resistance: impacts, challenges, and future prospects // Journal of Medicine, Surgery and Public Health. – 2024. – Vol. 2.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100081.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Yousefian F., Hesari R., Jensen T., Obagi S., Rgeai A., Damiani G., Bunick C. G., Grada A. Antimicrobial wound dressings: a concise revie</w:t>
      </w:r>
      <w:r w:rsidR="00667C90">
        <w:rPr>
          <w:rFonts w:ascii="Times New Roman" w:hAnsi="Times New Roman" w:cs="Times New Roman"/>
          <w:sz w:val="28"/>
          <w:szCs w:val="28"/>
          <w:lang w:val="en-US"/>
        </w:rPr>
        <w:t>w for clinicians // Antibiotics</w:t>
      </w:r>
      <w:r>
        <w:rPr>
          <w:rFonts w:ascii="Times New Roman" w:hAnsi="Times New Roman" w:cs="Times New Roman"/>
          <w:sz w:val="28"/>
          <w:szCs w:val="28"/>
          <w:lang w:val="en-US"/>
        </w:rPr>
        <w:t xml:space="preserve">. – 2023. – Vol. 12, № 9.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1434.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Uddin T. M., Chakraborty A. J., Khusro A., Zidan B. R. M., Mitra S., Emran T. B., Dhama K., Ripon M. K. H., Gajdács M., Sahibzada M. U. K., Hossain M. J., Koirala N. Antibiotic resistance in microbes: history, mechanisms, therapeutic strategies and future prospects // Journal of Infection and Public Health. – 2021. – Vol. 14, № 12. – P. 1750–1766.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Liu Y., He L., Mustapha A., Li H., Hu Z. Q., Lin M. Antibacterial </w:t>
      </w:r>
      <w:r w:rsidRPr="00F644EE">
        <w:rPr>
          <w:rFonts w:ascii="Times New Roman" w:hAnsi="Times New Roman" w:cs="Times New Roman"/>
          <w:sz w:val="28"/>
          <w:szCs w:val="28"/>
          <w:lang w:val="en-US"/>
        </w:rPr>
        <w:t xml:space="preserve">activities of zinc oxide nanoparticles against Escherichia coli O157:H7 // Journal of Applied Microbiology. – 2009. – Vol. 107, № 4. – P. 1193–1201. </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rPr>
      </w:pPr>
      <w:r w:rsidRPr="00F644EE">
        <w:rPr>
          <w:rFonts w:ascii="Times New Roman" w:hAnsi="Times New Roman" w:cs="Times New Roman"/>
          <w:sz w:val="28"/>
          <w:szCs w:val="28"/>
          <w:lang w:val="kk-KZ"/>
        </w:rPr>
        <w:t>Сейшанло Ф.С.</w:t>
      </w:r>
      <w:r w:rsidRPr="00F644EE">
        <w:rPr>
          <w:rFonts w:ascii="Times New Roman" w:hAnsi="Times New Roman" w:cs="Times New Roman"/>
          <w:sz w:val="28"/>
          <w:szCs w:val="28"/>
        </w:rPr>
        <w:t xml:space="preserve">, Талипова А.Б.   Антимикробный композитный материал на основе природного полимера // </w:t>
      </w:r>
      <w:r w:rsidRPr="00F644EE">
        <w:rPr>
          <w:rFonts w:ascii="Times New Roman" w:eastAsia="Arial Unicode MS" w:hAnsi="Times New Roman" w:cs="Times New Roman"/>
          <w:sz w:val="28"/>
          <w:szCs w:val="28"/>
          <w:lang w:bidi="en-US"/>
        </w:rPr>
        <w:t>МАТЕРИАЛЫ международной научной конференции студентов и молодых ученых «ФАРАБИ ƏЛЕМІ» Алматы, Казахстан, 6-8 апреля 2023 года, С. 328.</w:t>
      </w:r>
    </w:p>
    <w:p w:rsidR="00E17FE1" w:rsidRPr="00F644EE"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 xml:space="preserve">Wu C., Xia L., Feng W., Chen Y. MXene-Mediated Catalytic Redox Reactions for Biomedical Applications // ChemPlusChem. – 2024. – Vol. 89, № 6. – </w:t>
      </w:r>
      <w:r w:rsidR="0043169F" w:rsidRPr="00F644EE">
        <w:rPr>
          <w:rFonts w:ascii="Times New Roman" w:hAnsi="Times New Roman" w:cs="Times New Roman"/>
          <w:sz w:val="28"/>
          <w:szCs w:val="28"/>
          <w:lang w:val="en-US"/>
        </w:rPr>
        <w:t xml:space="preserve">P. </w:t>
      </w:r>
      <w:r w:rsidRPr="00F644EE">
        <w:rPr>
          <w:rFonts w:ascii="Times New Roman" w:hAnsi="Times New Roman" w:cs="Times New Roman"/>
          <w:sz w:val="28"/>
          <w:szCs w:val="28"/>
          <w:lang w:val="en-US"/>
        </w:rPr>
        <w:t xml:space="preserve">e202300777.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sidRPr="00F644EE">
        <w:rPr>
          <w:rFonts w:ascii="Times New Roman" w:hAnsi="Times New Roman" w:cs="Times New Roman"/>
          <w:sz w:val="28"/>
          <w:szCs w:val="28"/>
          <w:lang w:val="en-US"/>
        </w:rPr>
        <w:t>Li Jinhua, Wang Gang, Zhu</w:t>
      </w:r>
      <w:r>
        <w:rPr>
          <w:rFonts w:ascii="Times New Roman" w:hAnsi="Times New Roman" w:cs="Times New Roman"/>
          <w:sz w:val="28"/>
          <w:szCs w:val="28"/>
          <w:lang w:val="en-US"/>
        </w:rPr>
        <w:t xml:space="preserve"> Hongqin, Zhang Miao, Zheng Xiaohu, Di Zengfeng, Liu Xuanyong, Wang Xi. Antibacterial activity of large-area monolayer graphene film manipulated by charge transfer // Scientific Reports. – 2014. – Vol. 4.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4359.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Liu Shaobin, Zeng Tingying Helen, Hofmann Mario, Burcombe Ehdi, Wei Jun, Jiang Rongrong, Kong Jing, Chen Yuan. Antibacterial activity of graphite, graphite oxide, graphene oxide, and reduced graphene oxide: membrane and oxidative stress // ACS Nano. – 2011. – Vol. 5, № 9. – P. 6971–6980.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 Y., Zhang W., Niu J., Chen Y. Mechanism of photogenerated reactive oxygen species and correlation with the antibacterial properties of engineered metal-oxide nanoparticles // ACS Nano. – 2012. – Vol. 6, № 6. – P. 5164–5173.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Hong Y., Boiti A., Vallone D., Foulkes N. S. Reactive Oxygen Species Signaling and Oxidative Stress: Transcriptional Regulatio</w:t>
      </w:r>
      <w:r w:rsidR="00667C90">
        <w:rPr>
          <w:rFonts w:ascii="Times New Roman" w:hAnsi="Times New Roman" w:cs="Times New Roman"/>
          <w:sz w:val="28"/>
          <w:szCs w:val="28"/>
          <w:lang w:val="en-US"/>
        </w:rPr>
        <w:t>n and Evolution // Antioxidants</w:t>
      </w:r>
      <w:r>
        <w:rPr>
          <w:rFonts w:ascii="Times New Roman" w:hAnsi="Times New Roman" w:cs="Times New Roman"/>
          <w:sz w:val="28"/>
          <w:szCs w:val="28"/>
          <w:lang w:val="en-US"/>
        </w:rPr>
        <w:t xml:space="preserve">. – 2024. – Vol. 13, № 3.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312. </w:t>
      </w:r>
    </w:p>
    <w:p w:rsidR="00E17FE1" w:rsidRDefault="0058234C" w:rsidP="0058234C">
      <w:pPr>
        <w:numPr>
          <w:ilvl w:val="0"/>
          <w:numId w:val="5"/>
        </w:numPr>
        <w:spacing w:after="0" w:line="240" w:lineRule="auto"/>
        <w:ind w:firstLineChars="142" w:firstLine="398"/>
        <w:jc w:val="both"/>
        <w:rPr>
          <w:rFonts w:ascii="Times New Roman" w:hAnsi="Times New Roman" w:cs="Times New Roman"/>
          <w:sz w:val="28"/>
          <w:szCs w:val="28"/>
          <w:lang w:val="en-US"/>
        </w:rPr>
      </w:pPr>
      <w:r w:rsidRPr="0058234C">
        <w:rPr>
          <w:rFonts w:ascii="Times New Roman" w:hAnsi="Times New Roman" w:cs="Times New Roman"/>
          <w:sz w:val="28"/>
          <w:szCs w:val="28"/>
          <w:lang w:val="en-US"/>
        </w:rPr>
        <w:t>Ferrara V., et al. Advanced approaches in skin wound healing – a review on MXene-based wound healing devices // Nanoscale. – 2024.</w:t>
      </w:r>
      <w:r w:rsidR="00BB58D7">
        <w:rPr>
          <w:rFonts w:ascii="Times New Roman" w:hAnsi="Times New Roman" w:cs="Times New Roman"/>
          <w:sz w:val="28"/>
          <w:szCs w:val="28"/>
          <w:lang w:val="en-US"/>
        </w:rPr>
        <w:t xml:space="preserve">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Sakalauskienė G. V., Radzevičienė A. Biofilm and Outer Membrane Vesicle Formation in ESKAPE Gram-Negative Bacteria: A Comprehensive Review // International Journal of Molecular Sciences. – 2025. – Vol. 26, № 20,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9857.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Abolhasani F. S., Vaghefinanekaran N., Yarahmadi A., et al. Outer Membrane Vesicles in Gram-Negative Bacteria and Its Correlation with Pathogenesis // Frontiers in Immunology. – 2025.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1541636.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Liu J., Lin Y., Lin H., Lin M., Fan Z. Impacts of exogenous ROS scavenger ascorbic acid on the storability and quality attributes of fresh longan fruit // Food Chemistry: X. – 2021. – Vol. 12.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100167.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Kora A. J., Arunachalam J. Assessment of antibacterial activity of silver nanoparticles on Pseudomonas aeruginosa and its mechanism of action // World Journal of Microbiology and Biotechnology. – 2011. – Vol. 27, № 5. – P. 1209–1216.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Rasool K., Mahmoud K. A., Johnson D. J., Helal M., Berdiyorov G. R., Gogotsi Y. Efficient Antibacterial Membrane based on Two-Dimensional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Tₓ (MXene) Nanosheets // Scientific Reports. – 2017. – Vol. 7, № 1. – </w:t>
      </w:r>
      <w:r w:rsidR="00667C90">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1598.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Iravani S., Varma R. S. MXene-based composites against antibiotic-resistant bacteria: current trends and future perspectives // RSC Advances. – 2023. – Vol. 13, № 14. – P. 9665–9677.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AhadiParsa M., Dehghani A., Ramezanzadeh M., Ramezanzadeh B. Rising of MXenes: Novel 2D-functionalized nanomaterials as a new milestone in corrosion science – a critical review // Advances in Colloid and Interface Science. – 202</w:t>
      </w:r>
      <w:r w:rsidR="0043169F">
        <w:rPr>
          <w:rFonts w:ascii="Times New Roman" w:hAnsi="Times New Roman" w:cs="Times New Roman"/>
          <w:sz w:val="28"/>
          <w:szCs w:val="28"/>
          <w:lang w:val="en-US"/>
        </w:rPr>
        <w:t xml:space="preserve">2. – Vol. 307. – </w:t>
      </w:r>
      <w:r w:rsidR="00667C90">
        <w:rPr>
          <w:rFonts w:ascii="Times New Roman" w:hAnsi="Times New Roman" w:cs="Times New Roman"/>
          <w:sz w:val="28"/>
          <w:szCs w:val="28"/>
          <w:lang w:val="en-US"/>
        </w:rPr>
        <w:t xml:space="preserve">P. </w:t>
      </w:r>
      <w:r w:rsidR="0043169F">
        <w:rPr>
          <w:rFonts w:ascii="Times New Roman" w:hAnsi="Times New Roman" w:cs="Times New Roman"/>
          <w:sz w:val="28"/>
          <w:szCs w:val="28"/>
          <w:lang w:val="en-US"/>
        </w:rPr>
        <w:t>102730</w:t>
      </w:r>
      <w:r>
        <w:rPr>
          <w:rFonts w:ascii="Times New Roman" w:hAnsi="Times New Roman" w:cs="Times New Roman"/>
          <w:sz w:val="28"/>
          <w:szCs w:val="28"/>
          <w:lang w:val="en-US"/>
        </w:rPr>
        <w:t xml:space="preserve">.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Zhang Y., Yin Y., Li J., Yang F., Meng L., Cai Y., Wu J., Guo F., Wang W. MXene-based anti-corrosive coatings: From physical barrier to active corrosion protection // Progress in Organic Coatings. – 2025. – Vol. 204.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109225.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Percival S. L., McCarty S. M., Lipsky B. Biofilms and Wounds: An Overview of the Evidence // Advances in Wound Care. – 2015. – Vol. 4, № 7. – P. 373–381.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Razdan K., Garcia-Lara J., Sinha V. R., Singh K. K. Pharmaceutical strategies for the treatment of bacterial biofilms in chronic wounds // Drug Discovery Today. – 2022. – Vol. 27, № 8. – P. 2137–2150.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Cavallo I., Sivori F., Mastrofrancesco A., Abril E., Pontone M., Di Domenico E. G., Pimpinelli F. Bacterial Biofilm in Chronic Wounds and Possible Therapeutic Approaches // Biology. – 2024. – Vol. 13, № 2. – </w:t>
      </w:r>
      <w:r w:rsidR="00667C90">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109.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Krasowska A., Sigler K. How microorganisms use hydrophobicity and what does this mean for human needs? // Frontiers in Cellular and Infection Microbiology. – 2014. – Vol. 4.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112.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Martí M., Trotonda M. P., Tormo-Más M. A., Vergara-Irigaray M., Cheung A. L., Lasa I., Penadés J. R. Extracellular proteases inhibit protein-dependent biofilm formation in Staphylococcus aureus // Microbes and Infection. – 2010. – Vol. 12, № 1. – P. 55–64.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Diban F., Di Lodovico S., Di Fermo P., D’Ercole S., D’Arcangelo S., Di Giulio M., Cellini L. Biofilms in Chronic Wound Infections: Innovative Antimicrobial Approaches Using the In Vitro Lubbock Chronic Wound Biofilm Model // International Journal of Molecular Sciences. – 2023. – Vol. 24, № 2.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1004.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Weisel J. W., Litvinov R. I. Fibrin Formation, Structure and Properties // Subcellular Biochemistry, Vol. 82: Fibrous Proteins: Structures and Mechanisms. – 2017. – P. 405–456.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Deepachitra R., Sathish Kumar S., Ramesh R., Manivasakan P., Jayachandran M. Osteo-mineralization of fibrin-decorated graphene oxide // Carbon. – 2013. – Vol. 56. – P. 64–76.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Di Crescenzo A., Zara S., Di Nisio C., Ettorre V., Ventrella A., Zavan B., Di Profio P., Cataldi A., Fontana A. Graphene Oxide Foils as an Osteoinductive Stem Cell Substrate // ACS Applied Bio Materials. – 2019. – Vol. 2, № 4. – P. 1643–1651.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Krishnamoorthy R., Shen S., Ke T., Lin D. Achieving high bactericidal and antibiofouling activities of 2D titanium carbide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Tₓ) by delamination and intercalation // 2D Materials. – 2019. – Vol. 6, № 3.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035040.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Jastrzębska A. M., Szuplewska A., Wojciechowski T., Chudy M., Olszyna A. In vitro studies on cytotoxicity of delaminated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 MXene // Journal of Hazardous Materials. – 2017. – Vol. 339. – P. 1–8.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Betlej I., Rybak K., Nowacka M., Antczak A., Borysiak S., Krochmal-Marczak B., Lipska K., Boruszewski P. Structural properties of bacterial cellulose film obtained on a substrate containing sweet potato waste // Crystals. – 2022. – Vol. 12, № 9.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1191.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Iwasa F., Hori N., Ueno T., Minamikawa H., Yamada M., Ogawa T. Enhancement of osteoblast adhesion to UV-photofunctionalized titanium via an electrostatic mechanism // Biomaterials. – 2010. – Vol. 31, № 10. – P. 2717–2727. </w:t>
      </w:r>
    </w:p>
    <w:p w:rsidR="00E17FE1" w:rsidRDefault="00BB58D7" w:rsidP="00BB58D7">
      <w:pPr>
        <w:numPr>
          <w:ilvl w:val="0"/>
          <w:numId w:val="5"/>
        </w:numPr>
        <w:spacing w:after="0" w:line="240"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Berridge M. V., Herst P. M., Tan A. S. Tetrazolium dyes as tools in cell biology: new insights into their cellular reduction // Biotechnology Annual Review. – 2005. – Vol. 11. – P. 127–152. </w:t>
      </w:r>
    </w:p>
    <w:p w:rsidR="00E17FE1" w:rsidRDefault="00BB58D7" w:rsidP="00164616">
      <w:pPr>
        <w:numPr>
          <w:ilvl w:val="0"/>
          <w:numId w:val="5"/>
        </w:numPr>
        <w:spacing w:after="0" w:line="216"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Li X., Fu L., Chen F., Lv Y., Zhao S., Karimi-Maleh H. Research on the application of metal-organic framework (MOF)-based nanozymes in colorimetric and electrochemical detection of biomolecules // Inorganic Chemistry Communications. – 2025. – Vol. 179, Part 1. –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114752. </w:t>
      </w:r>
    </w:p>
    <w:p w:rsidR="00E17FE1" w:rsidRDefault="00BB58D7" w:rsidP="00164616">
      <w:pPr>
        <w:numPr>
          <w:ilvl w:val="0"/>
          <w:numId w:val="5"/>
        </w:numPr>
        <w:spacing w:after="0" w:line="216"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Yu R., Xue J., Wang Y., Qiu J., Huang X., Chen A., Xue J. Novel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 xml:space="preserve">Tₓ MXene nanozyme with manageable catalytic activity and application to electrochemical biosensor // Journal of Nanobiotechnology. – 2022. – Vol. 20, № 1. – </w:t>
      </w:r>
      <w:r w:rsidR="0043169F">
        <w:rPr>
          <w:rFonts w:ascii="Times New Roman" w:hAnsi="Times New Roman" w:cs="Times New Roman"/>
          <w:sz w:val="28"/>
          <w:szCs w:val="28"/>
          <w:lang w:val="en-US"/>
        </w:rPr>
        <w:t>P.</w:t>
      </w:r>
      <w:r>
        <w:rPr>
          <w:rFonts w:ascii="Times New Roman" w:hAnsi="Times New Roman" w:cs="Times New Roman"/>
          <w:sz w:val="28"/>
          <w:szCs w:val="28"/>
          <w:lang w:val="en-US"/>
        </w:rPr>
        <w:t xml:space="preserve"> 119. </w:t>
      </w:r>
    </w:p>
    <w:p w:rsidR="00E17FE1" w:rsidRDefault="00BB58D7" w:rsidP="00164616">
      <w:pPr>
        <w:numPr>
          <w:ilvl w:val="0"/>
          <w:numId w:val="5"/>
        </w:numPr>
        <w:spacing w:after="0" w:line="216"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Iravani S., Varma R. S. MXene-Based Composites as Nanozymes in Biomedicine: A Perspective // Nano-Micro Letters. – 2022. – Vol. 14, № 213. –</w:t>
      </w:r>
      <w:r w:rsidR="0043169F" w:rsidRPr="0043169F">
        <w:rPr>
          <w:rFonts w:ascii="Times New Roman" w:hAnsi="Times New Roman" w:cs="Times New Roman"/>
          <w:sz w:val="28"/>
          <w:szCs w:val="28"/>
          <w:lang w:val="en-US"/>
        </w:rPr>
        <w:t xml:space="preserve">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213. </w:t>
      </w:r>
    </w:p>
    <w:p w:rsidR="00E17FE1" w:rsidRDefault="00BB58D7" w:rsidP="00164616">
      <w:pPr>
        <w:numPr>
          <w:ilvl w:val="0"/>
          <w:numId w:val="5"/>
        </w:numPr>
        <w:spacing w:after="0" w:line="216" w:lineRule="auto"/>
        <w:ind w:firstLineChars="142" w:firstLine="398"/>
        <w:jc w:val="both"/>
        <w:rPr>
          <w:rFonts w:ascii="Times New Roman" w:hAnsi="Times New Roman" w:cs="Times New Roman"/>
          <w:sz w:val="28"/>
          <w:szCs w:val="28"/>
          <w:lang w:val="en-US"/>
        </w:rPr>
      </w:pPr>
      <w:r>
        <w:rPr>
          <w:rFonts w:ascii="Times New Roman" w:hAnsi="Times New Roman" w:cs="Times New Roman"/>
          <w:sz w:val="28"/>
          <w:szCs w:val="28"/>
          <w:lang w:val="en-US"/>
        </w:rPr>
        <w:t>Wang W., Yin Y., Gunasekaran S. Oxygen-terminated few-layered Ti</w:t>
      </w:r>
      <w:r>
        <w:rPr>
          <w:rFonts w:ascii="Cambria Math" w:hAnsi="Cambria Math" w:cs="Times New Roman"/>
          <w:sz w:val="28"/>
          <w:szCs w:val="28"/>
          <w:lang w:val="en-US"/>
        </w:rPr>
        <w:t>₃</w:t>
      </w:r>
      <w:r>
        <w:rPr>
          <w:rFonts w:ascii="Times New Roman" w:hAnsi="Times New Roman" w:cs="Times New Roman"/>
          <w:sz w:val="28"/>
          <w:szCs w:val="28"/>
          <w:lang w:val="en-US"/>
        </w:rPr>
        <w:t>C</w:t>
      </w:r>
      <w:r>
        <w:rPr>
          <w:rFonts w:ascii="Cambria Math" w:hAnsi="Cambria Math" w:cs="Times New Roman"/>
          <w:sz w:val="28"/>
          <w:szCs w:val="28"/>
          <w:lang w:val="en-US"/>
        </w:rPr>
        <w:t>₂</w:t>
      </w:r>
      <w:r>
        <w:rPr>
          <w:rFonts w:ascii="Times New Roman" w:hAnsi="Times New Roman" w:cs="Times New Roman"/>
          <w:sz w:val="28"/>
          <w:szCs w:val="28"/>
          <w:lang w:val="en-US"/>
        </w:rPr>
        <w:t>Tₓ MXene nanosheets as peroxidase-mimic nanozyme for colorimetric detection of kanamycin // Biosensors and Bioelectronics. – 2022. – Vol. 218. –</w:t>
      </w:r>
      <w:r w:rsidR="0043169F" w:rsidRPr="0043169F">
        <w:rPr>
          <w:rFonts w:ascii="Times New Roman" w:hAnsi="Times New Roman" w:cs="Times New Roman"/>
          <w:sz w:val="28"/>
          <w:szCs w:val="28"/>
          <w:lang w:val="en-US"/>
        </w:rPr>
        <w:t xml:space="preserve"> </w:t>
      </w:r>
      <w:r w:rsidR="0043169F">
        <w:rPr>
          <w:rFonts w:ascii="Times New Roman" w:hAnsi="Times New Roman" w:cs="Times New Roman"/>
          <w:sz w:val="28"/>
          <w:szCs w:val="28"/>
          <w:lang w:val="en-US"/>
        </w:rPr>
        <w:t xml:space="preserve">P. </w:t>
      </w:r>
      <w:r>
        <w:rPr>
          <w:rFonts w:ascii="Times New Roman" w:hAnsi="Times New Roman" w:cs="Times New Roman"/>
          <w:sz w:val="28"/>
          <w:szCs w:val="28"/>
          <w:lang w:val="en-US"/>
        </w:rPr>
        <w:t xml:space="preserve">114774. </w:t>
      </w:r>
    </w:p>
    <w:p w:rsidR="00E17FE1" w:rsidRDefault="00684CFF" w:rsidP="00164616">
      <w:pPr>
        <w:spacing w:after="0" w:line="240" w:lineRule="auto"/>
        <w:ind w:firstLine="567"/>
        <w:jc w:val="center"/>
        <w:rPr>
          <w:rFonts w:ascii="Times New Roman" w:hAnsi="Times New Roman"/>
          <w:b/>
          <w:bCs/>
          <w:sz w:val="28"/>
          <w:szCs w:val="28"/>
        </w:rPr>
      </w:pPr>
      <w:r>
        <w:rPr>
          <w:rFonts w:ascii="Times New Roman" w:hAnsi="Times New Roman" w:cs="Times New Roman"/>
          <w:b/>
          <w:sz w:val="28"/>
          <w:szCs w:val="28"/>
        </w:rPr>
        <w:lastRenderedPageBreak/>
        <w:t xml:space="preserve">ПРИЛОЖЕНИЕ </w:t>
      </w:r>
      <w:r w:rsidRPr="000A3946">
        <w:rPr>
          <w:rFonts w:ascii="Times New Roman" w:eastAsia="Calibri" w:hAnsi="Times New Roman" w:cs="Times New Roman"/>
          <w:b/>
          <w:bCs/>
          <w:sz w:val="28"/>
          <w:szCs w:val="28"/>
        </w:rPr>
        <w:t>А</w:t>
      </w:r>
    </w:p>
    <w:p w:rsidR="00164616" w:rsidRDefault="00164616" w:rsidP="00164616">
      <w:pPr>
        <w:spacing w:after="0" w:line="240" w:lineRule="auto"/>
        <w:ind w:firstLine="567"/>
        <w:jc w:val="center"/>
        <w:rPr>
          <w:rFonts w:ascii="Times New Roman" w:hAnsi="Times New Roman"/>
          <w:bCs/>
          <w:sz w:val="28"/>
          <w:szCs w:val="28"/>
        </w:rPr>
      </w:pPr>
    </w:p>
    <w:p w:rsidR="00164616" w:rsidRPr="00164616" w:rsidRDefault="00164616" w:rsidP="00164616">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Патент на полезную модель</w:t>
      </w:r>
    </w:p>
    <w:p w:rsidR="00164616" w:rsidRDefault="00164616" w:rsidP="00164616">
      <w:pPr>
        <w:spacing w:after="0" w:line="240" w:lineRule="auto"/>
        <w:ind w:firstLine="567"/>
        <w:jc w:val="center"/>
        <w:rPr>
          <w:rFonts w:ascii="Times New Roman" w:hAnsi="Times New Roman" w:cs="Times New Roman"/>
          <w:b/>
          <w:sz w:val="28"/>
          <w:szCs w:val="28"/>
        </w:rPr>
      </w:pPr>
    </w:p>
    <w:p w:rsidR="00164616" w:rsidRPr="00164616" w:rsidRDefault="00164616" w:rsidP="00164616">
      <w:pPr>
        <w:spacing w:after="0" w:line="240" w:lineRule="auto"/>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940831" cy="8001834"/>
            <wp:effectExtent l="19050" t="0" r="2769" b="0"/>
            <wp:docPr id="4" name="Рисунок 4" descr="C:\Users\sava\Desktop\11376-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va\Desktop\11376-1_page-0001.jpg"/>
                    <pic:cNvPicPr>
                      <a:picLocks noChangeAspect="1" noChangeArrowheads="1"/>
                    </pic:cNvPicPr>
                  </pic:nvPicPr>
                  <pic:blipFill>
                    <a:blip r:embed="rId67" cstate="print"/>
                    <a:srcRect/>
                    <a:stretch>
                      <a:fillRect/>
                    </a:stretch>
                  </pic:blipFill>
                  <pic:spPr bwMode="auto">
                    <a:xfrm>
                      <a:off x="0" y="0"/>
                      <a:ext cx="5940425" cy="8001287"/>
                    </a:xfrm>
                    <a:prstGeom prst="rect">
                      <a:avLst/>
                    </a:prstGeom>
                    <a:noFill/>
                    <a:ln w="9525">
                      <a:noFill/>
                      <a:miter lim="800000"/>
                      <a:headEnd/>
                      <a:tailEnd/>
                    </a:ln>
                  </pic:spPr>
                </pic:pic>
              </a:graphicData>
            </a:graphic>
          </wp:inline>
        </w:drawing>
      </w:r>
    </w:p>
    <w:sectPr w:rsidR="00164616" w:rsidRPr="00164616" w:rsidSect="00E17FE1">
      <w:footerReference w:type="default" r:id="rId6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6EE" w:rsidRDefault="002C66EE">
      <w:pPr>
        <w:spacing w:line="240" w:lineRule="auto"/>
      </w:pPr>
      <w:r>
        <w:separator/>
      </w:r>
    </w:p>
  </w:endnote>
  <w:endnote w:type="continuationSeparator" w:id="0">
    <w:p w:rsidR="002C66EE" w:rsidRDefault="002C66E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Times New Roman"/>
    <w:charset w:val="CC"/>
    <w:family w:val="swiss"/>
    <w:pitch w:val="default"/>
    <w:sig w:usb0="00000000" w:usb1="D200FDFF" w:usb2="0A246029" w:usb3="0400200C" w:csb0="600001FF" w:csb1="DFFF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w:altName w:val="Times New Roman"/>
    <w:panose1 w:val="02020603050405020304"/>
    <w:charset w:val="CC"/>
    <w:family w:val="roman"/>
    <w:pitch w:val="default"/>
    <w:sig w:usb0="00000000" w:usb1="00000000"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NSimSun">
    <w:panose1 w:val="02010609030101010101"/>
    <w:charset w:val="86"/>
    <w:family w:val="modern"/>
    <w:pitch w:val="fixed"/>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556019"/>
    </w:sdtPr>
    <w:sdtContent>
      <w:p w:rsidR="00AC0D2B" w:rsidRDefault="00204340">
        <w:pPr>
          <w:pStyle w:val="af0"/>
          <w:jc w:val="center"/>
        </w:pPr>
        <w:fldSimple w:instr=" PAGE   \* MERGEFORMAT ">
          <w:r w:rsidR="00735BFC">
            <w:rPr>
              <w:noProof/>
            </w:rPr>
            <w:t>2</w:t>
          </w:r>
        </w:fldSimple>
      </w:p>
    </w:sdtContent>
  </w:sdt>
  <w:p w:rsidR="00AC0D2B" w:rsidRDefault="00AC0D2B">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6EE" w:rsidRDefault="002C66EE">
      <w:pPr>
        <w:spacing w:after="0"/>
      </w:pPr>
      <w:r>
        <w:separator/>
      </w:r>
    </w:p>
  </w:footnote>
  <w:footnote w:type="continuationSeparator" w:id="0">
    <w:p w:rsidR="002C66EE" w:rsidRDefault="002C66EE">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04F59B2"/>
    <w:multiLevelType w:val="singleLevel"/>
    <w:tmpl w:val="D04F59B2"/>
    <w:lvl w:ilvl="0">
      <w:start w:val="1"/>
      <w:numFmt w:val="decimal"/>
      <w:pStyle w:val="a"/>
      <w:lvlText w:val="%1."/>
      <w:lvlJc w:val="left"/>
      <w:pPr>
        <w:tabs>
          <w:tab w:val="left" w:pos="360"/>
        </w:tabs>
        <w:ind w:left="360" w:hanging="360"/>
      </w:pPr>
    </w:lvl>
  </w:abstractNum>
  <w:abstractNum w:abstractNumId="1">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2">
    <w:nsid w:val="62FD50D3"/>
    <w:multiLevelType w:val="multilevel"/>
    <w:tmpl w:val="62FD50D3"/>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nsid w:val="745707E6"/>
    <w:multiLevelType w:val="multilevel"/>
    <w:tmpl w:val="745707E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74EB9F76"/>
    <w:multiLevelType w:val="singleLevel"/>
    <w:tmpl w:val="74EB9F76"/>
    <w:lvl w:ilvl="0">
      <w:start w:val="1"/>
      <w:numFmt w:val="decimal"/>
      <w:suff w:val="space"/>
      <w:lvlText w:val="%1."/>
      <w:lvlJc w:val="left"/>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proofState w:grammar="clean"/>
  <w:defaultTabStop w:val="708"/>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
  <w:rsids>
    <w:rsidRoot w:val="0058777C"/>
    <w:rsid w:val="0001555B"/>
    <w:rsid w:val="00021E3D"/>
    <w:rsid w:val="00022EE6"/>
    <w:rsid w:val="0002387E"/>
    <w:rsid w:val="00025A8F"/>
    <w:rsid w:val="00031244"/>
    <w:rsid w:val="00040F54"/>
    <w:rsid w:val="000878CB"/>
    <w:rsid w:val="000A3946"/>
    <w:rsid w:val="000B05A9"/>
    <w:rsid w:val="000B2EF6"/>
    <w:rsid w:val="000B37BB"/>
    <w:rsid w:val="000B5A9F"/>
    <w:rsid w:val="000C3730"/>
    <w:rsid w:val="000C5383"/>
    <w:rsid w:val="000D146A"/>
    <w:rsid w:val="000D52C8"/>
    <w:rsid w:val="000D6FE5"/>
    <w:rsid w:val="000D7026"/>
    <w:rsid w:val="00102478"/>
    <w:rsid w:val="001029D8"/>
    <w:rsid w:val="001107CD"/>
    <w:rsid w:val="0011100F"/>
    <w:rsid w:val="00114D54"/>
    <w:rsid w:val="00120483"/>
    <w:rsid w:val="00132F0E"/>
    <w:rsid w:val="00144DDB"/>
    <w:rsid w:val="0015024B"/>
    <w:rsid w:val="00157AEF"/>
    <w:rsid w:val="00160ABF"/>
    <w:rsid w:val="00161009"/>
    <w:rsid w:val="00164616"/>
    <w:rsid w:val="00173C0E"/>
    <w:rsid w:val="0018542C"/>
    <w:rsid w:val="001A0895"/>
    <w:rsid w:val="001C4D90"/>
    <w:rsid w:val="001E3FE3"/>
    <w:rsid w:val="001E6ADE"/>
    <w:rsid w:val="001F595C"/>
    <w:rsid w:val="001F5BA1"/>
    <w:rsid w:val="0020279F"/>
    <w:rsid w:val="00204340"/>
    <w:rsid w:val="00213042"/>
    <w:rsid w:val="002158A3"/>
    <w:rsid w:val="00221D5D"/>
    <w:rsid w:val="00223CEA"/>
    <w:rsid w:val="002329FE"/>
    <w:rsid w:val="00236820"/>
    <w:rsid w:val="00246F71"/>
    <w:rsid w:val="00253465"/>
    <w:rsid w:val="00262C50"/>
    <w:rsid w:val="00286613"/>
    <w:rsid w:val="002B4670"/>
    <w:rsid w:val="002B6075"/>
    <w:rsid w:val="002C0274"/>
    <w:rsid w:val="002C66EE"/>
    <w:rsid w:val="002D0A74"/>
    <w:rsid w:val="002D1770"/>
    <w:rsid w:val="002D198C"/>
    <w:rsid w:val="002D2AFC"/>
    <w:rsid w:val="002D7388"/>
    <w:rsid w:val="002E19DC"/>
    <w:rsid w:val="002F1027"/>
    <w:rsid w:val="002F267C"/>
    <w:rsid w:val="00305B05"/>
    <w:rsid w:val="00315F4C"/>
    <w:rsid w:val="0032047F"/>
    <w:rsid w:val="00333AAD"/>
    <w:rsid w:val="00337D83"/>
    <w:rsid w:val="00345EFE"/>
    <w:rsid w:val="00347502"/>
    <w:rsid w:val="0035240C"/>
    <w:rsid w:val="00387180"/>
    <w:rsid w:val="00392125"/>
    <w:rsid w:val="00394D39"/>
    <w:rsid w:val="0039592F"/>
    <w:rsid w:val="00396D4D"/>
    <w:rsid w:val="003A6712"/>
    <w:rsid w:val="003B31F6"/>
    <w:rsid w:val="003C0AEF"/>
    <w:rsid w:val="003C0C03"/>
    <w:rsid w:val="003C13F9"/>
    <w:rsid w:val="003E0B09"/>
    <w:rsid w:val="003E1A6E"/>
    <w:rsid w:val="003E4505"/>
    <w:rsid w:val="003E5C1B"/>
    <w:rsid w:val="003F5E95"/>
    <w:rsid w:val="00401764"/>
    <w:rsid w:val="00413285"/>
    <w:rsid w:val="00426103"/>
    <w:rsid w:val="0043169F"/>
    <w:rsid w:val="0043364A"/>
    <w:rsid w:val="00434299"/>
    <w:rsid w:val="00440AF5"/>
    <w:rsid w:val="004433B6"/>
    <w:rsid w:val="004500C1"/>
    <w:rsid w:val="00450A38"/>
    <w:rsid w:val="00451C2E"/>
    <w:rsid w:val="004566B8"/>
    <w:rsid w:val="00460EE7"/>
    <w:rsid w:val="004632B4"/>
    <w:rsid w:val="00472770"/>
    <w:rsid w:val="00472D3C"/>
    <w:rsid w:val="004764F9"/>
    <w:rsid w:val="0049100C"/>
    <w:rsid w:val="004A1B8D"/>
    <w:rsid w:val="004A65DB"/>
    <w:rsid w:val="004B2DC3"/>
    <w:rsid w:val="004B42F4"/>
    <w:rsid w:val="004B7F77"/>
    <w:rsid w:val="004C2D45"/>
    <w:rsid w:val="004C3E22"/>
    <w:rsid w:val="004C45CC"/>
    <w:rsid w:val="004C5B1B"/>
    <w:rsid w:val="00500ED7"/>
    <w:rsid w:val="00510B20"/>
    <w:rsid w:val="00514D26"/>
    <w:rsid w:val="005239C1"/>
    <w:rsid w:val="00533324"/>
    <w:rsid w:val="00545BD9"/>
    <w:rsid w:val="005509EC"/>
    <w:rsid w:val="00560585"/>
    <w:rsid w:val="00566F60"/>
    <w:rsid w:val="0058234C"/>
    <w:rsid w:val="0058777C"/>
    <w:rsid w:val="00594864"/>
    <w:rsid w:val="00594A0E"/>
    <w:rsid w:val="005C0DE5"/>
    <w:rsid w:val="005C340A"/>
    <w:rsid w:val="005C5D31"/>
    <w:rsid w:val="005D0A6F"/>
    <w:rsid w:val="005D3C0A"/>
    <w:rsid w:val="005E0571"/>
    <w:rsid w:val="005E2B38"/>
    <w:rsid w:val="005F037E"/>
    <w:rsid w:val="005F25D0"/>
    <w:rsid w:val="005F4DFD"/>
    <w:rsid w:val="006074B0"/>
    <w:rsid w:val="00611867"/>
    <w:rsid w:val="00620283"/>
    <w:rsid w:val="00627155"/>
    <w:rsid w:val="006610A6"/>
    <w:rsid w:val="00667C90"/>
    <w:rsid w:val="006737E3"/>
    <w:rsid w:val="00684CFF"/>
    <w:rsid w:val="0068542E"/>
    <w:rsid w:val="006A40BA"/>
    <w:rsid w:val="006A6D75"/>
    <w:rsid w:val="006A71CE"/>
    <w:rsid w:val="006B4660"/>
    <w:rsid w:val="006C60F6"/>
    <w:rsid w:val="006D1618"/>
    <w:rsid w:val="006D4AC4"/>
    <w:rsid w:val="006F649A"/>
    <w:rsid w:val="00706574"/>
    <w:rsid w:val="0072350D"/>
    <w:rsid w:val="00732F56"/>
    <w:rsid w:val="007342CA"/>
    <w:rsid w:val="00735BFC"/>
    <w:rsid w:val="00746311"/>
    <w:rsid w:val="00750C36"/>
    <w:rsid w:val="007532A8"/>
    <w:rsid w:val="00764741"/>
    <w:rsid w:val="00776647"/>
    <w:rsid w:val="0077689B"/>
    <w:rsid w:val="007828E8"/>
    <w:rsid w:val="0078429C"/>
    <w:rsid w:val="007908F9"/>
    <w:rsid w:val="00796FFB"/>
    <w:rsid w:val="00797507"/>
    <w:rsid w:val="007A010A"/>
    <w:rsid w:val="007A4616"/>
    <w:rsid w:val="007A5C74"/>
    <w:rsid w:val="007B2281"/>
    <w:rsid w:val="007B2D82"/>
    <w:rsid w:val="007B56F4"/>
    <w:rsid w:val="007C467F"/>
    <w:rsid w:val="007C4C38"/>
    <w:rsid w:val="007D4B47"/>
    <w:rsid w:val="007D6FE4"/>
    <w:rsid w:val="0080267C"/>
    <w:rsid w:val="00805D4C"/>
    <w:rsid w:val="00812524"/>
    <w:rsid w:val="00813F75"/>
    <w:rsid w:val="00825E8B"/>
    <w:rsid w:val="00831CF8"/>
    <w:rsid w:val="00831E19"/>
    <w:rsid w:val="00837BEA"/>
    <w:rsid w:val="0087566C"/>
    <w:rsid w:val="00886C7D"/>
    <w:rsid w:val="0089086E"/>
    <w:rsid w:val="008B0224"/>
    <w:rsid w:val="008B2CA0"/>
    <w:rsid w:val="008C3856"/>
    <w:rsid w:val="008D0EE8"/>
    <w:rsid w:val="008E34B3"/>
    <w:rsid w:val="008F3FD6"/>
    <w:rsid w:val="00915854"/>
    <w:rsid w:val="00920034"/>
    <w:rsid w:val="009210ED"/>
    <w:rsid w:val="0092119C"/>
    <w:rsid w:val="00926146"/>
    <w:rsid w:val="00930601"/>
    <w:rsid w:val="00933840"/>
    <w:rsid w:val="00935073"/>
    <w:rsid w:val="009512FC"/>
    <w:rsid w:val="009533E7"/>
    <w:rsid w:val="00970516"/>
    <w:rsid w:val="00974D04"/>
    <w:rsid w:val="00980E31"/>
    <w:rsid w:val="00986781"/>
    <w:rsid w:val="00995621"/>
    <w:rsid w:val="00997792"/>
    <w:rsid w:val="009B0A95"/>
    <w:rsid w:val="009B0E2C"/>
    <w:rsid w:val="009B1F87"/>
    <w:rsid w:val="009C570B"/>
    <w:rsid w:val="009D05E9"/>
    <w:rsid w:val="009D7916"/>
    <w:rsid w:val="009E12D4"/>
    <w:rsid w:val="009E12D9"/>
    <w:rsid w:val="009E27A9"/>
    <w:rsid w:val="009E2DE5"/>
    <w:rsid w:val="009E4593"/>
    <w:rsid w:val="009F22DD"/>
    <w:rsid w:val="009F314A"/>
    <w:rsid w:val="00A1147F"/>
    <w:rsid w:val="00A11C1A"/>
    <w:rsid w:val="00A21A85"/>
    <w:rsid w:val="00A268FF"/>
    <w:rsid w:val="00A271E8"/>
    <w:rsid w:val="00A27DD9"/>
    <w:rsid w:val="00A3728A"/>
    <w:rsid w:val="00A5598A"/>
    <w:rsid w:val="00A75622"/>
    <w:rsid w:val="00A77BC5"/>
    <w:rsid w:val="00A83D27"/>
    <w:rsid w:val="00A8765D"/>
    <w:rsid w:val="00A916B2"/>
    <w:rsid w:val="00A95EFE"/>
    <w:rsid w:val="00AB4151"/>
    <w:rsid w:val="00AC0D2B"/>
    <w:rsid w:val="00AD2BC9"/>
    <w:rsid w:val="00AE6AAE"/>
    <w:rsid w:val="00AF10EB"/>
    <w:rsid w:val="00B03C76"/>
    <w:rsid w:val="00B05032"/>
    <w:rsid w:val="00B0620B"/>
    <w:rsid w:val="00B06429"/>
    <w:rsid w:val="00B1535D"/>
    <w:rsid w:val="00B1722A"/>
    <w:rsid w:val="00B175D9"/>
    <w:rsid w:val="00B21D32"/>
    <w:rsid w:val="00B221EE"/>
    <w:rsid w:val="00B234BD"/>
    <w:rsid w:val="00B24A9A"/>
    <w:rsid w:val="00B42D1F"/>
    <w:rsid w:val="00B46041"/>
    <w:rsid w:val="00B559F2"/>
    <w:rsid w:val="00B64BC1"/>
    <w:rsid w:val="00B67D8B"/>
    <w:rsid w:val="00B93AB0"/>
    <w:rsid w:val="00B958AA"/>
    <w:rsid w:val="00BB2BE7"/>
    <w:rsid w:val="00BB58D7"/>
    <w:rsid w:val="00BB5CED"/>
    <w:rsid w:val="00BC1637"/>
    <w:rsid w:val="00BC22ED"/>
    <w:rsid w:val="00BC2D31"/>
    <w:rsid w:val="00BC3944"/>
    <w:rsid w:val="00BC45C9"/>
    <w:rsid w:val="00BE4882"/>
    <w:rsid w:val="00BE66AA"/>
    <w:rsid w:val="00BF0C15"/>
    <w:rsid w:val="00BF4D3C"/>
    <w:rsid w:val="00C05BE8"/>
    <w:rsid w:val="00C07FF5"/>
    <w:rsid w:val="00C15F0B"/>
    <w:rsid w:val="00C16F4C"/>
    <w:rsid w:val="00C52B6F"/>
    <w:rsid w:val="00C538A0"/>
    <w:rsid w:val="00C54062"/>
    <w:rsid w:val="00C60480"/>
    <w:rsid w:val="00C741EA"/>
    <w:rsid w:val="00C841C7"/>
    <w:rsid w:val="00C85CC2"/>
    <w:rsid w:val="00C86EFC"/>
    <w:rsid w:val="00C9053B"/>
    <w:rsid w:val="00C94443"/>
    <w:rsid w:val="00C94F45"/>
    <w:rsid w:val="00CA0ED2"/>
    <w:rsid w:val="00CA6CE5"/>
    <w:rsid w:val="00CA6E78"/>
    <w:rsid w:val="00CA7E66"/>
    <w:rsid w:val="00CB02D1"/>
    <w:rsid w:val="00CB44A1"/>
    <w:rsid w:val="00CD4EFA"/>
    <w:rsid w:val="00CE3B64"/>
    <w:rsid w:val="00CE4B22"/>
    <w:rsid w:val="00CF5E36"/>
    <w:rsid w:val="00D0498E"/>
    <w:rsid w:val="00D049F5"/>
    <w:rsid w:val="00D14370"/>
    <w:rsid w:val="00D2416D"/>
    <w:rsid w:val="00D33D98"/>
    <w:rsid w:val="00D44727"/>
    <w:rsid w:val="00D51CB1"/>
    <w:rsid w:val="00D54E5F"/>
    <w:rsid w:val="00D5594A"/>
    <w:rsid w:val="00D60600"/>
    <w:rsid w:val="00D65374"/>
    <w:rsid w:val="00D71FDE"/>
    <w:rsid w:val="00D757A3"/>
    <w:rsid w:val="00D7592E"/>
    <w:rsid w:val="00D7710E"/>
    <w:rsid w:val="00D774DF"/>
    <w:rsid w:val="00D85E14"/>
    <w:rsid w:val="00D930C5"/>
    <w:rsid w:val="00D95E4B"/>
    <w:rsid w:val="00DA029E"/>
    <w:rsid w:val="00DC6727"/>
    <w:rsid w:val="00DD5E3B"/>
    <w:rsid w:val="00DE200D"/>
    <w:rsid w:val="00DE5F44"/>
    <w:rsid w:val="00DF7ABF"/>
    <w:rsid w:val="00E04814"/>
    <w:rsid w:val="00E149C6"/>
    <w:rsid w:val="00E1589D"/>
    <w:rsid w:val="00E17FE1"/>
    <w:rsid w:val="00E37F5E"/>
    <w:rsid w:val="00E408BF"/>
    <w:rsid w:val="00E4183E"/>
    <w:rsid w:val="00E42564"/>
    <w:rsid w:val="00E45E3B"/>
    <w:rsid w:val="00E66F25"/>
    <w:rsid w:val="00E77B01"/>
    <w:rsid w:val="00E80A69"/>
    <w:rsid w:val="00E8207A"/>
    <w:rsid w:val="00E85FA9"/>
    <w:rsid w:val="00E8668B"/>
    <w:rsid w:val="00E91886"/>
    <w:rsid w:val="00EA2DF6"/>
    <w:rsid w:val="00EB0EE8"/>
    <w:rsid w:val="00EC0DD9"/>
    <w:rsid w:val="00EC4B52"/>
    <w:rsid w:val="00EC73B6"/>
    <w:rsid w:val="00ED4147"/>
    <w:rsid w:val="00ED49B9"/>
    <w:rsid w:val="00EE16EE"/>
    <w:rsid w:val="00EE4DC4"/>
    <w:rsid w:val="00EE7022"/>
    <w:rsid w:val="00F01850"/>
    <w:rsid w:val="00F02C7D"/>
    <w:rsid w:val="00F14E86"/>
    <w:rsid w:val="00F15C18"/>
    <w:rsid w:val="00F20F89"/>
    <w:rsid w:val="00F20F94"/>
    <w:rsid w:val="00F263B4"/>
    <w:rsid w:val="00F27E3C"/>
    <w:rsid w:val="00F37993"/>
    <w:rsid w:val="00F55A66"/>
    <w:rsid w:val="00F603E2"/>
    <w:rsid w:val="00F644EE"/>
    <w:rsid w:val="00FA4037"/>
    <w:rsid w:val="00FB30F4"/>
    <w:rsid w:val="00FC322D"/>
    <w:rsid w:val="00FC5D41"/>
    <w:rsid w:val="00FD0080"/>
    <w:rsid w:val="00FD1301"/>
    <w:rsid w:val="00FD391D"/>
    <w:rsid w:val="00FE301B"/>
    <w:rsid w:val="00FE54C9"/>
    <w:rsid w:val="00FF3124"/>
    <w:rsid w:val="00FF74B1"/>
    <w:rsid w:val="02A47361"/>
    <w:rsid w:val="03323E00"/>
    <w:rsid w:val="05A515AA"/>
    <w:rsid w:val="07B26B05"/>
    <w:rsid w:val="09793B17"/>
    <w:rsid w:val="0A3E2D05"/>
    <w:rsid w:val="0B63631E"/>
    <w:rsid w:val="0BD14F5C"/>
    <w:rsid w:val="0D252B31"/>
    <w:rsid w:val="198D277A"/>
    <w:rsid w:val="1AAA0B4C"/>
    <w:rsid w:val="1B4C3008"/>
    <w:rsid w:val="1D1F0363"/>
    <w:rsid w:val="1DA3584A"/>
    <w:rsid w:val="1E501BEE"/>
    <w:rsid w:val="20762EC9"/>
    <w:rsid w:val="22EC10DB"/>
    <w:rsid w:val="2B6E793F"/>
    <w:rsid w:val="2DF94569"/>
    <w:rsid w:val="319B7ACA"/>
    <w:rsid w:val="32E62B90"/>
    <w:rsid w:val="338F78D5"/>
    <w:rsid w:val="34E622D6"/>
    <w:rsid w:val="36BB5604"/>
    <w:rsid w:val="37465C28"/>
    <w:rsid w:val="3A4B2BF3"/>
    <w:rsid w:val="3B337364"/>
    <w:rsid w:val="3B5F4174"/>
    <w:rsid w:val="3F705C23"/>
    <w:rsid w:val="43367C49"/>
    <w:rsid w:val="45ED64C7"/>
    <w:rsid w:val="492C1A49"/>
    <w:rsid w:val="4A634417"/>
    <w:rsid w:val="4E3153E7"/>
    <w:rsid w:val="4F60506F"/>
    <w:rsid w:val="518E151E"/>
    <w:rsid w:val="52C460B5"/>
    <w:rsid w:val="57E22340"/>
    <w:rsid w:val="5F0A6CF5"/>
    <w:rsid w:val="61B72F9E"/>
    <w:rsid w:val="61E437AA"/>
    <w:rsid w:val="62D068AA"/>
    <w:rsid w:val="649F3623"/>
    <w:rsid w:val="64B435C8"/>
    <w:rsid w:val="66DB0053"/>
    <w:rsid w:val="676D6373"/>
    <w:rsid w:val="6A9916EB"/>
    <w:rsid w:val="6CBD6E76"/>
    <w:rsid w:val="6D617561"/>
    <w:rsid w:val="74102E5A"/>
    <w:rsid w:val="75AD3907"/>
    <w:rsid w:val="7A4A0831"/>
    <w:rsid w:val="7D2E53CE"/>
    <w:rsid w:val="7E7A1D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uiPriority="9" w:qFormat="1"/>
    <w:lsdException w:name="heading 7" w:uiPriority="9" w:qFormat="1"/>
    <w:lsdException w:name="heading 8" w:semiHidden="0" w:uiPriority="9" w:qFormat="1"/>
    <w:lsdException w:name="heading 9" w:semiHidden="0"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List Bullet" w:semiHidden="0" w:qFormat="1"/>
    <w:lsdException w:name="List Number" w:qFormat="1"/>
    <w:lsdException w:name="Title" w:semiHidden="0" w:uiPriority="10" w:unhideWhenUsed="0" w:qFormat="1"/>
    <w:lsdException w:name="Default Paragraph Font" w:uiPriority="1"/>
    <w:lsdException w:name="Body Text" w:semiHidden="0" w:uiPriority="1" w:qFormat="1"/>
    <w:lsdException w:name="Body Text Indent" w:qFormat="1"/>
    <w:lsdException w:name="Subtitle" w:semiHidden="0" w:uiPriority="11" w:unhideWhenUsed="0" w:qFormat="1"/>
    <w:lsdException w:name="Body Text 3" w:semiHidden="0" w:uiPriority="0" w:unhideWhenUsed="0" w:qFormat="1"/>
    <w:lsdException w:name="Block Text" w:semiHidden="0" w:uiPriority="0" w:unhideWhenUsed="0" w:qFormat="1"/>
    <w:lsdException w:name="Hyperlink" w:semiHidden="0" w:uiPriority="0" w:qFormat="1"/>
    <w:lsdException w:name="Strong" w:semiHidden="0" w:uiPriority="0" w:unhideWhenUsed="0" w:qFormat="1"/>
    <w:lsdException w:name="Emphasis" w:semiHidden="0" w:uiPriority="0" w:unhideWhenUsed="0" w:qFormat="1"/>
    <w:lsdException w:name="Normal (Web)" w:semiHidden="0" w:uiPriority="0" w:qFormat="1"/>
    <w:lsdException w:name="HTML Preformatted" w:semiHidden="0" w:uiPriority="0" w:qFormat="1"/>
    <w:lsdException w:name="Normal Table" w:qFormat="1"/>
    <w:lsdException w:name="Balloon Text" w:qFormat="1"/>
    <w:lsdException w:name="Table Grid" w:semiHidden="0" w:uiPriority="0"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E17FE1"/>
    <w:pPr>
      <w:spacing w:after="200" w:line="276" w:lineRule="auto"/>
    </w:pPr>
    <w:rPr>
      <w:rFonts w:asciiTheme="minorHAnsi" w:eastAsiaTheme="minorHAnsi" w:hAnsiTheme="minorHAnsi" w:cstheme="minorBidi"/>
      <w:sz w:val="22"/>
      <w:szCs w:val="22"/>
      <w:lang w:eastAsia="en-US"/>
    </w:rPr>
  </w:style>
  <w:style w:type="paragraph" w:styleId="1">
    <w:name w:val="heading 1"/>
    <w:basedOn w:val="a1"/>
    <w:link w:val="10"/>
    <w:uiPriority w:val="9"/>
    <w:qFormat/>
    <w:rsid w:val="00E17FE1"/>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1"/>
    <w:link w:val="20"/>
    <w:uiPriority w:val="9"/>
    <w:unhideWhenUsed/>
    <w:qFormat/>
    <w:rsid w:val="00E17FE1"/>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1"/>
    <w:link w:val="30"/>
    <w:uiPriority w:val="9"/>
    <w:unhideWhenUsed/>
    <w:qFormat/>
    <w:rsid w:val="00E17FE1"/>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link w:val="40"/>
    <w:uiPriority w:val="9"/>
    <w:unhideWhenUsed/>
    <w:qFormat/>
    <w:rsid w:val="00E17FE1"/>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link w:val="50"/>
    <w:uiPriority w:val="9"/>
    <w:unhideWhenUsed/>
    <w:qFormat/>
    <w:rsid w:val="00E17FE1"/>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link w:val="60"/>
    <w:uiPriority w:val="9"/>
    <w:semiHidden/>
    <w:unhideWhenUsed/>
    <w:qFormat/>
    <w:rsid w:val="00E17FE1"/>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link w:val="70"/>
    <w:uiPriority w:val="9"/>
    <w:semiHidden/>
    <w:unhideWhenUsed/>
    <w:qFormat/>
    <w:rsid w:val="00E17FE1"/>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link w:val="80"/>
    <w:uiPriority w:val="9"/>
    <w:unhideWhenUsed/>
    <w:qFormat/>
    <w:rsid w:val="00E17FE1"/>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9">
    <w:name w:val="heading 9"/>
    <w:basedOn w:val="a1"/>
    <w:link w:val="90"/>
    <w:uiPriority w:val="9"/>
    <w:unhideWhenUsed/>
    <w:qFormat/>
    <w:rsid w:val="00E17FE1"/>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Emphasis"/>
    <w:basedOn w:val="a2"/>
    <w:qFormat/>
    <w:rsid w:val="00E17FE1"/>
    <w:rPr>
      <w:i/>
      <w:iCs/>
    </w:rPr>
  </w:style>
  <w:style w:type="character" w:styleId="a6">
    <w:name w:val="Hyperlink"/>
    <w:basedOn w:val="a2"/>
    <w:unhideWhenUsed/>
    <w:qFormat/>
    <w:rsid w:val="00E17FE1"/>
    <w:rPr>
      <w:color w:val="0000FF" w:themeColor="hyperlink"/>
      <w:u w:val="single"/>
    </w:rPr>
  </w:style>
  <w:style w:type="character" w:styleId="a7">
    <w:name w:val="Strong"/>
    <w:basedOn w:val="a2"/>
    <w:qFormat/>
    <w:rsid w:val="00E17FE1"/>
    <w:rPr>
      <w:b/>
      <w:bCs/>
    </w:rPr>
  </w:style>
  <w:style w:type="paragraph" w:styleId="a8">
    <w:name w:val="Balloon Text"/>
    <w:basedOn w:val="a1"/>
    <w:link w:val="a9"/>
    <w:uiPriority w:val="99"/>
    <w:semiHidden/>
    <w:unhideWhenUsed/>
    <w:qFormat/>
    <w:rsid w:val="00E17FE1"/>
    <w:pPr>
      <w:spacing w:after="0" w:line="240" w:lineRule="auto"/>
    </w:pPr>
    <w:rPr>
      <w:rFonts w:ascii="Tahoma" w:hAnsi="Tahoma" w:cs="Tahoma"/>
      <w:sz w:val="16"/>
      <w:szCs w:val="16"/>
    </w:rPr>
  </w:style>
  <w:style w:type="paragraph" w:styleId="aa">
    <w:name w:val="header"/>
    <w:basedOn w:val="a1"/>
    <w:link w:val="ab"/>
    <w:uiPriority w:val="99"/>
    <w:unhideWhenUsed/>
    <w:qFormat/>
    <w:rsid w:val="00E17FE1"/>
    <w:pPr>
      <w:tabs>
        <w:tab w:val="center" w:pos="4677"/>
        <w:tab w:val="right" w:pos="9355"/>
      </w:tabs>
      <w:spacing w:after="0" w:line="240" w:lineRule="auto"/>
    </w:pPr>
    <w:rPr>
      <w:rFonts w:ascii="Times New Roman" w:eastAsia="DejaVu Sans" w:hAnsi="Times New Roman" w:cs="Mangal"/>
      <w:sz w:val="24"/>
      <w:szCs w:val="21"/>
      <w:lang w:eastAsia="zh-CN" w:bidi="hi-IN"/>
    </w:rPr>
  </w:style>
  <w:style w:type="paragraph" w:styleId="ac">
    <w:name w:val="Body Text"/>
    <w:basedOn w:val="a1"/>
    <w:link w:val="ad"/>
    <w:uiPriority w:val="1"/>
    <w:unhideWhenUsed/>
    <w:qFormat/>
    <w:rsid w:val="00E17FE1"/>
    <w:pPr>
      <w:spacing w:after="120" w:line="240" w:lineRule="auto"/>
    </w:pPr>
    <w:rPr>
      <w:rFonts w:ascii="Times New Roman" w:eastAsia="DejaVu Sans" w:hAnsi="Times New Roman" w:cs="Mangal"/>
      <w:sz w:val="24"/>
      <w:szCs w:val="21"/>
      <w:lang w:eastAsia="zh-CN" w:bidi="hi-IN"/>
    </w:rPr>
  </w:style>
  <w:style w:type="paragraph" w:styleId="ae">
    <w:name w:val="Body Text Indent"/>
    <w:basedOn w:val="a1"/>
    <w:link w:val="af"/>
    <w:uiPriority w:val="99"/>
    <w:semiHidden/>
    <w:unhideWhenUsed/>
    <w:qFormat/>
    <w:rsid w:val="00E17FE1"/>
    <w:pPr>
      <w:spacing w:after="120" w:line="259" w:lineRule="auto"/>
      <w:ind w:left="283"/>
    </w:pPr>
  </w:style>
  <w:style w:type="paragraph" w:styleId="a0">
    <w:name w:val="List Bullet"/>
    <w:basedOn w:val="a1"/>
    <w:uiPriority w:val="99"/>
    <w:unhideWhenUsed/>
    <w:qFormat/>
    <w:rsid w:val="00E17FE1"/>
    <w:pPr>
      <w:numPr>
        <w:numId w:val="2"/>
      </w:numPr>
      <w:contextualSpacing/>
    </w:pPr>
  </w:style>
  <w:style w:type="paragraph" w:styleId="af0">
    <w:name w:val="footer"/>
    <w:basedOn w:val="a1"/>
    <w:link w:val="af1"/>
    <w:uiPriority w:val="99"/>
    <w:unhideWhenUsed/>
    <w:qFormat/>
    <w:rsid w:val="00E17FE1"/>
    <w:pPr>
      <w:tabs>
        <w:tab w:val="center" w:pos="4677"/>
        <w:tab w:val="right" w:pos="9355"/>
      </w:tabs>
      <w:spacing w:after="0" w:line="240" w:lineRule="auto"/>
    </w:pPr>
    <w:rPr>
      <w:rFonts w:ascii="Times New Roman" w:eastAsia="DejaVu Sans" w:hAnsi="Times New Roman" w:cs="Mangal"/>
      <w:sz w:val="24"/>
      <w:szCs w:val="21"/>
      <w:lang w:eastAsia="zh-CN" w:bidi="hi-IN"/>
    </w:rPr>
  </w:style>
  <w:style w:type="paragraph" w:styleId="a">
    <w:name w:val="List Number"/>
    <w:basedOn w:val="a1"/>
    <w:uiPriority w:val="99"/>
    <w:semiHidden/>
    <w:unhideWhenUsed/>
    <w:qFormat/>
    <w:rsid w:val="00E17FE1"/>
    <w:pPr>
      <w:numPr>
        <w:numId w:val="3"/>
      </w:numPr>
    </w:pPr>
  </w:style>
  <w:style w:type="paragraph" w:styleId="af2">
    <w:name w:val="Normal (Web)"/>
    <w:basedOn w:val="a1"/>
    <w:link w:val="af3"/>
    <w:unhideWhenUsed/>
    <w:qFormat/>
    <w:rsid w:val="00E17FE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31">
    <w:name w:val="Body Text 3"/>
    <w:basedOn w:val="a1"/>
    <w:link w:val="32"/>
    <w:qFormat/>
    <w:rsid w:val="00E17FE1"/>
    <w:pPr>
      <w:spacing w:after="120" w:line="240" w:lineRule="auto"/>
    </w:pPr>
    <w:rPr>
      <w:rFonts w:ascii="Times New Roman" w:eastAsia="Times New Roman" w:hAnsi="Times New Roman" w:cs="Times New Roman"/>
      <w:sz w:val="16"/>
      <w:szCs w:val="16"/>
      <w:lang w:eastAsia="ru-RU"/>
    </w:rPr>
  </w:style>
  <w:style w:type="paragraph" w:styleId="HTML">
    <w:name w:val="HTML Preformatted"/>
    <w:basedOn w:val="a1"/>
    <w:link w:val="HTML0"/>
    <w:unhideWhenUsed/>
    <w:qFormat/>
    <w:rsid w:val="00E17F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af4">
    <w:name w:val="Block Text"/>
    <w:basedOn w:val="a1"/>
    <w:qFormat/>
    <w:rsid w:val="00E17FE1"/>
    <w:pPr>
      <w:spacing w:after="0" w:line="240" w:lineRule="auto"/>
      <w:ind w:left="-567" w:right="-766" w:firstLine="567"/>
      <w:jc w:val="both"/>
    </w:pPr>
    <w:rPr>
      <w:rFonts w:ascii="Times New Roman" w:eastAsia="Batang" w:hAnsi="Times New Roman" w:cs="Times New Roman"/>
      <w:sz w:val="28"/>
      <w:szCs w:val="20"/>
      <w:lang w:eastAsia="ru-RU"/>
    </w:rPr>
  </w:style>
  <w:style w:type="table" w:styleId="af5">
    <w:name w:val="Table Grid"/>
    <w:basedOn w:val="a3"/>
    <w:qFormat/>
    <w:rsid w:val="00E17FE1"/>
    <w:rPr>
      <w:rFonts w:eastAsia="DejaVu Sans" w:cs="DejaVu Sans"/>
      <w:sz w:val="24"/>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2"/>
    <w:link w:val="1"/>
    <w:uiPriority w:val="9"/>
    <w:qFormat/>
    <w:rsid w:val="00E17FE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2"/>
    <w:link w:val="2"/>
    <w:uiPriority w:val="9"/>
    <w:qFormat/>
    <w:rsid w:val="00E17FE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2"/>
    <w:link w:val="3"/>
    <w:uiPriority w:val="9"/>
    <w:qFormat/>
    <w:rsid w:val="00E17FE1"/>
    <w:rPr>
      <w:rFonts w:asciiTheme="majorHAnsi" w:eastAsiaTheme="majorEastAsia" w:hAnsiTheme="majorHAnsi" w:cstheme="majorBidi"/>
      <w:b/>
      <w:bCs/>
      <w:color w:val="4F81BD" w:themeColor="accent1"/>
    </w:rPr>
  </w:style>
  <w:style w:type="character" w:customStyle="1" w:styleId="40">
    <w:name w:val="Заголовок 4 Знак"/>
    <w:basedOn w:val="a2"/>
    <w:link w:val="4"/>
    <w:uiPriority w:val="9"/>
    <w:qFormat/>
    <w:rsid w:val="00E17FE1"/>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qFormat/>
    <w:rsid w:val="00E17FE1"/>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qFormat/>
    <w:rsid w:val="00E17FE1"/>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qFormat/>
    <w:rsid w:val="00E17FE1"/>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qFormat/>
    <w:rsid w:val="00E17FE1"/>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qFormat/>
    <w:rsid w:val="00E17FE1"/>
    <w:rPr>
      <w:rFonts w:asciiTheme="majorHAnsi" w:eastAsiaTheme="majorEastAsia" w:hAnsiTheme="majorHAnsi" w:cstheme="majorBidi"/>
      <w:i/>
      <w:iCs/>
      <w:color w:val="404040" w:themeColor="text1" w:themeTint="BF"/>
      <w:sz w:val="20"/>
      <w:szCs w:val="20"/>
    </w:rPr>
  </w:style>
  <w:style w:type="character" w:customStyle="1" w:styleId="a9">
    <w:name w:val="Текст выноски Знак"/>
    <w:basedOn w:val="a2"/>
    <w:link w:val="a8"/>
    <w:uiPriority w:val="99"/>
    <w:semiHidden/>
    <w:qFormat/>
    <w:rsid w:val="00E17FE1"/>
    <w:rPr>
      <w:rFonts w:ascii="Tahoma" w:hAnsi="Tahoma" w:cs="Tahoma"/>
      <w:sz w:val="16"/>
      <w:szCs w:val="16"/>
    </w:rPr>
  </w:style>
  <w:style w:type="character" w:customStyle="1" w:styleId="anegp0gi0b9av8jahpyh">
    <w:name w:val="anegp0gi0b9av8jahpyh"/>
    <w:basedOn w:val="a2"/>
    <w:qFormat/>
    <w:rsid w:val="00E17FE1"/>
  </w:style>
  <w:style w:type="paragraph" w:styleId="af6">
    <w:name w:val="List Paragraph"/>
    <w:basedOn w:val="a1"/>
    <w:link w:val="af7"/>
    <w:uiPriority w:val="34"/>
    <w:qFormat/>
    <w:rsid w:val="00E17FE1"/>
    <w:pPr>
      <w:ind w:left="720"/>
      <w:contextualSpacing/>
    </w:pPr>
  </w:style>
  <w:style w:type="character" w:customStyle="1" w:styleId="af7">
    <w:name w:val="Абзац списка Знак"/>
    <w:link w:val="af6"/>
    <w:uiPriority w:val="34"/>
    <w:qFormat/>
    <w:rsid w:val="00E17FE1"/>
  </w:style>
  <w:style w:type="character" w:customStyle="1" w:styleId="html-italic">
    <w:name w:val="html-italic"/>
    <w:basedOn w:val="a2"/>
    <w:qFormat/>
    <w:rsid w:val="00E17FE1"/>
  </w:style>
  <w:style w:type="character" w:customStyle="1" w:styleId="supref">
    <w:name w:val="sup_ref"/>
    <w:basedOn w:val="a2"/>
    <w:qFormat/>
    <w:rsid w:val="00E17FE1"/>
  </w:style>
  <w:style w:type="character" w:customStyle="1" w:styleId="italic">
    <w:name w:val="italic"/>
    <w:basedOn w:val="a2"/>
    <w:qFormat/>
    <w:rsid w:val="00E17FE1"/>
  </w:style>
  <w:style w:type="character" w:customStyle="1" w:styleId="af3">
    <w:name w:val="Обычный (веб) Знак"/>
    <w:link w:val="af2"/>
    <w:uiPriority w:val="99"/>
    <w:qFormat/>
    <w:locked/>
    <w:rsid w:val="00E17FE1"/>
    <w:rPr>
      <w:rFonts w:ascii="Times New Roman" w:eastAsia="Times New Roman" w:hAnsi="Times New Roman" w:cs="Times New Roman"/>
      <w:sz w:val="24"/>
      <w:szCs w:val="24"/>
      <w:lang w:val="en-US"/>
    </w:rPr>
  </w:style>
  <w:style w:type="paragraph" w:styleId="af8">
    <w:name w:val="No Spacing"/>
    <w:link w:val="11"/>
    <w:uiPriority w:val="1"/>
    <w:qFormat/>
    <w:rsid w:val="00E17FE1"/>
    <w:rPr>
      <w:rFonts w:ascii="Calibri" w:eastAsia="Calibri" w:hAnsi="Calibri"/>
    </w:rPr>
  </w:style>
  <w:style w:type="character" w:customStyle="1" w:styleId="11">
    <w:name w:val="Без интервала Знак1"/>
    <w:link w:val="af8"/>
    <w:uiPriority w:val="1"/>
    <w:qFormat/>
    <w:rsid w:val="00E17FE1"/>
    <w:rPr>
      <w:rFonts w:ascii="Calibri" w:eastAsia="Calibri" w:hAnsi="Calibri" w:cs="Times New Roman"/>
      <w:sz w:val="20"/>
      <w:szCs w:val="20"/>
      <w:lang w:eastAsia="ru-RU"/>
    </w:rPr>
  </w:style>
  <w:style w:type="character" w:customStyle="1" w:styleId="af9">
    <w:name w:val="Без интервала Знак"/>
    <w:uiPriority w:val="1"/>
    <w:qFormat/>
    <w:rsid w:val="00E17FE1"/>
    <w:rPr>
      <w:sz w:val="22"/>
      <w:szCs w:val="22"/>
      <w:lang w:val="ru-RU"/>
    </w:rPr>
  </w:style>
  <w:style w:type="character" w:customStyle="1" w:styleId="ab">
    <w:name w:val="Верхний колонтитул Знак"/>
    <w:basedOn w:val="a2"/>
    <w:link w:val="aa"/>
    <w:uiPriority w:val="99"/>
    <w:qFormat/>
    <w:rsid w:val="00E17FE1"/>
    <w:rPr>
      <w:rFonts w:ascii="Times New Roman" w:eastAsia="DejaVu Sans" w:hAnsi="Times New Roman" w:cs="Mangal"/>
      <w:sz w:val="24"/>
      <w:szCs w:val="21"/>
      <w:lang w:eastAsia="zh-CN" w:bidi="hi-IN"/>
    </w:rPr>
  </w:style>
  <w:style w:type="character" w:customStyle="1" w:styleId="ad">
    <w:name w:val="Основной текст Знак"/>
    <w:basedOn w:val="a2"/>
    <w:link w:val="ac"/>
    <w:uiPriority w:val="1"/>
    <w:qFormat/>
    <w:rsid w:val="00E17FE1"/>
    <w:rPr>
      <w:rFonts w:ascii="Times New Roman" w:eastAsia="DejaVu Sans" w:hAnsi="Times New Roman" w:cs="Mangal"/>
      <w:sz w:val="24"/>
      <w:szCs w:val="21"/>
      <w:lang w:eastAsia="zh-CN" w:bidi="hi-IN"/>
    </w:rPr>
  </w:style>
  <w:style w:type="character" w:customStyle="1" w:styleId="af">
    <w:name w:val="Основной текст с отступом Знак"/>
    <w:basedOn w:val="a2"/>
    <w:link w:val="ae"/>
    <w:uiPriority w:val="99"/>
    <w:semiHidden/>
    <w:qFormat/>
    <w:rsid w:val="00E17FE1"/>
  </w:style>
  <w:style w:type="character" w:customStyle="1" w:styleId="af1">
    <w:name w:val="Нижний колонтитул Знак"/>
    <w:basedOn w:val="a2"/>
    <w:link w:val="af0"/>
    <w:uiPriority w:val="99"/>
    <w:qFormat/>
    <w:rsid w:val="00E17FE1"/>
    <w:rPr>
      <w:rFonts w:ascii="Times New Roman" w:eastAsia="DejaVu Sans" w:hAnsi="Times New Roman" w:cs="Mangal"/>
      <w:sz w:val="24"/>
      <w:szCs w:val="21"/>
      <w:lang w:eastAsia="zh-CN" w:bidi="hi-IN"/>
    </w:rPr>
  </w:style>
  <w:style w:type="character" w:customStyle="1" w:styleId="32">
    <w:name w:val="Основной текст 3 Знак"/>
    <w:basedOn w:val="a2"/>
    <w:link w:val="31"/>
    <w:qFormat/>
    <w:rsid w:val="00E17FE1"/>
    <w:rPr>
      <w:rFonts w:ascii="Times New Roman" w:eastAsia="Times New Roman" w:hAnsi="Times New Roman" w:cs="Times New Roman"/>
      <w:sz w:val="16"/>
      <w:szCs w:val="16"/>
      <w:lang w:eastAsia="ru-RU"/>
    </w:rPr>
  </w:style>
  <w:style w:type="character" w:customStyle="1" w:styleId="HTML0">
    <w:name w:val="Стандартный HTML Знак"/>
    <w:basedOn w:val="a2"/>
    <w:link w:val="HTML"/>
    <w:qFormat/>
    <w:rsid w:val="00E17FE1"/>
    <w:rPr>
      <w:rFonts w:ascii="Courier New" w:eastAsia="Times New Roman" w:hAnsi="Courier New" w:cs="Courier New"/>
      <w:sz w:val="20"/>
      <w:szCs w:val="20"/>
      <w:lang w:eastAsia="ru-RU"/>
    </w:rPr>
  </w:style>
  <w:style w:type="character" w:customStyle="1" w:styleId="tlid-translation">
    <w:name w:val="tlid-translation"/>
    <w:basedOn w:val="a2"/>
    <w:qFormat/>
    <w:rsid w:val="00E17FE1"/>
  </w:style>
  <w:style w:type="table" w:customStyle="1" w:styleId="12">
    <w:name w:val="Сетка таблицы1"/>
    <w:basedOn w:val="a3"/>
    <w:uiPriority w:val="39"/>
    <w:qFormat/>
    <w:rsid w:val="00E17FE1"/>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1">
    <w:name w:val="Основной текст (4)_"/>
    <w:link w:val="410"/>
    <w:uiPriority w:val="99"/>
    <w:qFormat/>
    <w:locked/>
    <w:rsid w:val="00E17FE1"/>
    <w:rPr>
      <w:b/>
      <w:bCs/>
      <w:sz w:val="25"/>
      <w:szCs w:val="25"/>
      <w:shd w:val="clear" w:color="auto" w:fill="FFFFFF"/>
    </w:rPr>
  </w:style>
  <w:style w:type="paragraph" w:customStyle="1" w:styleId="410">
    <w:name w:val="Основной текст (4)1"/>
    <w:basedOn w:val="a1"/>
    <w:link w:val="41"/>
    <w:uiPriority w:val="99"/>
    <w:qFormat/>
    <w:rsid w:val="00E17FE1"/>
    <w:pPr>
      <w:shd w:val="clear" w:color="auto" w:fill="FFFFFF"/>
      <w:spacing w:after="480" w:line="317" w:lineRule="exact"/>
      <w:jc w:val="center"/>
    </w:pPr>
    <w:rPr>
      <w:b/>
      <w:bCs/>
      <w:sz w:val="25"/>
      <w:szCs w:val="25"/>
    </w:rPr>
  </w:style>
  <w:style w:type="character" w:customStyle="1" w:styleId="afa">
    <w:name w:val="Подпись к таблице_"/>
    <w:link w:val="13"/>
    <w:uiPriority w:val="99"/>
    <w:qFormat/>
    <w:locked/>
    <w:rsid w:val="00E17FE1"/>
    <w:rPr>
      <w:b/>
      <w:bCs/>
      <w:sz w:val="25"/>
      <w:szCs w:val="25"/>
      <w:shd w:val="clear" w:color="auto" w:fill="FFFFFF"/>
    </w:rPr>
  </w:style>
  <w:style w:type="paragraph" w:customStyle="1" w:styleId="13">
    <w:name w:val="Подпись к таблице1"/>
    <w:basedOn w:val="a1"/>
    <w:link w:val="afa"/>
    <w:uiPriority w:val="99"/>
    <w:qFormat/>
    <w:rsid w:val="00E17FE1"/>
    <w:pPr>
      <w:shd w:val="clear" w:color="auto" w:fill="FFFFFF"/>
      <w:spacing w:after="120" w:line="240" w:lineRule="atLeast"/>
      <w:ind w:hanging="2040"/>
    </w:pPr>
    <w:rPr>
      <w:b/>
      <w:bCs/>
      <w:sz w:val="25"/>
      <w:szCs w:val="25"/>
    </w:rPr>
  </w:style>
  <w:style w:type="character" w:customStyle="1" w:styleId="y2iqfc">
    <w:name w:val="y2iqfc"/>
    <w:basedOn w:val="a2"/>
    <w:qFormat/>
    <w:rsid w:val="00E17FE1"/>
  </w:style>
  <w:style w:type="paragraph" w:customStyle="1" w:styleId="Default">
    <w:name w:val="Default"/>
    <w:qFormat/>
    <w:rsid w:val="00E17FE1"/>
    <w:pPr>
      <w:autoSpaceDE w:val="0"/>
      <w:autoSpaceDN w:val="0"/>
      <w:adjustRightInd w:val="0"/>
    </w:pPr>
    <w:rPr>
      <w:rFonts w:eastAsiaTheme="minorHAnsi"/>
      <w:color w:val="000000"/>
      <w:sz w:val="24"/>
      <w:szCs w:val="24"/>
      <w:lang w:eastAsia="en-US"/>
    </w:rPr>
  </w:style>
  <w:style w:type="table" w:customStyle="1" w:styleId="71">
    <w:name w:val="Сетка таблицы7"/>
    <w:basedOn w:val="a3"/>
    <w:uiPriority w:val="39"/>
    <w:qFormat/>
    <w:rsid w:val="00E17FE1"/>
    <w:rPr>
      <w:rFonts w:cs="DejaVu Sans"/>
      <w:sz w:val="24"/>
      <w:szCs w:val="24"/>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A">
    <w:name w:val="Body A"/>
    <w:qFormat/>
    <w:rsid w:val="00E17FE1"/>
    <w:pPr>
      <w:suppressAutoHyphens/>
    </w:pPr>
    <w:rPr>
      <w:rFonts w:ascii="Arial Unicode MS" w:eastAsia="Arial Unicode MS" w:hAnsi="Arial Unicode MS" w:cs="Arial Unicode MS"/>
      <w:color w:val="000000"/>
      <w:sz w:val="22"/>
      <w:szCs w:val="22"/>
      <w:u w:color="000000"/>
    </w:rPr>
  </w:style>
  <w:style w:type="paragraph" w:customStyle="1" w:styleId="Body">
    <w:name w:val="Body"/>
    <w:qFormat/>
    <w:rsid w:val="00E17FE1"/>
    <w:rPr>
      <w:rFonts w:ascii="Arial Unicode MS" w:eastAsia="Arial Unicode MS" w:hAnsi="Helvetica" w:cs="Arial Unicode MS"/>
      <w:color w:val="000000"/>
      <w:sz w:val="22"/>
      <w:szCs w:val="22"/>
    </w:rPr>
  </w:style>
  <w:style w:type="paragraph" w:customStyle="1" w:styleId="110">
    <w:name w:val="Заголовок 11"/>
    <w:basedOn w:val="a1"/>
    <w:next w:val="a1"/>
    <w:uiPriority w:val="1"/>
    <w:qFormat/>
    <w:rsid w:val="00E17FE1"/>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1"/>
    <w:next w:val="a1"/>
    <w:uiPriority w:val="9"/>
    <w:unhideWhenUsed/>
    <w:qFormat/>
    <w:rsid w:val="00E17FE1"/>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authors-list-item">
    <w:name w:val="authors-list-item"/>
    <w:basedOn w:val="a2"/>
    <w:qFormat/>
    <w:rsid w:val="00E17FE1"/>
  </w:style>
  <w:style w:type="character" w:customStyle="1" w:styleId="author-sup-separator">
    <w:name w:val="author-sup-separator"/>
    <w:basedOn w:val="a2"/>
    <w:qFormat/>
    <w:rsid w:val="00E17FE1"/>
  </w:style>
  <w:style w:type="character" w:customStyle="1" w:styleId="comma">
    <w:name w:val="comma"/>
    <w:basedOn w:val="a2"/>
    <w:qFormat/>
    <w:rsid w:val="00E17FE1"/>
  </w:style>
  <w:style w:type="character" w:customStyle="1" w:styleId="period">
    <w:name w:val="period"/>
    <w:basedOn w:val="a2"/>
    <w:qFormat/>
    <w:rsid w:val="00E17FE1"/>
  </w:style>
  <w:style w:type="character" w:customStyle="1" w:styleId="cit">
    <w:name w:val="cit"/>
    <w:basedOn w:val="a2"/>
    <w:qFormat/>
    <w:rsid w:val="00E17FE1"/>
  </w:style>
  <w:style w:type="character" w:customStyle="1" w:styleId="citation-doi">
    <w:name w:val="citation-doi"/>
    <w:basedOn w:val="a2"/>
    <w:qFormat/>
    <w:rsid w:val="00E17FE1"/>
  </w:style>
  <w:style w:type="character" w:customStyle="1" w:styleId="secondary-date">
    <w:name w:val="secondary-date"/>
    <w:basedOn w:val="a2"/>
    <w:qFormat/>
    <w:rsid w:val="00E17FE1"/>
  </w:style>
  <w:style w:type="character" w:customStyle="1" w:styleId="111">
    <w:name w:val="Заголовок 1 Знак1"/>
    <w:basedOn w:val="a2"/>
    <w:uiPriority w:val="9"/>
    <w:qFormat/>
    <w:rsid w:val="00E17FE1"/>
    <w:rPr>
      <w:rFonts w:asciiTheme="majorHAnsi" w:eastAsiaTheme="majorEastAsia" w:hAnsiTheme="majorHAnsi" w:cstheme="majorBidi"/>
      <w:color w:val="365F91" w:themeColor="accent1" w:themeShade="BF"/>
      <w:sz w:val="32"/>
      <w:szCs w:val="32"/>
    </w:rPr>
  </w:style>
  <w:style w:type="character" w:customStyle="1" w:styleId="docsum-authors">
    <w:name w:val="docsum-authors"/>
    <w:basedOn w:val="a2"/>
    <w:qFormat/>
    <w:rsid w:val="00E17FE1"/>
  </w:style>
  <w:style w:type="character" w:customStyle="1" w:styleId="docsum-journal-citation">
    <w:name w:val="docsum-journal-citation"/>
    <w:basedOn w:val="a2"/>
    <w:qFormat/>
    <w:rsid w:val="00E17FE1"/>
  </w:style>
  <w:style w:type="character" w:customStyle="1" w:styleId="position-number">
    <w:name w:val="position-number"/>
    <w:basedOn w:val="a2"/>
    <w:qFormat/>
    <w:rsid w:val="00E17FE1"/>
  </w:style>
  <w:style w:type="paragraph" w:customStyle="1" w:styleId="headertext">
    <w:name w:val="headertext"/>
    <w:basedOn w:val="a1"/>
    <w:qFormat/>
    <w:rsid w:val="00E17F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текст1"/>
    <w:basedOn w:val="a1"/>
    <w:qFormat/>
    <w:rsid w:val="00E17FE1"/>
    <w:pPr>
      <w:spacing w:after="0" w:line="240" w:lineRule="auto"/>
    </w:pPr>
    <w:rPr>
      <w:rFonts w:ascii="Times New Roman" w:eastAsia="Times New Roman" w:hAnsi="Times New Roman" w:cs="Times New Roman"/>
      <w:sz w:val="28"/>
      <w:szCs w:val="20"/>
      <w:lang w:eastAsia="kk-KZ"/>
    </w:rPr>
  </w:style>
  <w:style w:type="paragraph" w:customStyle="1" w:styleId="310">
    <w:name w:val="Заголовок 31"/>
    <w:basedOn w:val="a1"/>
    <w:next w:val="3"/>
    <w:unhideWhenUsed/>
    <w:qFormat/>
    <w:rsid w:val="00E17FE1"/>
    <w:pPr>
      <w:keepNext/>
      <w:keepLines/>
      <w:spacing w:before="200" w:after="0"/>
      <w:ind w:left="720" w:hanging="720"/>
      <w:outlineLvl w:val="2"/>
    </w:pPr>
    <w:rPr>
      <w:rFonts w:ascii="Cambria" w:eastAsia="Times New Roman" w:hAnsi="Cambria" w:cs="Times New Roman"/>
      <w:b/>
      <w:bCs/>
      <w:color w:val="4F81BD"/>
    </w:rPr>
  </w:style>
  <w:style w:type="paragraph" w:customStyle="1" w:styleId="411">
    <w:name w:val="Заголовок 41"/>
    <w:basedOn w:val="a1"/>
    <w:next w:val="4"/>
    <w:unhideWhenUsed/>
    <w:qFormat/>
    <w:rsid w:val="00E17FE1"/>
    <w:pPr>
      <w:keepNext/>
      <w:keepLines/>
      <w:spacing w:before="200" w:after="0"/>
      <w:ind w:left="864" w:hanging="864"/>
      <w:outlineLvl w:val="3"/>
    </w:pPr>
    <w:rPr>
      <w:rFonts w:ascii="Cambria" w:eastAsia="Times New Roman" w:hAnsi="Cambria" w:cs="Times New Roman"/>
      <w:b/>
      <w:bCs/>
      <w:i/>
      <w:iCs/>
      <w:color w:val="4F81BD"/>
    </w:rPr>
  </w:style>
  <w:style w:type="paragraph" w:customStyle="1" w:styleId="51">
    <w:name w:val="Заголовок 51"/>
    <w:basedOn w:val="a1"/>
    <w:next w:val="5"/>
    <w:unhideWhenUsed/>
    <w:qFormat/>
    <w:rsid w:val="00E17FE1"/>
    <w:pPr>
      <w:keepNext/>
      <w:keepLines/>
      <w:spacing w:before="200" w:after="0"/>
      <w:ind w:left="1008" w:hanging="1008"/>
      <w:outlineLvl w:val="4"/>
    </w:pPr>
    <w:rPr>
      <w:rFonts w:ascii="Cambria" w:eastAsia="Times New Roman" w:hAnsi="Cambria" w:cs="Times New Roman"/>
      <w:color w:val="243F60"/>
    </w:rPr>
  </w:style>
  <w:style w:type="paragraph" w:customStyle="1" w:styleId="81">
    <w:name w:val="Заголовок 81"/>
    <w:basedOn w:val="a1"/>
    <w:next w:val="8"/>
    <w:unhideWhenUsed/>
    <w:qFormat/>
    <w:rsid w:val="00E17FE1"/>
    <w:pPr>
      <w:keepNext/>
      <w:keepLines/>
      <w:spacing w:before="200" w:after="0"/>
      <w:ind w:left="1440" w:hanging="1440"/>
      <w:outlineLvl w:val="7"/>
    </w:pPr>
    <w:rPr>
      <w:rFonts w:ascii="Cambria" w:eastAsia="Times New Roman" w:hAnsi="Cambria" w:cs="Times New Roman"/>
      <w:color w:val="404040"/>
      <w:sz w:val="20"/>
      <w:szCs w:val="20"/>
    </w:rPr>
  </w:style>
  <w:style w:type="paragraph" w:customStyle="1" w:styleId="91">
    <w:name w:val="Заголовок 91"/>
    <w:basedOn w:val="a1"/>
    <w:next w:val="9"/>
    <w:unhideWhenUsed/>
    <w:qFormat/>
    <w:rsid w:val="00E17FE1"/>
    <w:pPr>
      <w:keepNext/>
      <w:keepLines/>
      <w:spacing w:before="200" w:after="0"/>
      <w:ind w:left="1584" w:hanging="1584"/>
      <w:outlineLvl w:val="8"/>
    </w:pPr>
    <w:rPr>
      <w:rFonts w:ascii="Cambria" w:eastAsia="Times New Roman" w:hAnsi="Cambria" w:cs="Times New Roman"/>
      <w:i/>
      <w:iCs/>
      <w:color w:val="404040"/>
      <w:sz w:val="20"/>
      <w:szCs w:val="20"/>
    </w:rPr>
  </w:style>
  <w:style w:type="paragraph" w:customStyle="1" w:styleId="15">
    <w:name w:val="Абзац списка1"/>
    <w:basedOn w:val="a1"/>
    <w:next w:val="af6"/>
    <w:uiPriority w:val="34"/>
    <w:qFormat/>
    <w:rsid w:val="00E17FE1"/>
    <w:pPr>
      <w:spacing w:after="160" w:line="259" w:lineRule="auto"/>
      <w:ind w:left="720"/>
      <w:contextualSpacing/>
    </w:pPr>
    <w:rPr>
      <w:rFonts w:ascii="Calibri" w:eastAsia="Calibri" w:hAnsi="Calibri" w:cs="Times New Roman"/>
    </w:rPr>
  </w:style>
  <w:style w:type="character" w:customStyle="1" w:styleId="120">
    <w:name w:val="Заголовок 1 Знак2"/>
    <w:basedOn w:val="a2"/>
    <w:uiPriority w:val="9"/>
    <w:qFormat/>
    <w:rsid w:val="00E17FE1"/>
    <w:rPr>
      <w:rFonts w:ascii="Calibri Light" w:eastAsia="Times New Roman" w:hAnsi="Calibri Light" w:cs="Times New Roman"/>
      <w:color w:val="2E74B5"/>
      <w:sz w:val="32"/>
      <w:szCs w:val="32"/>
    </w:rPr>
  </w:style>
  <w:style w:type="character" w:customStyle="1" w:styleId="16">
    <w:name w:val="Неразрешенное упоминание1"/>
    <w:basedOn w:val="a2"/>
    <w:uiPriority w:val="99"/>
    <w:semiHidden/>
    <w:unhideWhenUsed/>
    <w:qFormat/>
    <w:rsid w:val="00E17FE1"/>
    <w:rPr>
      <w:color w:val="605E5C"/>
      <w:shd w:val="clear" w:color="auto" w:fill="E1DFDD"/>
    </w:rPr>
  </w:style>
  <w:style w:type="character" w:customStyle="1" w:styleId="anchor-text">
    <w:name w:val="anchor-text"/>
    <w:basedOn w:val="a2"/>
    <w:qFormat/>
    <w:rsid w:val="00E17FE1"/>
  </w:style>
  <w:style w:type="character" w:customStyle="1" w:styleId="typographytypographycrpwo">
    <w:name w:val="typography_typography__crpwo"/>
    <w:basedOn w:val="a2"/>
    <w:qFormat/>
    <w:rsid w:val="00E17FE1"/>
  </w:style>
  <w:style w:type="table" w:customStyle="1" w:styleId="TableNormal1">
    <w:name w:val="Table Normal1"/>
    <w:uiPriority w:val="2"/>
    <w:qFormat/>
    <w:rsid w:val="00E17FE1"/>
    <w:rPr>
      <w:rFonts w:ascii="Arial" w:eastAsia="Arial" w:hAnsi="Arial" w:cs="Arial"/>
      <w:lang w:val="en-GB" w:eastAsia="uk-UA"/>
    </w:rPr>
    <w:tblPr>
      <w:tblCellMar>
        <w:top w:w="0" w:type="dxa"/>
        <w:left w:w="0" w:type="dxa"/>
        <w:bottom w:w="0" w:type="dxa"/>
        <w:right w:w="0" w:type="dxa"/>
      </w:tblCellMar>
    </w:tblPr>
  </w:style>
  <w:style w:type="paragraph" w:customStyle="1" w:styleId="VAFigureCaption">
    <w:name w:val="VA_Figure_Caption"/>
    <w:basedOn w:val="a1"/>
    <w:next w:val="a1"/>
    <w:qFormat/>
    <w:rsid w:val="00E17FE1"/>
    <w:pPr>
      <w:spacing w:line="480" w:lineRule="auto"/>
      <w:jc w:val="both"/>
    </w:pPr>
    <w:rPr>
      <w:rFonts w:ascii="Times" w:eastAsia="Times New Roman" w:hAnsi="Times" w:cs="Times New Roman"/>
      <w:sz w:val="24"/>
      <w:szCs w:val="20"/>
      <w:lang w:val="en-US"/>
    </w:rPr>
  </w:style>
  <w:style w:type="paragraph" w:customStyle="1" w:styleId="TAMainText">
    <w:name w:val="TA_Main_Text"/>
    <w:basedOn w:val="a1"/>
    <w:qFormat/>
    <w:rsid w:val="00E17FE1"/>
    <w:pPr>
      <w:spacing w:after="0" w:line="480" w:lineRule="auto"/>
      <w:ind w:firstLine="202"/>
      <w:jc w:val="both"/>
    </w:pPr>
    <w:rPr>
      <w:rFonts w:ascii="Times" w:eastAsia="Times New Roman" w:hAnsi="Times" w:cs="Times New Roman"/>
      <w:sz w:val="24"/>
      <w:szCs w:val="20"/>
      <w:lang w:val="en-US"/>
    </w:rPr>
  </w:style>
  <w:style w:type="table" w:customStyle="1" w:styleId="22">
    <w:name w:val="Сетка таблицы2"/>
    <w:basedOn w:val="a3"/>
    <w:uiPriority w:val="59"/>
    <w:qFormat/>
    <w:rsid w:val="00E17F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E17FE1"/>
    <w:pPr>
      <w:widowControl w:val="0"/>
      <w:autoSpaceDE w:val="0"/>
      <w:autoSpaceDN w:val="0"/>
    </w:pPr>
    <w:rPr>
      <w:rFonts w:eastAsia="Calibri"/>
      <w:lang w:val="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image" Target="media/image3.png"/><Relationship Id="rId26" Type="http://schemas.openxmlformats.org/officeDocument/2006/relationships/image" Target="media/image9.png"/><Relationship Id="rId39" Type="http://schemas.openxmlformats.org/officeDocument/2006/relationships/chart" Target="charts/chart8.xml"/><Relationship Id="rId21" Type="http://schemas.openxmlformats.org/officeDocument/2006/relationships/image" Target="media/image4.png"/><Relationship Id="rId34" Type="http://schemas.openxmlformats.org/officeDocument/2006/relationships/image" Target="media/image16.png"/><Relationship Id="rId42" Type="http://schemas.openxmlformats.org/officeDocument/2006/relationships/chart" Target="charts/chart10.xml"/><Relationship Id="rId47" Type="http://schemas.openxmlformats.org/officeDocument/2006/relationships/hyperlink" Target="https://www.sciencedirect.com/science/article/pii/S0939641117315023" TargetMode="External"/><Relationship Id="rId50" Type="http://schemas.openxmlformats.org/officeDocument/2006/relationships/image" Target="media/image22.png"/><Relationship Id="rId55" Type="http://schemas.openxmlformats.org/officeDocument/2006/relationships/image" Target="media/image24.png"/><Relationship Id="rId63" Type="http://schemas.openxmlformats.org/officeDocument/2006/relationships/hyperlink" Target="https://doi.org/10.1016/j.micinf.2024.105384" TargetMode="External"/><Relationship Id="rId68"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4.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7.png"/><Relationship Id="rId32" Type="http://schemas.openxmlformats.org/officeDocument/2006/relationships/image" Target="media/image14.tiff"/><Relationship Id="rId37" Type="http://schemas.openxmlformats.org/officeDocument/2006/relationships/image" Target="media/image19.png"/><Relationship Id="rId40" Type="http://schemas.openxmlformats.org/officeDocument/2006/relationships/image" Target="media/image21.png"/><Relationship Id="rId45" Type="http://schemas.openxmlformats.org/officeDocument/2006/relationships/chart" Target="charts/chart13.xml"/><Relationship Id="rId53" Type="http://schemas.openxmlformats.org/officeDocument/2006/relationships/chart" Target="charts/chart16.xml"/><Relationship Id="rId58" Type="http://schemas.openxmlformats.org/officeDocument/2006/relationships/image" Target="media/image27.png"/><Relationship Id="rId66" Type="http://schemas.openxmlformats.org/officeDocument/2006/relationships/hyperlink" Target="https://doi.org/10.1016/j.burnso.2024.100379" TargetMode="External"/><Relationship Id="rId5" Type="http://schemas.openxmlformats.org/officeDocument/2006/relationships/webSettings" Target="webSettings.xml"/><Relationship Id="rId15" Type="http://schemas.openxmlformats.org/officeDocument/2006/relationships/hyperlink" Target="https://doi.org/10.21285/2227-2925-2017-7-1-140-146" TargetMode="External"/><Relationship Id="rId23" Type="http://schemas.openxmlformats.org/officeDocument/2006/relationships/image" Target="media/image6.png"/><Relationship Id="rId28" Type="http://schemas.openxmlformats.org/officeDocument/2006/relationships/image" Target="media/image10.png"/><Relationship Id="rId36" Type="http://schemas.openxmlformats.org/officeDocument/2006/relationships/image" Target="media/image18.tiff"/><Relationship Id="rId49" Type="http://schemas.openxmlformats.org/officeDocument/2006/relationships/hyperlink" Target="https://www.sciencedirect.com/science/article/pii/S0939641117315023" TargetMode="External"/><Relationship Id="rId57" Type="http://schemas.openxmlformats.org/officeDocument/2006/relationships/image" Target="media/image26.png"/><Relationship Id="rId61" Type="http://schemas.openxmlformats.org/officeDocument/2006/relationships/hyperlink" Target="https://doi.org/10.1021/acsbiomaterials.2c00095" TargetMode="External"/><Relationship Id="rId10" Type="http://schemas.openxmlformats.org/officeDocument/2006/relationships/hyperlink" Target="http://dx.doi.org/10.1016/j.mimet.2014.05.008" TargetMode="External"/><Relationship Id="rId19" Type="http://schemas.openxmlformats.org/officeDocument/2006/relationships/chart" Target="charts/chart6.xml"/><Relationship Id="rId31" Type="http://schemas.openxmlformats.org/officeDocument/2006/relationships/image" Target="media/image13.png"/><Relationship Id="rId44" Type="http://schemas.openxmlformats.org/officeDocument/2006/relationships/chart" Target="charts/chart12.xml"/><Relationship Id="rId52" Type="http://schemas.openxmlformats.org/officeDocument/2006/relationships/chart" Target="charts/chart15.xml"/><Relationship Id="rId60" Type="http://schemas.openxmlformats.org/officeDocument/2006/relationships/chart" Target="charts/chart18.xml"/><Relationship Id="rId65" Type="http://schemas.openxmlformats.org/officeDocument/2006/relationships/hyperlink" Target="https://doi.org/10.1016/j.jfutfo.2025.05.011"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chart" Target="charts/chart3.xml"/><Relationship Id="rId22" Type="http://schemas.openxmlformats.org/officeDocument/2006/relationships/image" Target="media/image5.png"/><Relationship Id="rId27" Type="http://schemas.openxmlformats.org/officeDocument/2006/relationships/chart" Target="charts/chart7.xml"/><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chart" Target="charts/chart11.xml"/><Relationship Id="rId48" Type="http://schemas.openxmlformats.org/officeDocument/2006/relationships/hyperlink" Target="https://www.sciencedirect.com/science/article/pii/S0939641117315023" TargetMode="External"/><Relationship Id="rId56" Type="http://schemas.openxmlformats.org/officeDocument/2006/relationships/image" Target="media/image25.jpeg"/><Relationship Id="rId64" Type="http://schemas.openxmlformats.org/officeDocument/2006/relationships/hyperlink" Target="https://doi.org/10.1016/j.biortech.2016.05.082" TargetMode="External"/><Relationship Id="rId69" Type="http://schemas.openxmlformats.org/officeDocument/2006/relationships/fontTable" Target="fontTable.xml"/><Relationship Id="rId8" Type="http://schemas.openxmlformats.org/officeDocument/2006/relationships/hyperlink" Target="https://doi.org/10.1111/apm.70050," TargetMode="External"/><Relationship Id="rId51" Type="http://schemas.openxmlformats.org/officeDocument/2006/relationships/hyperlink" Target="https://doi.org/10.1002/cplu.202300777"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chart" Target="charts/chart5.xml"/><Relationship Id="rId25" Type="http://schemas.openxmlformats.org/officeDocument/2006/relationships/image" Target="media/image8.png"/><Relationship Id="rId33" Type="http://schemas.openxmlformats.org/officeDocument/2006/relationships/image" Target="media/image15.png"/><Relationship Id="rId38" Type="http://schemas.openxmlformats.org/officeDocument/2006/relationships/image" Target="media/image20.tiff"/><Relationship Id="rId46" Type="http://schemas.openxmlformats.org/officeDocument/2006/relationships/chart" Target="charts/chart14.xml"/><Relationship Id="rId59" Type="http://schemas.openxmlformats.org/officeDocument/2006/relationships/chart" Target="charts/chart17.xml"/><Relationship Id="rId67" Type="http://schemas.openxmlformats.org/officeDocument/2006/relationships/image" Target="media/image28.jpeg"/><Relationship Id="rId20" Type="http://schemas.openxmlformats.org/officeDocument/2006/relationships/hyperlink" Target="https://doi.org/10.1016/j.mseb.2025.118076" TargetMode="External"/><Relationship Id="rId41" Type="http://schemas.openxmlformats.org/officeDocument/2006/relationships/chart" Target="charts/chart9.xml"/><Relationship Id="rId54" Type="http://schemas.openxmlformats.org/officeDocument/2006/relationships/image" Target="media/image23.png"/><Relationship Id="rId62" Type="http://schemas.openxmlformats.org/officeDocument/2006/relationships/hyperlink" Target="https://doi.org/10.3390/polym13081268" TargetMode="External"/><Relationship Id="rId7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2.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3.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12.xlsx"/><Relationship Id="rId1" Type="http://schemas.openxmlformats.org/officeDocument/2006/relationships/themeOverride" Target="../theme/themeOverride4.xml"/></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5.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6.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Office_Excel16.xlsx"/><Relationship Id="rId1" Type="http://schemas.openxmlformats.org/officeDocument/2006/relationships/themeOverride" Target="../theme/themeOverride7.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17.xlsx"/><Relationship Id="rId1" Type="http://schemas.openxmlformats.org/officeDocument/2006/relationships/themeOverride" Target="../theme/themeOverride8.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18.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cellulose</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rrBars>
            <c:errBarType val="both"/>
            <c:errValType val="percentage"/>
            <c:val val="5"/>
            <c:spPr>
              <a:noFill/>
              <a:ln w="9525" cap="flat" cmpd="sng" algn="ctr">
                <a:solidFill>
                  <a:schemeClr val="tx1">
                    <a:lumMod val="50000"/>
                    <a:lumOff val="50000"/>
                  </a:schemeClr>
                </a:solidFill>
                <a:prstDash val="solid"/>
                <a:round/>
              </a:ln>
              <a:effectLst/>
            </c:spPr>
          </c:errBars>
          <c:cat>
            <c:numRef>
              <c:f>Лист1!$A$2:$A$8</c:f>
              <c:numCache>
                <c:formatCode>General</c:formatCode>
                <c:ptCount val="7"/>
                <c:pt idx="0">
                  <c:v>0.5</c:v>
                </c:pt>
                <c:pt idx="1">
                  <c:v>1</c:v>
                </c:pt>
                <c:pt idx="2">
                  <c:v>1.5</c:v>
                </c:pt>
                <c:pt idx="3">
                  <c:v>2</c:v>
                </c:pt>
                <c:pt idx="4">
                  <c:v>2.5</c:v>
                </c:pt>
                <c:pt idx="5">
                  <c:v>3</c:v>
                </c:pt>
                <c:pt idx="6">
                  <c:v>3.5</c:v>
                </c:pt>
              </c:numCache>
            </c:numRef>
          </c:cat>
          <c:val>
            <c:numRef>
              <c:f>Лист1!$B$2:$B$8</c:f>
              <c:numCache>
                <c:formatCode>General</c:formatCode>
                <c:ptCount val="7"/>
                <c:pt idx="0">
                  <c:v>3.12</c:v>
                </c:pt>
                <c:pt idx="1">
                  <c:v>4.5599999999999996</c:v>
                </c:pt>
                <c:pt idx="2">
                  <c:v>4.55</c:v>
                </c:pt>
                <c:pt idx="3">
                  <c:v>4.2300000000000004</c:v>
                </c:pt>
                <c:pt idx="4">
                  <c:v>4.04</c:v>
                </c:pt>
                <c:pt idx="5">
                  <c:v>3.8499999999999988</c:v>
                </c:pt>
                <c:pt idx="6">
                  <c:v>3.4499999999999997</c:v>
                </c:pt>
              </c:numCache>
            </c:numRef>
          </c:val>
        </c:ser>
        <c:gapWidth val="100"/>
        <c:overlap val="-24"/>
        <c:axId val="109325696"/>
        <c:axId val="109378944"/>
      </c:barChart>
      <c:catAx>
        <c:axId val="109325696"/>
        <c:scaling>
          <c:orientation val="minMax"/>
        </c:scaling>
        <c:axPos val="b"/>
        <c:title>
          <c:tx>
            <c:rich>
              <a:bodyPr rot="0" spcFirstLastPara="1" vertOverflow="ellipsis" vert="horz" wrap="square" anchor="ctr" anchorCtr="1"/>
              <a:lstStyle/>
              <a:p>
                <a:pPr>
                  <a:defRPr lang="ru-RU" sz="900" b="0" i="0" u="none" strike="noStrike" kern="1200" cap="all" baseline="0">
                    <a:solidFill>
                      <a:schemeClr val="tx1">
                        <a:lumMod val="50000"/>
                        <a:lumOff val="50000"/>
                      </a:schemeClr>
                    </a:solidFill>
                    <a:latin typeface="+mn-lt"/>
                    <a:ea typeface="+mn-ea"/>
                    <a:cs typeface="+mn-cs"/>
                  </a:defRPr>
                </a:pPr>
                <a:r>
                  <a:rPr lang="ru-RU"/>
                  <a:t>Концентрация глюкозы (%)</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50000"/>
                    <a:lumOff val="50000"/>
                  </a:schemeClr>
                </a:solidFill>
                <a:latin typeface="+mn-lt"/>
                <a:ea typeface="+mn-ea"/>
                <a:cs typeface="+mn-cs"/>
              </a:defRPr>
            </a:pPr>
            <a:endParaRPr lang="ru-RU"/>
          </a:p>
        </c:txPr>
        <c:crossAx val="109378944"/>
        <c:crosses val="autoZero"/>
        <c:auto val="1"/>
        <c:lblAlgn val="ctr"/>
        <c:lblOffset val="100"/>
      </c:catAx>
      <c:valAx>
        <c:axId val="109378944"/>
        <c:scaling>
          <c:orientation val="minMax"/>
        </c:scaling>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ru-RU" sz="900" b="0" i="0" u="none" strike="noStrike" kern="1200" cap="all" baseline="0">
                    <a:solidFill>
                      <a:schemeClr val="tx1">
                        <a:lumMod val="50000"/>
                        <a:lumOff val="50000"/>
                      </a:schemeClr>
                    </a:solidFill>
                    <a:latin typeface="+mn-lt"/>
                    <a:ea typeface="+mn-ea"/>
                    <a:cs typeface="+mn-cs"/>
                  </a:defRPr>
                </a:pPr>
                <a:r>
                  <a:rPr lang="ru-RU"/>
                  <a:t>Вес пленки (г/л)</a:t>
                </a:r>
              </a:p>
            </c:rich>
          </c:tx>
          <c:spPr>
            <a:noFill/>
            <a:ln>
              <a:noFill/>
            </a:ln>
            <a:effectLst/>
          </c:spPr>
        </c:title>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50000"/>
                    <a:lumOff val="50000"/>
                  </a:schemeClr>
                </a:solidFill>
                <a:latin typeface="+mn-lt"/>
                <a:ea typeface="+mn-ea"/>
                <a:cs typeface="+mn-cs"/>
              </a:defRPr>
            </a:pPr>
            <a:endParaRPr lang="ru-RU"/>
          </a:p>
        </c:txPr>
        <c:crossAx val="109325696"/>
        <c:crosses val="autoZero"/>
        <c:crossBetween val="between"/>
      </c:valAx>
      <c:spPr>
        <a:noFill/>
        <a:ln>
          <a:noFill/>
        </a:ln>
        <a:effectLst/>
      </c:spPr>
    </c:plotArea>
    <c:plotVisOnly val="1"/>
    <c:dispBlanksAs val="gap"/>
    <c:extLst>
      <c:ext uri="{0b15fc19-7d7d-44ad-8c2d-2c3a37ce22c3}">
        <chartProps xmlns="https://web.wps.cn/et/2018/main" chartId="{acf9dd49-7762-43c6-bfcf-72afbd075a3a}"/>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Ряд 1</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800" b="0" i="0" u="none" strike="noStrike" kern="1200" baseline="0">
                    <a:solidFill>
                      <a:schemeClr val="tx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errBars>
            <c:errBarType val="both"/>
            <c:errValType val="percentage"/>
            <c:val val="5"/>
            <c:spPr>
              <a:noFill/>
              <a:ln w="9525" cap="flat" cmpd="sng" algn="ctr">
                <a:solidFill>
                  <a:schemeClr val="tx1">
                    <a:lumMod val="65000"/>
                    <a:lumOff val="35000"/>
                  </a:schemeClr>
                </a:solidFill>
                <a:prstDash val="solid"/>
                <a:round/>
              </a:ln>
              <a:effectLst/>
            </c:spPr>
          </c:errBars>
          <c:cat>
            <c:strRef>
              <c:f>Лист1!$A$2:$A$6</c:f>
              <c:strCache>
                <c:ptCount val="5"/>
                <c:pt idx="0">
                  <c:v>Биомасса (Х)</c:v>
                </c:pt>
                <c:pt idx="1">
                  <c:v>Целлюлоза (P)</c:v>
                </c:pt>
                <c:pt idx="2">
                  <c:v>Утилизированная глюкоза (S)</c:v>
                </c:pt>
                <c:pt idx="3">
                  <c:v>P/S</c:v>
                </c:pt>
                <c:pt idx="4">
                  <c:v>X/S</c:v>
                </c:pt>
              </c:strCache>
            </c:strRef>
          </c:cat>
          <c:val>
            <c:numRef>
              <c:f>Лист1!$B$2:$B$6</c:f>
              <c:numCache>
                <c:formatCode>General</c:formatCode>
                <c:ptCount val="5"/>
                <c:pt idx="0">
                  <c:v>100</c:v>
                </c:pt>
                <c:pt idx="1">
                  <c:v>55.9</c:v>
                </c:pt>
                <c:pt idx="2">
                  <c:v>28.6</c:v>
                </c:pt>
                <c:pt idx="3">
                  <c:v>21.2</c:v>
                </c:pt>
                <c:pt idx="4">
                  <c:v>55.5</c:v>
                </c:pt>
              </c:numCache>
            </c:numRef>
          </c:val>
        </c:ser>
        <c:dLbls>
          <c:showVal val="1"/>
        </c:dLbls>
        <c:gapWidth val="219"/>
        <c:overlap val="-27"/>
        <c:axId val="112596480"/>
        <c:axId val="112706688"/>
      </c:barChart>
      <c:catAx>
        <c:axId val="112596480"/>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850" b="0" i="0" u="none" strike="noStrike" kern="1200" baseline="0">
                <a:solidFill>
                  <a:schemeClr val="tx1">
                    <a:lumMod val="65000"/>
                    <a:lumOff val="35000"/>
                  </a:schemeClr>
                </a:solidFill>
                <a:latin typeface="+mn-lt"/>
                <a:ea typeface="+mn-ea"/>
                <a:cs typeface="+mn-cs"/>
              </a:defRPr>
            </a:pPr>
            <a:endParaRPr lang="ru-RU"/>
          </a:p>
        </c:txPr>
        <c:crossAx val="112706688"/>
        <c:crosses val="autoZero"/>
        <c:auto val="1"/>
        <c:lblAlgn val="ctr"/>
        <c:lblOffset val="100"/>
      </c:catAx>
      <c:valAx>
        <c:axId val="112706688"/>
        <c:scaling>
          <c:orientation val="minMax"/>
        </c:scaling>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ru-RU" sz="1100" b="0" i="0" u="none" strike="noStrike" kern="1200" baseline="0">
                    <a:solidFill>
                      <a:schemeClr val="tx1">
                        <a:lumMod val="65000"/>
                        <a:lumOff val="35000"/>
                      </a:schemeClr>
                    </a:solidFill>
                    <a:latin typeface="+mn-lt"/>
                    <a:ea typeface="+mn-ea"/>
                    <a:cs typeface="+mn-cs"/>
                  </a:defRPr>
                </a:pPr>
                <a:r>
                  <a:rPr lang="en-US" sz="1100"/>
                  <a:t>Прирост</a:t>
                </a:r>
                <a:r>
                  <a:rPr lang="en-US" sz="1100" baseline="0"/>
                  <a:t> по сравнению с классической средой HS, %</a:t>
                </a:r>
                <a:endParaRPr lang="ru-RU" sz="1100"/>
              </a:p>
            </c:rich>
          </c:tx>
          <c:layout>
            <c:manualLayout>
              <c:xMode val="edge"/>
              <c:yMode val="edge"/>
              <c:x val="2.7348602872053686E-2"/>
              <c:y val="0.17563895518733574"/>
            </c:manualLayout>
          </c:layout>
          <c:spPr>
            <a:noFill/>
            <a:ln>
              <a:noFill/>
            </a:ln>
            <a:effectLst/>
          </c:spPr>
        </c:title>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800" b="0" i="0" u="none" strike="noStrike" kern="1200" baseline="0">
                <a:solidFill>
                  <a:schemeClr val="tx1">
                    <a:lumMod val="65000"/>
                    <a:lumOff val="35000"/>
                  </a:schemeClr>
                </a:solidFill>
                <a:latin typeface="+mn-lt"/>
                <a:ea typeface="+mn-ea"/>
                <a:cs typeface="+mn-cs"/>
              </a:defRPr>
            </a:pPr>
            <a:endParaRPr lang="ru-RU"/>
          </a:p>
        </c:txPr>
        <c:crossAx val="112596480"/>
        <c:crosses val="autoZero"/>
        <c:crossBetween val="between"/>
      </c:valAx>
      <c:spPr>
        <a:noFill/>
        <a:ln>
          <a:noFill/>
        </a:ln>
        <a:effectLst/>
      </c:spPr>
    </c:plotArea>
    <c:plotVisOnly val="1"/>
    <c:dispBlanksAs val="gap"/>
    <c:extLst>
      <c:ext uri="{0b15fc19-7d7d-44ad-8c2d-2c3a37ce22c3}">
        <chartProps xmlns="https://web.wps.cn/et/2018/main" chartId="{2245ae14-5a26-4edf-8613-842ea011668a}"/>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sz="600"/>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Вес пленки БЦ (г/л)</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rrBars>
            <c:errBarType val="both"/>
            <c:errValType val="percentage"/>
            <c:val val="5"/>
            <c:spPr>
              <a:noFill/>
              <a:ln w="9525" cap="flat" cmpd="sng" algn="ctr">
                <a:solidFill>
                  <a:schemeClr val="tx1">
                    <a:lumMod val="50000"/>
                    <a:lumOff val="50000"/>
                  </a:schemeClr>
                </a:solidFill>
                <a:prstDash val="solid"/>
                <a:round/>
              </a:ln>
              <a:effectLst/>
            </c:spPr>
          </c:errBars>
          <c:cat>
            <c:strRef>
              <c:f>Лист1!$A$2:$A$6</c:f>
              <c:strCache>
                <c:ptCount val="5"/>
                <c:pt idx="0">
                  <c:v>Мод. HS среда</c:v>
                </c:pt>
                <c:pt idx="1">
                  <c:v>ПС-1 </c:v>
                </c:pt>
                <c:pt idx="2">
                  <c:v>ПС-2 </c:v>
                </c:pt>
                <c:pt idx="3">
                  <c:v>ПС-3 </c:v>
                </c:pt>
                <c:pt idx="4">
                  <c:v>ПС-4 с глицерином</c:v>
                </c:pt>
              </c:strCache>
            </c:strRef>
          </c:cat>
          <c:val>
            <c:numRef>
              <c:f>Лист1!$B$2:$B$6</c:f>
              <c:numCache>
                <c:formatCode>General</c:formatCode>
                <c:ptCount val="5"/>
                <c:pt idx="0">
                  <c:v>7.1099999999999985</c:v>
                </c:pt>
                <c:pt idx="1">
                  <c:v>7.37</c:v>
                </c:pt>
                <c:pt idx="2">
                  <c:v>12.8</c:v>
                </c:pt>
                <c:pt idx="3">
                  <c:v>10.74</c:v>
                </c:pt>
                <c:pt idx="4">
                  <c:v>4.75</c:v>
                </c:pt>
              </c:numCache>
            </c:numRef>
          </c:val>
        </c:ser>
        <c:gapWidth val="100"/>
        <c:overlap val="-24"/>
        <c:axId val="123473280"/>
        <c:axId val="130491520"/>
      </c:barChart>
      <c:catAx>
        <c:axId val="123473280"/>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1000" b="0" i="0" u="none" strike="noStrike" kern="1200" baseline="0">
                <a:solidFill>
                  <a:schemeClr val="tx1">
                    <a:lumMod val="50000"/>
                    <a:lumOff val="50000"/>
                  </a:schemeClr>
                </a:solidFill>
                <a:latin typeface="+mn-lt"/>
                <a:ea typeface="+mn-ea"/>
                <a:cs typeface="+mn-cs"/>
              </a:defRPr>
            </a:pPr>
            <a:endParaRPr lang="ru-RU"/>
          </a:p>
        </c:txPr>
        <c:crossAx val="130491520"/>
        <c:crosses val="autoZero"/>
        <c:auto val="1"/>
        <c:lblAlgn val="ctr"/>
        <c:lblOffset val="100"/>
      </c:catAx>
      <c:valAx>
        <c:axId val="130491520"/>
        <c:scaling>
          <c:orientation val="minMax"/>
        </c:scaling>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50000"/>
                    <a:lumOff val="50000"/>
                  </a:schemeClr>
                </a:solidFill>
                <a:latin typeface="+mn-lt"/>
                <a:ea typeface="+mn-ea"/>
                <a:cs typeface="+mn-cs"/>
              </a:defRPr>
            </a:pPr>
            <a:endParaRPr lang="ru-RU"/>
          </a:p>
        </c:txPr>
        <c:crossAx val="12347328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lang="ru-RU" sz="1000" b="0" i="0" u="none" strike="noStrike" kern="1200" baseline="0">
              <a:solidFill>
                <a:schemeClr val="tx1">
                  <a:lumMod val="50000"/>
                  <a:lumOff val="50000"/>
                </a:schemeClr>
              </a:solidFill>
              <a:latin typeface="+mn-lt"/>
              <a:ea typeface="+mn-ea"/>
              <a:cs typeface="+mn-cs"/>
            </a:defRPr>
          </a:pPr>
          <a:endParaRPr lang="ru-RU"/>
        </a:p>
      </c:txPr>
    </c:legend>
    <c:plotVisOnly val="1"/>
    <c:dispBlanksAs val="gap"/>
    <c:extLst>
      <c:ext uri="{0b15fc19-7d7d-44ad-8c2d-2c3a37ce22c3}">
        <chartProps xmlns="https://web.wps.cn/et/2018/main" chartId="{c0240e8b-ad4f-4580-8ad9-34f9950a9789}"/>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1317439486731"/>
          <c:y val="4.3650793650793711E-2"/>
          <c:w val="0.72127515310586665"/>
          <c:h val="0.77351831021122397"/>
        </c:manualLayout>
      </c:layout>
      <c:lineChart>
        <c:grouping val="standard"/>
        <c:ser>
          <c:idx val="0"/>
          <c:order val="0"/>
          <c:tx>
            <c:strRef>
              <c:f>Лист1!$B$1</c:f>
              <c:strCache>
                <c:ptCount val="1"/>
                <c:pt idx="0">
                  <c:v>20°C</c:v>
                </c:pt>
              </c:strCache>
            </c:strRef>
          </c:tx>
          <c:spPr>
            <a:ln w="22225" cap="rnd" cmpd="sng" algn="ctr">
              <a:solidFill>
                <a:schemeClr val="accent1"/>
              </a:solidFill>
              <a:prstDash val="solid"/>
              <a:round/>
            </a:ln>
            <a:effectLst/>
          </c:spPr>
          <c:marker>
            <c:symbol val="diamond"/>
            <c:size val="6"/>
            <c:spPr>
              <a:solidFill>
                <a:schemeClr val="accent1"/>
              </a:solidFill>
              <a:ln w="9525" cap="flat" cmpd="sng" algn="ctr">
                <a:solidFill>
                  <a:schemeClr val="accent1"/>
                </a:solidFill>
                <a:prstDash val="solid"/>
                <a:round/>
              </a:ln>
              <a:effectLst/>
            </c:spPr>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Лист1!$A$2:$A$8</c:f>
              <c:numCache>
                <c:formatCode>General</c:formatCode>
                <c:ptCount val="7"/>
                <c:pt idx="0">
                  <c:v>0</c:v>
                </c:pt>
                <c:pt idx="1">
                  <c:v>1</c:v>
                </c:pt>
                <c:pt idx="2">
                  <c:v>3</c:v>
                </c:pt>
                <c:pt idx="3">
                  <c:v>5</c:v>
                </c:pt>
                <c:pt idx="4">
                  <c:v>7</c:v>
                </c:pt>
                <c:pt idx="5">
                  <c:v>9</c:v>
                </c:pt>
                <c:pt idx="6">
                  <c:v>11</c:v>
                </c:pt>
              </c:numCache>
            </c:numRef>
          </c:cat>
          <c:val>
            <c:numRef>
              <c:f>Лист1!$B$2:$B$8</c:f>
              <c:numCache>
                <c:formatCode>General</c:formatCode>
                <c:ptCount val="7"/>
                <c:pt idx="0">
                  <c:v>0</c:v>
                </c:pt>
                <c:pt idx="1">
                  <c:v>0.23</c:v>
                </c:pt>
                <c:pt idx="2">
                  <c:v>2.4</c:v>
                </c:pt>
                <c:pt idx="3">
                  <c:v>5.3199999999999985</c:v>
                </c:pt>
                <c:pt idx="4">
                  <c:v>6.75</c:v>
                </c:pt>
                <c:pt idx="5">
                  <c:v>6.7</c:v>
                </c:pt>
                <c:pt idx="6">
                  <c:v>6.7</c:v>
                </c:pt>
              </c:numCache>
            </c:numRef>
          </c:val>
        </c:ser>
        <c:ser>
          <c:idx val="1"/>
          <c:order val="1"/>
          <c:tx>
            <c:strRef>
              <c:f>Лист1!$C$1</c:f>
              <c:strCache>
                <c:ptCount val="1"/>
                <c:pt idx="0">
                  <c:v>25°C</c:v>
                </c:pt>
              </c:strCache>
            </c:strRef>
          </c:tx>
          <c:spPr>
            <a:ln w="22225" cap="rnd" cmpd="sng" algn="ctr">
              <a:solidFill>
                <a:schemeClr val="accent2"/>
              </a:solidFill>
              <a:prstDash val="solid"/>
              <a:round/>
            </a:ln>
            <a:effectLst/>
          </c:spPr>
          <c:marker>
            <c:symbol val="square"/>
            <c:size val="6"/>
            <c:spPr>
              <a:solidFill>
                <a:schemeClr val="accent2"/>
              </a:solidFill>
              <a:ln w="9525" cap="flat" cmpd="sng" algn="ctr">
                <a:solidFill>
                  <a:schemeClr val="accent2"/>
                </a:solidFill>
                <a:prstDash val="solid"/>
                <a:round/>
              </a:ln>
              <a:effectLst/>
            </c:spPr>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Лист1!$A$2:$A$8</c:f>
              <c:numCache>
                <c:formatCode>General</c:formatCode>
                <c:ptCount val="7"/>
                <c:pt idx="0">
                  <c:v>0</c:v>
                </c:pt>
                <c:pt idx="1">
                  <c:v>1</c:v>
                </c:pt>
                <c:pt idx="2">
                  <c:v>3</c:v>
                </c:pt>
                <c:pt idx="3">
                  <c:v>5</c:v>
                </c:pt>
                <c:pt idx="4">
                  <c:v>7</c:v>
                </c:pt>
                <c:pt idx="5">
                  <c:v>9</c:v>
                </c:pt>
                <c:pt idx="6">
                  <c:v>11</c:v>
                </c:pt>
              </c:numCache>
            </c:numRef>
          </c:cat>
          <c:val>
            <c:numRef>
              <c:f>Лист1!$C$2:$C$8</c:f>
              <c:numCache>
                <c:formatCode>General</c:formatCode>
                <c:ptCount val="7"/>
                <c:pt idx="0">
                  <c:v>0</c:v>
                </c:pt>
                <c:pt idx="1">
                  <c:v>1.57</c:v>
                </c:pt>
                <c:pt idx="2">
                  <c:v>6.03</c:v>
                </c:pt>
                <c:pt idx="3">
                  <c:v>10.88</c:v>
                </c:pt>
                <c:pt idx="4">
                  <c:v>12.69</c:v>
                </c:pt>
                <c:pt idx="5">
                  <c:v>12.65</c:v>
                </c:pt>
                <c:pt idx="6">
                  <c:v>12.64</c:v>
                </c:pt>
              </c:numCache>
            </c:numRef>
          </c:val>
        </c:ser>
        <c:ser>
          <c:idx val="2"/>
          <c:order val="2"/>
          <c:tx>
            <c:strRef>
              <c:f>Лист1!$D$1</c:f>
              <c:strCache>
                <c:ptCount val="1"/>
                <c:pt idx="0">
                  <c:v>30°C</c:v>
                </c:pt>
              </c:strCache>
            </c:strRef>
          </c:tx>
          <c:spPr>
            <a:ln w="22225" cap="rnd" cmpd="sng" algn="ctr">
              <a:solidFill>
                <a:schemeClr val="accent3"/>
              </a:solidFill>
              <a:prstDash val="solid"/>
              <a:round/>
            </a:ln>
            <a:effectLst/>
          </c:spPr>
          <c:marker>
            <c:symbol val="triangle"/>
            <c:size val="6"/>
            <c:spPr>
              <a:solidFill>
                <a:schemeClr val="accent3"/>
              </a:solidFill>
              <a:ln w="9525" cap="flat" cmpd="sng" algn="ctr">
                <a:solidFill>
                  <a:schemeClr val="accent3"/>
                </a:solidFill>
                <a:prstDash val="solid"/>
                <a:round/>
              </a:ln>
              <a:effectLst/>
            </c:spPr>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Лист1!$A$2:$A$8</c:f>
              <c:numCache>
                <c:formatCode>General</c:formatCode>
                <c:ptCount val="7"/>
                <c:pt idx="0">
                  <c:v>0</c:v>
                </c:pt>
                <c:pt idx="1">
                  <c:v>1</c:v>
                </c:pt>
                <c:pt idx="2">
                  <c:v>3</c:v>
                </c:pt>
                <c:pt idx="3">
                  <c:v>5</c:v>
                </c:pt>
                <c:pt idx="4">
                  <c:v>7</c:v>
                </c:pt>
                <c:pt idx="5">
                  <c:v>9</c:v>
                </c:pt>
                <c:pt idx="6">
                  <c:v>11</c:v>
                </c:pt>
              </c:numCache>
            </c:numRef>
          </c:cat>
          <c:val>
            <c:numRef>
              <c:f>Лист1!$D$2:$D$8</c:f>
              <c:numCache>
                <c:formatCode>General</c:formatCode>
                <c:ptCount val="7"/>
                <c:pt idx="0">
                  <c:v>0</c:v>
                </c:pt>
                <c:pt idx="1">
                  <c:v>1.75</c:v>
                </c:pt>
                <c:pt idx="2">
                  <c:v>6.25</c:v>
                </c:pt>
                <c:pt idx="3">
                  <c:v>11.75</c:v>
                </c:pt>
                <c:pt idx="4">
                  <c:v>12.8</c:v>
                </c:pt>
                <c:pt idx="5">
                  <c:v>12.78</c:v>
                </c:pt>
                <c:pt idx="6">
                  <c:v>12.76</c:v>
                </c:pt>
              </c:numCache>
            </c:numRef>
          </c:val>
        </c:ser>
        <c:ser>
          <c:idx val="3"/>
          <c:order val="3"/>
          <c:tx>
            <c:strRef>
              <c:f>Лист1!$E$1</c:f>
              <c:strCache>
                <c:ptCount val="1"/>
                <c:pt idx="0">
                  <c:v>35°C</c:v>
                </c:pt>
              </c:strCache>
            </c:strRef>
          </c:tx>
          <c:spPr>
            <a:ln w="22225" cap="rnd" cmpd="sng" algn="ctr">
              <a:solidFill>
                <a:schemeClr val="accent4"/>
              </a:solidFill>
              <a:prstDash val="solid"/>
              <a:round/>
            </a:ln>
            <a:effectLst/>
          </c:spPr>
          <c:marker>
            <c:symbol val="x"/>
            <c:size val="6"/>
            <c:spPr>
              <a:noFill/>
              <a:ln w="9525" cap="flat" cmpd="sng" algn="ctr">
                <a:solidFill>
                  <a:schemeClr val="accent4"/>
                </a:solidFill>
                <a:prstDash val="solid"/>
                <a:round/>
              </a:ln>
              <a:effectLst/>
            </c:spPr>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Лист1!$A$2:$A$8</c:f>
              <c:numCache>
                <c:formatCode>General</c:formatCode>
                <c:ptCount val="7"/>
                <c:pt idx="0">
                  <c:v>0</c:v>
                </c:pt>
                <c:pt idx="1">
                  <c:v>1</c:v>
                </c:pt>
                <c:pt idx="2">
                  <c:v>3</c:v>
                </c:pt>
                <c:pt idx="3">
                  <c:v>5</c:v>
                </c:pt>
                <c:pt idx="4">
                  <c:v>7</c:v>
                </c:pt>
                <c:pt idx="5">
                  <c:v>9</c:v>
                </c:pt>
                <c:pt idx="6">
                  <c:v>11</c:v>
                </c:pt>
              </c:numCache>
            </c:numRef>
          </c:cat>
          <c:val>
            <c:numRef>
              <c:f>Лист1!$E$2:$E$8</c:f>
              <c:numCache>
                <c:formatCode>General</c:formatCode>
                <c:ptCount val="7"/>
                <c:pt idx="0">
                  <c:v>0</c:v>
                </c:pt>
                <c:pt idx="1">
                  <c:v>0.42000000000000032</c:v>
                </c:pt>
                <c:pt idx="2">
                  <c:v>3.32</c:v>
                </c:pt>
                <c:pt idx="3">
                  <c:v>6.51</c:v>
                </c:pt>
                <c:pt idx="4">
                  <c:v>7.9700000000000024</c:v>
                </c:pt>
                <c:pt idx="5">
                  <c:v>7.95</c:v>
                </c:pt>
                <c:pt idx="6">
                  <c:v>7.95</c:v>
                </c:pt>
              </c:numCache>
            </c:numRef>
          </c:val>
        </c:ser>
        <c:marker val="1"/>
        <c:axId val="148512768"/>
        <c:axId val="148515456"/>
      </c:lineChart>
      <c:catAx>
        <c:axId val="148512768"/>
        <c:scaling>
          <c:orientation val="minMax"/>
        </c:scaling>
        <c:axPos val="b"/>
        <c:majorGridlines>
          <c:spPr>
            <a:ln w="9525" cap="flat" cmpd="sng" algn="ctr">
              <a:solidFill>
                <a:schemeClr val="tx1">
                  <a:lumMod val="15000"/>
                  <a:lumOff val="85000"/>
                </a:schemeClr>
              </a:solidFill>
              <a:prstDash val="solid"/>
              <a:round/>
            </a:ln>
            <a:effectLst/>
          </c:spPr>
        </c:majorGridlines>
        <c:title>
          <c:tx>
            <c:rich>
              <a:bodyPr rot="0" spcFirstLastPara="1" vertOverflow="ellipsis" vert="horz" wrap="square" anchor="ctr" anchorCtr="1"/>
              <a:lstStyle/>
              <a:p>
                <a:pPr>
                  <a:defRPr lang="ru-RU" sz="900" b="0" i="0" u="none" strike="noStrike" kern="1200" cap="all" baseline="0">
                    <a:solidFill>
                      <a:schemeClr val="tx1">
                        <a:lumMod val="65000"/>
                        <a:lumOff val="35000"/>
                      </a:schemeClr>
                    </a:solidFill>
                    <a:latin typeface="+mn-lt"/>
                    <a:ea typeface="+mn-ea"/>
                    <a:cs typeface="+mn-cs"/>
                  </a:defRPr>
                </a:pPr>
                <a:r>
                  <a:rPr lang="ru-RU"/>
                  <a:t>Продолжительность культивирования, сутки</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800" b="0" i="0" u="none" strike="noStrike" kern="1200" cap="all" spc="120" normalizeH="0" baseline="0">
                <a:solidFill>
                  <a:schemeClr val="tx1">
                    <a:lumMod val="65000"/>
                    <a:lumOff val="35000"/>
                  </a:schemeClr>
                </a:solidFill>
                <a:latin typeface="+mn-lt"/>
                <a:ea typeface="+mn-ea"/>
                <a:cs typeface="+mn-cs"/>
              </a:defRPr>
            </a:pPr>
            <a:endParaRPr lang="ru-RU"/>
          </a:p>
        </c:txPr>
        <c:crossAx val="148515456"/>
        <c:crosses val="autoZero"/>
        <c:auto val="1"/>
        <c:lblAlgn val="ctr"/>
        <c:lblOffset val="100"/>
      </c:catAx>
      <c:valAx>
        <c:axId val="148515456"/>
        <c:scaling>
          <c:orientation val="minMax"/>
        </c:scaling>
        <c:axPos val="l"/>
        <c:title>
          <c:tx>
            <c:rich>
              <a:bodyPr rot="-5400000" spcFirstLastPara="1" vertOverflow="ellipsis" vert="horz" wrap="square" anchor="ctr" anchorCtr="1"/>
              <a:lstStyle/>
              <a:p>
                <a:pPr>
                  <a:defRPr lang="ru-RU" sz="900" b="0" i="0" u="none" strike="noStrike" kern="1200" cap="all" baseline="0">
                    <a:solidFill>
                      <a:schemeClr val="tx1">
                        <a:lumMod val="65000"/>
                        <a:lumOff val="35000"/>
                      </a:schemeClr>
                    </a:solidFill>
                    <a:latin typeface="+mn-lt"/>
                    <a:ea typeface="+mn-ea"/>
                    <a:cs typeface="+mn-cs"/>
                  </a:defRPr>
                </a:pPr>
                <a:r>
                  <a:rPr lang="ru-RU"/>
                  <a:t>Выход БЦ, г/л</a:t>
                </a:r>
              </a:p>
            </c:rich>
          </c:tx>
          <c:spPr>
            <a:noFill/>
            <a:ln>
              <a:noFill/>
            </a:ln>
            <a:effectLst/>
          </c:spPr>
        </c:title>
        <c:numFmt formatCode="General" sourceLinked="1"/>
        <c:maj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48512768"/>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2e5a0c5a-539b-47a4-8b1c-398796b77b2b}"/>
      </c:ext>
    </c:extLst>
  </c:chart>
  <c:spPr>
    <a:solidFill>
      <a:schemeClr val="lt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Ряд 1</c:v>
                </c:pt>
              </c:strCache>
            </c:strRef>
          </c:tx>
          <c:spPr>
            <a:solidFill>
              <a:schemeClr val="accent2"/>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lang="ru-RU" sz="800" b="0" i="0" u="none" strike="noStrike" kern="1200" baseline="0">
                    <a:solidFill>
                      <a:schemeClr val="tx1">
                        <a:lumMod val="50000"/>
                        <a:lumOff val="50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trendline>
            <c:spPr>
              <a:ln w="19050" cap="rnd" cmpd="sng" algn="ctr">
                <a:solidFill>
                  <a:schemeClr val="accent2"/>
                </a:solidFill>
                <a:prstDash val="sysDash"/>
                <a:round/>
              </a:ln>
              <a:effectLst/>
            </c:spPr>
            <c:trendlineType val="poly"/>
            <c:order val="2"/>
          </c:trendline>
          <c:errBars>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2.5</c:v>
                </c:pt>
                <c:pt idx="1">
                  <c:v>3</c:v>
                </c:pt>
                <c:pt idx="2">
                  <c:v>3.5</c:v>
                </c:pt>
                <c:pt idx="3">
                  <c:v>4</c:v>
                </c:pt>
                <c:pt idx="4">
                  <c:v>4.5</c:v>
                </c:pt>
                <c:pt idx="5">
                  <c:v>5</c:v>
                </c:pt>
                <c:pt idx="6">
                  <c:v>5.5</c:v>
                </c:pt>
                <c:pt idx="7">
                  <c:v>6</c:v>
                </c:pt>
                <c:pt idx="8">
                  <c:v>6.5</c:v>
                </c:pt>
                <c:pt idx="9">
                  <c:v>7</c:v>
                </c:pt>
              </c:numCache>
            </c:numRef>
          </c:cat>
          <c:val>
            <c:numRef>
              <c:f>Лист1!$B$2:$B$11</c:f>
              <c:numCache>
                <c:formatCode>General</c:formatCode>
                <c:ptCount val="10"/>
                <c:pt idx="0">
                  <c:v>2</c:v>
                </c:pt>
                <c:pt idx="1">
                  <c:v>3.9</c:v>
                </c:pt>
                <c:pt idx="2">
                  <c:v>8.26</c:v>
                </c:pt>
                <c:pt idx="3">
                  <c:v>10.1</c:v>
                </c:pt>
                <c:pt idx="4">
                  <c:v>12.78</c:v>
                </c:pt>
                <c:pt idx="5">
                  <c:v>12.8</c:v>
                </c:pt>
                <c:pt idx="6">
                  <c:v>12.78</c:v>
                </c:pt>
                <c:pt idx="7">
                  <c:v>12.8</c:v>
                </c:pt>
                <c:pt idx="8">
                  <c:v>12.8</c:v>
                </c:pt>
                <c:pt idx="9">
                  <c:v>12.78</c:v>
                </c:pt>
              </c:numCache>
            </c:numRef>
          </c:val>
        </c:ser>
        <c:dLbls>
          <c:showVal val="1"/>
        </c:dLbls>
        <c:gapWidth val="444"/>
        <c:overlap val="-90"/>
        <c:axId val="153251200"/>
        <c:axId val="153279488"/>
      </c:barChart>
      <c:catAx>
        <c:axId val="153251200"/>
        <c:scaling>
          <c:orientation val="minMax"/>
        </c:scaling>
        <c:axPos val="b"/>
        <c:majorGridlines>
          <c:spPr>
            <a:ln w="9525" cap="flat" cmpd="sng" algn="ctr">
              <a:solidFill>
                <a:schemeClr val="tx1">
                  <a:lumMod val="15000"/>
                  <a:lumOff val="85000"/>
                </a:schemeClr>
              </a:solidFill>
              <a:prstDash val="solid"/>
              <a:round/>
            </a:ln>
            <a:effectLst/>
          </c:spPr>
        </c:majorGridlines>
        <c:title>
          <c:tx>
            <c:rich>
              <a:bodyPr rot="0" spcFirstLastPara="1" vertOverflow="ellipsis" vert="horz" wrap="square" anchor="ctr" anchorCtr="1"/>
              <a:lstStyle/>
              <a:p>
                <a:pPr>
                  <a:defRPr lang="ru-RU" sz="900" b="0" i="0" u="none" strike="noStrike" kern="1200" cap="all" baseline="0">
                    <a:solidFill>
                      <a:schemeClr val="tx1">
                        <a:lumMod val="65000"/>
                        <a:lumOff val="35000"/>
                      </a:schemeClr>
                    </a:solidFill>
                    <a:latin typeface="+mn-lt"/>
                    <a:ea typeface="+mn-ea"/>
                    <a:cs typeface="+mn-cs"/>
                  </a:defRPr>
                </a:pPr>
                <a:r>
                  <a:rPr lang="ru-RU"/>
                  <a:t>Значения </a:t>
                </a:r>
                <a:r>
                  <a:rPr lang="ru-RU" sz="900"/>
                  <a:t>р</a:t>
                </a:r>
                <a:r>
                  <a:rPr lang="ru-RU"/>
                  <a:t>Н</a:t>
                </a: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800" b="0" i="0" u="none" strike="noStrike" kern="1200" cap="all" spc="120" normalizeH="0" baseline="0">
                <a:solidFill>
                  <a:schemeClr val="tx1">
                    <a:lumMod val="65000"/>
                    <a:lumOff val="35000"/>
                  </a:schemeClr>
                </a:solidFill>
                <a:latin typeface="+mn-lt"/>
                <a:ea typeface="+mn-ea"/>
                <a:cs typeface="+mn-cs"/>
              </a:defRPr>
            </a:pPr>
            <a:endParaRPr lang="ru-RU"/>
          </a:p>
        </c:txPr>
        <c:crossAx val="153279488"/>
        <c:crosses val="autoZero"/>
        <c:auto val="1"/>
        <c:lblAlgn val="ctr"/>
        <c:lblOffset val="100"/>
      </c:catAx>
      <c:valAx>
        <c:axId val="153279488"/>
        <c:scaling>
          <c:orientation val="minMax"/>
        </c:scaling>
        <c:delete val="1"/>
        <c:axPos val="l"/>
        <c:title>
          <c:tx>
            <c:rich>
              <a:bodyPr rot="-5400000" spcFirstLastPara="1" vertOverflow="ellipsis" vert="horz" wrap="square" anchor="ctr" anchorCtr="1"/>
              <a:lstStyle/>
              <a:p>
                <a:pPr>
                  <a:defRPr lang="ru-RU" sz="900" b="0" i="0" u="none" strike="noStrike" kern="1200" cap="all" baseline="0">
                    <a:solidFill>
                      <a:schemeClr val="tx1">
                        <a:lumMod val="65000"/>
                        <a:lumOff val="35000"/>
                      </a:schemeClr>
                    </a:solidFill>
                    <a:latin typeface="+mn-lt"/>
                    <a:ea typeface="+mn-ea"/>
                    <a:cs typeface="+mn-cs"/>
                  </a:defRPr>
                </a:pPr>
                <a:r>
                  <a:rPr lang="ru-RU"/>
                  <a:t>Выход БЦ, г/л</a:t>
                </a:r>
              </a:p>
            </c:rich>
          </c:tx>
          <c:spPr>
            <a:noFill/>
            <a:ln>
              <a:noFill/>
            </a:ln>
            <a:effectLst/>
          </c:spPr>
        </c:title>
        <c:numFmt formatCode="General" sourceLinked="1"/>
        <c:majorTickMark val="none"/>
        <c:tickLblPos val="none"/>
        <c:crossAx val="153251200"/>
        <c:crosses val="autoZero"/>
        <c:crossBetween val="between"/>
      </c:valAx>
      <c:spPr>
        <a:noFill/>
        <a:ln>
          <a:noFill/>
        </a:ln>
        <a:effectLst/>
      </c:spPr>
    </c:plotArea>
    <c:plotVisOnly val="1"/>
    <c:dispBlanksAs val="gap"/>
    <c:extLst>
      <c:ext uri="{0b15fc19-7d7d-44ad-8c2d-2c3a37ce22c3}">
        <chartProps xmlns="https://web.wps.cn/et/2018/main" chartId="{e557bb1a-a019-4695-9572-d73a361ccf6e}"/>
      </c:ext>
    </c:extLst>
  </c:chart>
  <c:spPr>
    <a:solidFill>
      <a:schemeClr val="lt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Прочность на разрыв (МПа) </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50000"/>
                        <a:lumOff val="50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errBars>
            <c:errBarType val="both"/>
            <c:errValType val="percentage"/>
            <c:val val="5"/>
            <c:spPr>
              <a:noFill/>
              <a:ln w="9525" cap="flat" cmpd="sng" algn="ctr">
                <a:solidFill>
                  <a:schemeClr val="tx1">
                    <a:lumMod val="50000"/>
                    <a:lumOff val="50000"/>
                  </a:schemeClr>
                </a:solidFill>
                <a:prstDash val="solid"/>
                <a:round/>
              </a:ln>
              <a:effectLst/>
            </c:spPr>
          </c:errBars>
          <c:cat>
            <c:strRef>
              <c:f>Лист1!$A$2:$A$6</c:f>
              <c:strCache>
                <c:ptCount val="5"/>
                <c:pt idx="0">
                  <c:v>Мод. среда HS </c:v>
                </c:pt>
                <c:pt idx="1">
                  <c:v>ПС-1</c:v>
                </c:pt>
                <c:pt idx="2">
                  <c:v>ПС-2</c:v>
                </c:pt>
                <c:pt idx="3">
                  <c:v>ПС-3</c:v>
                </c:pt>
                <c:pt idx="4">
                  <c:v>ПС-4</c:v>
                </c:pt>
              </c:strCache>
            </c:strRef>
          </c:cat>
          <c:val>
            <c:numRef>
              <c:f>Лист1!$B$2:$B$6</c:f>
              <c:numCache>
                <c:formatCode>General</c:formatCode>
                <c:ptCount val="5"/>
                <c:pt idx="0">
                  <c:v>17.010000000000005</c:v>
                </c:pt>
                <c:pt idx="1">
                  <c:v>26.16</c:v>
                </c:pt>
                <c:pt idx="2">
                  <c:v>37.120000000000012</c:v>
                </c:pt>
                <c:pt idx="3">
                  <c:v>20.03</c:v>
                </c:pt>
                <c:pt idx="4">
                  <c:v>24.01</c:v>
                </c:pt>
              </c:numCache>
            </c:numRef>
          </c:val>
        </c:ser>
        <c:ser>
          <c:idx val="1"/>
          <c:order val="1"/>
          <c:tx>
            <c:strRef>
              <c:f>Лист1!$C$1</c:f>
              <c:strCache>
                <c:ptCount val="1"/>
                <c:pt idx="0">
                  <c:v>Относительное удлинение при разрыве (%)</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tx1">
                        <a:lumMod val="50000"/>
                        <a:lumOff val="50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errBars>
            <c:errBarType val="both"/>
            <c:errValType val="percentage"/>
            <c:val val="5"/>
            <c:spPr>
              <a:noFill/>
              <a:ln w="9525" cap="flat" cmpd="sng" algn="ctr">
                <a:solidFill>
                  <a:schemeClr val="tx1">
                    <a:lumMod val="50000"/>
                    <a:lumOff val="50000"/>
                  </a:schemeClr>
                </a:solidFill>
                <a:prstDash val="solid"/>
                <a:round/>
              </a:ln>
              <a:effectLst/>
            </c:spPr>
          </c:errBars>
          <c:cat>
            <c:strRef>
              <c:f>Лист1!$A$2:$A$6</c:f>
              <c:strCache>
                <c:ptCount val="5"/>
                <c:pt idx="0">
                  <c:v>Мод. среда HS </c:v>
                </c:pt>
                <c:pt idx="1">
                  <c:v>ПС-1</c:v>
                </c:pt>
                <c:pt idx="2">
                  <c:v>ПС-2</c:v>
                </c:pt>
                <c:pt idx="3">
                  <c:v>ПС-3</c:v>
                </c:pt>
                <c:pt idx="4">
                  <c:v>ПС-4</c:v>
                </c:pt>
              </c:strCache>
            </c:strRef>
          </c:cat>
          <c:val>
            <c:numRef>
              <c:f>Лист1!$C$2:$C$6</c:f>
              <c:numCache>
                <c:formatCode>General</c:formatCode>
                <c:ptCount val="5"/>
                <c:pt idx="0">
                  <c:v>8.01</c:v>
                </c:pt>
                <c:pt idx="1">
                  <c:v>4.5599999999999996</c:v>
                </c:pt>
                <c:pt idx="2">
                  <c:v>3.2800000000000002</c:v>
                </c:pt>
                <c:pt idx="3">
                  <c:v>6.23</c:v>
                </c:pt>
                <c:pt idx="4">
                  <c:v>5.01</c:v>
                </c:pt>
              </c:numCache>
            </c:numRef>
          </c:val>
        </c:ser>
        <c:dLbls>
          <c:showVal val="1"/>
        </c:dLbls>
        <c:gapWidth val="100"/>
        <c:overlap val="-24"/>
        <c:axId val="109816064"/>
        <c:axId val="109993984"/>
      </c:barChart>
      <c:catAx>
        <c:axId val="109816064"/>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1000" b="0" i="0" u="none" strike="noStrike" kern="1200" baseline="0">
                <a:solidFill>
                  <a:schemeClr val="tx1">
                    <a:lumMod val="50000"/>
                    <a:lumOff val="50000"/>
                  </a:schemeClr>
                </a:solidFill>
                <a:latin typeface="+mn-lt"/>
                <a:ea typeface="+mn-ea"/>
                <a:cs typeface="+mn-cs"/>
              </a:defRPr>
            </a:pPr>
            <a:endParaRPr lang="ru-RU"/>
          </a:p>
        </c:txPr>
        <c:crossAx val="109993984"/>
        <c:crosses val="autoZero"/>
        <c:auto val="1"/>
        <c:lblAlgn val="ctr"/>
        <c:lblOffset val="100"/>
      </c:catAx>
      <c:valAx>
        <c:axId val="109993984"/>
        <c:scaling>
          <c:orientation val="minMax"/>
        </c:scaling>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50000"/>
                    <a:lumOff val="50000"/>
                  </a:schemeClr>
                </a:solidFill>
                <a:latin typeface="+mn-lt"/>
                <a:ea typeface="+mn-ea"/>
                <a:cs typeface="+mn-cs"/>
              </a:defRPr>
            </a:pPr>
            <a:endParaRPr lang="ru-RU"/>
          </a:p>
        </c:txPr>
        <c:crossAx val="10981606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lang="ru-RU" sz="1000" b="0" i="0" u="none" strike="noStrike" kern="1200" baseline="0">
              <a:solidFill>
                <a:schemeClr val="tx1">
                  <a:lumMod val="50000"/>
                  <a:lumOff val="50000"/>
                </a:schemeClr>
              </a:solidFill>
              <a:latin typeface="+mn-lt"/>
              <a:ea typeface="+mn-ea"/>
              <a:cs typeface="+mn-cs"/>
            </a:defRPr>
          </a:pPr>
          <a:endParaRPr lang="ru-RU"/>
        </a:p>
      </c:txPr>
    </c:legend>
    <c:plotVisOnly val="1"/>
    <c:dispBlanksAs val="gap"/>
    <c:extLst>
      <c:ext uri="{0b15fc19-7d7d-44ad-8c2d-2c3a37ce22c3}">
        <chartProps xmlns="https://web.wps.cn/et/2018/main" chartId="{352b3593-12b1-4538-81e8-88292fbfe1c6}"/>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Лист1!$B$1</c:f>
              <c:strCache>
                <c:ptCount val="1"/>
                <c:pt idx="0">
                  <c:v>БЦ</c:v>
                </c:pt>
              </c:strCache>
            </c:strRef>
          </c:tx>
          <c:spPr>
            <a:solidFill>
              <a:schemeClr val="accent6">
                <a:lumMod val="60000"/>
                <a:lumOff val="40000"/>
              </a:schemeClr>
            </a:solidFill>
            <a:ln>
              <a:noFill/>
            </a:ln>
            <a:effectLst/>
          </c:spPr>
          <c:errBars>
            <c:errBarType val="both"/>
            <c:errValType val="fixedVal"/>
            <c:val val="5"/>
            <c:spPr>
              <a:solidFill>
                <a:schemeClr val="tx1"/>
              </a:solidFill>
              <a:ln w="9525" cap="flat" cmpd="sng" algn="ctr">
                <a:solidFill>
                  <a:schemeClr val="tx1">
                    <a:shade val="95000"/>
                    <a:satMod val="105000"/>
                  </a:schemeClr>
                </a:solidFill>
                <a:prstDash val="solid"/>
                <a:round/>
              </a:ln>
              <a:effectLst/>
            </c:spPr>
          </c:errBars>
          <c:cat>
            <c:numRef>
              <c:f>Лист1!$A$2:$A$4</c:f>
              <c:numCache>
                <c:formatCode>General</c:formatCode>
                <c:ptCount val="3"/>
                <c:pt idx="0">
                  <c:v>3</c:v>
                </c:pt>
                <c:pt idx="1">
                  <c:v>5</c:v>
                </c:pt>
                <c:pt idx="2">
                  <c:v>7</c:v>
                </c:pt>
              </c:numCache>
            </c:numRef>
          </c:cat>
          <c:val>
            <c:numRef>
              <c:f>Лист1!$B$2:$B$4</c:f>
              <c:numCache>
                <c:formatCode>General</c:formatCode>
                <c:ptCount val="3"/>
                <c:pt idx="0">
                  <c:v>80</c:v>
                </c:pt>
                <c:pt idx="1">
                  <c:v>150</c:v>
                </c:pt>
                <c:pt idx="2">
                  <c:v>165</c:v>
                </c:pt>
              </c:numCache>
            </c:numRef>
          </c:val>
        </c:ser>
        <c:ser>
          <c:idx val="1"/>
          <c:order val="1"/>
          <c:tx>
            <c:strRef>
              <c:f>Лист1!$C$1</c:f>
              <c:strCache>
                <c:ptCount val="1"/>
                <c:pt idx="0">
                  <c:v>БЦ/ГАП</c:v>
                </c:pt>
              </c:strCache>
            </c:strRef>
          </c:tx>
          <c:spPr>
            <a:solidFill>
              <a:schemeClr val="accent1">
                <a:lumMod val="60000"/>
                <a:lumOff val="40000"/>
              </a:schemeClr>
            </a:solidFill>
            <a:ln>
              <a:noFill/>
            </a:ln>
            <a:effectLst/>
          </c:spPr>
          <c:errBars>
            <c:errBarType val="both"/>
            <c:errValType val="fixedVal"/>
            <c:val val="5"/>
            <c:spPr>
              <a:solidFill>
                <a:schemeClr val="tx1"/>
              </a:solidFill>
              <a:ln w="9525" cap="flat" cmpd="sng" algn="ctr">
                <a:solidFill>
                  <a:schemeClr val="tx1">
                    <a:shade val="95000"/>
                    <a:satMod val="105000"/>
                  </a:schemeClr>
                </a:solidFill>
                <a:prstDash val="solid"/>
                <a:round/>
              </a:ln>
              <a:effectLst/>
            </c:spPr>
          </c:errBars>
          <c:cat>
            <c:numRef>
              <c:f>Лист1!$A$2:$A$4</c:f>
              <c:numCache>
                <c:formatCode>General</c:formatCode>
                <c:ptCount val="3"/>
                <c:pt idx="0">
                  <c:v>3</c:v>
                </c:pt>
                <c:pt idx="1">
                  <c:v>5</c:v>
                </c:pt>
                <c:pt idx="2">
                  <c:v>7</c:v>
                </c:pt>
              </c:numCache>
            </c:numRef>
          </c:cat>
          <c:val>
            <c:numRef>
              <c:f>Лист1!$C$2:$C$4</c:f>
              <c:numCache>
                <c:formatCode>General</c:formatCode>
                <c:ptCount val="3"/>
                <c:pt idx="0">
                  <c:v>81</c:v>
                </c:pt>
                <c:pt idx="1">
                  <c:v>156</c:v>
                </c:pt>
                <c:pt idx="2">
                  <c:v>166</c:v>
                </c:pt>
              </c:numCache>
            </c:numRef>
          </c:val>
        </c:ser>
        <c:axId val="110519424"/>
        <c:axId val="110521344"/>
      </c:barChart>
      <c:catAx>
        <c:axId val="110519424"/>
        <c:scaling>
          <c:orientation val="minMax"/>
        </c:scaling>
        <c:axPos val="b"/>
        <c:title>
          <c:tx>
            <c:rich>
              <a:bodyPr rot="0" spcFirstLastPara="0" vertOverflow="ellipsis" vert="horz" wrap="square" anchor="ctr" anchorCtr="1"/>
              <a:lstStyle/>
              <a:p>
                <a:pPr>
                  <a:defRPr lang="ru-RU" sz="1100" b="1" i="0" u="none" strike="noStrike" kern="1200" baseline="0">
                    <a:solidFill>
                      <a:schemeClr val="tx1"/>
                    </a:solidFill>
                    <a:latin typeface="+mn-lt"/>
                    <a:ea typeface="+mn-ea"/>
                    <a:cs typeface="+mn-cs"/>
                  </a:defRPr>
                </a:pPr>
                <a:r>
                  <a:rPr sz="1100" b="0"/>
                  <a:t>Время культивирования, сутки</a:t>
                </a:r>
              </a:p>
            </c:rich>
          </c:tx>
        </c:title>
        <c:numFmt formatCode="General" sourceLinked="0"/>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10521344"/>
        <c:crosses val="autoZero"/>
        <c:auto val="1"/>
        <c:lblAlgn val="ctr"/>
        <c:lblOffset val="100"/>
      </c:catAx>
      <c:valAx>
        <c:axId val="110521344"/>
        <c:scaling>
          <c:orientation val="minMax"/>
        </c:scaling>
        <c:axPos val="l"/>
        <c:title>
          <c:tx>
            <c:rich>
              <a:bodyPr rot="-5400000" spcFirstLastPara="1" vertOverflow="ellipsis" vert="horz" wrap="square" anchor="ctr" anchorCtr="1"/>
              <a:lstStyle/>
              <a:p>
                <a:pPr>
                  <a:defRPr lang="ru-RU" sz="1100" b="1" i="0" u="none" strike="noStrike" kern="1200" baseline="0">
                    <a:solidFill>
                      <a:schemeClr val="tx1"/>
                    </a:solidFill>
                    <a:latin typeface="+mn-lt"/>
                    <a:ea typeface="+mn-ea"/>
                    <a:cs typeface="+mn-cs"/>
                  </a:defRPr>
                </a:pPr>
                <a:r>
                  <a:rPr lang="ru-RU" sz="1100" b="0"/>
                  <a:t>Вес, мг</a:t>
                </a:r>
              </a:p>
            </c:rich>
          </c:tx>
          <c:spPr>
            <a:noFill/>
            <a:ln>
              <a:noFill/>
            </a:ln>
            <a:effectLst/>
          </c:spPr>
        </c:title>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10519424"/>
        <c:crosses val="autoZero"/>
        <c:crossBetween val="between"/>
      </c:valAx>
      <c:spPr>
        <a:solidFill>
          <a:schemeClr val="bg1"/>
        </a:solidFill>
        <a:ln>
          <a:noFill/>
        </a:ln>
        <a:effectLst/>
      </c:spPr>
    </c:plotArea>
    <c:legend>
      <c:legendPos val="t"/>
      <c:spPr>
        <a:noFill/>
        <a:ln>
          <a:noFill/>
        </a:ln>
        <a:effectLst/>
      </c:spPr>
      <c:txPr>
        <a:bodyPr rot="0" spcFirstLastPara="1"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extLst>
      <c:ext uri="{0b15fc19-7d7d-44ad-8c2d-2c3a37ce22c3}">
        <chartProps xmlns="https://web.wps.cn/et/2018/main" chartId="{952dd17a-5f7e-487c-8229-514b6d12791e}"/>
      </c:ext>
    </c:extLst>
  </c:chart>
  <c:spPr>
    <a:solidFill>
      <a:schemeClr val="bg1"/>
    </a:solidFill>
    <a:ln w="9525" cap="flat" cmpd="sng" algn="ctr">
      <a:noFill/>
      <a:prstDash val="solid"/>
      <a:round/>
    </a:ln>
    <a:effectLst/>
  </c:spPr>
  <c:txPr>
    <a:bodyPr/>
    <a:lstStyle/>
    <a:p>
      <a:pPr>
        <a:defRPr lang="ru-RU"/>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bar"/>
        <c:grouping val="clustered"/>
        <c:ser>
          <c:idx val="0"/>
          <c:order val="0"/>
          <c:tx>
            <c:strRef>
              <c:f>Лист1!$B$1</c:f>
              <c:strCache>
                <c:ptCount val="1"/>
                <c:pt idx="0">
                  <c:v>Прочность на разрыв (МПа) </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rrBars>
            <c:errBarType val="both"/>
            <c:errValType val="percentage"/>
            <c:val val="2"/>
            <c:spPr>
              <a:noFill/>
              <a:ln w="9525" cap="flat" cmpd="sng" algn="ctr">
                <a:solidFill>
                  <a:schemeClr val="tx1">
                    <a:lumMod val="50000"/>
                    <a:lumOff val="50000"/>
                  </a:schemeClr>
                </a:solidFill>
                <a:prstDash val="solid"/>
                <a:round/>
              </a:ln>
              <a:effectLst/>
            </c:spPr>
          </c:errBars>
          <c:cat>
            <c:strRef>
              <c:f>Лист1!$A$2:$A$5</c:f>
              <c:strCache>
                <c:ptCount val="4"/>
                <c:pt idx="0">
                  <c:v>БЦ</c:v>
                </c:pt>
                <c:pt idx="1">
                  <c:v>БЦ/ГАП</c:v>
                </c:pt>
                <c:pt idx="2">
                  <c:v>БЦ/Mxene</c:v>
                </c:pt>
                <c:pt idx="3">
                  <c:v>БЦ/ГАП/Mxene</c:v>
                </c:pt>
              </c:strCache>
            </c:strRef>
          </c:cat>
          <c:val>
            <c:numRef>
              <c:f>Лист1!$B$2:$B$5</c:f>
              <c:numCache>
                <c:formatCode>General</c:formatCode>
                <c:ptCount val="4"/>
                <c:pt idx="0">
                  <c:v>37.120000000000012</c:v>
                </c:pt>
                <c:pt idx="1">
                  <c:v>41.2</c:v>
                </c:pt>
                <c:pt idx="2">
                  <c:v>48.3</c:v>
                </c:pt>
                <c:pt idx="3">
                  <c:v>43.7</c:v>
                </c:pt>
              </c:numCache>
            </c:numRef>
          </c:val>
        </c:ser>
        <c:ser>
          <c:idx val="1"/>
          <c:order val="1"/>
          <c:tx>
            <c:strRef>
              <c:f>Лист1!$C$1</c:f>
              <c:strCache>
                <c:ptCount val="1"/>
                <c:pt idx="0">
                  <c:v>Относительное удлинение при разрыве (%)</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rrBars>
            <c:errBarType val="both"/>
            <c:errValType val="percentage"/>
            <c:val val="5"/>
            <c:spPr>
              <a:noFill/>
              <a:ln w="9525" cap="flat" cmpd="sng" algn="ctr">
                <a:solidFill>
                  <a:schemeClr val="tx1">
                    <a:lumMod val="50000"/>
                    <a:lumOff val="50000"/>
                  </a:schemeClr>
                </a:solidFill>
                <a:prstDash val="solid"/>
                <a:round/>
              </a:ln>
              <a:effectLst/>
            </c:spPr>
          </c:errBars>
          <c:cat>
            <c:strRef>
              <c:f>Лист1!$A$2:$A$5</c:f>
              <c:strCache>
                <c:ptCount val="4"/>
                <c:pt idx="0">
                  <c:v>БЦ</c:v>
                </c:pt>
                <c:pt idx="1">
                  <c:v>БЦ/ГАП</c:v>
                </c:pt>
                <c:pt idx="2">
                  <c:v>БЦ/Mxene</c:v>
                </c:pt>
                <c:pt idx="3">
                  <c:v>БЦ/ГАП/Mxene</c:v>
                </c:pt>
              </c:strCache>
            </c:strRef>
          </c:cat>
          <c:val>
            <c:numRef>
              <c:f>Лист1!$C$2:$C$5</c:f>
              <c:numCache>
                <c:formatCode>General</c:formatCode>
                <c:ptCount val="4"/>
                <c:pt idx="0">
                  <c:v>3.2800000000000002</c:v>
                </c:pt>
                <c:pt idx="1">
                  <c:v>2.2400000000000002</c:v>
                </c:pt>
                <c:pt idx="2">
                  <c:v>3.9299999999999997</c:v>
                </c:pt>
                <c:pt idx="3">
                  <c:v>3.54</c:v>
                </c:pt>
              </c:numCache>
            </c:numRef>
          </c:val>
        </c:ser>
        <c:gapWidth val="100"/>
        <c:axId val="110498560"/>
        <c:axId val="110500096"/>
      </c:barChart>
      <c:catAx>
        <c:axId val="110498560"/>
        <c:scaling>
          <c:orientation val="minMax"/>
        </c:scaling>
        <c:axPos val="l"/>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50000"/>
                    <a:lumOff val="50000"/>
                  </a:schemeClr>
                </a:solidFill>
                <a:latin typeface="+mn-lt"/>
                <a:ea typeface="+mn-ea"/>
                <a:cs typeface="+mn-cs"/>
              </a:defRPr>
            </a:pPr>
            <a:endParaRPr lang="ru-RU"/>
          </a:p>
        </c:txPr>
        <c:crossAx val="110500096"/>
        <c:crosses val="autoZero"/>
        <c:auto val="1"/>
        <c:lblAlgn val="ctr"/>
        <c:lblOffset val="100"/>
      </c:catAx>
      <c:valAx>
        <c:axId val="110500096"/>
        <c:scaling>
          <c:orientation val="minMax"/>
        </c:scaling>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50000"/>
                    <a:lumOff val="50000"/>
                  </a:schemeClr>
                </a:solidFill>
                <a:latin typeface="+mn-lt"/>
                <a:ea typeface="+mn-ea"/>
                <a:cs typeface="+mn-cs"/>
              </a:defRPr>
            </a:pPr>
            <a:endParaRPr lang="ru-RU"/>
          </a:p>
        </c:txPr>
        <c:crossAx val="11049856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lang="ru-RU"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extLst>
      <c:ext uri="{0b15fc19-7d7d-44ad-8c2d-2c3a37ce22c3}">
        <chartProps xmlns="https://web.wps.cn/et/2018/main" chartId="{352b3593-12b1-4538-81e8-88292fbfe1c6}"/>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sz="1000" baseline="0"/>
              <a:t>Время экспозиции, мин</a:t>
            </a:r>
            <a:endParaRPr lang="ru-RU" sz="1000"/>
          </a:p>
        </c:rich>
      </c:tx>
      <c:layout>
        <c:manualLayout>
          <c:xMode val="edge"/>
          <c:yMode val="edge"/>
          <c:x val="0.29998001139538838"/>
          <c:y val="0.80897657907704057"/>
        </c:manualLayout>
      </c:layout>
      <c:spPr>
        <a:noFill/>
        <a:ln>
          <a:noFill/>
        </a:ln>
        <a:effectLst/>
      </c:spPr>
    </c:title>
    <c:plotArea>
      <c:layout>
        <c:manualLayout>
          <c:layoutTarget val="inner"/>
          <c:xMode val="edge"/>
          <c:yMode val="edge"/>
          <c:x val="0.15825149129086663"/>
          <c:y val="7.1785714285714328E-2"/>
          <c:w val="0.72836395450568703"/>
          <c:h val="0.64964973128362846"/>
        </c:manualLayout>
      </c:layout>
      <c:lineChart>
        <c:grouping val="standard"/>
        <c:ser>
          <c:idx val="0"/>
          <c:order val="0"/>
          <c:tx>
            <c:strRef>
              <c:f>Лист1!$B$1</c:f>
              <c:strCache>
                <c:ptCount val="1"/>
                <c:pt idx="0">
                  <c:v>Вода</c:v>
                </c:pt>
              </c:strCache>
            </c:strRef>
          </c:tx>
          <c:spPr>
            <a:ln w="28575" cap="rnd" cmpd="sng" algn="ctr">
              <a:solidFill>
                <a:schemeClr val="accent1"/>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Лист1!$B$2:$B$11</c:f>
              <c:numCache>
                <c:formatCode>General</c:formatCode>
                <c:ptCount val="10"/>
                <c:pt idx="0">
                  <c:v>0.2</c:v>
                </c:pt>
                <c:pt idx="1">
                  <c:v>1.5</c:v>
                </c:pt>
                <c:pt idx="2">
                  <c:v>1.7</c:v>
                </c:pt>
                <c:pt idx="3">
                  <c:v>1.8</c:v>
                </c:pt>
                <c:pt idx="4">
                  <c:v>2</c:v>
                </c:pt>
                <c:pt idx="5">
                  <c:v>2.1</c:v>
                </c:pt>
                <c:pt idx="6">
                  <c:v>2.2000000000000002</c:v>
                </c:pt>
                <c:pt idx="7">
                  <c:v>2.2999999999999998</c:v>
                </c:pt>
                <c:pt idx="8">
                  <c:v>2.5</c:v>
                </c:pt>
                <c:pt idx="9">
                  <c:v>2.7</c:v>
                </c:pt>
              </c:numCache>
            </c:numRef>
          </c:val>
        </c:ser>
        <c:ser>
          <c:idx val="1"/>
          <c:order val="1"/>
          <c:tx>
            <c:strRef>
              <c:f>Лист1!$C$1</c:f>
              <c:strCache>
                <c:ptCount val="1"/>
                <c:pt idx="0">
                  <c:v>Раневой экссудат</c:v>
                </c:pt>
              </c:strCache>
            </c:strRef>
          </c:tx>
          <c:spPr>
            <a:ln w="28575" cap="rnd" cmpd="sng" algn="ctr">
              <a:solidFill>
                <a:schemeClr val="accent2"/>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Лист1!$C$2:$C$11</c:f>
              <c:numCache>
                <c:formatCode>General</c:formatCode>
                <c:ptCount val="10"/>
                <c:pt idx="0">
                  <c:v>0.2</c:v>
                </c:pt>
                <c:pt idx="1">
                  <c:v>1.3</c:v>
                </c:pt>
                <c:pt idx="2">
                  <c:v>1.4</c:v>
                </c:pt>
                <c:pt idx="3">
                  <c:v>1.5</c:v>
                </c:pt>
                <c:pt idx="4">
                  <c:v>1.7</c:v>
                </c:pt>
                <c:pt idx="5">
                  <c:v>1.9000000000000001</c:v>
                </c:pt>
                <c:pt idx="6">
                  <c:v>2</c:v>
                </c:pt>
                <c:pt idx="7">
                  <c:v>2</c:v>
                </c:pt>
                <c:pt idx="8">
                  <c:v>2</c:v>
                </c:pt>
                <c:pt idx="9">
                  <c:v>2.1</c:v>
                </c:pt>
              </c:numCache>
            </c:numRef>
          </c:val>
        </c:ser>
        <c:marker val="1"/>
        <c:axId val="112196992"/>
        <c:axId val="112649344"/>
      </c:lineChart>
      <c:catAx>
        <c:axId val="112196992"/>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12649344"/>
        <c:crosses val="autoZero"/>
        <c:auto val="1"/>
        <c:lblAlgn val="ctr"/>
        <c:lblOffset val="100"/>
      </c:catAx>
      <c:valAx>
        <c:axId val="112649344"/>
        <c:scaling>
          <c:orientation val="minMax"/>
        </c:scaling>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ru-RU" sz="1000" b="0" i="0" u="none" strike="noStrike" kern="1200" baseline="0">
                    <a:solidFill>
                      <a:schemeClr val="tx1">
                        <a:lumMod val="65000"/>
                        <a:lumOff val="35000"/>
                      </a:schemeClr>
                    </a:solidFill>
                    <a:latin typeface="+mn-lt"/>
                    <a:ea typeface="+mn-ea"/>
                    <a:cs typeface="+mn-cs"/>
                  </a:defRPr>
                </a:pPr>
                <a:r>
                  <a:rPr lang="ru-RU"/>
                  <a:t>Вес гель-пленки, г/г</a:t>
                </a:r>
              </a:p>
            </c:rich>
          </c:tx>
          <c:spPr>
            <a:noFill/>
            <a:ln>
              <a:noFill/>
            </a:ln>
            <a:effectLst/>
          </c:spPr>
        </c:title>
        <c:numFmt formatCode="General" sourceLinked="1"/>
        <c:maj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12196992"/>
        <c:crosses val="autoZero"/>
        <c:crossBetween val="between"/>
      </c:valAx>
      <c:spPr>
        <a:noFill/>
        <a:ln>
          <a:noFill/>
        </a:ln>
        <a:effectLst/>
      </c:spPr>
    </c:plotArea>
    <c:legend>
      <c:legendPos val="r"/>
      <c:layout>
        <c:manualLayout>
          <c:xMode val="edge"/>
          <c:yMode val="edge"/>
          <c:x val="0.157576702229627"/>
          <c:y val="0.86399769649051494"/>
          <c:w val="0.65993680884676098"/>
          <c:h val="0.13392950881140242"/>
        </c:manualLayout>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0bdb0373-7b8d-41a8-9382-e4c3a2d2b910}"/>
      </c:ext>
    </c:extLst>
  </c:chart>
  <c:spPr>
    <a:noFill/>
    <a:ln w="9525" cap="flat" cmpd="sng" algn="ctr">
      <a:noFill/>
      <a:prstDash val="solid"/>
      <a:round/>
    </a:ln>
    <a:effectLst/>
  </c:spPr>
  <c:txPr>
    <a:bodyPr/>
    <a:lstStyle/>
    <a:p>
      <a:pPr>
        <a:defRPr lang="ru-RU"/>
      </a:pPr>
      <a:endParaRPr lang="ru-RU"/>
    </a:p>
  </c:txPr>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sz="1000"/>
              <a:t>Время экспозиции, мин</a:t>
            </a:r>
          </a:p>
        </c:rich>
      </c:tx>
      <c:layout>
        <c:manualLayout>
          <c:xMode val="edge"/>
          <c:yMode val="edge"/>
          <c:x val="0.29998001139538838"/>
          <c:y val="0.80897657907704057"/>
        </c:manualLayout>
      </c:layout>
      <c:spPr>
        <a:noFill/>
        <a:ln>
          <a:noFill/>
        </a:ln>
        <a:effectLst/>
      </c:spPr>
    </c:title>
    <c:plotArea>
      <c:layout>
        <c:manualLayout>
          <c:layoutTarget val="inner"/>
          <c:xMode val="edge"/>
          <c:yMode val="edge"/>
          <c:x val="0.15825149129086663"/>
          <c:y val="7.1785714285714328E-2"/>
          <c:w val="0.72836395450568703"/>
          <c:h val="0.64964973128362846"/>
        </c:manualLayout>
      </c:layout>
      <c:lineChart>
        <c:grouping val="standard"/>
        <c:ser>
          <c:idx val="0"/>
          <c:order val="0"/>
          <c:tx>
            <c:strRef>
              <c:f>Лист1!$B$1</c:f>
              <c:strCache>
                <c:ptCount val="1"/>
                <c:pt idx="0">
                  <c:v>Вода</c:v>
                </c:pt>
              </c:strCache>
            </c:strRef>
          </c:tx>
          <c:spPr>
            <a:ln w="28575" cap="rnd" cmpd="sng" algn="ctr">
              <a:solidFill>
                <a:schemeClr val="accent1"/>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Лист1!$B$2:$B$11</c:f>
              <c:numCache>
                <c:formatCode>General</c:formatCode>
                <c:ptCount val="10"/>
                <c:pt idx="0">
                  <c:v>0.1</c:v>
                </c:pt>
                <c:pt idx="1">
                  <c:v>0.70000000000000362</c:v>
                </c:pt>
                <c:pt idx="2">
                  <c:v>0.95000000000000362</c:v>
                </c:pt>
                <c:pt idx="3">
                  <c:v>1</c:v>
                </c:pt>
                <c:pt idx="4">
                  <c:v>1.3</c:v>
                </c:pt>
                <c:pt idx="5">
                  <c:v>1.5</c:v>
                </c:pt>
                <c:pt idx="6">
                  <c:v>1.6</c:v>
                </c:pt>
                <c:pt idx="7">
                  <c:v>1.7</c:v>
                </c:pt>
                <c:pt idx="8">
                  <c:v>1.7</c:v>
                </c:pt>
                <c:pt idx="9">
                  <c:v>1.8</c:v>
                </c:pt>
              </c:numCache>
            </c:numRef>
          </c:val>
        </c:ser>
        <c:ser>
          <c:idx val="1"/>
          <c:order val="1"/>
          <c:tx>
            <c:strRef>
              <c:f>Лист1!$C$1</c:f>
              <c:strCache>
                <c:ptCount val="1"/>
                <c:pt idx="0">
                  <c:v>Раневой экссудат</c:v>
                </c:pt>
              </c:strCache>
            </c:strRef>
          </c:tx>
          <c:spPr>
            <a:ln w="28575" cap="rnd" cmpd="sng" algn="ctr">
              <a:solidFill>
                <a:schemeClr val="accent2"/>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Лист1!$C$2:$C$11</c:f>
              <c:numCache>
                <c:formatCode>General</c:formatCode>
                <c:ptCount val="10"/>
                <c:pt idx="0">
                  <c:v>0.1</c:v>
                </c:pt>
                <c:pt idx="1">
                  <c:v>0.5</c:v>
                </c:pt>
                <c:pt idx="2">
                  <c:v>0.9</c:v>
                </c:pt>
                <c:pt idx="3">
                  <c:v>0.9</c:v>
                </c:pt>
                <c:pt idx="4">
                  <c:v>1.1000000000000001</c:v>
                </c:pt>
                <c:pt idx="5">
                  <c:v>1.1000000000000001</c:v>
                </c:pt>
                <c:pt idx="6">
                  <c:v>1.3</c:v>
                </c:pt>
                <c:pt idx="7">
                  <c:v>1.4</c:v>
                </c:pt>
                <c:pt idx="8">
                  <c:v>1.5</c:v>
                </c:pt>
                <c:pt idx="9">
                  <c:v>1.5</c:v>
                </c:pt>
              </c:numCache>
            </c:numRef>
          </c:val>
        </c:ser>
        <c:marker val="1"/>
        <c:axId val="110255104"/>
        <c:axId val="110510848"/>
      </c:lineChart>
      <c:catAx>
        <c:axId val="110255104"/>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10510848"/>
        <c:crosses val="autoZero"/>
        <c:auto val="1"/>
        <c:lblAlgn val="ctr"/>
        <c:lblOffset val="100"/>
      </c:catAx>
      <c:valAx>
        <c:axId val="110510848"/>
        <c:scaling>
          <c:orientation val="minMax"/>
        </c:scaling>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ru-RU" sz="1000" b="0" i="0" u="none" strike="noStrike" kern="1200" baseline="0">
                    <a:solidFill>
                      <a:schemeClr val="tx1">
                        <a:lumMod val="65000"/>
                        <a:lumOff val="35000"/>
                      </a:schemeClr>
                    </a:solidFill>
                    <a:latin typeface="+mn-lt"/>
                    <a:ea typeface="+mn-ea"/>
                    <a:cs typeface="+mn-cs"/>
                  </a:defRPr>
                </a:pPr>
                <a:r>
                  <a:rPr lang="ru-RU"/>
                  <a:t>Вес гель-пленки,</a:t>
                </a:r>
                <a:r>
                  <a:rPr lang="ru-RU" baseline="0"/>
                  <a:t> г/г</a:t>
                </a:r>
                <a:endParaRPr lang="ru-RU"/>
              </a:p>
            </c:rich>
          </c:tx>
          <c:spPr>
            <a:noFill/>
            <a:ln>
              <a:noFill/>
            </a:ln>
            <a:effectLst/>
          </c:spPr>
        </c:title>
        <c:numFmt formatCode="General" sourceLinked="1"/>
        <c:maj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10255104"/>
        <c:crosses val="autoZero"/>
        <c:crossBetween val="between"/>
      </c:valAx>
      <c:spPr>
        <a:noFill/>
        <a:ln>
          <a:noFill/>
        </a:ln>
        <a:effectLst/>
      </c:spPr>
    </c:plotArea>
    <c:legend>
      <c:legendPos val="r"/>
      <c:layout>
        <c:manualLayout>
          <c:xMode val="edge"/>
          <c:yMode val="edge"/>
          <c:x val="0.157576702229627"/>
          <c:y val="0.86399769649051494"/>
          <c:w val="0.65993680884676098"/>
          <c:h val="0.13392950881140242"/>
        </c:manualLayout>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1e1aef08-30e1-42e3-b049-8911ec67813e}"/>
      </c:ext>
    </c:extLst>
  </c:chart>
  <c:spPr>
    <a:noFill/>
    <a:ln w="9525" cap="flat" cmpd="sng" algn="ctr">
      <a:noFill/>
      <a:prstDash val="solid"/>
      <a:round/>
    </a:ln>
    <a:effectLst/>
  </c:spPr>
  <c:txPr>
    <a:bodyPr/>
    <a:lstStyle/>
    <a:p>
      <a:pPr>
        <a:defRPr lang="ru-RU"/>
      </a:pPr>
      <a:endParaRPr lang="ru-RU"/>
    </a:p>
  </c:txPr>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sz="1000" baseline="0"/>
              <a:t>Время экспозиции, мин</a:t>
            </a:r>
            <a:endParaRPr lang="ru-RU" sz="1000"/>
          </a:p>
        </c:rich>
      </c:tx>
      <c:layout>
        <c:manualLayout>
          <c:xMode val="edge"/>
          <c:yMode val="edge"/>
          <c:x val="0.29998001139538838"/>
          <c:y val="0.80897657907704057"/>
        </c:manualLayout>
      </c:layout>
      <c:spPr>
        <a:noFill/>
        <a:ln>
          <a:noFill/>
        </a:ln>
        <a:effectLst/>
      </c:spPr>
    </c:title>
    <c:plotArea>
      <c:layout>
        <c:manualLayout>
          <c:layoutTarget val="inner"/>
          <c:xMode val="edge"/>
          <c:yMode val="edge"/>
          <c:x val="0.15825149129086663"/>
          <c:y val="7.1785714285714328E-2"/>
          <c:w val="0.72836395450568703"/>
          <c:h val="0.64964973128362846"/>
        </c:manualLayout>
      </c:layout>
      <c:lineChart>
        <c:grouping val="standard"/>
        <c:ser>
          <c:idx val="0"/>
          <c:order val="0"/>
          <c:tx>
            <c:strRef>
              <c:f>Лист1!$B$1</c:f>
              <c:strCache>
                <c:ptCount val="1"/>
                <c:pt idx="0">
                  <c:v>Вода</c:v>
                </c:pt>
              </c:strCache>
            </c:strRef>
          </c:tx>
          <c:spPr>
            <a:ln w="28575" cap="rnd" cmpd="sng" algn="ctr">
              <a:solidFill>
                <a:schemeClr val="accent1"/>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Лист1!$B$2:$B$11</c:f>
              <c:numCache>
                <c:formatCode>General</c:formatCode>
                <c:ptCount val="10"/>
                <c:pt idx="0">
                  <c:v>0.2</c:v>
                </c:pt>
                <c:pt idx="1">
                  <c:v>1.4</c:v>
                </c:pt>
                <c:pt idx="2">
                  <c:v>1.6</c:v>
                </c:pt>
                <c:pt idx="3">
                  <c:v>1.8</c:v>
                </c:pt>
                <c:pt idx="4">
                  <c:v>1.9000000000000001</c:v>
                </c:pt>
                <c:pt idx="5">
                  <c:v>2</c:v>
                </c:pt>
                <c:pt idx="6">
                  <c:v>2.15</c:v>
                </c:pt>
                <c:pt idx="7">
                  <c:v>2.2000000000000002</c:v>
                </c:pt>
                <c:pt idx="8">
                  <c:v>2.4</c:v>
                </c:pt>
                <c:pt idx="9">
                  <c:v>2.5</c:v>
                </c:pt>
              </c:numCache>
            </c:numRef>
          </c:val>
        </c:ser>
        <c:ser>
          <c:idx val="1"/>
          <c:order val="1"/>
          <c:tx>
            <c:strRef>
              <c:f>Лист1!$C$1</c:f>
              <c:strCache>
                <c:ptCount val="1"/>
                <c:pt idx="0">
                  <c:v>Раневой экссудат</c:v>
                </c:pt>
              </c:strCache>
            </c:strRef>
          </c:tx>
          <c:spPr>
            <a:ln w="28575" cap="rnd" cmpd="sng" algn="ctr">
              <a:solidFill>
                <a:schemeClr val="accent2"/>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Лист1!$C$2:$C$11</c:f>
              <c:numCache>
                <c:formatCode>General</c:formatCode>
                <c:ptCount val="10"/>
                <c:pt idx="0">
                  <c:v>0.2</c:v>
                </c:pt>
                <c:pt idx="1">
                  <c:v>1.2</c:v>
                </c:pt>
                <c:pt idx="2">
                  <c:v>1.3</c:v>
                </c:pt>
                <c:pt idx="3">
                  <c:v>1.5</c:v>
                </c:pt>
                <c:pt idx="4">
                  <c:v>1.7</c:v>
                </c:pt>
                <c:pt idx="5">
                  <c:v>1.8</c:v>
                </c:pt>
                <c:pt idx="6">
                  <c:v>1.8</c:v>
                </c:pt>
                <c:pt idx="7">
                  <c:v>1.9000000000000001</c:v>
                </c:pt>
                <c:pt idx="8">
                  <c:v>1.9000000000000001</c:v>
                </c:pt>
                <c:pt idx="9">
                  <c:v>2</c:v>
                </c:pt>
              </c:numCache>
            </c:numRef>
          </c:val>
        </c:ser>
        <c:marker val="1"/>
        <c:axId val="133569152"/>
        <c:axId val="134726016"/>
      </c:lineChart>
      <c:catAx>
        <c:axId val="133569152"/>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34726016"/>
        <c:crosses val="autoZero"/>
        <c:auto val="1"/>
        <c:lblAlgn val="ctr"/>
        <c:lblOffset val="100"/>
      </c:catAx>
      <c:valAx>
        <c:axId val="134726016"/>
        <c:scaling>
          <c:orientation val="minMax"/>
        </c:scaling>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ru-RU" sz="1000" b="0" i="0" u="none" strike="noStrike" kern="1200" baseline="0">
                    <a:solidFill>
                      <a:schemeClr val="tx1">
                        <a:lumMod val="65000"/>
                        <a:lumOff val="35000"/>
                      </a:schemeClr>
                    </a:solidFill>
                    <a:latin typeface="+mn-lt"/>
                    <a:ea typeface="+mn-ea"/>
                    <a:cs typeface="+mn-cs"/>
                  </a:defRPr>
                </a:pPr>
                <a:r>
                  <a:rPr lang="ru-RU"/>
                  <a:t>Вес гель-пленки, г/г</a:t>
                </a:r>
              </a:p>
            </c:rich>
          </c:tx>
          <c:spPr>
            <a:noFill/>
            <a:ln>
              <a:noFill/>
            </a:ln>
            <a:effectLst/>
          </c:spPr>
        </c:title>
        <c:numFmt formatCode="General" sourceLinked="1"/>
        <c:maj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33569152"/>
        <c:crosses val="autoZero"/>
        <c:crossBetween val="between"/>
      </c:valAx>
      <c:spPr>
        <a:noFill/>
        <a:ln>
          <a:noFill/>
        </a:ln>
        <a:effectLst/>
      </c:spPr>
    </c:plotArea>
    <c:legend>
      <c:legendPos val="r"/>
      <c:layout>
        <c:manualLayout>
          <c:xMode val="edge"/>
          <c:yMode val="edge"/>
          <c:x val="0.157576702229627"/>
          <c:y val="0.86399769649051494"/>
          <c:w val="0.65993680884676098"/>
          <c:h val="0.13392950881140242"/>
        </c:manualLayout>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0bdb0373-7b8d-41a8-9382-e4c3a2d2b910}"/>
      </c:ext>
    </c:extLst>
  </c:chart>
  <c:spPr>
    <a:noFill/>
    <a:ln w="9525" cap="flat" cmpd="sng" algn="ctr">
      <a:noFill/>
      <a:prstDash val="solid"/>
      <a:round/>
    </a:ln>
    <a:effectLst/>
  </c:spPr>
  <c:txPr>
    <a:bodyPr/>
    <a:lstStyle/>
    <a:p>
      <a:pPr>
        <a:defRPr lang="ru-RU"/>
      </a:pPr>
      <a:endParaRPr lang="ru-RU"/>
    </a:p>
  </c:tx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ru-RU" sz="1400" b="0" i="0" u="none" strike="noStrike" kern="1200" spc="0" baseline="0">
                <a:solidFill>
                  <a:schemeClr val="tx1">
                    <a:lumMod val="65000"/>
                    <a:lumOff val="35000"/>
                  </a:schemeClr>
                </a:solidFill>
                <a:latin typeface="+mn-lt"/>
                <a:ea typeface="+mn-ea"/>
                <a:cs typeface="+mn-cs"/>
              </a:defRPr>
            </a:pPr>
            <a:r>
              <a:rPr lang="ru-RU" sz="1000" baseline="0"/>
              <a:t>Время экспозиции, мин</a:t>
            </a:r>
            <a:endParaRPr lang="ru-RU" sz="1000"/>
          </a:p>
        </c:rich>
      </c:tx>
      <c:layout>
        <c:manualLayout>
          <c:xMode val="edge"/>
          <c:yMode val="edge"/>
          <c:x val="0.29998001139538838"/>
          <c:y val="0.80897657907704057"/>
        </c:manualLayout>
      </c:layout>
      <c:spPr>
        <a:noFill/>
        <a:ln>
          <a:noFill/>
        </a:ln>
        <a:effectLst/>
      </c:spPr>
    </c:title>
    <c:plotArea>
      <c:layout>
        <c:manualLayout>
          <c:layoutTarget val="inner"/>
          <c:xMode val="edge"/>
          <c:yMode val="edge"/>
          <c:x val="0.15825149129086663"/>
          <c:y val="7.1785714285714328E-2"/>
          <c:w val="0.72836395450568703"/>
          <c:h val="0.64964973128362846"/>
        </c:manualLayout>
      </c:layout>
      <c:lineChart>
        <c:grouping val="standard"/>
        <c:ser>
          <c:idx val="0"/>
          <c:order val="0"/>
          <c:tx>
            <c:strRef>
              <c:f>Лист1!$B$1</c:f>
              <c:strCache>
                <c:ptCount val="1"/>
                <c:pt idx="0">
                  <c:v>Вода</c:v>
                </c:pt>
              </c:strCache>
            </c:strRef>
          </c:tx>
          <c:spPr>
            <a:ln w="28575" cap="rnd" cmpd="sng" algn="ctr">
              <a:solidFill>
                <a:schemeClr val="accent1"/>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Лист1!$B$2:$B$11</c:f>
              <c:numCache>
                <c:formatCode>General</c:formatCode>
                <c:ptCount val="10"/>
                <c:pt idx="0">
                  <c:v>0.2</c:v>
                </c:pt>
                <c:pt idx="1">
                  <c:v>1.3</c:v>
                </c:pt>
                <c:pt idx="2">
                  <c:v>1.5</c:v>
                </c:pt>
                <c:pt idx="3">
                  <c:v>1.8</c:v>
                </c:pt>
                <c:pt idx="4">
                  <c:v>1.8</c:v>
                </c:pt>
                <c:pt idx="5">
                  <c:v>2.1</c:v>
                </c:pt>
                <c:pt idx="6">
                  <c:v>2.15</c:v>
                </c:pt>
                <c:pt idx="7">
                  <c:v>2.2000000000000002</c:v>
                </c:pt>
                <c:pt idx="8">
                  <c:v>2.2999999999999998</c:v>
                </c:pt>
                <c:pt idx="9">
                  <c:v>2.2999999999999998</c:v>
                </c:pt>
              </c:numCache>
            </c:numRef>
          </c:val>
        </c:ser>
        <c:ser>
          <c:idx val="1"/>
          <c:order val="1"/>
          <c:tx>
            <c:strRef>
              <c:f>Лист1!$C$1</c:f>
              <c:strCache>
                <c:ptCount val="1"/>
                <c:pt idx="0">
                  <c:v>Раневой экссудат</c:v>
                </c:pt>
              </c:strCache>
            </c:strRef>
          </c:tx>
          <c:spPr>
            <a:ln w="28575" cap="rnd" cmpd="sng" algn="ctr">
              <a:solidFill>
                <a:schemeClr val="accent2"/>
              </a:solidFill>
              <a:prstDash val="solid"/>
              <a:round/>
            </a:ln>
            <a:effectLst/>
          </c:spPr>
          <c:marker>
            <c:symbol val="none"/>
          </c:marker>
          <c:errBars>
            <c:errDir val="y"/>
            <c:errBarType val="both"/>
            <c:errValType val="percentage"/>
            <c:val val="5"/>
            <c:spPr>
              <a:noFill/>
              <a:ln w="9525" cap="flat" cmpd="sng" algn="ctr">
                <a:solidFill>
                  <a:schemeClr val="tx1">
                    <a:lumMod val="65000"/>
                    <a:lumOff val="35000"/>
                  </a:schemeClr>
                </a:solidFill>
                <a:prstDash val="solid"/>
                <a:round/>
              </a:ln>
              <a:effectLst/>
            </c:spPr>
          </c:errBars>
          <c:cat>
            <c:numRef>
              <c:f>Лист1!$A$2:$A$11</c:f>
              <c:numCache>
                <c:formatCode>General</c:formatCode>
                <c:ptCount val="10"/>
                <c:pt idx="0">
                  <c:v>0</c:v>
                </c:pt>
                <c:pt idx="1">
                  <c:v>45</c:v>
                </c:pt>
                <c:pt idx="2">
                  <c:v>90</c:v>
                </c:pt>
                <c:pt idx="3">
                  <c:v>120</c:v>
                </c:pt>
                <c:pt idx="4">
                  <c:v>180</c:v>
                </c:pt>
                <c:pt idx="5">
                  <c:v>240</c:v>
                </c:pt>
                <c:pt idx="6">
                  <c:v>300</c:v>
                </c:pt>
                <c:pt idx="7">
                  <c:v>360</c:v>
                </c:pt>
                <c:pt idx="8">
                  <c:v>420</c:v>
                </c:pt>
                <c:pt idx="9">
                  <c:v>480</c:v>
                </c:pt>
              </c:numCache>
            </c:numRef>
          </c:cat>
          <c:val>
            <c:numRef>
              <c:f>Лист1!$C$2:$C$11</c:f>
              <c:numCache>
                <c:formatCode>General</c:formatCode>
                <c:ptCount val="10"/>
                <c:pt idx="0">
                  <c:v>0.2</c:v>
                </c:pt>
                <c:pt idx="1">
                  <c:v>0.9</c:v>
                </c:pt>
                <c:pt idx="2">
                  <c:v>1.2</c:v>
                </c:pt>
                <c:pt idx="3">
                  <c:v>1.5</c:v>
                </c:pt>
                <c:pt idx="4">
                  <c:v>1.6500000000000001</c:v>
                </c:pt>
                <c:pt idx="5">
                  <c:v>1.680000000000013</c:v>
                </c:pt>
                <c:pt idx="6">
                  <c:v>1.7</c:v>
                </c:pt>
                <c:pt idx="7">
                  <c:v>1.8</c:v>
                </c:pt>
                <c:pt idx="8">
                  <c:v>1.8</c:v>
                </c:pt>
                <c:pt idx="9">
                  <c:v>1.9000000000000001</c:v>
                </c:pt>
              </c:numCache>
            </c:numRef>
          </c:val>
        </c:ser>
        <c:marker val="1"/>
        <c:axId val="112150784"/>
        <c:axId val="112775168"/>
      </c:lineChart>
      <c:catAx>
        <c:axId val="112150784"/>
        <c:scaling>
          <c:orientation val="minMax"/>
        </c:scaling>
        <c:axPos val="b"/>
        <c:numFmt formatCode="General" sourceLinked="1"/>
        <c:maj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12775168"/>
        <c:crosses val="autoZero"/>
        <c:auto val="1"/>
        <c:lblAlgn val="ctr"/>
        <c:lblOffset val="100"/>
      </c:catAx>
      <c:valAx>
        <c:axId val="112775168"/>
        <c:scaling>
          <c:orientation val="minMax"/>
        </c:scaling>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ru-RU" sz="1000" b="0" i="0" u="none" strike="noStrike" kern="1200" baseline="0">
                    <a:solidFill>
                      <a:schemeClr val="tx1">
                        <a:lumMod val="65000"/>
                        <a:lumOff val="35000"/>
                      </a:schemeClr>
                    </a:solidFill>
                    <a:latin typeface="+mn-lt"/>
                    <a:ea typeface="+mn-ea"/>
                    <a:cs typeface="+mn-cs"/>
                  </a:defRPr>
                </a:pPr>
                <a:r>
                  <a:rPr lang="ru-RU"/>
                  <a:t>Вес гель-пленки, г/г</a:t>
                </a:r>
              </a:p>
            </c:rich>
          </c:tx>
          <c:spPr>
            <a:noFill/>
            <a:ln>
              <a:noFill/>
            </a:ln>
            <a:effectLst/>
          </c:spPr>
        </c:title>
        <c:numFmt formatCode="General" sourceLinked="1"/>
        <c:maj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12150784"/>
        <c:crosses val="autoZero"/>
        <c:crossBetween val="between"/>
      </c:valAx>
      <c:spPr>
        <a:noFill/>
        <a:ln>
          <a:noFill/>
        </a:ln>
        <a:effectLst/>
      </c:spPr>
    </c:plotArea>
    <c:legend>
      <c:legendPos val="r"/>
      <c:layout>
        <c:manualLayout>
          <c:xMode val="edge"/>
          <c:yMode val="edge"/>
          <c:x val="0.157576702229627"/>
          <c:y val="0.86399769649051494"/>
          <c:w val="0.65993680884676098"/>
          <c:h val="0.13392950881140242"/>
        </c:manualLayout>
      </c:layout>
      <c:spPr>
        <a:noFill/>
        <a:ln>
          <a:noFill/>
        </a:ln>
        <a:effectLst/>
      </c:spPr>
      <c:txPr>
        <a:bodyPr rot="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0bdb0373-7b8d-41a8-9382-e4c3a2d2b910}"/>
      </c:ext>
    </c:extLst>
  </c:chart>
  <c:spPr>
    <a:noFill/>
    <a:ln w="9525" cap="flat" cmpd="sng" algn="ctr">
      <a:noFill/>
      <a:prstDash val="solid"/>
      <a:round/>
    </a:ln>
    <a:effectLst/>
  </c:spPr>
  <c:txPr>
    <a:bodyPr/>
    <a:lstStyle/>
    <a:p>
      <a:pPr>
        <a:defRPr lang="ru-RU"/>
      </a:pPr>
      <a:endParaRPr lang="ru-RU"/>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col"/>
        <c:grouping val="clustered"/>
        <c:ser>
          <c:idx val="0"/>
          <c:order val="0"/>
          <c:tx>
            <c:strRef>
              <c:f>Sheet1!$B$1</c:f>
              <c:strCache>
                <c:ptCount val="1"/>
                <c:pt idx="0">
                  <c:v>Электропроводность</c:v>
                </c:pt>
              </c:strCache>
            </c:strRef>
          </c:tx>
          <c:spPr>
            <a:gradFill>
              <a:gsLst>
                <a:gs pos="0">
                  <a:schemeClr val="accent6">
                    <a:lumMod val="40000"/>
                    <a:lumOff val="60000"/>
                  </a:schemeClr>
                </a:gs>
                <a:gs pos="90000">
                  <a:schemeClr val="accent6"/>
                </a:gs>
              </a:gsLst>
              <a:lin ang="5400000" scaled="0"/>
            </a:gradFill>
            <a:ln>
              <a:gradFill>
                <a:gsLst>
                  <a:gs pos="0">
                    <a:schemeClr val="accent6"/>
                  </a:gs>
                  <a:gs pos="100000">
                    <a:schemeClr val="accent6">
                      <a:lumMod val="75000"/>
                    </a:schemeClr>
                  </a:gs>
                </a:gsLst>
                <a:lin ang="5400000" scaled="1"/>
              </a:gradFill>
            </a:ln>
            <a:effectLst>
              <a:outerShdw blurRad="76200" dist="25400" dir="2700000" algn="tl" rotWithShape="0">
                <a:schemeClr val="accent6">
                  <a:lumMod val="50000"/>
                  <a:alpha val="30000"/>
                </a:schemeClr>
              </a:outerShdw>
            </a:effectLst>
          </c:spPr>
          <c:errBars>
            <c:errBarType val="both"/>
            <c:errValType val="stdErr"/>
          </c:errBars>
          <c:cat>
            <c:strRef>
              <c:f>Sheet1!$A$2:$A$7</c:f>
              <c:strCache>
                <c:ptCount val="6"/>
                <c:pt idx="0">
                  <c:v>Автоклав</c:v>
                </c:pt>
                <c:pt idx="1">
                  <c:v>EtO</c:v>
                </c:pt>
                <c:pt idx="2">
                  <c:v>Озон</c:v>
                </c:pt>
                <c:pt idx="3">
                  <c:v>УФ</c:v>
                </c:pt>
                <c:pt idx="4">
                  <c:v>Плазма</c:v>
                </c:pt>
                <c:pt idx="5">
                  <c:v>ScCO₂</c:v>
                </c:pt>
              </c:strCache>
            </c:strRef>
          </c:cat>
          <c:val>
            <c:numRef>
              <c:f>Sheet1!$B$2:$B$7</c:f>
              <c:numCache>
                <c:formatCode>General</c:formatCode>
                <c:ptCount val="6"/>
                <c:pt idx="0">
                  <c:v>85</c:v>
                </c:pt>
                <c:pt idx="1">
                  <c:v>95</c:v>
                </c:pt>
                <c:pt idx="2">
                  <c:v>88</c:v>
                </c:pt>
                <c:pt idx="3">
                  <c:v>91</c:v>
                </c:pt>
                <c:pt idx="4">
                  <c:v>98</c:v>
                </c:pt>
                <c:pt idx="5">
                  <c:v>94</c:v>
                </c:pt>
              </c:numCache>
            </c:numRef>
          </c:val>
        </c:ser>
        <c:ser>
          <c:idx val="1"/>
          <c:order val="1"/>
          <c:tx>
            <c:strRef>
              <c:f>Sheet1!$C$1</c:f>
              <c:strCache>
                <c:ptCount val="1"/>
                <c:pt idx="0">
                  <c:v>Фототермическая акивность</c:v>
                </c:pt>
              </c:strCache>
            </c:strRef>
          </c:tx>
          <c:spPr>
            <a:gradFill>
              <a:gsLst>
                <a:gs pos="0">
                  <a:schemeClr val="accent5">
                    <a:lumMod val="40000"/>
                    <a:lumOff val="60000"/>
                  </a:schemeClr>
                </a:gs>
                <a:gs pos="90000">
                  <a:schemeClr val="accent5"/>
                </a:gs>
              </a:gsLst>
              <a:lin ang="5400000" scaled="0"/>
            </a:gradFill>
            <a:ln>
              <a:gradFill>
                <a:gsLst>
                  <a:gs pos="0">
                    <a:schemeClr val="accent5"/>
                  </a:gs>
                  <a:gs pos="100000">
                    <a:schemeClr val="accent5">
                      <a:lumMod val="75000"/>
                    </a:schemeClr>
                  </a:gs>
                </a:gsLst>
                <a:lin ang="5400000" scaled="1"/>
              </a:gradFill>
            </a:ln>
            <a:effectLst>
              <a:outerShdw blurRad="76200" dist="25400" dir="2700000" algn="tl" rotWithShape="0">
                <a:schemeClr val="accent5">
                  <a:lumMod val="50000"/>
                  <a:alpha val="30000"/>
                </a:schemeClr>
              </a:outerShdw>
            </a:effectLst>
          </c:spPr>
          <c:errBars>
            <c:errBarType val="both"/>
            <c:errValType val="stdErr"/>
          </c:errBars>
          <c:cat>
            <c:strRef>
              <c:f>Sheet1!$A$2:$A$7</c:f>
              <c:strCache>
                <c:ptCount val="6"/>
                <c:pt idx="0">
                  <c:v>Автоклав</c:v>
                </c:pt>
                <c:pt idx="1">
                  <c:v>EtO</c:v>
                </c:pt>
                <c:pt idx="2">
                  <c:v>Озон</c:v>
                </c:pt>
                <c:pt idx="3">
                  <c:v>УФ</c:v>
                </c:pt>
                <c:pt idx="4">
                  <c:v>Плазма</c:v>
                </c:pt>
                <c:pt idx="5">
                  <c:v>ScCO₂</c:v>
                </c:pt>
              </c:strCache>
            </c:strRef>
          </c:cat>
          <c:val>
            <c:numRef>
              <c:f>Sheet1!$C$2:$C$7</c:f>
              <c:numCache>
                <c:formatCode>General</c:formatCode>
                <c:ptCount val="6"/>
                <c:pt idx="0">
                  <c:v>70</c:v>
                </c:pt>
                <c:pt idx="1">
                  <c:v>94</c:v>
                </c:pt>
                <c:pt idx="2">
                  <c:v>80</c:v>
                </c:pt>
                <c:pt idx="3">
                  <c:v>89</c:v>
                </c:pt>
                <c:pt idx="4">
                  <c:v>95</c:v>
                </c:pt>
                <c:pt idx="5">
                  <c:v>92</c:v>
                </c:pt>
              </c:numCache>
            </c:numRef>
          </c:val>
        </c:ser>
        <c:gapWidth val="246"/>
        <c:overlap val="-28"/>
        <c:axId val="147568512"/>
        <c:axId val="147570048"/>
      </c:barChart>
      <c:catAx>
        <c:axId val="147568512"/>
        <c:scaling>
          <c:orientation val="minMax"/>
        </c:scaling>
        <c:axPos val="b"/>
        <c:numFmt formatCode="General" sourceLinked="0"/>
        <c:maj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ru-RU" sz="1000" b="0" i="0" u="none" strike="noStrike" kern="1200" baseline="0">
                <a:solidFill>
                  <a:schemeClr val="tx1">
                    <a:lumMod val="65000"/>
                    <a:lumOff val="35000"/>
                  </a:schemeClr>
                </a:solidFill>
                <a:latin typeface="+mn-lt"/>
                <a:ea typeface="+mn-ea"/>
                <a:cs typeface="+mn-cs"/>
              </a:defRPr>
            </a:pPr>
            <a:endParaRPr lang="ru-RU"/>
          </a:p>
        </c:txPr>
        <c:crossAx val="147570048"/>
        <c:crosses val="autoZero"/>
        <c:auto val="1"/>
        <c:lblAlgn val="ctr"/>
        <c:lblOffset val="100"/>
      </c:catAx>
      <c:valAx>
        <c:axId val="147570048"/>
        <c:scaling>
          <c:orientation val="minMax"/>
        </c:scaling>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1"/>
              <a:lstStyle/>
              <a:p>
                <a:pPr defTabSz="914400">
                  <a:defRPr lang="ru-RU" sz="1000" b="0" i="0" u="none" strike="noStrike" kern="1200" baseline="0">
                    <a:solidFill>
                      <a:schemeClr val="tx1">
                        <a:lumMod val="65000"/>
                        <a:lumOff val="35000"/>
                      </a:schemeClr>
                    </a:solidFill>
                    <a:latin typeface="+mn-lt"/>
                    <a:ea typeface="+mn-ea"/>
                    <a:cs typeface="+mn-cs"/>
                  </a:defRPr>
                </a:pPr>
                <a:r>
                  <a:rPr lang="ru-RU"/>
                  <a:t>Функциональность, %</a:t>
                </a:r>
              </a:p>
            </c:rich>
          </c:tx>
          <c:layout>
            <c:manualLayout>
              <c:xMode val="edge"/>
              <c:yMode val="edge"/>
              <c:x val="2.8630103889828871E-2"/>
              <c:y val="0.19174180327868787"/>
            </c:manualLayout>
          </c:layout>
          <c:spPr>
            <a:noFill/>
            <a:ln>
              <a:noFill/>
            </a:ln>
            <a:effectLst/>
          </c:spPr>
        </c:title>
        <c:numFmt formatCode="General" sourceLinked="1"/>
        <c:maj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47568512"/>
        <c:crosses val="autoZero"/>
        <c:crossBetween val="between"/>
      </c:valAx>
      <c:spPr>
        <a:noFill/>
        <a:ln>
          <a:noFill/>
        </a:ln>
        <a:effectLst/>
      </c:spPr>
    </c:plotArea>
    <c:legend>
      <c:legendPos val="b"/>
      <c:layout>
        <c:manualLayout>
          <c:xMode val="edge"/>
          <c:yMode val="edge"/>
          <c:x val="0.17449876629639763"/>
          <c:y val="0.89282786885245857"/>
          <c:w val="0.67376843659220376"/>
          <c:h val="7.4110300761585118E-2"/>
        </c:manualLayout>
      </c:layout>
      <c:spPr>
        <a:noFill/>
        <a:ln>
          <a:noFill/>
        </a:ln>
        <a:effectLst/>
      </c:spPr>
      <c:txPr>
        <a:bodyPr rot="0" spcFirstLastPara="0" vertOverflow="ellipsis" vert="horz" wrap="square" anchor="ctr" anchorCtr="1"/>
        <a:lstStyle/>
        <a:p>
          <a:pPr>
            <a:defRPr lang="ru-RU" sz="10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484a501c-3b88-4d35-b473-4509c0d76111}"/>
      </c:ext>
    </c:extLst>
  </c:chart>
  <c:spPr>
    <a:solidFill>
      <a:schemeClr val="bg1"/>
    </a:solidFill>
    <a:ln w="9525" cap="flat" cmpd="sng" algn="ctr">
      <a:solidFill>
        <a:schemeClr val="tx1">
          <a:lumMod val="15000"/>
          <a:lumOff val="85000"/>
        </a:schemeClr>
      </a:solidFill>
      <a:prstDash val="solid"/>
      <a:round/>
    </a:ln>
    <a:effectLst/>
  </c:spPr>
  <c:txPr>
    <a:bodyPr/>
    <a:lstStyle/>
    <a:p>
      <a:pPr>
        <a:defRPr lang="ru-RU"/>
      </a:pPr>
      <a:endParaRPr lang="ru-RU"/>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style val="26"/>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3256203890006721"/>
          <c:y val="1.5151515151515221E-2"/>
          <c:w val="0.58936955063715557"/>
          <c:h val="0.88762626262626299"/>
        </c:manualLayout>
      </c:layout>
      <c:pieChart>
        <c:varyColors val="1"/>
        <c:ser>
          <c:idx val="0"/>
          <c:order val="0"/>
          <c:tx>
            <c:strRef>
              <c:f>Лист1!$B$1</c:f>
              <c:strCache>
                <c:ptCount val="1"/>
                <c:pt idx="0">
                  <c:v>Столбец1</c:v>
                </c:pt>
              </c:strCache>
            </c:strRef>
          </c:tx>
          <c:dPt>
            <c:idx val="0"/>
            <c:spPr>
              <a:solidFill>
                <a:schemeClr val="accent5">
                  <a:lumMod val="60000"/>
                  <a:lumOff val="40000"/>
                </a:schemeClr>
              </a:solidFill>
            </c:spPr>
          </c:dPt>
          <c:dPt>
            <c:idx val="1"/>
            <c:spPr>
              <a:solidFill>
                <a:schemeClr val="accent2">
                  <a:lumMod val="60000"/>
                  <a:lumOff val="40000"/>
                </a:schemeClr>
              </a:solidFill>
            </c:spPr>
          </c:dPt>
          <c:dPt>
            <c:idx val="2"/>
            <c:spPr>
              <a:solidFill>
                <a:schemeClr val="accent5">
                  <a:lumMod val="20000"/>
                  <a:lumOff val="80000"/>
                </a:schemeClr>
              </a:solidFill>
            </c:spPr>
          </c:dPt>
          <c:dPt>
            <c:idx val="3"/>
            <c:spPr>
              <a:solidFill>
                <a:schemeClr val="accent4">
                  <a:lumMod val="40000"/>
                  <a:lumOff val="60000"/>
                </a:schemeClr>
              </a:solidFill>
            </c:spPr>
          </c:dPt>
          <c:dLbls>
            <c:dLbl>
              <c:idx val="0"/>
              <c:layout>
                <c:manualLayout>
                  <c:x val="-9.3961908607578026E-2"/>
                  <c:y val="0.11743449097233921"/>
                </c:manualLayout>
              </c:layout>
              <c:dLblPos val="bestFit"/>
              <c:showCatName val="1"/>
              <c:showPercent val="1"/>
              <c:separator>
</c:separator>
              <c:extLst>
                <c:ext xmlns:c15="http://schemas.microsoft.com/office/drawing/2012/chart" uri="{CE6537A1-D6FC-4f65-9D91-7224C49458BB}">
                  <c15:layout/>
                </c:ext>
              </c:extLst>
            </c:dLbl>
            <c:dLbl>
              <c:idx val="1"/>
              <c:layout>
                <c:manualLayout>
                  <c:x val="-0.15997089306144863"/>
                  <c:y val="2.4669873460483667E-2"/>
                </c:manualLayout>
              </c:layout>
              <c:dLblPos val="bestFit"/>
              <c:showCatName val="1"/>
              <c:showPercent val="1"/>
              <c:separator>
</c:separator>
              <c:extLst>
                <c:ext xmlns:c15="http://schemas.microsoft.com/office/drawing/2012/chart" uri="{CE6537A1-D6FC-4f65-9D91-7224C49458BB}">
                  <c15:layout/>
                </c:ext>
              </c:extLst>
            </c:dLbl>
            <c:dLbl>
              <c:idx val="2"/>
              <c:layout>
                <c:manualLayout>
                  <c:x val="-0.10892809071942902"/>
                  <c:y val="-0.23341199286640205"/>
                </c:manualLayout>
              </c:layout>
              <c:dLblPos val="bestFit"/>
              <c:showCatName val="1"/>
              <c:showPercent val="1"/>
              <c:separator>
</c:separator>
              <c:extLst>
                <c:ext xmlns:c15="http://schemas.microsoft.com/office/drawing/2012/chart" uri="{CE6537A1-D6FC-4f65-9D91-7224C49458BB}">
                  <c15:layout/>
                </c:ext>
              </c:extLst>
            </c:dLbl>
            <c:dLbl>
              <c:idx val="3"/>
              <c:layout>
                <c:manualLayout>
                  <c:x val="0.208338717275725"/>
                  <c:y val="2.7743513208452152E-2"/>
                </c:manualLayout>
              </c:layout>
              <c:dLblPos val="bestFit"/>
              <c:showCatName val="1"/>
              <c:showPercent val="1"/>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ru-RU" sz="1000" b="1" i="0" u="none" strike="noStrike" kern="1200" baseline="0">
                    <a:solidFill>
                      <a:schemeClr val="tx1"/>
                    </a:solidFill>
                    <a:latin typeface="+mn-lt"/>
                    <a:ea typeface="+mn-ea"/>
                    <a:cs typeface="+mn-cs"/>
                  </a:defRPr>
                </a:pPr>
                <a:endParaRPr lang="ru-RU"/>
              </a:p>
            </c:txPr>
            <c:dLblPos val="bestFit"/>
            <c:showCatName val="1"/>
            <c:showPercent val="1"/>
            <c:showLeaderLines val="1"/>
            <c:extLst>
              <c:ext xmlns:c15="http://schemas.microsoft.com/office/drawing/2012/chart" uri="{CE6537A1-D6FC-4f65-9D91-7224C49458BB}">
                <c15:layout/>
                <c15:showLeaderLines val="1"/>
                <c15:leaderLines/>
              </c:ext>
            </c:extLst>
          </c:dLbls>
          <c:cat>
            <c:strRef>
              <c:f>Лист1!$A$2:$A$5</c:f>
              <c:strCache>
                <c:ptCount val="4"/>
                <c:pt idx="0">
                  <c:v>3-10 сутки</c:v>
                </c:pt>
                <c:pt idx="1">
                  <c:v>7-10 сутки</c:v>
                </c:pt>
                <c:pt idx="2">
                  <c:v>10-14 сутки</c:v>
                </c:pt>
                <c:pt idx="3">
                  <c:v>17-21 сутки</c:v>
                </c:pt>
              </c:strCache>
            </c:strRef>
          </c:cat>
          <c:val>
            <c:numRef>
              <c:f>Лист1!$B$2:$B$5</c:f>
              <c:numCache>
                <c:formatCode>General</c:formatCode>
                <c:ptCount val="4"/>
                <c:pt idx="0">
                  <c:v>22</c:v>
                </c:pt>
                <c:pt idx="1">
                  <c:v>30</c:v>
                </c:pt>
                <c:pt idx="2">
                  <c:v>33</c:v>
                </c:pt>
                <c:pt idx="3">
                  <c:v>75</c:v>
                </c:pt>
              </c:numCache>
            </c:numRef>
          </c:val>
        </c:ser>
        <c:dLbls>
          <c:showCatName val="1"/>
          <c:showPercent val="1"/>
        </c:dLbls>
        <c:firstSliceAng val="0"/>
      </c:pieChart>
    </c:plotArea>
    <c:plotVisOnly val="1"/>
    <c:dispBlanksAs val="zero"/>
    <c:extLst>
      <c:ext uri="{0b15fc19-7d7d-44ad-8c2d-2c3a37ce22c3}">
        <chartProps xmlns="https://web.wps.cn/et/2018/main" chartId="{28af7519-70fb-4905-a004-f5fdac030093}"/>
      </c:ext>
    </c:extLst>
  </c:chart>
  <c:spPr>
    <a:ln w="6350" cap="flat" cmpd="sng" algn="ctr">
      <a:noFill/>
      <a:prstDash val="solid"/>
      <a:round/>
    </a:ln>
  </c:spPr>
  <c:txPr>
    <a:bodyPr/>
    <a:lstStyle/>
    <a:p>
      <a:pPr>
        <a:defRPr lang="ru-RU"/>
      </a:pPr>
      <a:endParaRPr lang="ru-RU"/>
    </a:p>
  </c:txPr>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en-US" sz="1000" b="0" i="1"/>
              <a:t>Staphylococcus</a:t>
            </a:r>
            <a:r>
              <a:rPr lang="en-US" sz="1000" b="0" i="1" baseline="0"/>
              <a:t> aureus</a:t>
            </a:r>
            <a:endParaRPr lang="ru-RU" sz="1000" b="0" i="1"/>
          </a:p>
        </c:rich>
      </c:tx>
      <c:layout>
        <c:manualLayout>
          <c:xMode val="edge"/>
          <c:yMode val="edge"/>
          <c:x val="0.5449934893752435"/>
          <c:y val="2.1954940509890612E-2"/>
        </c:manualLayout>
      </c:layout>
      <c:overlay val="1"/>
    </c:title>
    <c:plotArea>
      <c:layout>
        <c:manualLayout>
          <c:layoutTarget val="inner"/>
          <c:xMode val="edge"/>
          <c:yMode val="edge"/>
          <c:x val="0.16260486490854725"/>
          <c:y val="0.19621564197371888"/>
          <c:w val="0.7954236342512665"/>
          <c:h val="0.60527460528126298"/>
        </c:manualLayout>
      </c:layout>
      <c:lineChart>
        <c:grouping val="standard"/>
        <c:ser>
          <c:idx val="0"/>
          <c:order val="0"/>
          <c:tx>
            <c:strRef>
              <c:f>Лист1!$B$1</c:f>
              <c:strCache>
                <c:ptCount val="1"/>
                <c:pt idx="0">
                  <c:v>БЦ</c:v>
                </c:pt>
              </c:strCache>
            </c:strRef>
          </c:tx>
          <c:spPr>
            <a:ln w="19050" cap="rnd" cmpd="sng" algn="ctr">
              <a:solidFill>
                <a:schemeClr val="accent1">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Лист1!$B$2:$B$6</c:f>
              <c:numCache>
                <c:formatCode>General</c:formatCode>
                <c:ptCount val="5"/>
                <c:pt idx="0">
                  <c:v>0.1</c:v>
                </c:pt>
                <c:pt idx="1">
                  <c:v>1</c:v>
                </c:pt>
                <c:pt idx="2">
                  <c:v>1.08</c:v>
                </c:pt>
                <c:pt idx="3">
                  <c:v>1.08</c:v>
                </c:pt>
                <c:pt idx="4">
                  <c:v>1.08</c:v>
                </c:pt>
              </c:numCache>
            </c:numRef>
          </c:val>
          <c:smooth val="1"/>
        </c:ser>
        <c:ser>
          <c:idx val="1"/>
          <c:order val="1"/>
          <c:tx>
            <c:strRef>
              <c:f>Лист1!$C$1</c:f>
              <c:strCache>
                <c:ptCount val="1"/>
                <c:pt idx="0">
                  <c:v>БЦ/ГАП</c:v>
                </c:pt>
              </c:strCache>
            </c:strRef>
          </c:tx>
          <c:spPr>
            <a:ln w="19050" cap="rnd" cmpd="sng" algn="ctr">
              <a:solidFill>
                <a:schemeClr val="accent2">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Лист1!$C$2:$C$6</c:f>
              <c:numCache>
                <c:formatCode>General</c:formatCode>
                <c:ptCount val="5"/>
                <c:pt idx="0">
                  <c:v>0.1</c:v>
                </c:pt>
                <c:pt idx="1">
                  <c:v>1</c:v>
                </c:pt>
                <c:pt idx="2">
                  <c:v>1.2</c:v>
                </c:pt>
                <c:pt idx="3">
                  <c:v>1.2</c:v>
                </c:pt>
                <c:pt idx="4">
                  <c:v>1.4</c:v>
                </c:pt>
              </c:numCache>
            </c:numRef>
          </c:val>
          <c:smooth val="1"/>
        </c:ser>
        <c:ser>
          <c:idx val="2"/>
          <c:order val="2"/>
          <c:tx>
            <c:strRef>
              <c:f>Лист1!$D$1</c:f>
              <c:strCache>
                <c:ptCount val="1"/>
                <c:pt idx="0">
                  <c:v>БЦ/Mxene</c:v>
                </c:pt>
              </c:strCache>
            </c:strRef>
          </c:tx>
          <c:spPr>
            <a:ln w="19050" cap="rnd" cmpd="sng" algn="ctr">
              <a:solidFill>
                <a:schemeClr val="accent3">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Лист1!$D$2:$D$6</c:f>
              <c:numCache>
                <c:formatCode>General</c:formatCode>
                <c:ptCount val="5"/>
                <c:pt idx="0">
                  <c:v>0.1</c:v>
                </c:pt>
                <c:pt idx="1">
                  <c:v>2.2999999999999998</c:v>
                </c:pt>
                <c:pt idx="2">
                  <c:v>2.9</c:v>
                </c:pt>
                <c:pt idx="3">
                  <c:v>3.2</c:v>
                </c:pt>
                <c:pt idx="4">
                  <c:v>3.6</c:v>
                </c:pt>
              </c:numCache>
            </c:numRef>
          </c:val>
          <c:smooth val="1"/>
        </c:ser>
        <c:ser>
          <c:idx val="3"/>
          <c:order val="3"/>
          <c:tx>
            <c:strRef>
              <c:f>Лист1!$E$1</c:f>
              <c:strCache>
                <c:ptCount val="1"/>
                <c:pt idx="0">
                  <c:v>БЦ/ГАП/Mxene</c:v>
                </c:pt>
              </c:strCache>
            </c:strRef>
          </c:tx>
          <c:spPr>
            <a:ln w="19050" cap="rnd" cmpd="sng" algn="ctr">
              <a:solidFill>
                <a:schemeClr val="accent4">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Лист1!$E$2:$E$6</c:f>
              <c:numCache>
                <c:formatCode>General</c:formatCode>
                <c:ptCount val="5"/>
                <c:pt idx="0">
                  <c:v>0.1</c:v>
                </c:pt>
                <c:pt idx="1">
                  <c:v>1.7</c:v>
                </c:pt>
                <c:pt idx="2">
                  <c:v>2.6</c:v>
                </c:pt>
                <c:pt idx="3">
                  <c:v>2.8</c:v>
                </c:pt>
                <c:pt idx="4">
                  <c:v>3.1</c:v>
                </c:pt>
              </c:numCache>
            </c:numRef>
          </c:val>
          <c:smooth val="1"/>
        </c:ser>
        <c:marker val="1"/>
        <c:axId val="147688448"/>
        <c:axId val="147694720"/>
      </c:lineChart>
      <c:catAx>
        <c:axId val="147688448"/>
        <c:scaling>
          <c:orientation val="minMax"/>
        </c:scaling>
        <c:axPos val="b"/>
        <c:title>
          <c:tx>
            <c:rich>
              <a:bodyPr rot="0" spcFirstLastPara="0" vertOverflow="ellipsis" vert="horz" wrap="square" anchor="ctr" anchorCtr="1"/>
              <a:lstStyle/>
              <a:p>
                <a:pPr>
                  <a:defRPr lang="ru-RU" sz="800" b="1" i="0" u="none" strike="noStrike" kern="1200" baseline="0">
                    <a:solidFill>
                      <a:schemeClr val="tx1"/>
                    </a:solidFill>
                    <a:latin typeface="+mn-lt"/>
                    <a:ea typeface="+mn-ea"/>
                    <a:cs typeface="+mn-cs"/>
                  </a:defRPr>
                </a:pPr>
                <a:r>
                  <a:rPr lang="ru-RU" sz="800" b="0"/>
                  <a:t>Время инкубации, ч</a:t>
                </a:r>
              </a:p>
            </c:rich>
          </c:tx>
        </c:title>
        <c:numFmt formatCode="General" sourceLinked="1"/>
        <c:maj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47694720"/>
        <c:crosses val="autoZero"/>
        <c:auto val="1"/>
        <c:lblAlgn val="ctr"/>
        <c:lblOffset val="100"/>
      </c:catAx>
      <c:valAx>
        <c:axId val="147694720"/>
        <c:scaling>
          <c:orientation val="minMax"/>
        </c:scaling>
        <c:axPos val="l"/>
        <c:title>
          <c:tx>
            <c:rich>
              <a:bodyPr rot="-5400000" spcFirstLastPara="0" vertOverflow="ellipsis" vert="horz" wrap="square" anchor="ctr" anchorCtr="1"/>
              <a:lstStyle/>
              <a:p>
                <a:pPr>
                  <a:defRPr lang="ru-RU" sz="1000" b="1" i="0" u="none" strike="noStrike" kern="1200" baseline="0">
                    <a:solidFill>
                      <a:schemeClr val="tx1"/>
                    </a:solidFill>
                    <a:latin typeface="+mn-lt"/>
                    <a:ea typeface="+mn-ea"/>
                    <a:cs typeface="+mn-cs"/>
                  </a:defRPr>
                </a:pPr>
                <a:r>
                  <a:rPr lang="ru-RU" sz="800" b="0" i="0" u="none" strike="noStrike" baseline="0"/>
                  <a:t>Интенсивность флуоресценции, отн. ед</a:t>
                </a:r>
                <a:endParaRPr lang="ru-RU" sz="800" b="0" i="0" baseline="0"/>
              </a:p>
            </c:rich>
          </c:tx>
          <c:layout>
            <c:manualLayout>
              <c:xMode val="edge"/>
              <c:yMode val="edge"/>
              <c:x val="4.4122163500756734E-3"/>
              <c:y val="0.11388477113703302"/>
            </c:manualLayout>
          </c:layout>
        </c:title>
        <c:numFmt formatCode="General" sourceLinked="1"/>
        <c:maj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47688448"/>
        <c:crosses val="autoZero"/>
        <c:crossBetween val="between"/>
      </c:valAx>
      <c:spPr>
        <a:ln w="19050">
          <a:noFill/>
        </a:ln>
      </c:spPr>
    </c:plotArea>
    <c:legend>
      <c:legendPos val="t"/>
      <c:layout>
        <c:manualLayout>
          <c:xMode val="edge"/>
          <c:yMode val="edge"/>
          <c:x val="0.17795406570103048"/>
          <c:y val="0.160609897874952"/>
          <c:w val="0.32641159655528001"/>
          <c:h val="0.17153248077862454"/>
        </c:manualLayout>
      </c:layout>
      <c:txPr>
        <a:bodyPr rot="0" spcFirstLastPara="0" vertOverflow="ellipsis" vert="horz" wrap="square" anchor="ctr" anchorCtr="1"/>
        <a:lstStyle/>
        <a:p>
          <a:pPr>
            <a:defRPr lang="ru-RU" sz="600" b="0" i="0" u="none" strike="noStrike" kern="1200" baseline="0">
              <a:solidFill>
                <a:schemeClr val="tx1"/>
              </a:solidFill>
              <a:latin typeface="+mn-lt"/>
              <a:ea typeface="+mn-ea"/>
              <a:cs typeface="+mn-cs"/>
            </a:defRPr>
          </a:pPr>
          <a:endParaRPr lang="ru-RU"/>
        </a:p>
      </c:txPr>
    </c:legend>
    <c:plotVisOnly val="1"/>
    <c:dispBlanksAs val="gap"/>
    <c:extLst>
      <c:ext uri="{0b15fc19-7d7d-44ad-8c2d-2c3a37ce22c3}">
        <chartProps xmlns="https://web.wps.cn/et/2018/main" chartId="{e97dd3a4-6052-441f-acbb-c9885901a262}"/>
      </c:ext>
    </c:extLst>
  </c:chart>
  <c:spPr>
    <a:ln w="9525" cap="flat" cmpd="sng" algn="ctr">
      <a:noFill/>
      <a:prstDash val="solid"/>
      <a:round/>
    </a:ln>
  </c:spPr>
  <c:txPr>
    <a:bodyPr/>
    <a:lstStyle/>
    <a:p>
      <a:pPr>
        <a:defRPr lang="ru-RU"/>
      </a:pPr>
      <a:endParaRPr lang="ru-RU"/>
    </a:p>
  </c:txPr>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ru-RU" sz="1800" b="1" i="0" u="none" strike="noStrike" kern="1200" baseline="0">
                <a:solidFill>
                  <a:schemeClr val="tx1"/>
                </a:solidFill>
                <a:latin typeface="+mn-lt"/>
                <a:ea typeface="+mn-ea"/>
                <a:cs typeface="+mn-cs"/>
              </a:defRPr>
            </a:pPr>
            <a:r>
              <a:rPr lang="en-US" sz="1000" b="0" i="1"/>
              <a:t>Pseudomonas aeruginosa</a:t>
            </a:r>
            <a:r>
              <a:rPr lang="en-US" sz="1000" b="0" i="1" baseline="0"/>
              <a:t> </a:t>
            </a:r>
            <a:endParaRPr lang="ru-RU" sz="1000" b="0" i="1"/>
          </a:p>
        </c:rich>
      </c:tx>
      <c:layout>
        <c:manualLayout>
          <c:xMode val="edge"/>
          <c:yMode val="edge"/>
          <c:x val="0.50443180270250998"/>
          <c:y val="5.8957884572532086E-2"/>
        </c:manualLayout>
      </c:layout>
      <c:overlay val="1"/>
    </c:title>
    <c:plotArea>
      <c:layout>
        <c:manualLayout>
          <c:layoutTarget val="inner"/>
          <c:xMode val="edge"/>
          <c:yMode val="edge"/>
          <c:x val="0.16260486490854725"/>
          <c:y val="0.19621564197371888"/>
          <c:w val="0.7954236342512665"/>
          <c:h val="0.60527460528126298"/>
        </c:manualLayout>
      </c:layout>
      <c:lineChart>
        <c:grouping val="standard"/>
        <c:ser>
          <c:idx val="0"/>
          <c:order val="0"/>
          <c:tx>
            <c:strRef>
              <c:f>Лист1!$B$1</c:f>
              <c:strCache>
                <c:ptCount val="1"/>
                <c:pt idx="0">
                  <c:v>БЦ</c:v>
                </c:pt>
              </c:strCache>
            </c:strRef>
          </c:tx>
          <c:spPr>
            <a:ln w="19050" cap="rnd" cmpd="sng" algn="ctr">
              <a:solidFill>
                <a:schemeClr val="accent1">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Лист1!$B$2:$B$6</c:f>
              <c:numCache>
                <c:formatCode>General</c:formatCode>
                <c:ptCount val="5"/>
                <c:pt idx="0">
                  <c:v>0.1</c:v>
                </c:pt>
                <c:pt idx="1">
                  <c:v>0.8</c:v>
                </c:pt>
                <c:pt idx="2">
                  <c:v>1.08</c:v>
                </c:pt>
                <c:pt idx="3">
                  <c:v>1.08</c:v>
                </c:pt>
                <c:pt idx="4">
                  <c:v>1.08</c:v>
                </c:pt>
              </c:numCache>
            </c:numRef>
          </c:val>
          <c:smooth val="1"/>
        </c:ser>
        <c:ser>
          <c:idx val="1"/>
          <c:order val="1"/>
          <c:tx>
            <c:strRef>
              <c:f>Лист1!$C$1</c:f>
              <c:strCache>
                <c:ptCount val="1"/>
                <c:pt idx="0">
                  <c:v>БЦ/ГАП</c:v>
                </c:pt>
              </c:strCache>
            </c:strRef>
          </c:tx>
          <c:spPr>
            <a:ln w="19050" cap="rnd" cmpd="sng" algn="ctr">
              <a:solidFill>
                <a:schemeClr val="accent2">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Лист1!$C$2:$C$6</c:f>
              <c:numCache>
                <c:formatCode>General</c:formatCode>
                <c:ptCount val="5"/>
                <c:pt idx="0">
                  <c:v>0.1</c:v>
                </c:pt>
                <c:pt idx="1">
                  <c:v>0.8</c:v>
                </c:pt>
                <c:pt idx="2">
                  <c:v>1.2</c:v>
                </c:pt>
                <c:pt idx="3">
                  <c:v>1.2</c:v>
                </c:pt>
                <c:pt idx="4">
                  <c:v>1.4</c:v>
                </c:pt>
              </c:numCache>
            </c:numRef>
          </c:val>
          <c:smooth val="1"/>
        </c:ser>
        <c:ser>
          <c:idx val="2"/>
          <c:order val="2"/>
          <c:tx>
            <c:strRef>
              <c:f>Лист1!$D$1</c:f>
              <c:strCache>
                <c:ptCount val="1"/>
                <c:pt idx="0">
                  <c:v>БЦ/Mxene</c:v>
                </c:pt>
              </c:strCache>
            </c:strRef>
          </c:tx>
          <c:spPr>
            <a:ln w="19050" cap="rnd" cmpd="sng" algn="ctr">
              <a:solidFill>
                <a:schemeClr val="accent3">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Лист1!$D$2:$D$6</c:f>
              <c:numCache>
                <c:formatCode>General</c:formatCode>
                <c:ptCount val="5"/>
                <c:pt idx="0">
                  <c:v>0.1</c:v>
                </c:pt>
                <c:pt idx="1">
                  <c:v>1.5</c:v>
                </c:pt>
                <c:pt idx="2">
                  <c:v>1.7</c:v>
                </c:pt>
                <c:pt idx="3">
                  <c:v>2.2400000000000002</c:v>
                </c:pt>
                <c:pt idx="4">
                  <c:v>2.7600000000000002</c:v>
                </c:pt>
              </c:numCache>
            </c:numRef>
          </c:val>
          <c:smooth val="1"/>
        </c:ser>
        <c:ser>
          <c:idx val="3"/>
          <c:order val="3"/>
          <c:tx>
            <c:strRef>
              <c:f>Лист1!$E$1</c:f>
              <c:strCache>
                <c:ptCount val="1"/>
                <c:pt idx="0">
                  <c:v>БЦ/ГАП/Mxene</c:v>
                </c:pt>
              </c:strCache>
            </c:strRef>
          </c:tx>
          <c:spPr>
            <a:ln w="19050" cap="rnd" cmpd="sng" algn="ctr">
              <a:solidFill>
                <a:schemeClr val="accent4">
                  <a:shade val="95000"/>
                  <a:satMod val="105000"/>
                </a:schemeClr>
              </a:solidFill>
              <a:prstDash val="solid"/>
              <a:round/>
            </a:ln>
          </c:spPr>
          <c:marker>
            <c:symbol val="none"/>
          </c:marker>
          <c:errBars>
            <c:errDir val="y"/>
            <c:errBarType val="both"/>
            <c:errValType val="fixedVal"/>
            <c:val val="0.1"/>
          </c:errBars>
          <c:cat>
            <c:numRef>
              <c:f>Лист1!$A$2:$A$6</c:f>
              <c:numCache>
                <c:formatCode>General</c:formatCode>
                <c:ptCount val="5"/>
                <c:pt idx="0">
                  <c:v>0</c:v>
                </c:pt>
                <c:pt idx="1">
                  <c:v>1</c:v>
                </c:pt>
                <c:pt idx="2">
                  <c:v>6</c:v>
                </c:pt>
                <c:pt idx="3">
                  <c:v>10</c:v>
                </c:pt>
                <c:pt idx="4">
                  <c:v>24</c:v>
                </c:pt>
              </c:numCache>
            </c:numRef>
          </c:cat>
          <c:val>
            <c:numRef>
              <c:f>Лист1!$E$2:$E$6</c:f>
              <c:numCache>
                <c:formatCode>General</c:formatCode>
                <c:ptCount val="5"/>
                <c:pt idx="0">
                  <c:v>0.1</c:v>
                </c:pt>
                <c:pt idx="1">
                  <c:v>1.3</c:v>
                </c:pt>
                <c:pt idx="2">
                  <c:v>1.5</c:v>
                </c:pt>
                <c:pt idx="3">
                  <c:v>2</c:v>
                </c:pt>
                <c:pt idx="4">
                  <c:v>2.5</c:v>
                </c:pt>
              </c:numCache>
            </c:numRef>
          </c:val>
          <c:smooth val="1"/>
        </c:ser>
        <c:marker val="1"/>
        <c:axId val="147662336"/>
        <c:axId val="147664256"/>
      </c:lineChart>
      <c:catAx>
        <c:axId val="147662336"/>
        <c:scaling>
          <c:orientation val="minMax"/>
        </c:scaling>
        <c:axPos val="b"/>
        <c:title>
          <c:tx>
            <c:rich>
              <a:bodyPr rot="0" spcFirstLastPara="0" vertOverflow="ellipsis" vert="horz" wrap="square" anchor="ctr" anchorCtr="1"/>
              <a:lstStyle/>
              <a:p>
                <a:pPr>
                  <a:defRPr lang="ru-RU" sz="800" b="1" i="0" u="none" strike="noStrike" kern="1200" baseline="0">
                    <a:solidFill>
                      <a:schemeClr val="tx1"/>
                    </a:solidFill>
                    <a:latin typeface="+mn-lt"/>
                    <a:ea typeface="+mn-ea"/>
                    <a:cs typeface="+mn-cs"/>
                  </a:defRPr>
                </a:pPr>
                <a:r>
                  <a:rPr lang="ru-RU" sz="800" b="0"/>
                  <a:t>Время инкубации, ч</a:t>
                </a:r>
              </a:p>
            </c:rich>
          </c:tx>
        </c:title>
        <c:numFmt formatCode="General" sourceLinked="1"/>
        <c:maj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47664256"/>
        <c:crosses val="autoZero"/>
        <c:auto val="1"/>
        <c:lblAlgn val="ctr"/>
        <c:lblOffset val="100"/>
      </c:catAx>
      <c:valAx>
        <c:axId val="147664256"/>
        <c:scaling>
          <c:orientation val="minMax"/>
        </c:scaling>
        <c:axPos val="l"/>
        <c:title>
          <c:tx>
            <c:rich>
              <a:bodyPr rot="-5400000" spcFirstLastPara="0" vertOverflow="ellipsis" vert="horz" wrap="square" anchor="ctr" anchorCtr="1"/>
              <a:lstStyle/>
              <a:p>
                <a:pPr>
                  <a:defRPr lang="ru-RU" sz="1000" b="1" i="0" u="none" strike="noStrike" kern="1200" baseline="0">
                    <a:solidFill>
                      <a:schemeClr val="tx1"/>
                    </a:solidFill>
                    <a:latin typeface="+mn-lt"/>
                    <a:ea typeface="+mn-ea"/>
                    <a:cs typeface="+mn-cs"/>
                  </a:defRPr>
                </a:pPr>
                <a:r>
                  <a:rPr lang="ru-RU" sz="800" b="0"/>
                  <a:t>Интенсивность</a:t>
                </a:r>
                <a:r>
                  <a:rPr lang="ru-RU" sz="800" b="0" baseline="0"/>
                  <a:t> флуоресценции, отн. ед. </a:t>
                </a:r>
                <a:endParaRPr lang="ru-RU" sz="800" b="0"/>
              </a:p>
            </c:rich>
          </c:tx>
          <c:layout>
            <c:manualLayout>
              <c:xMode val="edge"/>
              <c:yMode val="edge"/>
              <c:x val="3.4142144070002612E-3"/>
              <c:y val="0.13189811469819601"/>
            </c:manualLayout>
          </c:layout>
        </c:title>
        <c:numFmt formatCode="General" sourceLinked="1"/>
        <c:majorTickMark val="none"/>
        <c:tickLblPos val="nextTo"/>
        <c:txPr>
          <a:bodyPr rot="-6000000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crossAx val="147662336"/>
        <c:crosses val="autoZero"/>
        <c:crossBetween val="between"/>
      </c:valAx>
      <c:spPr>
        <a:ln w="19050">
          <a:noFill/>
        </a:ln>
      </c:spPr>
    </c:plotArea>
    <c:legend>
      <c:legendPos val="t"/>
      <c:layout>
        <c:manualLayout>
          <c:xMode val="edge"/>
          <c:yMode val="edge"/>
          <c:x val="0.13135958967387287"/>
          <c:y val="0.16429372083758201"/>
          <c:w val="0.42896910011208089"/>
          <c:h val="0.17543705644426474"/>
        </c:manualLayout>
      </c:layout>
      <c:txPr>
        <a:bodyPr rot="0" spcFirstLastPara="0" vertOverflow="ellipsis" vert="horz" wrap="square" anchor="ctr" anchorCtr="1"/>
        <a:lstStyle/>
        <a:p>
          <a:pPr>
            <a:defRPr lang="ru-RU" sz="600" b="0" i="0" u="none" strike="noStrike" kern="1200" baseline="0">
              <a:solidFill>
                <a:schemeClr val="tx1"/>
              </a:solidFill>
              <a:latin typeface="+mn-lt"/>
              <a:ea typeface="+mn-ea"/>
              <a:cs typeface="+mn-cs"/>
            </a:defRPr>
          </a:pPr>
          <a:endParaRPr lang="ru-RU"/>
        </a:p>
      </c:txPr>
    </c:legend>
    <c:plotVisOnly val="1"/>
    <c:dispBlanksAs val="gap"/>
    <c:extLst>
      <c:ext uri="{0b15fc19-7d7d-44ad-8c2d-2c3a37ce22c3}">
        <chartProps xmlns="https://web.wps.cn/et/2018/main" chartId="{c109d58a-a71f-43ce-855c-017786b9b3fd}"/>
      </c:ext>
    </c:extLst>
  </c:chart>
  <c:spPr>
    <a:ln w="9525" cap="flat" cmpd="sng" algn="ctr">
      <a:noFill/>
      <a:prstDash val="solid"/>
      <a:round/>
    </a:ln>
  </c:spPr>
  <c:txPr>
    <a:bodyPr/>
    <a:lstStyle/>
    <a:p>
      <a:pPr>
        <a:defRPr lang="ru-RU"/>
      </a:pPr>
      <a:endParaRPr lang="ru-RU"/>
    </a:p>
  </c:txPr>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41354762161601"/>
          <c:y val="6.1111111111111123E-2"/>
          <c:w val="0.83347229712724258"/>
          <c:h val="0.71337664041994797"/>
        </c:manualLayout>
      </c:layout>
      <c:barChart>
        <c:barDir val="col"/>
        <c:grouping val="clustered"/>
        <c:ser>
          <c:idx val="0"/>
          <c:order val="0"/>
          <c:tx>
            <c:strRef>
              <c:f>Лист1!$B$1</c:f>
              <c:strCache>
                <c:ptCount val="1"/>
                <c:pt idx="0">
                  <c:v>72</c:v>
                </c:pt>
              </c:strCache>
            </c:strRef>
          </c:tx>
          <c:spPr>
            <a:solidFill>
              <a:schemeClr val="accent6"/>
            </a:solidFill>
            <a:ln>
              <a:noFill/>
            </a:ln>
            <a:effectLst/>
          </c:spPr>
          <c:errBars>
            <c:errBarType val="both"/>
            <c:errValType val="percentage"/>
            <c:val val="5"/>
            <c:spPr>
              <a:noFill/>
              <a:ln w="9525" cap="flat" cmpd="sng" algn="ctr">
                <a:solidFill>
                  <a:schemeClr val="dk1">
                    <a:lumMod val="50000"/>
                    <a:lumOff val="50000"/>
                  </a:schemeClr>
                </a:solidFill>
                <a:prstDash val="solid"/>
                <a:round/>
              </a:ln>
              <a:effectLst/>
            </c:spPr>
          </c:errBars>
          <c:cat>
            <c:strRef>
              <c:f>Лист1!$A$2:$A$6</c:f>
              <c:strCache>
                <c:ptCount val="5"/>
                <c:pt idx="0">
                  <c:v>Контроль</c:v>
                </c:pt>
                <c:pt idx="1">
                  <c:v>БЦ</c:v>
                </c:pt>
                <c:pt idx="2">
                  <c:v>БЦ/Mxene</c:v>
                </c:pt>
                <c:pt idx="3">
                  <c:v>БЦ/ГА</c:v>
                </c:pt>
                <c:pt idx="4">
                  <c:v>БЦ/ГА/Mxene</c:v>
                </c:pt>
              </c:strCache>
            </c:strRef>
          </c:cat>
          <c:val>
            <c:numRef>
              <c:f>Лист1!$B$2:$B$6</c:f>
              <c:numCache>
                <c:formatCode>General</c:formatCode>
                <c:ptCount val="5"/>
                <c:pt idx="0">
                  <c:v>87</c:v>
                </c:pt>
                <c:pt idx="1">
                  <c:v>84</c:v>
                </c:pt>
                <c:pt idx="2">
                  <c:v>75</c:v>
                </c:pt>
                <c:pt idx="3">
                  <c:v>83</c:v>
                </c:pt>
                <c:pt idx="4">
                  <c:v>81</c:v>
                </c:pt>
              </c:numCache>
            </c:numRef>
          </c:val>
        </c:ser>
        <c:ser>
          <c:idx val="1"/>
          <c:order val="1"/>
          <c:tx>
            <c:strRef>
              <c:f>Лист1!$C$1</c:f>
              <c:strCache>
                <c:ptCount val="1"/>
                <c:pt idx="0">
                  <c:v>120</c:v>
                </c:pt>
              </c:strCache>
            </c:strRef>
          </c:tx>
          <c:errBars>
            <c:errBarType val="both"/>
            <c:errValType val="percentage"/>
            <c:val val="5"/>
          </c:errBars>
          <c:cat>
            <c:strRef>
              <c:f>Лист1!$A$2:$A$6</c:f>
              <c:strCache>
                <c:ptCount val="5"/>
                <c:pt idx="0">
                  <c:v>Контроль</c:v>
                </c:pt>
                <c:pt idx="1">
                  <c:v>БЦ</c:v>
                </c:pt>
                <c:pt idx="2">
                  <c:v>БЦ/Mxene</c:v>
                </c:pt>
                <c:pt idx="3">
                  <c:v>БЦ/ГА</c:v>
                </c:pt>
                <c:pt idx="4">
                  <c:v>БЦ/ГА/Mxene</c:v>
                </c:pt>
              </c:strCache>
            </c:strRef>
          </c:cat>
          <c:val>
            <c:numRef>
              <c:f>Лист1!$C$2:$C$6</c:f>
              <c:numCache>
                <c:formatCode>General</c:formatCode>
                <c:ptCount val="5"/>
                <c:pt idx="0">
                  <c:v>80</c:v>
                </c:pt>
                <c:pt idx="1">
                  <c:v>79</c:v>
                </c:pt>
                <c:pt idx="2">
                  <c:v>71</c:v>
                </c:pt>
                <c:pt idx="3">
                  <c:v>78</c:v>
                </c:pt>
                <c:pt idx="4">
                  <c:v>75</c:v>
                </c:pt>
              </c:numCache>
            </c:numRef>
          </c:val>
        </c:ser>
        <c:gapWidth val="267"/>
        <c:overlap val="-43"/>
        <c:axId val="147941248"/>
        <c:axId val="147942784"/>
      </c:barChart>
      <c:catAx>
        <c:axId val="147941248"/>
        <c:scaling>
          <c:orientation val="minMax"/>
        </c:scaling>
        <c:axPos val="b"/>
        <c:majorGridlines>
          <c:spPr>
            <a:ln w="9525" cap="flat" cmpd="sng" algn="ctr">
              <a:solidFill>
                <a:schemeClr val="dk1">
                  <a:lumMod val="15000"/>
                  <a:lumOff val="85000"/>
                </a:schemeClr>
              </a:solidFill>
              <a:prstDash val="solid"/>
              <a:round/>
            </a:ln>
            <a:effectLst/>
          </c:spPr>
        </c:majorGridlines>
        <c:numFmt formatCode="General" sourceLinked="1"/>
        <c:maj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endParaRPr lang="ru-RU"/>
          </a:p>
        </c:txPr>
        <c:crossAx val="147942784"/>
        <c:crosses val="autoZero"/>
        <c:auto val="1"/>
        <c:lblAlgn val="ctr"/>
        <c:lblOffset val="100"/>
      </c:catAx>
      <c:valAx>
        <c:axId val="147942784"/>
        <c:scaling>
          <c:orientation val="minMax"/>
        </c:scaling>
        <c:axPos val="l"/>
        <c:majorGridlines>
          <c:spPr>
            <a:ln w="9525" cap="flat" cmpd="sng" algn="ctr">
              <a:solidFill>
                <a:schemeClr val="dk1">
                  <a:lumMod val="15000"/>
                  <a:lumOff val="85000"/>
                </a:schemeClr>
              </a:solidFill>
              <a:prstDash val="solid"/>
              <a:round/>
            </a:ln>
            <a:effectLst/>
          </c:spPr>
        </c:majorGridlines>
        <c:title>
          <c:tx>
            <c:rich>
              <a:bodyPr rot="-5400000" spcFirstLastPara="1" vertOverflow="ellipsis" vert="horz" wrap="square" anchor="ctr" anchorCtr="1"/>
              <a:lstStyle/>
              <a:p>
                <a:pPr>
                  <a:defRPr lang="ru-RU" sz="900" b="1" i="0" u="none" strike="noStrike" kern="1200" baseline="0">
                    <a:solidFill>
                      <a:schemeClr val="dk1">
                        <a:lumMod val="65000"/>
                        <a:lumOff val="35000"/>
                      </a:schemeClr>
                    </a:solidFill>
                    <a:latin typeface="+mn-lt"/>
                    <a:ea typeface="+mn-ea"/>
                    <a:cs typeface="+mn-cs"/>
                  </a:defRPr>
                </a:pPr>
                <a:r>
                  <a:rPr lang="en-US"/>
                  <a:t>Метаболическая активность, %</a:t>
                </a:r>
                <a:endParaRPr lang="ru-RU"/>
              </a:p>
            </c:rich>
          </c:tx>
          <c:spPr>
            <a:noFill/>
            <a:ln>
              <a:noFill/>
            </a:ln>
            <a:effectLst/>
          </c:spPr>
        </c:title>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endParaRPr lang="ru-RU"/>
          </a:p>
        </c:txPr>
        <c:crossAx val="147941248"/>
        <c:crosses val="autoZero"/>
        <c:crossBetween val="between"/>
      </c:valAx>
      <c:spPr>
        <a:pattFill prst="ltDnDiag">
          <a:fgClr>
            <a:schemeClr val="dk1">
              <a:lumMod val="15000"/>
              <a:lumOff val="85000"/>
            </a:schemeClr>
          </a:fgClr>
          <a:bgClr>
            <a:schemeClr val="lt1"/>
          </a:bgClr>
        </a:pattFill>
        <a:ln>
          <a:noFill/>
        </a:ln>
        <a:effectLst/>
      </c:spPr>
    </c:plotArea>
    <c:legend>
      <c:legendPos val="b"/>
      <c:txPr>
        <a:bodyPr rot="0" spcFirstLastPara="0" vertOverflow="ellipsis" vert="horz" wrap="square" anchor="ctr" anchorCtr="1"/>
        <a:lstStyle/>
        <a:p>
          <a:pPr>
            <a:defRPr lang="ru-RU" sz="1000" b="0" i="0" u="none" strike="noStrike" kern="1200" baseline="0">
              <a:solidFill>
                <a:schemeClr val="tx1"/>
              </a:solidFill>
              <a:latin typeface="+mn-lt"/>
              <a:ea typeface="+mn-ea"/>
              <a:cs typeface="+mn-cs"/>
            </a:defRPr>
          </a:pPr>
          <a:endParaRPr lang="ru-RU"/>
        </a:p>
      </c:txPr>
    </c:legend>
    <c:plotVisOnly val="1"/>
    <c:dispBlanksAs val="gap"/>
    <c:extLst>
      <c:ext uri="{0b15fc19-7d7d-44ad-8c2d-2c3a37ce22c3}">
        <chartProps xmlns="https://web.wps.cn/et/2018/main" chartId="{6c5279da-9426-4252-ba21-f0daffb8a7d0}"/>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endParaRPr lang="ru-RU"/>
    </a:p>
  </c:txPr>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Лист1!$B$1</c:f>
              <c:strCache>
                <c:ptCount val="1"/>
                <c:pt idx="0">
                  <c:v>Ингибирование БЦ/ГАП/Mxene  (%)</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dk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prstDash val="solid"/>
                      <a:round/>
                    </a:ln>
                    <a:effectLst/>
                  </c:spPr>
                </c15:leaderLines>
              </c:ext>
            </c:extLst>
          </c:dLbls>
          <c:cat>
            <c:numRef>
              <c:f>Лист1!$A$2:$A$7</c:f>
              <c:numCache>
                <c:formatCode>0.00</c:formatCode>
                <c:ptCount val="6"/>
                <c:pt idx="0">
                  <c:v>1.56</c:v>
                </c:pt>
                <c:pt idx="1">
                  <c:v>3.12</c:v>
                </c:pt>
                <c:pt idx="2">
                  <c:v>6.25</c:v>
                </c:pt>
                <c:pt idx="3" formatCode="0.0">
                  <c:v>12.5</c:v>
                </c:pt>
                <c:pt idx="4" formatCode="0">
                  <c:v>25</c:v>
                </c:pt>
                <c:pt idx="5" formatCode="0">
                  <c:v>50</c:v>
                </c:pt>
              </c:numCache>
            </c:numRef>
          </c:cat>
          <c:val>
            <c:numRef>
              <c:f>Лист1!$B$2:$B$7</c:f>
              <c:numCache>
                <c:formatCode>General</c:formatCode>
                <c:ptCount val="6"/>
                <c:pt idx="0">
                  <c:v>37</c:v>
                </c:pt>
                <c:pt idx="1">
                  <c:v>50</c:v>
                </c:pt>
                <c:pt idx="2">
                  <c:v>67</c:v>
                </c:pt>
                <c:pt idx="3">
                  <c:v>77</c:v>
                </c:pt>
                <c:pt idx="4">
                  <c:v>82</c:v>
                </c:pt>
                <c:pt idx="5">
                  <c:v>86</c:v>
                </c:pt>
              </c:numCache>
            </c:numRef>
          </c:val>
        </c:ser>
        <c:ser>
          <c:idx val="1"/>
          <c:order val="1"/>
          <c:tx>
            <c:strRef>
              <c:f>Лист1!$C$1</c:f>
              <c:strCache>
                <c:ptCount val="1"/>
                <c:pt idx="0">
                  <c:v>Ингибирование АК (%)</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ru-RU" sz="900" b="0" i="0" u="none" strike="noStrike" kern="1200" baseline="0">
                    <a:solidFill>
                      <a:schemeClr val="dk1">
                        <a:lumMod val="75000"/>
                        <a:lumOff val="25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prstDash val="solid"/>
                      <a:round/>
                    </a:ln>
                    <a:effectLst/>
                  </c:spPr>
                </c15:leaderLines>
              </c:ext>
            </c:extLst>
          </c:dLbls>
          <c:cat>
            <c:numRef>
              <c:f>Лист1!$A$2:$A$7</c:f>
              <c:numCache>
                <c:formatCode>0.00</c:formatCode>
                <c:ptCount val="6"/>
                <c:pt idx="0">
                  <c:v>1.56</c:v>
                </c:pt>
                <c:pt idx="1">
                  <c:v>3.12</c:v>
                </c:pt>
                <c:pt idx="2">
                  <c:v>6.25</c:v>
                </c:pt>
                <c:pt idx="3" formatCode="0.0">
                  <c:v>12.5</c:v>
                </c:pt>
                <c:pt idx="4" formatCode="0">
                  <c:v>25</c:v>
                </c:pt>
                <c:pt idx="5" formatCode="0">
                  <c:v>50</c:v>
                </c:pt>
              </c:numCache>
            </c:numRef>
          </c:cat>
          <c:val>
            <c:numRef>
              <c:f>Лист1!$C$2:$C$7</c:f>
              <c:numCache>
                <c:formatCode>General</c:formatCode>
                <c:ptCount val="6"/>
                <c:pt idx="0">
                  <c:v>40</c:v>
                </c:pt>
                <c:pt idx="1">
                  <c:v>48</c:v>
                </c:pt>
                <c:pt idx="2">
                  <c:v>63</c:v>
                </c:pt>
                <c:pt idx="3">
                  <c:v>75</c:v>
                </c:pt>
                <c:pt idx="4">
                  <c:v>84</c:v>
                </c:pt>
                <c:pt idx="5">
                  <c:v>89</c:v>
                </c:pt>
              </c:numCache>
            </c:numRef>
          </c:val>
        </c:ser>
        <c:dLbls>
          <c:showVal val="1"/>
        </c:dLbls>
        <c:gapWidth val="267"/>
        <c:overlap val="-43"/>
        <c:axId val="148031360"/>
        <c:axId val="148041728"/>
      </c:barChart>
      <c:catAx>
        <c:axId val="148031360"/>
        <c:scaling>
          <c:orientation val="minMax"/>
        </c:scaling>
        <c:axPos val="b"/>
        <c:majorGridlines>
          <c:spPr>
            <a:ln w="9525" cap="flat" cmpd="sng" algn="ctr">
              <a:solidFill>
                <a:schemeClr val="dk1">
                  <a:lumMod val="15000"/>
                  <a:lumOff val="85000"/>
                </a:schemeClr>
              </a:solidFill>
              <a:prstDash val="solid"/>
              <a:round/>
            </a:ln>
            <a:effectLst/>
          </c:spPr>
        </c:majorGridlines>
        <c:title>
          <c:tx>
            <c:rich>
              <a:bodyPr rot="0" spcFirstLastPara="1" vertOverflow="ellipsis" vert="horz" wrap="square" anchor="ctr" anchorCtr="1"/>
              <a:lstStyle/>
              <a:p>
                <a:pPr>
                  <a:defRPr lang="ru-RU" sz="900" b="1" i="0" u="none" strike="noStrike" kern="1200" baseline="0">
                    <a:solidFill>
                      <a:schemeClr val="dk1">
                        <a:lumMod val="65000"/>
                        <a:lumOff val="35000"/>
                      </a:schemeClr>
                    </a:solidFill>
                    <a:latin typeface="+mn-lt"/>
                    <a:ea typeface="+mn-ea"/>
                    <a:cs typeface="+mn-cs"/>
                  </a:defRPr>
                </a:pPr>
                <a:r>
                  <a:rPr lang="ru-RU"/>
                  <a:t>Концентрация, мкг/мл</a:t>
                </a:r>
              </a:p>
            </c:rich>
          </c:tx>
          <c:spPr>
            <a:noFill/>
            <a:ln>
              <a:noFill/>
            </a:ln>
            <a:effectLst/>
          </c:spPr>
        </c:title>
        <c:numFmt formatCode="0.00" sourceLinked="1"/>
        <c:majorTickMark val="none"/>
        <c:tickLblPos val="nextTo"/>
        <c:spPr>
          <a:noFill/>
          <a:ln w="9525" cap="flat" cmpd="sng" algn="ctr">
            <a:solidFill>
              <a:schemeClr val="dk1">
                <a:lumMod val="15000"/>
                <a:lumOff val="85000"/>
              </a:schemeClr>
            </a:solidFill>
            <a:prstDash val="solid"/>
            <a:round/>
          </a:ln>
          <a:effectLst/>
        </c:spPr>
        <c:txPr>
          <a:bodyPr rot="-60000000" spcFirstLastPara="1" vertOverflow="ellipsis" vert="horz" wrap="square" anchor="ctr" anchorCtr="1"/>
          <a:lstStyle/>
          <a:p>
            <a:pPr>
              <a:defRPr lang="ru-RU" sz="900" b="0" i="0" u="none" strike="noStrike" kern="1200" cap="none" spc="0" normalizeH="0" baseline="0">
                <a:solidFill>
                  <a:schemeClr val="dk1">
                    <a:lumMod val="65000"/>
                    <a:lumOff val="35000"/>
                  </a:schemeClr>
                </a:solidFill>
                <a:latin typeface="+mn-lt"/>
                <a:ea typeface="+mn-ea"/>
                <a:cs typeface="+mn-cs"/>
              </a:defRPr>
            </a:pPr>
            <a:endParaRPr lang="ru-RU"/>
          </a:p>
        </c:txPr>
        <c:crossAx val="148041728"/>
        <c:crosses val="autoZero"/>
        <c:auto val="1"/>
        <c:lblAlgn val="ctr"/>
        <c:lblOffset val="100"/>
      </c:catAx>
      <c:valAx>
        <c:axId val="148041728"/>
        <c:scaling>
          <c:orientation val="minMax"/>
        </c:scaling>
        <c:axPos val="l"/>
        <c:majorGridlines>
          <c:spPr>
            <a:ln w="9525" cap="flat" cmpd="sng" algn="ctr">
              <a:solidFill>
                <a:schemeClr val="dk1">
                  <a:lumMod val="15000"/>
                  <a:lumOff val="85000"/>
                </a:schemeClr>
              </a:solidFill>
              <a:prstDash val="solid"/>
              <a:round/>
            </a:ln>
            <a:effectLst/>
          </c:spPr>
        </c:majorGridlines>
        <c:title>
          <c:tx>
            <c:rich>
              <a:bodyPr rot="-5400000" spcFirstLastPara="1" vertOverflow="ellipsis" vert="horz" wrap="square" anchor="ctr" anchorCtr="1"/>
              <a:lstStyle/>
              <a:p>
                <a:pPr>
                  <a:defRPr lang="ru-RU" sz="900" b="1" i="0" u="none" strike="noStrike" kern="1200" baseline="0">
                    <a:solidFill>
                      <a:schemeClr val="dk1">
                        <a:lumMod val="65000"/>
                        <a:lumOff val="35000"/>
                      </a:schemeClr>
                    </a:solidFill>
                    <a:latin typeface="+mn-lt"/>
                    <a:ea typeface="+mn-ea"/>
                    <a:cs typeface="+mn-cs"/>
                  </a:defRPr>
                </a:pPr>
                <a:r>
                  <a:rPr lang="ru-RU"/>
                  <a:t>Ингибирование </a:t>
                </a:r>
                <a:r>
                  <a:rPr lang="en-US"/>
                  <a:t>DPPH, %</a:t>
                </a:r>
                <a:endParaRPr lang="ru-RU"/>
              </a:p>
            </c:rich>
          </c:tx>
          <c:spPr>
            <a:noFill/>
            <a:ln>
              <a:noFill/>
            </a:ln>
            <a:effectLst/>
          </c:spPr>
        </c:title>
        <c:numFmt formatCode="General" sourceLinked="1"/>
        <c:maj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endParaRPr lang="ru-RU"/>
          </a:p>
        </c:txPr>
        <c:crossAx val="148031360"/>
        <c:crosses val="autoZero"/>
        <c:crossBetween val="between"/>
      </c:valAx>
      <c:spPr>
        <a:pattFill prst="ltDnDiag">
          <a:fgClr>
            <a:schemeClr val="dk1">
              <a:lumMod val="15000"/>
              <a:lumOff val="85000"/>
            </a:schemeClr>
          </a:fgClr>
          <a:bgClr>
            <a:schemeClr val="lt1"/>
          </a:bgClr>
        </a:pattFill>
        <a:ln>
          <a:noFill/>
        </a:ln>
        <a:effectLst/>
      </c:spPr>
    </c:plotArea>
    <c:legend>
      <c:legendPos val="t"/>
      <c:spPr>
        <a:noFill/>
        <a:ln>
          <a:noFill/>
        </a:ln>
        <a:effectLst/>
      </c:spPr>
      <c:txPr>
        <a:bodyPr rot="0" spcFirstLastPara="1" vertOverflow="ellipsis" vert="horz" wrap="square" anchor="ctr" anchorCtr="1"/>
        <a:lstStyle/>
        <a:p>
          <a:pPr>
            <a:defRPr lang="ru-RU"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extLst>
      <c:ext uri="{0b15fc19-7d7d-44ad-8c2d-2c3a37ce22c3}">
        <chartProps xmlns="https://web.wps.cn/et/2018/main" chartId="{57da07ab-cdad-4710-bf17-b1f23ea05e7b}"/>
      </c:ext>
    </c:extLst>
  </c:chart>
  <c:spPr>
    <a:solidFill>
      <a:schemeClr val="lt1"/>
    </a:solidFill>
    <a:ln w="9525" cap="flat" cmpd="sng" algn="ctr">
      <a:solidFill>
        <a:schemeClr val="dk1">
          <a:lumMod val="15000"/>
          <a:lumOff val="85000"/>
        </a:schemeClr>
      </a:solidFill>
      <a:prstDash val="solid"/>
      <a:round/>
    </a:ln>
    <a:effectLst/>
  </c:spPr>
  <c:txPr>
    <a:bodyPr/>
    <a:lstStyle/>
    <a:p>
      <a:pPr>
        <a:defRPr lang="ru-RU"/>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A5D5AA-8672-4696-9B77-23DA6E053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148</Pages>
  <Words>49094</Words>
  <Characters>279841</Characters>
  <Application>Microsoft Office Word</Application>
  <DocSecurity>0</DocSecurity>
  <Lines>2332</Lines>
  <Paragraphs>656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dc:creator>
  <cp:lastModifiedBy>sava</cp:lastModifiedBy>
  <cp:revision>85</cp:revision>
  <cp:lastPrinted>2026-02-12T09:25:00Z</cp:lastPrinted>
  <dcterms:created xsi:type="dcterms:W3CDTF">2025-07-02T15:20:00Z</dcterms:created>
  <dcterms:modified xsi:type="dcterms:W3CDTF">2026-02-12T09:31:00Z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55C6240FBE2F417A8E3260DD0D439B50_12</vt:lpwstr>
  </property>
</Properties>
</file>