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Ex1.xml" ContentType="application/vnd.ms-office.chartex+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Ex2.xml" ContentType="application/vnd.ms-office.chartex+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4.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5E88C" w14:textId="77777777" w:rsidR="00A75507" w:rsidRPr="00185BC0" w:rsidRDefault="00A75507" w:rsidP="00881B68">
      <w:pPr>
        <w:jc w:val="center"/>
        <w:rPr>
          <w:sz w:val="28"/>
          <w:szCs w:val="28"/>
        </w:rPr>
      </w:pPr>
      <w:bookmarkStart w:id="0" w:name="_Hlk216856721"/>
      <w:r w:rsidRPr="00185BC0">
        <w:rPr>
          <w:sz w:val="28"/>
          <w:szCs w:val="28"/>
        </w:rPr>
        <w:t>НАО</w:t>
      </w:r>
      <w:r w:rsidRPr="00185BC0">
        <w:rPr>
          <w:spacing w:val="-5"/>
          <w:sz w:val="28"/>
          <w:szCs w:val="28"/>
        </w:rPr>
        <w:t xml:space="preserve"> </w:t>
      </w:r>
      <w:r w:rsidRPr="00185BC0">
        <w:rPr>
          <w:sz w:val="28"/>
          <w:szCs w:val="28"/>
        </w:rPr>
        <w:t>«Медицинский</w:t>
      </w:r>
      <w:r w:rsidRPr="00185BC0">
        <w:rPr>
          <w:spacing w:val="-6"/>
          <w:sz w:val="28"/>
          <w:szCs w:val="28"/>
        </w:rPr>
        <w:t xml:space="preserve"> </w:t>
      </w:r>
      <w:r w:rsidRPr="00185BC0">
        <w:rPr>
          <w:sz w:val="28"/>
          <w:szCs w:val="28"/>
        </w:rPr>
        <w:t>университет</w:t>
      </w:r>
      <w:r w:rsidRPr="00185BC0">
        <w:rPr>
          <w:spacing w:val="-7"/>
          <w:sz w:val="28"/>
          <w:szCs w:val="28"/>
        </w:rPr>
        <w:t xml:space="preserve"> </w:t>
      </w:r>
      <w:r w:rsidRPr="00185BC0">
        <w:rPr>
          <w:sz w:val="28"/>
          <w:szCs w:val="28"/>
        </w:rPr>
        <w:t>Астана»</w:t>
      </w:r>
    </w:p>
    <w:p w14:paraId="77B7265C" w14:textId="77777777" w:rsidR="00A75507" w:rsidRPr="00185BC0" w:rsidRDefault="00A75507" w:rsidP="00A75507">
      <w:pPr>
        <w:rPr>
          <w:b/>
          <w:sz w:val="28"/>
          <w:szCs w:val="28"/>
        </w:rPr>
      </w:pPr>
    </w:p>
    <w:p w14:paraId="4847A004" w14:textId="77777777" w:rsidR="00A75507" w:rsidRPr="00185BC0" w:rsidRDefault="00A75507" w:rsidP="00A75507">
      <w:pPr>
        <w:rPr>
          <w:b/>
          <w:sz w:val="28"/>
          <w:szCs w:val="28"/>
        </w:rPr>
      </w:pPr>
    </w:p>
    <w:p w14:paraId="7ED29862" w14:textId="77777777" w:rsidR="00A75507" w:rsidRPr="00185BC0" w:rsidRDefault="00A75507" w:rsidP="00A75507">
      <w:pPr>
        <w:rPr>
          <w:b/>
          <w:sz w:val="28"/>
          <w:szCs w:val="28"/>
        </w:rPr>
      </w:pPr>
    </w:p>
    <w:p w14:paraId="702CED1F" w14:textId="77777777" w:rsidR="00A75507" w:rsidRPr="00185BC0" w:rsidRDefault="00A75507" w:rsidP="00A75507">
      <w:pPr>
        <w:tabs>
          <w:tab w:val="left" w:pos="6191"/>
        </w:tabs>
        <w:rPr>
          <w:sz w:val="28"/>
          <w:szCs w:val="28"/>
          <w:lang w:val="kk-KZ"/>
        </w:rPr>
      </w:pPr>
      <w:r w:rsidRPr="00185BC0">
        <w:rPr>
          <w:sz w:val="28"/>
          <w:szCs w:val="28"/>
          <w:lang w:val="kk-KZ"/>
        </w:rPr>
        <w:t>УДК: 616.728.2-007.17-089.85</w:t>
      </w:r>
      <w:r w:rsidRPr="00185BC0">
        <w:rPr>
          <w:sz w:val="28"/>
          <w:szCs w:val="28"/>
          <w:lang w:val="kk-KZ"/>
        </w:rPr>
        <w:tab/>
      </w:r>
      <w:r w:rsidRPr="00185BC0">
        <w:rPr>
          <w:sz w:val="28"/>
          <w:szCs w:val="28"/>
          <w:lang w:val="tr-TR"/>
        </w:rPr>
        <w:t xml:space="preserve">         </w:t>
      </w:r>
      <w:r w:rsidRPr="00185BC0">
        <w:rPr>
          <w:sz w:val="28"/>
          <w:szCs w:val="28"/>
          <w:lang w:val="kk-KZ"/>
        </w:rPr>
        <w:t>На правах рукописи</w:t>
      </w:r>
    </w:p>
    <w:p w14:paraId="0691B27B" w14:textId="77777777" w:rsidR="00A75507" w:rsidRPr="00185BC0" w:rsidRDefault="00A75507" w:rsidP="00A75507">
      <w:pPr>
        <w:rPr>
          <w:sz w:val="28"/>
          <w:szCs w:val="28"/>
          <w:lang w:val="kk-KZ"/>
        </w:rPr>
      </w:pPr>
      <w:r w:rsidRPr="00185BC0">
        <w:rPr>
          <w:sz w:val="28"/>
          <w:szCs w:val="28"/>
          <w:lang w:val="kk-KZ"/>
        </w:rPr>
        <w:t>МПК    А 61 В 5/0488</w:t>
      </w:r>
    </w:p>
    <w:p w14:paraId="1E78C1AC" w14:textId="77777777" w:rsidR="00A75507" w:rsidRPr="00185BC0" w:rsidRDefault="00A75507" w:rsidP="00A75507">
      <w:pPr>
        <w:rPr>
          <w:sz w:val="28"/>
          <w:szCs w:val="28"/>
        </w:rPr>
      </w:pPr>
      <w:r w:rsidRPr="00185BC0">
        <w:rPr>
          <w:sz w:val="28"/>
          <w:szCs w:val="28"/>
          <w:lang w:val="kk-KZ"/>
        </w:rPr>
        <w:t xml:space="preserve">               А 61 В 17/56</w:t>
      </w:r>
    </w:p>
    <w:p w14:paraId="6CC1B382" w14:textId="77777777" w:rsidR="00A75507" w:rsidRPr="00185BC0" w:rsidRDefault="00A75507" w:rsidP="00A75507">
      <w:pPr>
        <w:rPr>
          <w:sz w:val="28"/>
          <w:szCs w:val="28"/>
        </w:rPr>
      </w:pPr>
    </w:p>
    <w:p w14:paraId="5E107C0F" w14:textId="77777777" w:rsidR="00A75507" w:rsidRPr="00185BC0" w:rsidRDefault="00A75507" w:rsidP="00A75507">
      <w:pPr>
        <w:rPr>
          <w:sz w:val="28"/>
          <w:szCs w:val="28"/>
        </w:rPr>
      </w:pPr>
    </w:p>
    <w:p w14:paraId="397432C7" w14:textId="77777777" w:rsidR="00A75507" w:rsidRPr="00185BC0" w:rsidRDefault="00A75507" w:rsidP="00881B68">
      <w:pPr>
        <w:jc w:val="center"/>
        <w:rPr>
          <w:b/>
          <w:bCs/>
          <w:sz w:val="28"/>
          <w:szCs w:val="28"/>
        </w:rPr>
      </w:pPr>
      <w:r w:rsidRPr="00185BC0">
        <w:rPr>
          <w:b/>
          <w:bCs/>
          <w:sz w:val="28"/>
          <w:szCs w:val="28"/>
        </w:rPr>
        <w:t>ОКТЯБРОВА ДУРДАНА ГАЙРАТБЕКОВНА</w:t>
      </w:r>
    </w:p>
    <w:p w14:paraId="39CCC247" w14:textId="77777777" w:rsidR="00A75507" w:rsidRPr="00185BC0" w:rsidRDefault="00A75507" w:rsidP="00A75507">
      <w:pPr>
        <w:rPr>
          <w:b/>
          <w:sz w:val="28"/>
          <w:szCs w:val="28"/>
        </w:rPr>
      </w:pPr>
    </w:p>
    <w:p w14:paraId="7F45EA4B" w14:textId="77777777" w:rsidR="00A75507" w:rsidRPr="00185BC0" w:rsidRDefault="00A75507" w:rsidP="00A75507">
      <w:pPr>
        <w:spacing w:before="4"/>
        <w:rPr>
          <w:b/>
          <w:sz w:val="28"/>
          <w:szCs w:val="28"/>
        </w:rPr>
      </w:pPr>
    </w:p>
    <w:p w14:paraId="383A2A8B" w14:textId="60122366" w:rsidR="00A75507" w:rsidRPr="00185BC0" w:rsidRDefault="00A75507" w:rsidP="00A75507">
      <w:pPr>
        <w:spacing w:before="6"/>
        <w:jc w:val="center"/>
        <w:rPr>
          <w:b/>
          <w:sz w:val="28"/>
          <w:szCs w:val="28"/>
          <w:lang w:val="kk-KZ"/>
        </w:rPr>
      </w:pPr>
      <w:bookmarkStart w:id="1" w:name="НАИМЕНОВАНИЕ_ТЕМЫ_МАГИСТЕРСКОЙ_ДИССЕРТАЦ"/>
      <w:bookmarkEnd w:id="1"/>
      <w:r w:rsidRPr="00185BC0">
        <w:rPr>
          <w:b/>
          <w:sz w:val="28"/>
          <w:szCs w:val="28"/>
          <w:lang w:val="kk-KZ"/>
        </w:rPr>
        <w:t>У</w:t>
      </w:r>
      <w:r w:rsidRPr="00185BC0">
        <w:rPr>
          <w:b/>
          <w:sz w:val="28"/>
          <w:szCs w:val="28"/>
        </w:rPr>
        <w:t xml:space="preserve">совершенствование хирургического </w:t>
      </w:r>
      <w:proofErr w:type="spellStart"/>
      <w:r w:rsidRPr="00185BC0">
        <w:rPr>
          <w:b/>
          <w:sz w:val="28"/>
          <w:szCs w:val="28"/>
        </w:rPr>
        <w:t>лечени</w:t>
      </w:r>
      <w:proofErr w:type="spellEnd"/>
      <w:r w:rsidR="00125A1E" w:rsidRPr="00185BC0">
        <w:rPr>
          <w:b/>
          <w:sz w:val="28"/>
          <w:szCs w:val="28"/>
          <w:lang w:val="kk-KZ"/>
        </w:rPr>
        <w:t>я</w:t>
      </w:r>
      <w:r w:rsidRPr="00185BC0">
        <w:rPr>
          <w:b/>
          <w:sz w:val="28"/>
          <w:szCs w:val="28"/>
        </w:rPr>
        <w:t xml:space="preserve"> диспластического коксартроза</w:t>
      </w:r>
    </w:p>
    <w:p w14:paraId="2A7EF488" w14:textId="77777777" w:rsidR="00A75507" w:rsidRPr="00185BC0" w:rsidRDefault="00A75507" w:rsidP="00A75507">
      <w:pPr>
        <w:spacing w:before="6"/>
        <w:rPr>
          <w:b/>
          <w:sz w:val="28"/>
          <w:szCs w:val="28"/>
        </w:rPr>
      </w:pPr>
    </w:p>
    <w:p w14:paraId="6377DDAC" w14:textId="77777777" w:rsidR="00A75507" w:rsidRPr="00185BC0" w:rsidRDefault="00A75507" w:rsidP="00A75507">
      <w:pPr>
        <w:keepNext/>
        <w:keepLines/>
        <w:spacing w:before="40"/>
        <w:jc w:val="center"/>
        <w:outlineLvl w:val="7"/>
        <w:rPr>
          <w:rFonts w:eastAsiaTheme="majorEastAsia"/>
          <w:b/>
          <w:bCs/>
          <w:color w:val="272727" w:themeColor="text1" w:themeTint="D8"/>
          <w:sz w:val="28"/>
          <w:szCs w:val="28"/>
        </w:rPr>
      </w:pPr>
      <w:bookmarkStart w:id="2" w:name="Шифр_–_«Наименование_образовательной_про"/>
      <w:bookmarkEnd w:id="2"/>
      <w:r w:rsidRPr="00185BC0">
        <w:rPr>
          <w:rFonts w:eastAsiaTheme="majorEastAsia"/>
          <w:color w:val="272727" w:themeColor="text1" w:themeTint="D8"/>
          <w:sz w:val="28"/>
          <w:szCs w:val="28"/>
        </w:rPr>
        <w:t>8</w:t>
      </w:r>
      <w:r w:rsidRPr="00185BC0">
        <w:rPr>
          <w:rFonts w:eastAsiaTheme="majorEastAsia"/>
          <w:color w:val="272727" w:themeColor="text1" w:themeTint="D8"/>
          <w:sz w:val="28"/>
          <w:szCs w:val="28"/>
          <w:lang w:val="en-US"/>
        </w:rPr>
        <w:t>D</w:t>
      </w:r>
      <w:r w:rsidRPr="00185BC0">
        <w:rPr>
          <w:rFonts w:eastAsiaTheme="majorEastAsia"/>
          <w:color w:val="272727" w:themeColor="text1" w:themeTint="D8"/>
          <w:sz w:val="28"/>
          <w:szCs w:val="28"/>
        </w:rPr>
        <w:t>10102</w:t>
      </w:r>
      <w:r w:rsidRPr="00185BC0">
        <w:rPr>
          <w:rFonts w:eastAsiaTheme="majorEastAsia"/>
          <w:bCs/>
          <w:color w:val="272727" w:themeColor="text1" w:themeTint="D8"/>
          <w:sz w:val="28"/>
          <w:szCs w:val="28"/>
          <w:lang w:val="kk-KZ"/>
        </w:rPr>
        <w:t xml:space="preserve"> – «Медицина»</w:t>
      </w:r>
    </w:p>
    <w:p w14:paraId="087FE847" w14:textId="77777777" w:rsidR="00A75507" w:rsidRPr="00185BC0" w:rsidRDefault="00A75507" w:rsidP="00A75507">
      <w:pPr>
        <w:jc w:val="center"/>
        <w:rPr>
          <w:b/>
          <w:bCs/>
          <w:sz w:val="28"/>
          <w:szCs w:val="28"/>
        </w:rPr>
      </w:pPr>
    </w:p>
    <w:p w14:paraId="1D983B93" w14:textId="77777777" w:rsidR="00A75507" w:rsidRPr="00185BC0" w:rsidRDefault="00A75507" w:rsidP="00A75507">
      <w:pPr>
        <w:spacing w:line="319" w:lineRule="exact"/>
        <w:ind w:left="341" w:right="357"/>
        <w:outlineLvl w:val="0"/>
        <w:rPr>
          <w:b/>
          <w:bCs/>
          <w:sz w:val="28"/>
          <w:szCs w:val="28"/>
        </w:rPr>
      </w:pPr>
    </w:p>
    <w:p w14:paraId="74323F61" w14:textId="77777777" w:rsidR="00A75507" w:rsidRPr="00185BC0" w:rsidRDefault="00A75507" w:rsidP="00A75507">
      <w:pPr>
        <w:jc w:val="center"/>
        <w:rPr>
          <w:sz w:val="28"/>
          <w:szCs w:val="28"/>
        </w:rPr>
      </w:pPr>
      <w:r w:rsidRPr="00185BC0">
        <w:rPr>
          <w:sz w:val="28"/>
          <w:szCs w:val="28"/>
          <w:lang w:val="kk-KZ"/>
        </w:rPr>
        <w:t>Д</w:t>
      </w:r>
      <w:proofErr w:type="spellStart"/>
      <w:r w:rsidRPr="00185BC0">
        <w:rPr>
          <w:sz w:val="28"/>
          <w:szCs w:val="28"/>
        </w:rPr>
        <w:t>иссертация</w:t>
      </w:r>
      <w:proofErr w:type="spellEnd"/>
      <w:r w:rsidRPr="00185BC0">
        <w:rPr>
          <w:sz w:val="28"/>
          <w:szCs w:val="28"/>
          <w:lang w:val="kk-KZ"/>
        </w:rPr>
        <w:t xml:space="preserve"> </w:t>
      </w:r>
      <w:r w:rsidRPr="00185BC0">
        <w:rPr>
          <w:sz w:val="28"/>
          <w:szCs w:val="28"/>
        </w:rPr>
        <w:t xml:space="preserve">на соискание ученой степени </w:t>
      </w:r>
    </w:p>
    <w:p w14:paraId="5EF2423A" w14:textId="14B4A570" w:rsidR="00A75507" w:rsidRPr="00185BC0" w:rsidRDefault="00A75507" w:rsidP="00024A35">
      <w:pPr>
        <w:jc w:val="center"/>
        <w:rPr>
          <w:b/>
          <w:i/>
          <w:sz w:val="28"/>
          <w:szCs w:val="28"/>
        </w:rPr>
      </w:pPr>
      <w:r w:rsidRPr="00185BC0">
        <w:rPr>
          <w:sz w:val="28"/>
          <w:szCs w:val="28"/>
          <w:lang w:val="kk-KZ"/>
        </w:rPr>
        <w:t>доктора философии (</w:t>
      </w:r>
      <w:r w:rsidRPr="00185BC0">
        <w:rPr>
          <w:sz w:val="28"/>
          <w:szCs w:val="28"/>
          <w:lang w:val="en-US"/>
        </w:rPr>
        <w:t>PhD</w:t>
      </w:r>
      <w:r w:rsidRPr="00185BC0">
        <w:rPr>
          <w:sz w:val="28"/>
          <w:szCs w:val="28"/>
          <w:lang w:val="kk-KZ"/>
        </w:rPr>
        <w:t>)</w:t>
      </w:r>
    </w:p>
    <w:p w14:paraId="0EE39F10" w14:textId="77777777" w:rsidR="00A75507" w:rsidRPr="00185BC0" w:rsidRDefault="00A75507" w:rsidP="00A75507">
      <w:pPr>
        <w:rPr>
          <w:b/>
          <w:i/>
          <w:sz w:val="28"/>
          <w:szCs w:val="28"/>
        </w:rPr>
      </w:pPr>
    </w:p>
    <w:p w14:paraId="4D59E32E" w14:textId="77777777" w:rsidR="00A75507" w:rsidRPr="00185BC0" w:rsidRDefault="00A75507" w:rsidP="00A75507">
      <w:pPr>
        <w:rPr>
          <w:b/>
          <w:i/>
          <w:sz w:val="28"/>
          <w:szCs w:val="28"/>
        </w:rPr>
      </w:pPr>
    </w:p>
    <w:p w14:paraId="5318C64C" w14:textId="77777777" w:rsidR="00024A35" w:rsidRPr="00185BC0" w:rsidRDefault="00024A35" w:rsidP="00024A35">
      <w:pPr>
        <w:jc w:val="both"/>
        <w:rPr>
          <w:sz w:val="28"/>
          <w:szCs w:val="28"/>
        </w:rPr>
        <w:sectPr w:rsidR="00024A35" w:rsidRPr="00185BC0" w:rsidSect="00F34EF9">
          <w:footerReference w:type="default" r:id="rId8"/>
          <w:pgSz w:w="11906" w:h="16838"/>
          <w:pgMar w:top="1134" w:right="851" w:bottom="1134" w:left="1701" w:header="709" w:footer="709" w:gutter="0"/>
          <w:cols w:space="708"/>
          <w:titlePg/>
          <w:docGrid w:linePitch="360"/>
        </w:sectPr>
      </w:pPr>
    </w:p>
    <w:p w14:paraId="7ED9A69D" w14:textId="77777777" w:rsidR="00024A35" w:rsidRPr="00185BC0" w:rsidRDefault="00024A35" w:rsidP="00024A35">
      <w:pPr>
        <w:jc w:val="both"/>
        <w:rPr>
          <w:sz w:val="28"/>
          <w:szCs w:val="28"/>
        </w:rPr>
      </w:pPr>
    </w:p>
    <w:p w14:paraId="032475F3" w14:textId="77777777" w:rsidR="00024A35" w:rsidRPr="00185BC0" w:rsidRDefault="00024A35" w:rsidP="00024A35">
      <w:pPr>
        <w:jc w:val="both"/>
        <w:rPr>
          <w:sz w:val="28"/>
          <w:szCs w:val="28"/>
        </w:rPr>
      </w:pPr>
    </w:p>
    <w:p w14:paraId="730B26E3" w14:textId="77777777" w:rsidR="00024A35" w:rsidRPr="00185BC0" w:rsidRDefault="00024A35" w:rsidP="00024A35">
      <w:pPr>
        <w:jc w:val="both"/>
        <w:rPr>
          <w:sz w:val="28"/>
          <w:szCs w:val="28"/>
        </w:rPr>
      </w:pPr>
    </w:p>
    <w:p w14:paraId="5F9610CC" w14:textId="77777777" w:rsidR="00024A35" w:rsidRPr="00185BC0" w:rsidRDefault="00024A35" w:rsidP="00024A35">
      <w:pPr>
        <w:jc w:val="both"/>
        <w:rPr>
          <w:sz w:val="28"/>
          <w:szCs w:val="28"/>
        </w:rPr>
      </w:pPr>
    </w:p>
    <w:p w14:paraId="3769922D" w14:textId="77777777" w:rsidR="00024A35" w:rsidRPr="00185BC0" w:rsidRDefault="00024A35" w:rsidP="00024A35">
      <w:pPr>
        <w:jc w:val="both"/>
        <w:rPr>
          <w:sz w:val="28"/>
          <w:szCs w:val="28"/>
        </w:rPr>
      </w:pPr>
    </w:p>
    <w:p w14:paraId="3975C85D" w14:textId="77777777" w:rsidR="00024A35" w:rsidRPr="00185BC0" w:rsidRDefault="00024A35" w:rsidP="00024A35">
      <w:pPr>
        <w:jc w:val="both"/>
        <w:rPr>
          <w:sz w:val="28"/>
          <w:szCs w:val="28"/>
        </w:rPr>
      </w:pPr>
    </w:p>
    <w:p w14:paraId="3403A4E6" w14:textId="77777777" w:rsidR="00024A35" w:rsidRPr="00185BC0" w:rsidRDefault="00024A35" w:rsidP="00024A35">
      <w:pPr>
        <w:jc w:val="both"/>
        <w:rPr>
          <w:sz w:val="28"/>
          <w:szCs w:val="28"/>
        </w:rPr>
      </w:pPr>
    </w:p>
    <w:p w14:paraId="62147E73" w14:textId="77777777" w:rsidR="00024A35" w:rsidRPr="00185BC0" w:rsidRDefault="00024A35" w:rsidP="00024A35">
      <w:pPr>
        <w:jc w:val="both"/>
        <w:rPr>
          <w:sz w:val="28"/>
          <w:szCs w:val="28"/>
        </w:rPr>
      </w:pPr>
    </w:p>
    <w:p w14:paraId="160FD73D" w14:textId="77777777" w:rsidR="00024A35" w:rsidRPr="00185BC0" w:rsidRDefault="00024A35" w:rsidP="00024A35">
      <w:pPr>
        <w:jc w:val="both"/>
        <w:rPr>
          <w:sz w:val="28"/>
          <w:szCs w:val="28"/>
        </w:rPr>
      </w:pPr>
    </w:p>
    <w:p w14:paraId="1FB2CBA9" w14:textId="77777777" w:rsidR="00024A35" w:rsidRPr="00185BC0" w:rsidRDefault="00024A35" w:rsidP="00024A35">
      <w:pPr>
        <w:jc w:val="both"/>
        <w:rPr>
          <w:sz w:val="28"/>
          <w:szCs w:val="28"/>
        </w:rPr>
      </w:pPr>
    </w:p>
    <w:p w14:paraId="79391E9B" w14:textId="77777777" w:rsidR="00024A35" w:rsidRPr="00185BC0" w:rsidRDefault="00024A35" w:rsidP="00024A35">
      <w:pPr>
        <w:jc w:val="both"/>
        <w:rPr>
          <w:sz w:val="28"/>
          <w:szCs w:val="28"/>
        </w:rPr>
      </w:pPr>
    </w:p>
    <w:p w14:paraId="123D5AD7" w14:textId="77777777" w:rsidR="00024A35" w:rsidRPr="00185BC0" w:rsidRDefault="00024A35" w:rsidP="00024A35">
      <w:pPr>
        <w:jc w:val="both"/>
        <w:rPr>
          <w:sz w:val="28"/>
          <w:szCs w:val="28"/>
        </w:rPr>
      </w:pPr>
    </w:p>
    <w:p w14:paraId="6B417449" w14:textId="77777777" w:rsidR="00024A35" w:rsidRPr="00185BC0" w:rsidRDefault="00024A35" w:rsidP="00024A35">
      <w:pPr>
        <w:jc w:val="both"/>
        <w:rPr>
          <w:sz w:val="28"/>
          <w:szCs w:val="28"/>
        </w:rPr>
      </w:pPr>
    </w:p>
    <w:p w14:paraId="1551F13B" w14:textId="17F649D2" w:rsidR="00024A35" w:rsidRPr="00185BC0" w:rsidRDefault="00024A35" w:rsidP="00024A35">
      <w:pPr>
        <w:jc w:val="both"/>
        <w:rPr>
          <w:sz w:val="28"/>
          <w:szCs w:val="28"/>
        </w:rPr>
      </w:pPr>
    </w:p>
    <w:p w14:paraId="5E7AB350" w14:textId="77777777" w:rsidR="00B90689" w:rsidRPr="00185BC0" w:rsidRDefault="00B90689" w:rsidP="00024A35">
      <w:pPr>
        <w:jc w:val="both"/>
        <w:rPr>
          <w:sz w:val="28"/>
          <w:szCs w:val="28"/>
        </w:rPr>
      </w:pPr>
    </w:p>
    <w:p w14:paraId="30C7AB8D" w14:textId="77777777" w:rsidR="00024A35" w:rsidRPr="00185BC0" w:rsidRDefault="00024A35" w:rsidP="00024A35">
      <w:pPr>
        <w:jc w:val="both"/>
        <w:rPr>
          <w:sz w:val="28"/>
          <w:szCs w:val="28"/>
        </w:rPr>
      </w:pPr>
    </w:p>
    <w:p w14:paraId="48273D9A" w14:textId="4F1B2FD0" w:rsidR="00024A35" w:rsidRPr="00185BC0" w:rsidRDefault="00024A35" w:rsidP="00024A35">
      <w:pPr>
        <w:jc w:val="both"/>
        <w:rPr>
          <w:sz w:val="28"/>
          <w:szCs w:val="28"/>
        </w:rPr>
      </w:pPr>
    </w:p>
    <w:p w14:paraId="610614A7" w14:textId="77777777" w:rsidR="00B90689" w:rsidRPr="00185BC0" w:rsidRDefault="00B90689" w:rsidP="00024A35">
      <w:pPr>
        <w:jc w:val="both"/>
        <w:rPr>
          <w:sz w:val="28"/>
          <w:szCs w:val="28"/>
        </w:rPr>
      </w:pPr>
    </w:p>
    <w:p w14:paraId="6FDBDC11" w14:textId="77777777" w:rsidR="00024A35" w:rsidRPr="00185BC0" w:rsidRDefault="00024A35" w:rsidP="00024A35">
      <w:pPr>
        <w:jc w:val="both"/>
        <w:rPr>
          <w:sz w:val="28"/>
          <w:szCs w:val="28"/>
        </w:rPr>
      </w:pPr>
    </w:p>
    <w:p w14:paraId="156FABE1" w14:textId="75942D04" w:rsidR="00024A35" w:rsidRPr="00185BC0" w:rsidRDefault="00024A35" w:rsidP="00024A35">
      <w:pPr>
        <w:jc w:val="both"/>
        <w:rPr>
          <w:sz w:val="28"/>
          <w:szCs w:val="28"/>
        </w:rPr>
      </w:pPr>
      <w:r w:rsidRPr="00185BC0">
        <w:rPr>
          <w:sz w:val="28"/>
          <w:szCs w:val="28"/>
        </w:rPr>
        <w:t>Отечественны</w:t>
      </w:r>
      <w:r w:rsidR="00B90689" w:rsidRPr="00185BC0">
        <w:rPr>
          <w:sz w:val="28"/>
          <w:szCs w:val="28"/>
          <w:lang w:val="kk-KZ"/>
        </w:rPr>
        <w:t>е</w:t>
      </w:r>
      <w:r w:rsidRPr="00185BC0">
        <w:rPr>
          <w:sz w:val="28"/>
          <w:szCs w:val="28"/>
        </w:rPr>
        <w:t xml:space="preserve"> научны</w:t>
      </w:r>
      <w:r w:rsidR="00B90689" w:rsidRPr="00185BC0">
        <w:rPr>
          <w:sz w:val="28"/>
          <w:szCs w:val="28"/>
          <w:lang w:val="kk-KZ"/>
        </w:rPr>
        <w:t>е</w:t>
      </w:r>
      <w:r w:rsidRPr="00185BC0">
        <w:rPr>
          <w:sz w:val="28"/>
          <w:szCs w:val="28"/>
        </w:rPr>
        <w:t xml:space="preserve"> консультант</w:t>
      </w:r>
      <w:r w:rsidR="00B90689" w:rsidRPr="00185BC0">
        <w:rPr>
          <w:sz w:val="28"/>
          <w:szCs w:val="28"/>
          <w:lang w:val="kk-KZ"/>
        </w:rPr>
        <w:t>ы</w:t>
      </w:r>
      <w:r w:rsidRPr="00185BC0">
        <w:rPr>
          <w:sz w:val="28"/>
          <w:szCs w:val="28"/>
        </w:rPr>
        <w:t xml:space="preserve">           </w:t>
      </w:r>
    </w:p>
    <w:p w14:paraId="7821A137" w14:textId="61512939" w:rsidR="00024A35" w:rsidRPr="00185BC0" w:rsidRDefault="00024A35" w:rsidP="00024A35">
      <w:pPr>
        <w:jc w:val="both"/>
        <w:rPr>
          <w:sz w:val="28"/>
          <w:szCs w:val="28"/>
        </w:rPr>
      </w:pPr>
      <w:r w:rsidRPr="00185BC0">
        <w:rPr>
          <w:sz w:val="28"/>
          <w:szCs w:val="28"/>
        </w:rPr>
        <w:t xml:space="preserve">М.Т. </w:t>
      </w:r>
      <w:proofErr w:type="spellStart"/>
      <w:r w:rsidRPr="00185BC0">
        <w:rPr>
          <w:sz w:val="28"/>
          <w:szCs w:val="28"/>
        </w:rPr>
        <w:t>Абильмажинов</w:t>
      </w:r>
      <w:proofErr w:type="spellEnd"/>
      <w:r w:rsidRPr="00185BC0">
        <w:rPr>
          <w:sz w:val="28"/>
          <w:szCs w:val="28"/>
        </w:rPr>
        <w:t xml:space="preserve">, </w:t>
      </w:r>
      <w:r w:rsidR="00B90689" w:rsidRPr="00185BC0">
        <w:rPr>
          <w:sz w:val="28"/>
          <w:szCs w:val="28"/>
        </w:rPr>
        <w:t>д.м.н., профессор, научно-образовательного центра хирургии имени профессора Цоя Г.В., НАО «Медицинский Университет Астана», г.</w:t>
      </w:r>
      <w:r w:rsidR="00B90689" w:rsidRPr="00185BC0">
        <w:rPr>
          <w:sz w:val="28"/>
          <w:szCs w:val="28"/>
          <w:lang w:val="kk-KZ"/>
        </w:rPr>
        <w:t xml:space="preserve"> </w:t>
      </w:r>
      <w:r w:rsidR="00B90689" w:rsidRPr="00185BC0">
        <w:rPr>
          <w:sz w:val="28"/>
          <w:szCs w:val="28"/>
        </w:rPr>
        <w:t>Астана, Республика Казахстан</w:t>
      </w:r>
    </w:p>
    <w:p w14:paraId="3D32A9F3" w14:textId="77777777" w:rsidR="00024A35" w:rsidRPr="00185BC0" w:rsidRDefault="00024A35" w:rsidP="00024A35">
      <w:pPr>
        <w:jc w:val="both"/>
        <w:rPr>
          <w:sz w:val="28"/>
          <w:szCs w:val="28"/>
        </w:rPr>
      </w:pPr>
    </w:p>
    <w:p w14:paraId="5BAEA991" w14:textId="496EEFC7" w:rsidR="00024A35" w:rsidRPr="00185BC0" w:rsidRDefault="00024A35" w:rsidP="00024A35">
      <w:pPr>
        <w:jc w:val="both"/>
        <w:rPr>
          <w:sz w:val="28"/>
          <w:szCs w:val="28"/>
        </w:rPr>
      </w:pPr>
      <w:r w:rsidRPr="00185BC0">
        <w:rPr>
          <w:sz w:val="28"/>
          <w:szCs w:val="28"/>
        </w:rPr>
        <w:t xml:space="preserve">К.Д. </w:t>
      </w:r>
      <w:proofErr w:type="spellStart"/>
      <w:r w:rsidRPr="00185BC0">
        <w:rPr>
          <w:sz w:val="28"/>
          <w:szCs w:val="28"/>
        </w:rPr>
        <w:t>Ашимов</w:t>
      </w:r>
      <w:proofErr w:type="spellEnd"/>
      <w:r w:rsidRPr="00185BC0">
        <w:rPr>
          <w:sz w:val="28"/>
          <w:szCs w:val="28"/>
        </w:rPr>
        <w:t>, к.м.н., зав</w:t>
      </w:r>
      <w:r w:rsidR="00B90689" w:rsidRPr="00185BC0">
        <w:rPr>
          <w:sz w:val="28"/>
          <w:szCs w:val="28"/>
          <w:lang w:val="kk-KZ"/>
        </w:rPr>
        <w:t xml:space="preserve">едующий </w:t>
      </w:r>
      <w:proofErr w:type="spellStart"/>
      <w:r w:rsidRPr="00185BC0">
        <w:rPr>
          <w:sz w:val="28"/>
          <w:szCs w:val="28"/>
        </w:rPr>
        <w:t>отд</w:t>
      </w:r>
      <w:proofErr w:type="spellEnd"/>
      <w:r w:rsidR="00B90689" w:rsidRPr="00185BC0">
        <w:rPr>
          <w:sz w:val="28"/>
          <w:szCs w:val="28"/>
          <w:lang w:val="kk-KZ"/>
        </w:rPr>
        <w:t>елением</w:t>
      </w:r>
      <w:r w:rsidRPr="00185BC0">
        <w:rPr>
          <w:sz w:val="28"/>
          <w:szCs w:val="28"/>
        </w:rPr>
        <w:t xml:space="preserve"> ортопедии №3, </w:t>
      </w:r>
      <w:r w:rsidR="005066C4" w:rsidRPr="00185BC0">
        <w:rPr>
          <w:sz w:val="28"/>
          <w:szCs w:val="28"/>
          <w:lang w:val="kk-KZ"/>
        </w:rPr>
        <w:t>РГП на ПХВ «</w:t>
      </w:r>
      <w:r w:rsidRPr="00185BC0">
        <w:rPr>
          <w:sz w:val="28"/>
          <w:szCs w:val="28"/>
        </w:rPr>
        <w:t xml:space="preserve">Национального научного центра травматологии и ортопедии имени академика </w:t>
      </w:r>
      <w:r w:rsidR="00B90689" w:rsidRPr="00185BC0">
        <w:rPr>
          <w:sz w:val="28"/>
          <w:szCs w:val="28"/>
        </w:rPr>
        <w:t>Н.Д.</w:t>
      </w:r>
      <w:r w:rsidR="00B90689" w:rsidRPr="00185BC0">
        <w:rPr>
          <w:sz w:val="28"/>
          <w:szCs w:val="28"/>
          <w:lang w:val="kk-KZ"/>
        </w:rPr>
        <w:t xml:space="preserve"> </w:t>
      </w:r>
      <w:proofErr w:type="spellStart"/>
      <w:r w:rsidRPr="00185BC0">
        <w:rPr>
          <w:sz w:val="28"/>
          <w:szCs w:val="28"/>
        </w:rPr>
        <w:t>Батпенова</w:t>
      </w:r>
      <w:proofErr w:type="spellEnd"/>
      <w:r w:rsidR="005066C4" w:rsidRPr="00185BC0">
        <w:rPr>
          <w:sz w:val="28"/>
          <w:szCs w:val="28"/>
          <w:lang w:val="kk-KZ"/>
        </w:rPr>
        <w:t>» МЗ РК</w:t>
      </w:r>
      <w:r w:rsidRPr="00185BC0">
        <w:rPr>
          <w:sz w:val="28"/>
          <w:szCs w:val="28"/>
        </w:rPr>
        <w:t xml:space="preserve">, </w:t>
      </w:r>
      <w:r w:rsidR="00B90689" w:rsidRPr="00185BC0">
        <w:rPr>
          <w:sz w:val="28"/>
          <w:szCs w:val="28"/>
          <w:lang w:val="kk-KZ"/>
        </w:rPr>
        <w:t xml:space="preserve">г. Астана, </w:t>
      </w:r>
      <w:r w:rsidRPr="00185BC0">
        <w:rPr>
          <w:sz w:val="28"/>
          <w:szCs w:val="28"/>
        </w:rPr>
        <w:t>Республика Казахстан</w:t>
      </w:r>
    </w:p>
    <w:p w14:paraId="56ABF4CB" w14:textId="77777777" w:rsidR="00024A35" w:rsidRPr="00185BC0" w:rsidRDefault="00024A35" w:rsidP="00024A35">
      <w:pPr>
        <w:jc w:val="both"/>
        <w:rPr>
          <w:sz w:val="28"/>
          <w:szCs w:val="28"/>
        </w:rPr>
      </w:pPr>
    </w:p>
    <w:p w14:paraId="1DDAF6C6" w14:textId="77777777" w:rsidR="00024A35" w:rsidRPr="00185BC0" w:rsidRDefault="00024A35" w:rsidP="00024A35">
      <w:pPr>
        <w:jc w:val="both"/>
        <w:rPr>
          <w:sz w:val="28"/>
          <w:szCs w:val="28"/>
        </w:rPr>
      </w:pPr>
      <w:r w:rsidRPr="00185BC0">
        <w:rPr>
          <w:sz w:val="28"/>
          <w:szCs w:val="28"/>
        </w:rPr>
        <w:t>Зарубежный научный консультант</w:t>
      </w:r>
    </w:p>
    <w:p w14:paraId="4D625A8C" w14:textId="1773C361" w:rsidR="00024A35" w:rsidRPr="00185BC0" w:rsidRDefault="00024A35" w:rsidP="00024A35">
      <w:pPr>
        <w:jc w:val="both"/>
        <w:rPr>
          <w:sz w:val="28"/>
          <w:szCs w:val="28"/>
        </w:rPr>
        <w:sectPr w:rsidR="00024A35" w:rsidRPr="00185BC0" w:rsidSect="00024A35">
          <w:type w:val="continuous"/>
          <w:pgSz w:w="11906" w:h="16838"/>
          <w:pgMar w:top="1134" w:right="851" w:bottom="1134" w:left="567" w:header="709" w:footer="709" w:gutter="0"/>
          <w:cols w:num="2" w:space="2"/>
          <w:docGrid w:linePitch="360"/>
        </w:sectPr>
      </w:pPr>
      <w:proofErr w:type="spellStart"/>
      <w:r w:rsidRPr="00185BC0">
        <w:rPr>
          <w:sz w:val="28"/>
          <w:szCs w:val="28"/>
        </w:rPr>
        <w:t>Berk</w:t>
      </w:r>
      <w:proofErr w:type="spellEnd"/>
      <w:r w:rsidRPr="00185BC0">
        <w:rPr>
          <w:sz w:val="28"/>
          <w:szCs w:val="28"/>
        </w:rPr>
        <w:t xml:space="preserve"> </w:t>
      </w:r>
      <w:proofErr w:type="spellStart"/>
      <w:r w:rsidRPr="00185BC0">
        <w:rPr>
          <w:sz w:val="28"/>
          <w:szCs w:val="28"/>
        </w:rPr>
        <w:t>Guclu</w:t>
      </w:r>
      <w:proofErr w:type="spellEnd"/>
      <w:r w:rsidR="00B90689" w:rsidRPr="00185BC0">
        <w:rPr>
          <w:sz w:val="28"/>
          <w:szCs w:val="28"/>
          <w:lang w:val="kk-KZ"/>
        </w:rPr>
        <w:t>, профессор, доктор,</w:t>
      </w:r>
      <w:r w:rsidRPr="00185BC0">
        <w:rPr>
          <w:sz w:val="28"/>
          <w:szCs w:val="28"/>
        </w:rPr>
        <w:t xml:space="preserve"> </w:t>
      </w:r>
      <w:r w:rsidR="00B90689" w:rsidRPr="00185BC0">
        <w:rPr>
          <w:sz w:val="28"/>
          <w:szCs w:val="28"/>
        </w:rPr>
        <w:t>зав</w:t>
      </w:r>
      <w:r w:rsidR="00B90689" w:rsidRPr="00185BC0">
        <w:rPr>
          <w:sz w:val="28"/>
          <w:szCs w:val="28"/>
          <w:lang w:val="kk-KZ"/>
        </w:rPr>
        <w:t xml:space="preserve">едующий </w:t>
      </w:r>
      <w:r w:rsidR="00B90689" w:rsidRPr="00185BC0">
        <w:rPr>
          <w:sz w:val="28"/>
          <w:szCs w:val="28"/>
        </w:rPr>
        <w:t>кафедрой</w:t>
      </w:r>
      <w:r w:rsidR="00B90689" w:rsidRPr="00185BC0">
        <w:rPr>
          <w:sz w:val="28"/>
          <w:szCs w:val="28"/>
          <w:lang w:val="kk-KZ"/>
        </w:rPr>
        <w:t xml:space="preserve"> </w:t>
      </w:r>
      <w:r w:rsidRPr="00185BC0">
        <w:rPr>
          <w:sz w:val="28"/>
          <w:szCs w:val="28"/>
        </w:rPr>
        <w:t xml:space="preserve">травматологии и ортопедии Университета </w:t>
      </w:r>
      <w:proofErr w:type="spellStart"/>
      <w:r w:rsidRPr="00185BC0">
        <w:rPr>
          <w:sz w:val="28"/>
          <w:szCs w:val="28"/>
        </w:rPr>
        <w:t>Уфук</w:t>
      </w:r>
      <w:proofErr w:type="spellEnd"/>
      <w:r w:rsidRPr="00185BC0">
        <w:rPr>
          <w:sz w:val="28"/>
          <w:szCs w:val="28"/>
        </w:rPr>
        <w:t xml:space="preserve">, </w:t>
      </w:r>
      <w:r w:rsidR="00B90689" w:rsidRPr="00185BC0">
        <w:rPr>
          <w:sz w:val="28"/>
          <w:szCs w:val="28"/>
          <w:lang w:val="kk-KZ"/>
        </w:rPr>
        <w:t xml:space="preserve">г. Анкара, </w:t>
      </w:r>
      <w:r w:rsidRPr="00185BC0">
        <w:rPr>
          <w:sz w:val="28"/>
          <w:szCs w:val="28"/>
        </w:rPr>
        <w:t>Турецкая Республика</w:t>
      </w:r>
    </w:p>
    <w:p w14:paraId="4C296DFA" w14:textId="787C2347" w:rsidR="00A75507" w:rsidRPr="00185BC0" w:rsidRDefault="00A75507" w:rsidP="00024A35">
      <w:pPr>
        <w:jc w:val="both"/>
        <w:rPr>
          <w:sz w:val="28"/>
          <w:szCs w:val="28"/>
        </w:rPr>
      </w:pPr>
    </w:p>
    <w:p w14:paraId="133EAEBF" w14:textId="77777777" w:rsidR="00024A35" w:rsidRPr="00185BC0" w:rsidRDefault="00024A35" w:rsidP="00A75507">
      <w:pPr>
        <w:rPr>
          <w:sz w:val="28"/>
          <w:szCs w:val="28"/>
        </w:rPr>
      </w:pPr>
    </w:p>
    <w:p w14:paraId="35D38D3B" w14:textId="77777777" w:rsidR="00A75507" w:rsidRPr="00185BC0" w:rsidRDefault="00A75507" w:rsidP="00A75507">
      <w:pPr>
        <w:jc w:val="center"/>
        <w:rPr>
          <w:sz w:val="28"/>
          <w:szCs w:val="28"/>
        </w:rPr>
      </w:pPr>
      <w:r w:rsidRPr="00185BC0">
        <w:rPr>
          <w:sz w:val="28"/>
          <w:szCs w:val="28"/>
        </w:rPr>
        <w:t>Республика Казахстан</w:t>
      </w:r>
    </w:p>
    <w:p w14:paraId="0FDDD140" w14:textId="16AADB3F" w:rsidR="00A75507" w:rsidRPr="00185BC0" w:rsidRDefault="00A75507" w:rsidP="00A75507">
      <w:pPr>
        <w:jc w:val="center"/>
        <w:rPr>
          <w:sz w:val="28"/>
          <w:szCs w:val="28"/>
        </w:rPr>
      </w:pPr>
      <w:r w:rsidRPr="00185BC0">
        <w:rPr>
          <w:sz w:val="28"/>
          <w:szCs w:val="28"/>
        </w:rPr>
        <w:t>Астана,</w:t>
      </w:r>
      <w:r w:rsidRPr="00185BC0">
        <w:rPr>
          <w:spacing w:val="-6"/>
          <w:sz w:val="28"/>
          <w:szCs w:val="28"/>
        </w:rPr>
        <w:t xml:space="preserve"> </w:t>
      </w:r>
      <w:r w:rsidRPr="00185BC0">
        <w:rPr>
          <w:sz w:val="28"/>
          <w:szCs w:val="28"/>
        </w:rPr>
        <w:t>2025</w:t>
      </w:r>
      <w:r w:rsidRPr="00185BC0">
        <w:rPr>
          <w:spacing w:val="-2"/>
          <w:sz w:val="28"/>
          <w:szCs w:val="28"/>
        </w:rPr>
        <w:t xml:space="preserve"> </w:t>
      </w:r>
      <w:r w:rsidRPr="00185BC0">
        <w:rPr>
          <w:sz w:val="28"/>
          <w:szCs w:val="28"/>
        </w:rPr>
        <w:t>г.</w:t>
      </w:r>
    </w:p>
    <w:sdt>
      <w:sdtPr>
        <w:rPr>
          <w:rFonts w:ascii="Times New Roman" w:eastAsia="Times New Roman" w:hAnsi="Times New Roman" w:cs="Times New Roman"/>
          <w:color w:val="auto"/>
          <w:sz w:val="28"/>
          <w:szCs w:val="28"/>
          <w:lang w:eastAsia="en-US"/>
        </w:rPr>
        <w:id w:val="428166274"/>
        <w:docPartObj>
          <w:docPartGallery w:val="Table of Contents"/>
          <w:docPartUnique/>
        </w:docPartObj>
      </w:sdtPr>
      <w:sdtEndPr/>
      <w:sdtContent>
        <w:p w14:paraId="77C4CB69" w14:textId="77777777" w:rsidR="00881B68" w:rsidRPr="00954FAE" w:rsidRDefault="00881B68" w:rsidP="000852DD">
          <w:pPr>
            <w:pStyle w:val="afa"/>
            <w:spacing w:before="0" w:line="240" w:lineRule="auto"/>
            <w:rPr>
              <w:rFonts w:ascii="Times New Roman" w:hAnsi="Times New Roman" w:cs="Times New Roman"/>
              <w:b/>
              <w:bCs/>
              <w:color w:val="auto"/>
              <w:sz w:val="28"/>
              <w:szCs w:val="28"/>
            </w:rPr>
          </w:pPr>
          <w:r w:rsidRPr="00954FAE">
            <w:rPr>
              <w:rFonts w:ascii="Times New Roman" w:hAnsi="Times New Roman" w:cs="Times New Roman"/>
              <w:b/>
              <w:bCs/>
              <w:color w:val="auto"/>
              <w:sz w:val="28"/>
              <w:szCs w:val="28"/>
            </w:rPr>
            <w:t>СОДЕРЖАНИЕ</w:t>
          </w:r>
        </w:p>
        <w:p w14:paraId="30131F3E" w14:textId="23A70A35" w:rsidR="00954FAE" w:rsidRPr="00954FAE" w:rsidRDefault="00881B68">
          <w:pPr>
            <w:pStyle w:val="12"/>
            <w:rPr>
              <w:rFonts w:eastAsiaTheme="minorEastAsia"/>
              <w:b w:val="0"/>
              <w:bCs w:val="0"/>
              <w:sz w:val="28"/>
              <w:szCs w:val="28"/>
              <w:lang w:val="ru-KZ" w:eastAsia="ru-KZ"/>
            </w:rPr>
          </w:pPr>
          <w:r w:rsidRPr="00954FAE">
            <w:rPr>
              <w:b w:val="0"/>
              <w:bCs w:val="0"/>
              <w:sz w:val="28"/>
              <w:szCs w:val="28"/>
            </w:rPr>
            <w:fldChar w:fldCharType="begin"/>
          </w:r>
          <w:r w:rsidRPr="00954FAE">
            <w:rPr>
              <w:b w:val="0"/>
              <w:bCs w:val="0"/>
              <w:sz w:val="28"/>
              <w:szCs w:val="28"/>
            </w:rPr>
            <w:instrText xml:space="preserve"> TOC \o "1-3" \h \z \u </w:instrText>
          </w:r>
          <w:r w:rsidRPr="00954FAE">
            <w:rPr>
              <w:b w:val="0"/>
              <w:bCs w:val="0"/>
              <w:sz w:val="28"/>
              <w:szCs w:val="28"/>
            </w:rPr>
            <w:fldChar w:fldCharType="separate"/>
          </w:r>
          <w:hyperlink w:anchor="_Toc217561920" w:history="1">
            <w:r w:rsidR="00954FAE" w:rsidRPr="00954FAE">
              <w:rPr>
                <w:rStyle w:val="ab"/>
                <w:sz w:val="28"/>
                <w:szCs w:val="28"/>
              </w:rPr>
              <w:t>НОРМАТИВНЫЕ ССЫЛКИ</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_Toc217561920 \h </w:instrText>
            </w:r>
            <w:r w:rsidR="00954FAE" w:rsidRPr="00954FAE">
              <w:rPr>
                <w:webHidden/>
                <w:sz w:val="28"/>
                <w:szCs w:val="28"/>
              </w:rPr>
            </w:r>
            <w:r w:rsidR="00954FAE" w:rsidRPr="00954FAE">
              <w:rPr>
                <w:webHidden/>
                <w:sz w:val="28"/>
                <w:szCs w:val="28"/>
              </w:rPr>
              <w:fldChar w:fldCharType="separate"/>
            </w:r>
            <w:r w:rsidR="006E5170">
              <w:rPr>
                <w:webHidden/>
                <w:sz w:val="28"/>
                <w:szCs w:val="28"/>
              </w:rPr>
              <w:t>4</w:t>
            </w:r>
            <w:r w:rsidR="00954FAE" w:rsidRPr="00954FAE">
              <w:rPr>
                <w:webHidden/>
                <w:sz w:val="28"/>
                <w:szCs w:val="28"/>
              </w:rPr>
              <w:fldChar w:fldCharType="end"/>
            </w:r>
          </w:hyperlink>
        </w:p>
        <w:p w14:paraId="68A26497" w14:textId="1D74EC3C" w:rsidR="00954FAE" w:rsidRPr="00954FAE" w:rsidRDefault="00FE4509">
          <w:pPr>
            <w:pStyle w:val="12"/>
            <w:rPr>
              <w:rFonts w:eastAsiaTheme="minorEastAsia"/>
              <w:b w:val="0"/>
              <w:bCs w:val="0"/>
              <w:sz w:val="28"/>
              <w:szCs w:val="28"/>
              <w:lang w:val="ru-KZ" w:eastAsia="ru-KZ"/>
            </w:rPr>
          </w:pPr>
          <w:hyperlink w:anchor="_Toc217561921" w:history="1">
            <w:r w:rsidR="00954FAE" w:rsidRPr="00954FAE">
              <w:rPr>
                <w:rStyle w:val="ab"/>
                <w:sz w:val="28"/>
                <w:szCs w:val="28"/>
              </w:rPr>
              <w:t>ОПРЕДЕЛЕНИЯ</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_Toc217561921 \h </w:instrText>
            </w:r>
            <w:r w:rsidR="00954FAE" w:rsidRPr="00954FAE">
              <w:rPr>
                <w:webHidden/>
                <w:sz w:val="28"/>
                <w:szCs w:val="28"/>
              </w:rPr>
            </w:r>
            <w:r w:rsidR="00954FAE" w:rsidRPr="00954FAE">
              <w:rPr>
                <w:webHidden/>
                <w:sz w:val="28"/>
                <w:szCs w:val="28"/>
              </w:rPr>
              <w:fldChar w:fldCharType="separate"/>
            </w:r>
            <w:r w:rsidR="006E5170">
              <w:rPr>
                <w:webHidden/>
                <w:sz w:val="28"/>
                <w:szCs w:val="28"/>
              </w:rPr>
              <w:t>6</w:t>
            </w:r>
            <w:r w:rsidR="00954FAE" w:rsidRPr="00954FAE">
              <w:rPr>
                <w:webHidden/>
                <w:sz w:val="28"/>
                <w:szCs w:val="28"/>
              </w:rPr>
              <w:fldChar w:fldCharType="end"/>
            </w:r>
          </w:hyperlink>
        </w:p>
        <w:p w14:paraId="38F9D13E" w14:textId="34C8BFC1" w:rsidR="00954FAE" w:rsidRPr="00954FAE" w:rsidRDefault="00FE4509" w:rsidP="00954FAE">
          <w:pPr>
            <w:pStyle w:val="24"/>
            <w:tabs>
              <w:tab w:val="right" w:leader="dot" w:pos="9628"/>
            </w:tabs>
            <w:ind w:left="0"/>
            <w:rPr>
              <w:rFonts w:ascii="Times New Roman" w:hAnsi="Times New Roman" w:cs="Times New Roman"/>
              <w:noProof/>
              <w:sz w:val="28"/>
              <w:szCs w:val="28"/>
              <w:lang w:val="ru-KZ" w:eastAsia="ru-KZ"/>
            </w:rPr>
          </w:pPr>
          <w:hyperlink w:anchor="_Toc217561922" w:history="1">
            <w:r w:rsidR="00954FAE" w:rsidRPr="00954FAE">
              <w:rPr>
                <w:rStyle w:val="ab"/>
                <w:rFonts w:ascii="Times New Roman" w:hAnsi="Times New Roman" w:cs="Times New Roman"/>
                <w:b/>
                <w:bCs/>
                <w:noProof/>
                <w:sz w:val="28"/>
                <w:szCs w:val="28"/>
              </w:rPr>
              <w:t>ОБОЗНАЧЕНИЯ И СОКРАЩЕНИЯ</w:t>
            </w:r>
            <w:r w:rsidR="00954FAE" w:rsidRPr="00954FAE">
              <w:rPr>
                <w:rFonts w:ascii="Times New Roman" w:hAnsi="Times New Roman" w:cs="Times New Roman"/>
                <w:noProof/>
                <w:webHidden/>
                <w:sz w:val="28"/>
                <w:szCs w:val="28"/>
              </w:rPr>
              <w:tab/>
            </w:r>
            <w:r w:rsidR="00954FAE" w:rsidRPr="00954FAE">
              <w:rPr>
                <w:rFonts w:ascii="Times New Roman" w:hAnsi="Times New Roman" w:cs="Times New Roman"/>
                <w:noProof/>
                <w:webHidden/>
                <w:sz w:val="28"/>
                <w:szCs w:val="28"/>
              </w:rPr>
              <w:fldChar w:fldCharType="begin"/>
            </w:r>
            <w:r w:rsidR="00954FAE" w:rsidRPr="00954FAE">
              <w:rPr>
                <w:rFonts w:ascii="Times New Roman" w:hAnsi="Times New Roman" w:cs="Times New Roman"/>
                <w:noProof/>
                <w:webHidden/>
                <w:sz w:val="28"/>
                <w:szCs w:val="28"/>
              </w:rPr>
              <w:instrText xml:space="preserve"> PAGEREF _Toc217561922 \h </w:instrText>
            </w:r>
            <w:r w:rsidR="00954FAE" w:rsidRPr="00954FAE">
              <w:rPr>
                <w:rFonts w:ascii="Times New Roman" w:hAnsi="Times New Roman" w:cs="Times New Roman"/>
                <w:noProof/>
                <w:webHidden/>
                <w:sz w:val="28"/>
                <w:szCs w:val="28"/>
              </w:rPr>
            </w:r>
            <w:r w:rsidR="00954FAE" w:rsidRPr="00954FAE">
              <w:rPr>
                <w:rFonts w:ascii="Times New Roman" w:hAnsi="Times New Roman" w:cs="Times New Roman"/>
                <w:noProof/>
                <w:webHidden/>
                <w:sz w:val="28"/>
                <w:szCs w:val="28"/>
              </w:rPr>
              <w:fldChar w:fldCharType="separate"/>
            </w:r>
            <w:r w:rsidR="006E5170">
              <w:rPr>
                <w:rFonts w:ascii="Times New Roman" w:hAnsi="Times New Roman" w:cs="Times New Roman"/>
                <w:noProof/>
                <w:webHidden/>
                <w:sz w:val="28"/>
                <w:szCs w:val="28"/>
              </w:rPr>
              <w:t>10</w:t>
            </w:r>
            <w:r w:rsidR="00954FAE" w:rsidRPr="00954FAE">
              <w:rPr>
                <w:rFonts w:ascii="Times New Roman" w:hAnsi="Times New Roman" w:cs="Times New Roman"/>
                <w:noProof/>
                <w:webHidden/>
                <w:sz w:val="28"/>
                <w:szCs w:val="28"/>
              </w:rPr>
              <w:fldChar w:fldCharType="end"/>
            </w:r>
          </w:hyperlink>
        </w:p>
        <w:p w14:paraId="62DD0FF0" w14:textId="5134CD3B" w:rsidR="00954FAE" w:rsidRPr="00954FAE" w:rsidRDefault="00FE4509">
          <w:pPr>
            <w:pStyle w:val="12"/>
            <w:rPr>
              <w:rFonts w:eastAsiaTheme="minorEastAsia"/>
              <w:b w:val="0"/>
              <w:bCs w:val="0"/>
              <w:sz w:val="28"/>
              <w:szCs w:val="28"/>
              <w:lang w:val="ru-KZ" w:eastAsia="ru-KZ"/>
            </w:rPr>
          </w:pPr>
          <w:hyperlink w:anchor="_Toc217561923" w:history="1">
            <w:r w:rsidR="00954FAE" w:rsidRPr="00954FAE">
              <w:rPr>
                <w:rStyle w:val="ab"/>
                <w:sz w:val="28"/>
                <w:szCs w:val="28"/>
              </w:rPr>
              <w:t>ВВЕДЕНИЕ</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_Toc217561923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w:t>
            </w:r>
            <w:r w:rsidR="00954FAE" w:rsidRPr="00954FAE">
              <w:rPr>
                <w:webHidden/>
                <w:sz w:val="28"/>
                <w:szCs w:val="28"/>
              </w:rPr>
              <w:fldChar w:fldCharType="end"/>
            </w:r>
          </w:hyperlink>
        </w:p>
        <w:p w14:paraId="55B950EA" w14:textId="5B01119E" w:rsidR="00954FAE" w:rsidRPr="00954FAE" w:rsidRDefault="00FE4509">
          <w:pPr>
            <w:pStyle w:val="12"/>
            <w:rPr>
              <w:rFonts w:eastAsiaTheme="minorEastAsia"/>
              <w:b w:val="0"/>
              <w:bCs w:val="0"/>
              <w:sz w:val="28"/>
              <w:szCs w:val="28"/>
              <w:lang w:val="ru-KZ" w:eastAsia="ru-KZ"/>
            </w:rPr>
          </w:pPr>
          <w:hyperlink w:anchor="_Toc217561924" w:history="1">
            <w:r w:rsidR="00954FAE" w:rsidRPr="00954FAE">
              <w:rPr>
                <w:rStyle w:val="ab"/>
                <w:sz w:val="28"/>
                <w:szCs w:val="28"/>
                <w:lang w:val="kk-KZ"/>
              </w:rPr>
              <w:t>1</w:t>
            </w:r>
            <w:r w:rsidR="00954FAE" w:rsidRPr="00954FAE">
              <w:rPr>
                <w:rFonts w:eastAsiaTheme="minorEastAsia"/>
                <w:b w:val="0"/>
                <w:bCs w:val="0"/>
                <w:sz w:val="28"/>
                <w:szCs w:val="28"/>
                <w:lang w:val="ru-KZ" w:eastAsia="ru-KZ"/>
              </w:rPr>
              <w:tab/>
            </w:r>
            <w:r w:rsidR="00954FAE">
              <w:rPr>
                <w:rFonts w:eastAsiaTheme="minorEastAsia"/>
                <w:b w:val="0"/>
                <w:bCs w:val="0"/>
                <w:sz w:val="28"/>
                <w:szCs w:val="28"/>
                <w:lang w:val="en-US" w:eastAsia="ru-KZ"/>
              </w:rPr>
              <w:t xml:space="preserve"> </w:t>
            </w:r>
            <w:r w:rsidR="00954FAE" w:rsidRPr="00954FAE">
              <w:rPr>
                <w:rStyle w:val="ab"/>
                <w:sz w:val="28"/>
                <w:szCs w:val="28"/>
                <w:lang w:val="kk-KZ"/>
              </w:rPr>
              <w:t>ОБЗОР ЛИТЕРАТУРЫ</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_Toc217561924 \h </w:instrText>
            </w:r>
            <w:r w:rsidR="00954FAE" w:rsidRPr="00954FAE">
              <w:rPr>
                <w:webHidden/>
                <w:sz w:val="28"/>
                <w:szCs w:val="28"/>
              </w:rPr>
            </w:r>
            <w:r w:rsidR="00954FAE" w:rsidRPr="00954FAE">
              <w:rPr>
                <w:webHidden/>
                <w:sz w:val="28"/>
                <w:szCs w:val="28"/>
              </w:rPr>
              <w:fldChar w:fldCharType="separate"/>
            </w:r>
            <w:r w:rsidR="006E5170">
              <w:rPr>
                <w:webHidden/>
                <w:sz w:val="28"/>
                <w:szCs w:val="28"/>
              </w:rPr>
              <w:t>20</w:t>
            </w:r>
            <w:r w:rsidR="00954FAE" w:rsidRPr="00954FAE">
              <w:rPr>
                <w:webHidden/>
                <w:sz w:val="28"/>
                <w:szCs w:val="28"/>
              </w:rPr>
              <w:fldChar w:fldCharType="end"/>
            </w:r>
          </w:hyperlink>
        </w:p>
        <w:p w14:paraId="4161FBF9" w14:textId="52353DE6" w:rsidR="00954FAE" w:rsidRPr="00954FAE" w:rsidRDefault="00FE4509">
          <w:pPr>
            <w:pStyle w:val="12"/>
            <w:rPr>
              <w:rFonts w:eastAsiaTheme="minorEastAsia"/>
              <w:b w:val="0"/>
              <w:bCs w:val="0"/>
              <w:sz w:val="28"/>
              <w:szCs w:val="28"/>
              <w:lang w:val="ru-KZ" w:eastAsia="ru-KZ"/>
            </w:rPr>
          </w:pPr>
          <w:hyperlink w:anchor="_Toc217561925" w:history="1">
            <w:r w:rsidR="00954FAE" w:rsidRPr="00954FAE">
              <w:rPr>
                <w:rStyle w:val="ab"/>
                <w:b w:val="0"/>
                <w:bCs w:val="0"/>
                <w:sz w:val="28"/>
                <w:szCs w:val="28"/>
                <w:lang w:val="kk-KZ"/>
              </w:rPr>
              <w:t>1.1</w:t>
            </w:r>
            <w:r w:rsidR="00954FAE" w:rsidRPr="00954FAE">
              <w:rPr>
                <w:rFonts w:eastAsiaTheme="minorEastAsia"/>
                <w:b w:val="0"/>
                <w:bCs w:val="0"/>
                <w:sz w:val="28"/>
                <w:szCs w:val="28"/>
                <w:lang w:val="ru-KZ" w:eastAsia="ru-KZ"/>
              </w:rPr>
              <w:tab/>
            </w:r>
            <w:r w:rsidR="00954FAE">
              <w:rPr>
                <w:rFonts w:eastAsiaTheme="minorEastAsia"/>
                <w:b w:val="0"/>
                <w:bCs w:val="0"/>
                <w:sz w:val="28"/>
                <w:szCs w:val="28"/>
                <w:lang w:val="en-US" w:eastAsia="ru-KZ"/>
              </w:rPr>
              <w:t xml:space="preserve"> </w:t>
            </w:r>
            <w:r w:rsidR="00954FAE" w:rsidRPr="00954FAE">
              <w:rPr>
                <w:rStyle w:val="ab"/>
                <w:b w:val="0"/>
                <w:bCs w:val="0"/>
                <w:sz w:val="28"/>
                <w:szCs w:val="28"/>
                <w:lang w:val="kk-KZ"/>
              </w:rPr>
              <w:t>Медико-социальные аспекты, распространённость и этиопатогенетические факторы диспластического коксартроза IV типа по Crowe</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_Toc217561925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20</w:t>
            </w:r>
            <w:r w:rsidR="00954FAE" w:rsidRPr="00954FAE">
              <w:rPr>
                <w:b w:val="0"/>
                <w:bCs w:val="0"/>
                <w:webHidden/>
                <w:sz w:val="28"/>
                <w:szCs w:val="28"/>
              </w:rPr>
              <w:fldChar w:fldCharType="end"/>
            </w:r>
          </w:hyperlink>
        </w:p>
        <w:p w14:paraId="670C4690" w14:textId="5CEC1496" w:rsidR="00954FAE" w:rsidRPr="00954FAE" w:rsidRDefault="00FE4509">
          <w:pPr>
            <w:pStyle w:val="12"/>
            <w:rPr>
              <w:rFonts w:eastAsiaTheme="minorEastAsia"/>
              <w:b w:val="0"/>
              <w:bCs w:val="0"/>
              <w:sz w:val="28"/>
              <w:szCs w:val="28"/>
              <w:lang w:val="ru-KZ" w:eastAsia="ru-KZ"/>
            </w:rPr>
          </w:pPr>
          <w:hyperlink w:anchor="_Toc217561926" w:history="1">
            <w:r w:rsidR="00954FAE" w:rsidRPr="00954FAE">
              <w:rPr>
                <w:rStyle w:val="ab"/>
                <w:b w:val="0"/>
                <w:bCs w:val="0"/>
                <w:sz w:val="28"/>
                <w:szCs w:val="28"/>
                <w:lang w:val="kk-KZ"/>
              </w:rPr>
              <w:t xml:space="preserve">1.2  </w:t>
            </w:r>
            <w:r w:rsidR="00954FAE">
              <w:rPr>
                <w:rStyle w:val="ab"/>
                <w:b w:val="0"/>
                <w:bCs w:val="0"/>
                <w:sz w:val="28"/>
                <w:szCs w:val="28"/>
                <w:lang w:val="en-US"/>
              </w:rPr>
              <w:t xml:space="preserve">    </w:t>
            </w:r>
            <w:r w:rsidR="00954FAE" w:rsidRPr="00954FAE">
              <w:rPr>
                <w:rStyle w:val="ab"/>
                <w:b w:val="0"/>
                <w:bCs w:val="0"/>
                <w:sz w:val="28"/>
                <w:szCs w:val="28"/>
                <w:lang w:val="kk-KZ"/>
              </w:rPr>
              <w:t>Классификация дисплазии тазобедренного сустава</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_Toc217561926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22</w:t>
            </w:r>
            <w:r w:rsidR="00954FAE" w:rsidRPr="00954FAE">
              <w:rPr>
                <w:b w:val="0"/>
                <w:bCs w:val="0"/>
                <w:webHidden/>
                <w:sz w:val="28"/>
                <w:szCs w:val="28"/>
              </w:rPr>
              <w:fldChar w:fldCharType="end"/>
            </w:r>
          </w:hyperlink>
        </w:p>
        <w:p w14:paraId="5CFBEA9C" w14:textId="66271144" w:rsidR="00954FAE" w:rsidRPr="00954FAE" w:rsidRDefault="00FE4509">
          <w:pPr>
            <w:pStyle w:val="12"/>
            <w:rPr>
              <w:rFonts w:eastAsiaTheme="minorEastAsia"/>
              <w:b w:val="0"/>
              <w:bCs w:val="0"/>
              <w:sz w:val="28"/>
              <w:szCs w:val="28"/>
              <w:lang w:val="ru-KZ" w:eastAsia="ru-KZ"/>
            </w:rPr>
          </w:pPr>
          <w:hyperlink w:anchor="_Toc217561927" w:history="1">
            <w:r w:rsidR="00954FAE" w:rsidRPr="00954FAE">
              <w:rPr>
                <w:rStyle w:val="ab"/>
                <w:b w:val="0"/>
                <w:bCs w:val="0"/>
                <w:sz w:val="28"/>
                <w:szCs w:val="28"/>
                <w:lang w:val="kk-KZ"/>
              </w:rPr>
              <w:t xml:space="preserve">1.3 </w:t>
            </w:r>
            <w:r w:rsidR="00954FAE">
              <w:rPr>
                <w:rStyle w:val="ab"/>
                <w:b w:val="0"/>
                <w:bCs w:val="0"/>
                <w:sz w:val="28"/>
                <w:szCs w:val="28"/>
                <w:lang w:val="en-US"/>
              </w:rPr>
              <w:t xml:space="preserve">  </w:t>
            </w:r>
            <w:r w:rsidR="00954FAE" w:rsidRPr="00954FAE">
              <w:rPr>
                <w:rStyle w:val="ab"/>
                <w:b w:val="0"/>
                <w:bCs w:val="0"/>
                <w:sz w:val="28"/>
                <w:szCs w:val="28"/>
                <w:lang w:val="kk-KZ"/>
              </w:rPr>
              <w:t>Хирургическое лечение пациентов сложным типом диспластического коксартроза</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_Toc217561927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25</w:t>
            </w:r>
            <w:r w:rsidR="00954FAE" w:rsidRPr="00954FAE">
              <w:rPr>
                <w:b w:val="0"/>
                <w:bCs w:val="0"/>
                <w:webHidden/>
                <w:sz w:val="28"/>
                <w:szCs w:val="28"/>
              </w:rPr>
              <w:fldChar w:fldCharType="end"/>
            </w:r>
          </w:hyperlink>
        </w:p>
        <w:p w14:paraId="47645CE1" w14:textId="1D68B0CD" w:rsidR="00954FAE" w:rsidRPr="00954FAE" w:rsidRDefault="00FE4509">
          <w:pPr>
            <w:pStyle w:val="12"/>
            <w:rPr>
              <w:rFonts w:eastAsiaTheme="minorEastAsia"/>
              <w:b w:val="0"/>
              <w:bCs w:val="0"/>
              <w:sz w:val="28"/>
              <w:szCs w:val="28"/>
              <w:lang w:val="ru-KZ" w:eastAsia="ru-KZ"/>
            </w:rPr>
          </w:pPr>
          <w:hyperlink w:anchor="_Toc217561928" w:history="1">
            <w:r w:rsidR="00954FAE" w:rsidRPr="00954FAE">
              <w:rPr>
                <w:rStyle w:val="ab"/>
                <w:sz w:val="28"/>
                <w:szCs w:val="28"/>
                <w:lang w:val="kk-KZ"/>
              </w:rPr>
              <w:t>2</w:t>
            </w:r>
            <w:r w:rsidR="00954FAE" w:rsidRPr="00954FAE">
              <w:rPr>
                <w:rFonts w:eastAsiaTheme="minorEastAsia"/>
                <w:b w:val="0"/>
                <w:bCs w:val="0"/>
                <w:sz w:val="28"/>
                <w:szCs w:val="28"/>
                <w:lang w:val="ru-KZ" w:eastAsia="ru-KZ"/>
              </w:rPr>
              <w:tab/>
            </w:r>
            <w:r w:rsidR="00954FAE">
              <w:rPr>
                <w:rFonts w:eastAsiaTheme="minorEastAsia"/>
                <w:b w:val="0"/>
                <w:bCs w:val="0"/>
                <w:sz w:val="28"/>
                <w:szCs w:val="28"/>
                <w:lang w:val="en-US" w:eastAsia="ru-KZ"/>
              </w:rPr>
              <w:t xml:space="preserve"> </w:t>
            </w:r>
            <w:r w:rsidR="00954FAE" w:rsidRPr="00954FAE">
              <w:rPr>
                <w:rStyle w:val="ab"/>
                <w:sz w:val="28"/>
                <w:szCs w:val="28"/>
                <w:lang w:val="kk-KZ"/>
              </w:rPr>
              <w:t>МАТЕРИАЛЫ И МЕТОДЫ ИССЛЕДОВАНИЯ</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_Toc217561928 \h </w:instrText>
            </w:r>
            <w:r w:rsidR="00954FAE" w:rsidRPr="00954FAE">
              <w:rPr>
                <w:webHidden/>
                <w:sz w:val="28"/>
                <w:szCs w:val="28"/>
              </w:rPr>
            </w:r>
            <w:r w:rsidR="00954FAE" w:rsidRPr="00954FAE">
              <w:rPr>
                <w:webHidden/>
                <w:sz w:val="28"/>
                <w:szCs w:val="28"/>
              </w:rPr>
              <w:fldChar w:fldCharType="separate"/>
            </w:r>
            <w:r w:rsidR="006E5170">
              <w:rPr>
                <w:webHidden/>
                <w:sz w:val="28"/>
                <w:szCs w:val="28"/>
              </w:rPr>
              <w:t>42</w:t>
            </w:r>
            <w:r w:rsidR="00954FAE" w:rsidRPr="00954FAE">
              <w:rPr>
                <w:webHidden/>
                <w:sz w:val="28"/>
                <w:szCs w:val="28"/>
              </w:rPr>
              <w:fldChar w:fldCharType="end"/>
            </w:r>
          </w:hyperlink>
        </w:p>
        <w:p w14:paraId="704C0764" w14:textId="21A71527" w:rsidR="00954FAE" w:rsidRPr="00954FAE" w:rsidRDefault="00FE4509">
          <w:pPr>
            <w:pStyle w:val="12"/>
            <w:rPr>
              <w:rFonts w:eastAsiaTheme="minorEastAsia"/>
              <w:b w:val="0"/>
              <w:bCs w:val="0"/>
              <w:sz w:val="28"/>
              <w:szCs w:val="28"/>
              <w:lang w:val="ru-KZ" w:eastAsia="ru-KZ"/>
            </w:rPr>
          </w:pPr>
          <w:hyperlink w:anchor="_Toc217561929" w:history="1">
            <w:r w:rsidR="00954FAE" w:rsidRPr="00954FAE">
              <w:rPr>
                <w:rStyle w:val="ab"/>
                <w:b w:val="0"/>
                <w:bCs w:val="0"/>
                <w:sz w:val="28"/>
                <w:szCs w:val="28"/>
                <w:lang w:val="kk-KZ"/>
              </w:rPr>
              <w:t xml:space="preserve">2.1 </w:t>
            </w:r>
            <w:r w:rsidR="00954FAE">
              <w:rPr>
                <w:rStyle w:val="ab"/>
                <w:b w:val="0"/>
                <w:bCs w:val="0"/>
                <w:sz w:val="28"/>
                <w:szCs w:val="28"/>
                <w:lang w:val="en-US"/>
              </w:rPr>
              <w:t xml:space="preserve">     </w:t>
            </w:r>
            <w:r w:rsidR="00954FAE" w:rsidRPr="00954FAE">
              <w:rPr>
                <w:rStyle w:val="ab"/>
                <w:b w:val="0"/>
                <w:bCs w:val="0"/>
                <w:sz w:val="28"/>
                <w:szCs w:val="28"/>
                <w:lang w:val="kk-KZ"/>
              </w:rPr>
              <w:t>Характеристика исследуемой группы</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_Toc217561929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42</w:t>
            </w:r>
            <w:r w:rsidR="00954FAE" w:rsidRPr="00954FAE">
              <w:rPr>
                <w:b w:val="0"/>
                <w:bCs w:val="0"/>
                <w:webHidden/>
                <w:sz w:val="28"/>
                <w:szCs w:val="28"/>
              </w:rPr>
              <w:fldChar w:fldCharType="end"/>
            </w:r>
          </w:hyperlink>
        </w:p>
        <w:p w14:paraId="2FC4777F" w14:textId="24EF33B3" w:rsidR="00954FAE" w:rsidRPr="00954FAE" w:rsidRDefault="00FE4509">
          <w:pPr>
            <w:pStyle w:val="12"/>
            <w:rPr>
              <w:rFonts w:eastAsiaTheme="minorEastAsia"/>
              <w:b w:val="0"/>
              <w:bCs w:val="0"/>
              <w:sz w:val="28"/>
              <w:szCs w:val="28"/>
              <w:lang w:val="ru-KZ" w:eastAsia="ru-KZ"/>
            </w:rPr>
          </w:pPr>
          <w:hyperlink w:anchor="_Toc217561930" w:history="1">
            <w:r w:rsidR="00954FAE" w:rsidRPr="00954FAE">
              <w:rPr>
                <w:rStyle w:val="ab"/>
                <w:b w:val="0"/>
                <w:bCs w:val="0"/>
                <w:sz w:val="28"/>
                <w:szCs w:val="28"/>
              </w:rPr>
              <w:t>2.</w:t>
            </w:r>
            <w:r w:rsidR="00954FAE" w:rsidRPr="00954FAE">
              <w:rPr>
                <w:rStyle w:val="ab"/>
                <w:b w:val="0"/>
                <w:bCs w:val="0"/>
                <w:sz w:val="28"/>
                <w:szCs w:val="28"/>
                <w:lang w:val="tr-TR"/>
              </w:rPr>
              <w:t>2</w:t>
            </w:r>
            <w:r w:rsidR="00954FAE" w:rsidRPr="00954FAE">
              <w:rPr>
                <w:rStyle w:val="ab"/>
                <w:b w:val="0"/>
                <w:bCs w:val="0"/>
                <w:sz w:val="28"/>
                <w:szCs w:val="28"/>
              </w:rPr>
              <w:t xml:space="preserve"> </w:t>
            </w:r>
            <w:r w:rsidR="00954FAE">
              <w:rPr>
                <w:rStyle w:val="ab"/>
                <w:b w:val="0"/>
                <w:bCs w:val="0"/>
                <w:sz w:val="28"/>
                <w:szCs w:val="28"/>
                <w:lang w:val="en-US"/>
              </w:rPr>
              <w:t xml:space="preserve">     </w:t>
            </w:r>
            <w:r w:rsidR="00954FAE" w:rsidRPr="00954FAE">
              <w:rPr>
                <w:rStyle w:val="ab"/>
                <w:b w:val="0"/>
                <w:bCs w:val="0"/>
                <w:sz w:val="28"/>
                <w:szCs w:val="28"/>
              </w:rPr>
              <w:t>Методы исследования</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_Toc217561930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46</w:t>
            </w:r>
            <w:r w:rsidR="00954FAE" w:rsidRPr="00954FAE">
              <w:rPr>
                <w:b w:val="0"/>
                <w:bCs w:val="0"/>
                <w:webHidden/>
                <w:sz w:val="28"/>
                <w:szCs w:val="28"/>
              </w:rPr>
              <w:fldChar w:fldCharType="end"/>
            </w:r>
          </w:hyperlink>
        </w:p>
        <w:p w14:paraId="1F2919D5" w14:textId="7E65420C" w:rsidR="00954FAE" w:rsidRPr="00954FAE" w:rsidRDefault="00FE4509">
          <w:pPr>
            <w:pStyle w:val="12"/>
            <w:rPr>
              <w:rFonts w:eastAsiaTheme="minorEastAsia"/>
              <w:b w:val="0"/>
              <w:bCs w:val="0"/>
              <w:sz w:val="28"/>
              <w:szCs w:val="28"/>
              <w:lang w:val="ru-KZ" w:eastAsia="ru-KZ"/>
            </w:rPr>
          </w:pPr>
          <w:hyperlink w:anchor="_Toc217561931" w:history="1">
            <w:r w:rsidR="00954FAE" w:rsidRPr="00954FAE">
              <w:rPr>
                <w:rStyle w:val="ab"/>
                <w:b w:val="0"/>
                <w:bCs w:val="0"/>
                <w:sz w:val="28"/>
                <w:szCs w:val="28"/>
                <w:lang w:val="tr-TR"/>
              </w:rPr>
              <w:t>2</w:t>
            </w:r>
            <w:r w:rsidR="00954FAE" w:rsidRPr="00954FAE">
              <w:rPr>
                <w:rStyle w:val="ab"/>
                <w:b w:val="0"/>
                <w:bCs w:val="0"/>
                <w:sz w:val="28"/>
                <w:szCs w:val="28"/>
                <w:lang w:val="kk-KZ"/>
              </w:rPr>
              <w:t>.</w:t>
            </w:r>
            <w:r w:rsidR="00954FAE" w:rsidRPr="00954FAE">
              <w:rPr>
                <w:rStyle w:val="ab"/>
                <w:b w:val="0"/>
                <w:bCs w:val="0"/>
                <w:sz w:val="28"/>
                <w:szCs w:val="28"/>
                <w:lang w:val="tr-TR"/>
              </w:rPr>
              <w:t xml:space="preserve">2.1 </w:t>
            </w:r>
            <w:r w:rsidR="00954FAE">
              <w:rPr>
                <w:rStyle w:val="ab"/>
                <w:b w:val="0"/>
                <w:bCs w:val="0"/>
                <w:sz w:val="28"/>
                <w:szCs w:val="28"/>
                <w:lang w:val="tr-TR"/>
              </w:rPr>
              <w:t xml:space="preserve">  </w:t>
            </w:r>
            <w:r w:rsidR="00954FAE" w:rsidRPr="00954FAE">
              <w:rPr>
                <w:rStyle w:val="ab"/>
                <w:b w:val="0"/>
                <w:bCs w:val="0"/>
                <w:sz w:val="28"/>
                <w:szCs w:val="28"/>
              </w:rPr>
              <w:t>Разработка модели деротационной пластины</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_Toc217561931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46</w:t>
            </w:r>
            <w:r w:rsidR="00954FAE" w:rsidRPr="00954FAE">
              <w:rPr>
                <w:b w:val="0"/>
                <w:bCs w:val="0"/>
                <w:webHidden/>
                <w:sz w:val="28"/>
                <w:szCs w:val="28"/>
              </w:rPr>
              <w:fldChar w:fldCharType="end"/>
            </w:r>
          </w:hyperlink>
        </w:p>
        <w:p w14:paraId="06D0B9ED" w14:textId="5C1FB56D" w:rsidR="00954FAE" w:rsidRPr="00954FAE" w:rsidRDefault="00FE4509">
          <w:pPr>
            <w:pStyle w:val="12"/>
            <w:rPr>
              <w:rFonts w:eastAsiaTheme="minorEastAsia"/>
              <w:b w:val="0"/>
              <w:bCs w:val="0"/>
              <w:sz w:val="28"/>
              <w:szCs w:val="28"/>
              <w:lang w:val="ru-KZ" w:eastAsia="ru-KZ"/>
            </w:rPr>
          </w:pPr>
          <w:hyperlink w:anchor="_Toc217561932" w:history="1">
            <w:r w:rsidR="00954FAE" w:rsidRPr="00954FAE">
              <w:rPr>
                <w:rStyle w:val="ab"/>
                <w:b w:val="0"/>
                <w:bCs w:val="0"/>
                <w:sz w:val="28"/>
                <w:szCs w:val="28"/>
                <w:lang w:val="kk-KZ"/>
              </w:rPr>
              <w:t xml:space="preserve">2.2.2 </w:t>
            </w:r>
            <w:r w:rsidR="00954FAE">
              <w:rPr>
                <w:rStyle w:val="ab"/>
                <w:b w:val="0"/>
                <w:bCs w:val="0"/>
                <w:sz w:val="28"/>
                <w:szCs w:val="28"/>
                <w:lang w:val="en-US"/>
              </w:rPr>
              <w:t xml:space="preserve">  </w:t>
            </w:r>
            <w:r w:rsidR="00954FAE" w:rsidRPr="00954FAE">
              <w:rPr>
                <w:rStyle w:val="ab"/>
                <w:b w:val="0"/>
                <w:bCs w:val="0"/>
                <w:sz w:val="28"/>
                <w:szCs w:val="28"/>
                <w:lang w:val="kk-KZ"/>
              </w:rPr>
              <w:t>М</w:t>
            </w:r>
            <w:r w:rsidR="00954FAE" w:rsidRPr="00954FAE">
              <w:rPr>
                <w:rStyle w:val="ab"/>
                <w:b w:val="0"/>
                <w:bCs w:val="0"/>
                <w:sz w:val="28"/>
                <w:szCs w:val="28"/>
              </w:rPr>
              <w:t>атематическое моделирование деротационной пластины</w:t>
            </w:r>
            <w:r w:rsidR="00954FAE" w:rsidRPr="00954FAE">
              <w:rPr>
                <w:rStyle w:val="ab"/>
                <w:b w:val="0"/>
                <w:bCs w:val="0"/>
                <w:sz w:val="28"/>
                <w:szCs w:val="28"/>
                <w:lang w:val="kk-KZ"/>
              </w:rPr>
              <w:t>.</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_Toc217561932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49</w:t>
            </w:r>
            <w:r w:rsidR="00954FAE" w:rsidRPr="00954FAE">
              <w:rPr>
                <w:b w:val="0"/>
                <w:bCs w:val="0"/>
                <w:webHidden/>
                <w:sz w:val="28"/>
                <w:szCs w:val="28"/>
              </w:rPr>
              <w:fldChar w:fldCharType="end"/>
            </w:r>
          </w:hyperlink>
        </w:p>
        <w:p w14:paraId="10797FC2" w14:textId="118E31FE" w:rsidR="00954FAE" w:rsidRPr="00954FAE" w:rsidRDefault="00FE4509">
          <w:pPr>
            <w:pStyle w:val="12"/>
            <w:rPr>
              <w:rFonts w:eastAsiaTheme="minorEastAsia"/>
              <w:b w:val="0"/>
              <w:bCs w:val="0"/>
              <w:sz w:val="28"/>
              <w:szCs w:val="28"/>
              <w:lang w:val="ru-KZ" w:eastAsia="ru-KZ"/>
            </w:rPr>
          </w:pPr>
          <w:hyperlink w:anchor="_Toc217561933" w:history="1">
            <w:r w:rsidR="00954FAE" w:rsidRPr="00954FAE">
              <w:rPr>
                <w:rStyle w:val="ab"/>
                <w:b w:val="0"/>
                <w:bCs w:val="0"/>
                <w:sz w:val="28"/>
                <w:szCs w:val="28"/>
                <w:lang w:val="kk-KZ"/>
              </w:rPr>
              <w:t xml:space="preserve">2.2.3 </w:t>
            </w:r>
            <w:r w:rsidR="00954FAE">
              <w:rPr>
                <w:rStyle w:val="ab"/>
                <w:b w:val="0"/>
                <w:bCs w:val="0"/>
                <w:sz w:val="28"/>
                <w:szCs w:val="28"/>
                <w:lang w:val="en-US"/>
              </w:rPr>
              <w:t xml:space="preserve">  </w:t>
            </w:r>
            <w:r w:rsidR="00954FAE" w:rsidRPr="00954FAE">
              <w:rPr>
                <w:rStyle w:val="ab"/>
                <w:b w:val="0"/>
                <w:bCs w:val="0"/>
                <w:sz w:val="28"/>
                <w:szCs w:val="28"/>
                <w:lang w:val="kk-KZ"/>
              </w:rPr>
              <w:t>Общее клинические и инструментальные методы исследования</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_Toc217561933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53</w:t>
            </w:r>
            <w:r w:rsidR="00954FAE" w:rsidRPr="00954FAE">
              <w:rPr>
                <w:b w:val="0"/>
                <w:bCs w:val="0"/>
                <w:webHidden/>
                <w:sz w:val="28"/>
                <w:szCs w:val="28"/>
              </w:rPr>
              <w:fldChar w:fldCharType="end"/>
            </w:r>
          </w:hyperlink>
        </w:p>
        <w:p w14:paraId="2026F3F8" w14:textId="593DF1D3" w:rsidR="00954FAE" w:rsidRPr="00954FAE" w:rsidRDefault="00FE4509">
          <w:pPr>
            <w:pStyle w:val="12"/>
            <w:rPr>
              <w:rFonts w:eastAsiaTheme="minorEastAsia"/>
              <w:b w:val="0"/>
              <w:bCs w:val="0"/>
              <w:sz w:val="28"/>
              <w:szCs w:val="28"/>
              <w:lang w:val="ru-KZ" w:eastAsia="ru-KZ"/>
            </w:rPr>
          </w:pPr>
          <w:hyperlink w:anchor="_Toc217561934" w:history="1">
            <w:r w:rsidR="00954FAE" w:rsidRPr="00954FAE">
              <w:rPr>
                <w:rStyle w:val="ab"/>
                <w:b w:val="0"/>
                <w:bCs w:val="0"/>
                <w:sz w:val="28"/>
                <w:szCs w:val="28"/>
                <w:lang w:val="kk-KZ"/>
              </w:rPr>
              <w:t>2.3</w:t>
            </w:r>
            <w:r w:rsidR="00954FAE">
              <w:rPr>
                <w:rStyle w:val="ab"/>
                <w:b w:val="0"/>
                <w:bCs w:val="0"/>
                <w:sz w:val="28"/>
                <w:szCs w:val="28"/>
                <w:lang w:val="en-US"/>
              </w:rPr>
              <w:t xml:space="preserve"> </w:t>
            </w:r>
            <w:r w:rsidR="00954FAE" w:rsidRPr="00954FAE">
              <w:rPr>
                <w:rStyle w:val="ab"/>
                <w:b w:val="0"/>
                <w:bCs w:val="0"/>
                <w:sz w:val="28"/>
                <w:szCs w:val="28"/>
                <w:lang w:val="kk-KZ"/>
              </w:rPr>
              <w:t>Предоперационное планирование укорачивающей подвертельной поперечной остеотомии бедренной кости при тотальном эндопротезировании тазобедренного сустава</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_Toc217561934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54</w:t>
            </w:r>
            <w:r w:rsidR="00954FAE" w:rsidRPr="00954FAE">
              <w:rPr>
                <w:b w:val="0"/>
                <w:bCs w:val="0"/>
                <w:webHidden/>
                <w:sz w:val="28"/>
                <w:szCs w:val="28"/>
              </w:rPr>
              <w:fldChar w:fldCharType="end"/>
            </w:r>
          </w:hyperlink>
        </w:p>
        <w:p w14:paraId="116A374E" w14:textId="2FEE6137" w:rsidR="00954FAE" w:rsidRPr="00954FAE" w:rsidRDefault="00FE4509">
          <w:pPr>
            <w:pStyle w:val="12"/>
            <w:rPr>
              <w:rFonts w:eastAsiaTheme="minorEastAsia"/>
              <w:b w:val="0"/>
              <w:bCs w:val="0"/>
              <w:sz w:val="28"/>
              <w:szCs w:val="28"/>
              <w:lang w:val="ru-KZ" w:eastAsia="ru-KZ"/>
            </w:rPr>
          </w:pPr>
          <w:hyperlink w:anchor="_Toc217561935" w:history="1">
            <w:r w:rsidR="00954FAE" w:rsidRPr="00954FAE">
              <w:rPr>
                <w:rStyle w:val="ab"/>
                <w:rFonts w:eastAsiaTheme="minorHAnsi"/>
                <w:b w:val="0"/>
                <w:bCs w:val="0"/>
                <w:sz w:val="28"/>
                <w:szCs w:val="28"/>
                <w:lang w:val="kk-KZ"/>
              </w:rPr>
              <w:t xml:space="preserve">2.4 </w:t>
            </w:r>
            <w:r w:rsidR="00954FAE">
              <w:rPr>
                <w:rStyle w:val="ab"/>
                <w:rFonts w:eastAsiaTheme="minorHAnsi"/>
                <w:b w:val="0"/>
                <w:bCs w:val="0"/>
                <w:sz w:val="28"/>
                <w:szCs w:val="28"/>
                <w:lang w:val="en-US"/>
              </w:rPr>
              <w:t xml:space="preserve"> </w:t>
            </w:r>
            <w:r w:rsidR="00954FAE" w:rsidRPr="00954FAE">
              <w:rPr>
                <w:rStyle w:val="ab"/>
                <w:rFonts w:eastAsiaTheme="minorHAnsi"/>
                <w:b w:val="0"/>
                <w:bCs w:val="0"/>
                <w:sz w:val="28"/>
                <w:szCs w:val="28"/>
              </w:rPr>
              <w:t>Хирургическая техника</w:t>
            </w:r>
            <w:r w:rsidR="00954FAE" w:rsidRPr="00954FAE">
              <w:rPr>
                <w:rStyle w:val="ab"/>
                <w:rFonts w:eastAsiaTheme="minorHAnsi"/>
                <w:b w:val="0"/>
                <w:bCs w:val="0"/>
                <w:sz w:val="28"/>
                <w:szCs w:val="28"/>
                <w:lang w:val="kk-KZ"/>
              </w:rPr>
              <w:t xml:space="preserve"> </w:t>
            </w:r>
            <w:r w:rsidR="00954FAE" w:rsidRPr="00954FAE">
              <w:rPr>
                <w:rStyle w:val="ab"/>
                <w:rFonts w:eastAsiaTheme="minorHAnsi"/>
                <w:b w:val="0"/>
                <w:bCs w:val="0"/>
                <w:sz w:val="28"/>
                <w:szCs w:val="28"/>
              </w:rPr>
              <w:t>укорачивающей</w:t>
            </w:r>
            <w:r w:rsidR="00954FAE" w:rsidRPr="00954FAE">
              <w:rPr>
                <w:rStyle w:val="ab"/>
                <w:rFonts w:eastAsiaTheme="minorHAnsi"/>
                <w:b w:val="0"/>
                <w:bCs w:val="0"/>
                <w:sz w:val="28"/>
                <w:szCs w:val="28"/>
                <w:lang w:val="kk-KZ"/>
              </w:rPr>
              <w:t xml:space="preserve"> подвертельной поперечной</w:t>
            </w:r>
            <w:r w:rsidR="00954FAE" w:rsidRPr="00954FAE">
              <w:rPr>
                <w:rStyle w:val="ab"/>
                <w:rFonts w:eastAsiaTheme="minorHAnsi"/>
                <w:b w:val="0"/>
                <w:bCs w:val="0"/>
                <w:sz w:val="28"/>
                <w:szCs w:val="28"/>
              </w:rPr>
              <w:t xml:space="preserve"> остеотомии бедренной кости</w:t>
            </w:r>
            <w:r w:rsidR="00954FAE" w:rsidRPr="00954FAE">
              <w:rPr>
                <w:rStyle w:val="ab"/>
                <w:rFonts w:eastAsiaTheme="minorHAnsi"/>
                <w:b w:val="0"/>
                <w:bCs w:val="0"/>
                <w:sz w:val="28"/>
                <w:szCs w:val="28"/>
                <w:lang w:val="kk-KZ"/>
              </w:rPr>
              <w:t xml:space="preserve"> при тотальном эндопротезировании тазобедренного сустава</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_Toc217561935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66</w:t>
            </w:r>
            <w:r w:rsidR="00954FAE" w:rsidRPr="00954FAE">
              <w:rPr>
                <w:b w:val="0"/>
                <w:bCs w:val="0"/>
                <w:webHidden/>
                <w:sz w:val="28"/>
                <w:szCs w:val="28"/>
              </w:rPr>
              <w:fldChar w:fldCharType="end"/>
            </w:r>
          </w:hyperlink>
        </w:p>
        <w:p w14:paraId="32D86661" w14:textId="0E049C22" w:rsidR="00954FAE" w:rsidRPr="00954FAE" w:rsidRDefault="00FE4509">
          <w:pPr>
            <w:pStyle w:val="12"/>
            <w:rPr>
              <w:rFonts w:eastAsiaTheme="minorEastAsia"/>
              <w:b w:val="0"/>
              <w:bCs w:val="0"/>
              <w:sz w:val="28"/>
              <w:szCs w:val="28"/>
              <w:lang w:val="ru-KZ" w:eastAsia="ru-KZ"/>
            </w:rPr>
          </w:pPr>
          <w:hyperlink w:anchor="_Toc217561936" w:history="1">
            <w:r w:rsidR="00954FAE" w:rsidRPr="00954FAE">
              <w:rPr>
                <w:rStyle w:val="ab"/>
                <w:b w:val="0"/>
                <w:bCs w:val="0"/>
                <w:sz w:val="28"/>
                <w:szCs w:val="28"/>
                <w:lang w:val="kk-KZ"/>
              </w:rPr>
              <w:t xml:space="preserve">2.5 </w:t>
            </w:r>
            <w:r w:rsidR="00954FAE">
              <w:rPr>
                <w:rStyle w:val="ab"/>
                <w:b w:val="0"/>
                <w:bCs w:val="0"/>
                <w:sz w:val="28"/>
                <w:szCs w:val="28"/>
                <w:lang w:val="en-US"/>
              </w:rPr>
              <w:t xml:space="preserve">     </w:t>
            </w:r>
            <w:r w:rsidR="00954FAE" w:rsidRPr="00954FAE">
              <w:rPr>
                <w:rStyle w:val="ab"/>
                <w:b w:val="0"/>
                <w:bCs w:val="0"/>
                <w:sz w:val="28"/>
                <w:szCs w:val="28"/>
              </w:rPr>
              <w:t>Статистические методы</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_Toc217561936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70</w:t>
            </w:r>
            <w:r w:rsidR="00954FAE" w:rsidRPr="00954FAE">
              <w:rPr>
                <w:b w:val="0"/>
                <w:bCs w:val="0"/>
                <w:webHidden/>
                <w:sz w:val="28"/>
                <w:szCs w:val="28"/>
              </w:rPr>
              <w:fldChar w:fldCharType="end"/>
            </w:r>
          </w:hyperlink>
        </w:p>
        <w:p w14:paraId="32DC762C" w14:textId="63811B50" w:rsidR="00954FAE" w:rsidRPr="00954FAE" w:rsidRDefault="00FE4509">
          <w:pPr>
            <w:pStyle w:val="12"/>
            <w:rPr>
              <w:rFonts w:eastAsiaTheme="minorEastAsia"/>
              <w:b w:val="0"/>
              <w:bCs w:val="0"/>
              <w:sz w:val="28"/>
              <w:szCs w:val="28"/>
              <w:lang w:val="ru-KZ" w:eastAsia="ru-KZ"/>
            </w:rPr>
          </w:pPr>
          <w:hyperlink w:anchor="_Toc217561937" w:history="1">
            <w:r w:rsidR="00954FAE" w:rsidRPr="00954FAE">
              <w:rPr>
                <w:rStyle w:val="ab"/>
                <w:sz w:val="28"/>
                <w:szCs w:val="28"/>
                <w:lang w:val="kk-KZ"/>
              </w:rPr>
              <w:t xml:space="preserve">3         </w:t>
            </w:r>
            <w:r w:rsidR="00954FAE" w:rsidRPr="00954FAE">
              <w:rPr>
                <w:rStyle w:val="ab"/>
                <w:sz w:val="28"/>
                <w:szCs w:val="28"/>
              </w:rPr>
              <w:t>РЕЗУЛЬТАТЫ ИССЛЕДОВАНИЯ</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_Toc217561937 \h </w:instrText>
            </w:r>
            <w:r w:rsidR="00954FAE" w:rsidRPr="00954FAE">
              <w:rPr>
                <w:webHidden/>
                <w:sz w:val="28"/>
                <w:szCs w:val="28"/>
              </w:rPr>
            </w:r>
            <w:r w:rsidR="00954FAE" w:rsidRPr="00954FAE">
              <w:rPr>
                <w:webHidden/>
                <w:sz w:val="28"/>
                <w:szCs w:val="28"/>
              </w:rPr>
              <w:fldChar w:fldCharType="separate"/>
            </w:r>
            <w:r w:rsidR="006E5170">
              <w:rPr>
                <w:webHidden/>
                <w:sz w:val="28"/>
                <w:szCs w:val="28"/>
              </w:rPr>
              <w:t>72</w:t>
            </w:r>
            <w:r w:rsidR="00954FAE" w:rsidRPr="00954FAE">
              <w:rPr>
                <w:webHidden/>
                <w:sz w:val="28"/>
                <w:szCs w:val="28"/>
              </w:rPr>
              <w:fldChar w:fldCharType="end"/>
            </w:r>
          </w:hyperlink>
        </w:p>
        <w:p w14:paraId="4EAE5525" w14:textId="3B9965D2" w:rsidR="00954FAE" w:rsidRPr="00954FAE" w:rsidRDefault="00FE4509">
          <w:pPr>
            <w:pStyle w:val="12"/>
            <w:rPr>
              <w:rFonts w:eastAsiaTheme="minorEastAsia"/>
              <w:b w:val="0"/>
              <w:bCs w:val="0"/>
              <w:sz w:val="28"/>
              <w:szCs w:val="28"/>
              <w:lang w:val="ru-KZ" w:eastAsia="ru-KZ"/>
            </w:rPr>
          </w:pPr>
          <w:hyperlink w:anchor="_Toc217561938" w:history="1">
            <w:r w:rsidR="00954FAE" w:rsidRPr="00954FAE">
              <w:rPr>
                <w:rStyle w:val="ab"/>
                <w:b w:val="0"/>
                <w:bCs w:val="0"/>
                <w:sz w:val="28"/>
                <w:szCs w:val="28"/>
                <w:lang w:val="kk-KZ"/>
              </w:rPr>
              <w:t xml:space="preserve">3.1 </w:t>
            </w:r>
            <w:r w:rsidR="00954FAE">
              <w:rPr>
                <w:rStyle w:val="ab"/>
                <w:b w:val="0"/>
                <w:bCs w:val="0"/>
                <w:sz w:val="28"/>
                <w:szCs w:val="28"/>
                <w:lang w:val="en-US"/>
              </w:rPr>
              <w:t xml:space="preserve">     </w:t>
            </w:r>
            <w:r w:rsidR="00954FAE" w:rsidRPr="00954FAE">
              <w:rPr>
                <w:rStyle w:val="ab"/>
                <w:b w:val="0"/>
                <w:bCs w:val="0"/>
                <w:sz w:val="28"/>
                <w:szCs w:val="28"/>
              </w:rPr>
              <w:t>Результаты математического моделирования деротационной пластины</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_Toc217561938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72</w:t>
            </w:r>
            <w:r w:rsidR="00954FAE" w:rsidRPr="00954FAE">
              <w:rPr>
                <w:b w:val="0"/>
                <w:bCs w:val="0"/>
                <w:webHidden/>
                <w:sz w:val="28"/>
                <w:szCs w:val="28"/>
              </w:rPr>
              <w:fldChar w:fldCharType="end"/>
            </w:r>
          </w:hyperlink>
        </w:p>
        <w:p w14:paraId="11053A25" w14:textId="72EEAAF4" w:rsidR="00954FAE" w:rsidRPr="00954FAE" w:rsidRDefault="00FE4509">
          <w:pPr>
            <w:pStyle w:val="12"/>
            <w:rPr>
              <w:rFonts w:eastAsiaTheme="minorEastAsia"/>
              <w:b w:val="0"/>
              <w:bCs w:val="0"/>
              <w:sz w:val="28"/>
              <w:szCs w:val="28"/>
              <w:lang w:val="ru-KZ" w:eastAsia="ru-KZ"/>
            </w:rPr>
          </w:pPr>
          <w:hyperlink w:anchor="_Toc217561939" w:history="1">
            <w:r w:rsidR="00954FAE" w:rsidRPr="00954FAE">
              <w:rPr>
                <w:rStyle w:val="ab"/>
                <w:b w:val="0"/>
                <w:bCs w:val="0"/>
                <w:sz w:val="28"/>
                <w:szCs w:val="28"/>
              </w:rPr>
              <w:t>3.2</w:t>
            </w:r>
            <w:r w:rsidR="00954FAE">
              <w:rPr>
                <w:rStyle w:val="ab"/>
                <w:b w:val="0"/>
                <w:bCs w:val="0"/>
                <w:sz w:val="28"/>
                <w:szCs w:val="28"/>
                <w:lang w:val="en-US"/>
              </w:rPr>
              <w:t xml:space="preserve">      </w:t>
            </w:r>
            <w:r w:rsidR="00954FAE" w:rsidRPr="00954FAE">
              <w:rPr>
                <w:rFonts w:eastAsiaTheme="minorEastAsia"/>
                <w:b w:val="0"/>
                <w:bCs w:val="0"/>
                <w:sz w:val="28"/>
                <w:szCs w:val="28"/>
                <w:lang w:val="ru-KZ" w:eastAsia="ru-KZ"/>
              </w:rPr>
              <w:tab/>
            </w:r>
            <w:r w:rsidR="00954FAE" w:rsidRPr="00954FAE">
              <w:rPr>
                <w:rStyle w:val="ab"/>
                <w:b w:val="0"/>
                <w:bCs w:val="0"/>
                <w:sz w:val="28"/>
                <w:szCs w:val="28"/>
                <w:lang w:val="kk-KZ"/>
              </w:rPr>
              <w:t>А</w:t>
            </w:r>
            <w:r w:rsidR="00954FAE" w:rsidRPr="00954FAE">
              <w:rPr>
                <w:rStyle w:val="ab"/>
                <w:b w:val="0"/>
                <w:bCs w:val="0"/>
                <w:sz w:val="28"/>
                <w:szCs w:val="28"/>
              </w:rPr>
              <w:t>лгоритм предоперационного планирования укорачивающей остеотомии</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_Toc217561939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76</w:t>
            </w:r>
            <w:r w:rsidR="00954FAE" w:rsidRPr="00954FAE">
              <w:rPr>
                <w:b w:val="0"/>
                <w:bCs w:val="0"/>
                <w:webHidden/>
                <w:sz w:val="28"/>
                <w:szCs w:val="28"/>
              </w:rPr>
              <w:fldChar w:fldCharType="end"/>
            </w:r>
          </w:hyperlink>
        </w:p>
        <w:p w14:paraId="10945EC8" w14:textId="1BB699C6" w:rsidR="00954FAE" w:rsidRPr="00954FAE" w:rsidRDefault="00FE4509">
          <w:pPr>
            <w:pStyle w:val="12"/>
            <w:rPr>
              <w:rFonts w:eastAsiaTheme="minorEastAsia"/>
              <w:b w:val="0"/>
              <w:bCs w:val="0"/>
              <w:sz w:val="28"/>
              <w:szCs w:val="28"/>
              <w:lang w:val="ru-KZ" w:eastAsia="ru-KZ"/>
            </w:rPr>
          </w:pPr>
          <w:hyperlink w:anchor="_Toc217561940" w:history="1">
            <w:r w:rsidR="00954FAE" w:rsidRPr="00954FAE">
              <w:rPr>
                <w:rStyle w:val="ab"/>
                <w:b w:val="0"/>
                <w:bCs w:val="0"/>
                <w:sz w:val="28"/>
                <w:szCs w:val="28"/>
                <w:lang w:val="kk-KZ"/>
              </w:rPr>
              <w:t>3.3</w:t>
            </w:r>
            <w:r w:rsidR="00954FAE" w:rsidRPr="00954FAE">
              <w:rPr>
                <w:rStyle w:val="ab"/>
                <w:b w:val="0"/>
                <w:bCs w:val="0"/>
                <w:sz w:val="28"/>
                <w:szCs w:val="28"/>
              </w:rPr>
              <w:t xml:space="preserve"> </w:t>
            </w:r>
            <w:r w:rsidR="00954FAE">
              <w:rPr>
                <w:rStyle w:val="ab"/>
                <w:b w:val="0"/>
                <w:bCs w:val="0"/>
                <w:sz w:val="28"/>
                <w:szCs w:val="28"/>
                <w:lang w:val="en-US"/>
              </w:rPr>
              <w:t xml:space="preserve"> </w:t>
            </w:r>
            <w:r w:rsidR="00954FAE" w:rsidRPr="00954FAE">
              <w:rPr>
                <w:rStyle w:val="ab"/>
                <w:b w:val="0"/>
                <w:bCs w:val="0"/>
                <w:sz w:val="28"/>
                <w:szCs w:val="28"/>
              </w:rPr>
              <w:t>Клинические результаты применения деротационной пластины при укорачивающей остеотомии: сравнительный анализ с контрольной группой</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_Toc217561940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81</w:t>
            </w:r>
            <w:r w:rsidR="00954FAE" w:rsidRPr="00954FAE">
              <w:rPr>
                <w:b w:val="0"/>
                <w:bCs w:val="0"/>
                <w:webHidden/>
                <w:sz w:val="28"/>
                <w:szCs w:val="28"/>
              </w:rPr>
              <w:fldChar w:fldCharType="end"/>
            </w:r>
          </w:hyperlink>
        </w:p>
        <w:p w14:paraId="2704E11F" w14:textId="7E1E923B" w:rsidR="00954FAE" w:rsidRPr="00954FAE" w:rsidRDefault="00FE4509">
          <w:pPr>
            <w:pStyle w:val="12"/>
            <w:rPr>
              <w:rFonts w:eastAsiaTheme="minorEastAsia"/>
              <w:b w:val="0"/>
              <w:bCs w:val="0"/>
              <w:sz w:val="28"/>
              <w:szCs w:val="28"/>
              <w:lang w:val="ru-KZ" w:eastAsia="ru-KZ"/>
            </w:rPr>
          </w:pPr>
          <w:hyperlink w:anchor="_Toc217561941" w:history="1">
            <w:r w:rsidR="00954FAE" w:rsidRPr="00954FAE">
              <w:rPr>
                <w:rStyle w:val="ab"/>
                <w:b w:val="0"/>
                <w:bCs w:val="0"/>
                <w:sz w:val="28"/>
                <w:szCs w:val="28"/>
                <w:lang w:val="kk-KZ"/>
              </w:rPr>
              <w:t xml:space="preserve">3.4 </w:t>
            </w:r>
            <w:r w:rsidR="00954FAE" w:rsidRPr="00954FAE">
              <w:rPr>
                <w:rStyle w:val="ab"/>
                <w:b w:val="0"/>
                <w:bCs w:val="0"/>
                <w:sz w:val="28"/>
                <w:szCs w:val="28"/>
              </w:rPr>
              <w:t>Предоперационные результаты лучевых методов исследования, использованные для планирования укорачивающей остеотомии</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_Toc217561941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86</w:t>
            </w:r>
            <w:r w:rsidR="00954FAE" w:rsidRPr="00954FAE">
              <w:rPr>
                <w:b w:val="0"/>
                <w:bCs w:val="0"/>
                <w:webHidden/>
                <w:sz w:val="28"/>
                <w:szCs w:val="28"/>
              </w:rPr>
              <w:fldChar w:fldCharType="end"/>
            </w:r>
          </w:hyperlink>
        </w:p>
        <w:p w14:paraId="013D1A2A" w14:textId="3605592C" w:rsidR="00954FAE" w:rsidRPr="00954FAE" w:rsidRDefault="00FE4509">
          <w:pPr>
            <w:pStyle w:val="12"/>
            <w:rPr>
              <w:rFonts w:eastAsiaTheme="minorEastAsia"/>
              <w:b w:val="0"/>
              <w:bCs w:val="0"/>
              <w:sz w:val="28"/>
              <w:szCs w:val="28"/>
              <w:lang w:val="ru-KZ" w:eastAsia="ru-KZ"/>
            </w:rPr>
          </w:pPr>
          <w:hyperlink w:anchor="_Toc217561942" w:history="1">
            <w:r w:rsidR="00954FAE" w:rsidRPr="00954FAE">
              <w:rPr>
                <w:rStyle w:val="ab"/>
                <w:b w:val="0"/>
                <w:bCs w:val="0"/>
                <w:sz w:val="28"/>
                <w:szCs w:val="28"/>
                <w:lang w:val="kk-KZ"/>
              </w:rPr>
              <w:t xml:space="preserve">3.5 </w:t>
            </w:r>
            <w:r w:rsidR="00954FAE">
              <w:rPr>
                <w:rStyle w:val="ab"/>
                <w:b w:val="0"/>
                <w:bCs w:val="0"/>
                <w:sz w:val="28"/>
                <w:szCs w:val="28"/>
                <w:lang w:val="en-US"/>
              </w:rPr>
              <w:t xml:space="preserve"> </w:t>
            </w:r>
            <w:r w:rsidR="00954FAE" w:rsidRPr="00954FAE">
              <w:rPr>
                <w:rStyle w:val="ab"/>
                <w:b w:val="0"/>
                <w:bCs w:val="0"/>
                <w:sz w:val="28"/>
                <w:szCs w:val="28"/>
              </w:rPr>
              <w:t>Комплексная сравнительная оценка интраоперационных параметров, динамики консолидации, структуры осложнений и функционального статуса пациентов</w:t>
            </w:r>
            <w:r w:rsidR="00954FAE" w:rsidRPr="00954FAE">
              <w:rPr>
                <w:b w:val="0"/>
                <w:bCs w:val="0"/>
                <w:webHidden/>
                <w:sz w:val="28"/>
                <w:szCs w:val="28"/>
              </w:rPr>
              <w:tab/>
            </w:r>
            <w:r w:rsidR="00954FAE" w:rsidRPr="00954FAE">
              <w:rPr>
                <w:b w:val="0"/>
                <w:bCs w:val="0"/>
                <w:webHidden/>
                <w:sz w:val="28"/>
                <w:szCs w:val="28"/>
              </w:rPr>
              <w:fldChar w:fldCharType="begin"/>
            </w:r>
            <w:r w:rsidR="00954FAE" w:rsidRPr="00954FAE">
              <w:rPr>
                <w:b w:val="0"/>
                <w:bCs w:val="0"/>
                <w:webHidden/>
                <w:sz w:val="28"/>
                <w:szCs w:val="28"/>
              </w:rPr>
              <w:instrText xml:space="preserve"> PAGEREF _Toc217561942 \h </w:instrText>
            </w:r>
            <w:r w:rsidR="00954FAE" w:rsidRPr="00954FAE">
              <w:rPr>
                <w:b w:val="0"/>
                <w:bCs w:val="0"/>
                <w:webHidden/>
                <w:sz w:val="28"/>
                <w:szCs w:val="28"/>
              </w:rPr>
            </w:r>
            <w:r w:rsidR="00954FAE" w:rsidRPr="00954FAE">
              <w:rPr>
                <w:b w:val="0"/>
                <w:bCs w:val="0"/>
                <w:webHidden/>
                <w:sz w:val="28"/>
                <w:szCs w:val="28"/>
              </w:rPr>
              <w:fldChar w:fldCharType="separate"/>
            </w:r>
            <w:r w:rsidR="006E5170">
              <w:rPr>
                <w:b w:val="0"/>
                <w:bCs w:val="0"/>
                <w:webHidden/>
                <w:sz w:val="28"/>
                <w:szCs w:val="28"/>
              </w:rPr>
              <w:t>90</w:t>
            </w:r>
            <w:r w:rsidR="00954FAE" w:rsidRPr="00954FAE">
              <w:rPr>
                <w:b w:val="0"/>
                <w:bCs w:val="0"/>
                <w:webHidden/>
                <w:sz w:val="28"/>
                <w:szCs w:val="28"/>
              </w:rPr>
              <w:fldChar w:fldCharType="end"/>
            </w:r>
          </w:hyperlink>
        </w:p>
        <w:p w14:paraId="20215DB4" w14:textId="16636FEA" w:rsidR="00954FAE" w:rsidRPr="00954FAE" w:rsidRDefault="00FE4509">
          <w:pPr>
            <w:pStyle w:val="12"/>
            <w:rPr>
              <w:rFonts w:eastAsiaTheme="minorEastAsia"/>
              <w:b w:val="0"/>
              <w:bCs w:val="0"/>
              <w:sz w:val="28"/>
              <w:szCs w:val="28"/>
              <w:lang w:val="ru-KZ" w:eastAsia="ru-KZ"/>
            </w:rPr>
          </w:pPr>
          <w:hyperlink w:anchor="_Toc217561943" w:history="1">
            <w:r w:rsidR="00954FAE" w:rsidRPr="00954FAE">
              <w:rPr>
                <w:rStyle w:val="ab"/>
                <w:sz w:val="28"/>
                <w:szCs w:val="28"/>
                <w:lang w:val="kk-KZ"/>
              </w:rPr>
              <w:t>ЗАКЛЮЧЕНИЕ</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_Toc217561943 \h </w:instrText>
            </w:r>
            <w:r w:rsidR="00954FAE" w:rsidRPr="00954FAE">
              <w:rPr>
                <w:webHidden/>
                <w:sz w:val="28"/>
                <w:szCs w:val="28"/>
              </w:rPr>
            </w:r>
            <w:r w:rsidR="00954FAE" w:rsidRPr="00954FAE">
              <w:rPr>
                <w:webHidden/>
                <w:sz w:val="28"/>
                <w:szCs w:val="28"/>
              </w:rPr>
              <w:fldChar w:fldCharType="separate"/>
            </w:r>
            <w:r w:rsidR="006E5170">
              <w:rPr>
                <w:webHidden/>
                <w:sz w:val="28"/>
                <w:szCs w:val="28"/>
              </w:rPr>
              <w:t>99</w:t>
            </w:r>
            <w:r w:rsidR="00954FAE" w:rsidRPr="00954FAE">
              <w:rPr>
                <w:webHidden/>
                <w:sz w:val="28"/>
                <w:szCs w:val="28"/>
              </w:rPr>
              <w:fldChar w:fldCharType="end"/>
            </w:r>
          </w:hyperlink>
        </w:p>
        <w:p w14:paraId="3B148ED2" w14:textId="64065A25" w:rsidR="00954FAE" w:rsidRPr="00954FAE" w:rsidRDefault="00FE4509">
          <w:pPr>
            <w:pStyle w:val="12"/>
            <w:rPr>
              <w:rFonts w:eastAsiaTheme="minorEastAsia"/>
              <w:b w:val="0"/>
              <w:bCs w:val="0"/>
              <w:sz w:val="28"/>
              <w:szCs w:val="28"/>
              <w:lang w:val="ru-KZ" w:eastAsia="ru-KZ"/>
            </w:rPr>
          </w:pPr>
          <w:hyperlink w:anchor="_Toc217561944" w:history="1">
            <w:r w:rsidR="00954FAE" w:rsidRPr="00954FAE">
              <w:rPr>
                <w:rStyle w:val="ab"/>
                <w:sz w:val="28"/>
                <w:szCs w:val="28"/>
              </w:rPr>
              <w:t>С</w:t>
            </w:r>
            <w:r w:rsidR="00954FAE" w:rsidRPr="00954FAE">
              <w:rPr>
                <w:rStyle w:val="ab"/>
                <w:sz w:val="28"/>
                <w:szCs w:val="28"/>
                <w:lang w:val="kk-KZ"/>
              </w:rPr>
              <w:t>ПИСОК ИСПОЛЬЗОВАННЫХ ИСТОЧНИКОВ</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_Toc217561944 \h </w:instrText>
            </w:r>
            <w:r w:rsidR="00954FAE" w:rsidRPr="00954FAE">
              <w:rPr>
                <w:webHidden/>
                <w:sz w:val="28"/>
                <w:szCs w:val="28"/>
              </w:rPr>
            </w:r>
            <w:r w:rsidR="00954FAE" w:rsidRPr="00954FAE">
              <w:rPr>
                <w:webHidden/>
                <w:sz w:val="28"/>
                <w:szCs w:val="28"/>
              </w:rPr>
              <w:fldChar w:fldCharType="separate"/>
            </w:r>
            <w:r w:rsidR="006E5170">
              <w:rPr>
                <w:webHidden/>
                <w:sz w:val="28"/>
                <w:szCs w:val="28"/>
              </w:rPr>
              <w:t>106</w:t>
            </w:r>
            <w:r w:rsidR="00954FAE" w:rsidRPr="00954FAE">
              <w:rPr>
                <w:webHidden/>
                <w:sz w:val="28"/>
                <w:szCs w:val="28"/>
              </w:rPr>
              <w:fldChar w:fldCharType="end"/>
            </w:r>
          </w:hyperlink>
        </w:p>
        <w:p w14:paraId="1EB7D7C2" w14:textId="0BDF6F12" w:rsidR="00954FAE" w:rsidRPr="00954FAE" w:rsidRDefault="00FE4509">
          <w:pPr>
            <w:pStyle w:val="12"/>
            <w:rPr>
              <w:rFonts w:eastAsiaTheme="minorEastAsia"/>
              <w:b w:val="0"/>
              <w:bCs w:val="0"/>
              <w:sz w:val="28"/>
              <w:szCs w:val="28"/>
              <w:lang w:val="ru-KZ" w:eastAsia="ru-KZ"/>
            </w:rPr>
          </w:pPr>
          <w:hyperlink w:anchor="_Toc217561945" w:history="1">
            <w:r w:rsidR="00954FAE" w:rsidRPr="00954FAE">
              <w:rPr>
                <w:rStyle w:val="ab"/>
                <w:sz w:val="28"/>
                <w:szCs w:val="28"/>
              </w:rPr>
              <w:t>ПРИЛОЖЕНИЕ А</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_Toc217561945 \h </w:instrText>
            </w:r>
            <w:r w:rsidR="00954FAE" w:rsidRPr="00954FAE">
              <w:rPr>
                <w:webHidden/>
                <w:sz w:val="28"/>
                <w:szCs w:val="28"/>
              </w:rPr>
            </w:r>
            <w:r w:rsidR="00954FAE" w:rsidRPr="00954FAE">
              <w:rPr>
                <w:webHidden/>
                <w:sz w:val="28"/>
                <w:szCs w:val="28"/>
              </w:rPr>
              <w:fldChar w:fldCharType="separate"/>
            </w:r>
            <w:r w:rsidR="006E5170">
              <w:rPr>
                <w:webHidden/>
                <w:sz w:val="28"/>
                <w:szCs w:val="28"/>
              </w:rPr>
              <w:t>117</w:t>
            </w:r>
            <w:r w:rsidR="00954FAE" w:rsidRPr="00954FAE">
              <w:rPr>
                <w:webHidden/>
                <w:sz w:val="28"/>
                <w:szCs w:val="28"/>
              </w:rPr>
              <w:fldChar w:fldCharType="end"/>
            </w:r>
          </w:hyperlink>
        </w:p>
        <w:p w14:paraId="0DDCF7F5" w14:textId="5449BC2C" w:rsidR="00954FAE" w:rsidRPr="00954FAE" w:rsidRDefault="00FE4509">
          <w:pPr>
            <w:pStyle w:val="12"/>
            <w:rPr>
              <w:rFonts w:eastAsiaTheme="minorEastAsia"/>
              <w:b w:val="0"/>
              <w:bCs w:val="0"/>
              <w:sz w:val="28"/>
              <w:szCs w:val="28"/>
              <w:lang w:val="ru-KZ" w:eastAsia="ru-KZ"/>
            </w:rPr>
          </w:pPr>
          <w:hyperlink w:anchor="_Toc217561946" w:history="1">
            <w:r w:rsidR="00954FAE" w:rsidRPr="00954FAE">
              <w:rPr>
                <w:rStyle w:val="ab"/>
                <w:sz w:val="28"/>
                <w:szCs w:val="28"/>
                <w:lang w:val="kk-KZ"/>
              </w:rPr>
              <w:t>ПРИЛОЖЕНИЕ Б</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_Toc217561946 \h </w:instrText>
            </w:r>
            <w:r w:rsidR="00954FAE" w:rsidRPr="00954FAE">
              <w:rPr>
                <w:webHidden/>
                <w:sz w:val="28"/>
                <w:szCs w:val="28"/>
              </w:rPr>
            </w:r>
            <w:r w:rsidR="00954FAE" w:rsidRPr="00954FAE">
              <w:rPr>
                <w:webHidden/>
                <w:sz w:val="28"/>
                <w:szCs w:val="28"/>
              </w:rPr>
              <w:fldChar w:fldCharType="separate"/>
            </w:r>
            <w:r w:rsidR="006E5170">
              <w:rPr>
                <w:webHidden/>
                <w:sz w:val="28"/>
                <w:szCs w:val="28"/>
              </w:rPr>
              <w:t>118</w:t>
            </w:r>
            <w:r w:rsidR="00954FAE" w:rsidRPr="00954FAE">
              <w:rPr>
                <w:webHidden/>
                <w:sz w:val="28"/>
                <w:szCs w:val="28"/>
              </w:rPr>
              <w:fldChar w:fldCharType="end"/>
            </w:r>
          </w:hyperlink>
        </w:p>
        <w:p w14:paraId="71213A9B" w14:textId="366B110C" w:rsidR="00954FAE" w:rsidRPr="00954FAE" w:rsidRDefault="00FE4509">
          <w:pPr>
            <w:pStyle w:val="12"/>
            <w:rPr>
              <w:rFonts w:eastAsiaTheme="minorEastAsia"/>
              <w:b w:val="0"/>
              <w:bCs w:val="0"/>
              <w:sz w:val="28"/>
              <w:szCs w:val="28"/>
              <w:lang w:val="ru-KZ" w:eastAsia="ru-KZ"/>
            </w:rPr>
          </w:pPr>
          <w:hyperlink w:anchor="_Toc217561947" w:history="1">
            <w:r w:rsidR="00954FAE" w:rsidRPr="00954FAE">
              <w:rPr>
                <w:rStyle w:val="ab"/>
                <w:sz w:val="28"/>
                <w:szCs w:val="28"/>
                <w:lang w:val="kk-KZ"/>
              </w:rPr>
              <w:t>ПРИЛОЖЕНИЕ В</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_Toc217561947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121</w:t>
            </w:r>
            <w:r w:rsidR="00954FAE" w:rsidRPr="00954FAE">
              <w:rPr>
                <w:webHidden/>
                <w:sz w:val="28"/>
                <w:szCs w:val="28"/>
              </w:rPr>
              <w:fldChar w:fldCharType="end"/>
            </w:r>
          </w:hyperlink>
        </w:p>
        <w:p w14:paraId="22D24CE3" w14:textId="114ED5B4" w:rsidR="00954FAE" w:rsidRPr="00954FAE" w:rsidRDefault="00FE4509">
          <w:pPr>
            <w:pStyle w:val="12"/>
            <w:rPr>
              <w:rFonts w:eastAsiaTheme="minorEastAsia"/>
              <w:b w:val="0"/>
              <w:bCs w:val="0"/>
              <w:sz w:val="28"/>
              <w:szCs w:val="28"/>
              <w:lang w:val="ru-KZ" w:eastAsia="ru-KZ"/>
            </w:rPr>
          </w:pPr>
          <w:hyperlink w:anchor="_Toc217561948" w:history="1">
            <w:r w:rsidR="00954FAE" w:rsidRPr="00954FAE">
              <w:rPr>
                <w:rStyle w:val="ab"/>
                <w:sz w:val="28"/>
                <w:szCs w:val="28"/>
                <w:lang w:val="kk-KZ"/>
              </w:rPr>
              <w:t>ПРИЛОЖЕНИЕ Г</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_Toc217561948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122</w:t>
            </w:r>
            <w:r w:rsidR="00954FAE" w:rsidRPr="00954FAE">
              <w:rPr>
                <w:webHidden/>
                <w:sz w:val="28"/>
                <w:szCs w:val="28"/>
              </w:rPr>
              <w:fldChar w:fldCharType="end"/>
            </w:r>
          </w:hyperlink>
        </w:p>
        <w:p w14:paraId="78DC6E9D" w14:textId="0FE15F5C" w:rsidR="00954FAE" w:rsidRPr="00954FAE" w:rsidRDefault="00FE4509">
          <w:pPr>
            <w:pStyle w:val="12"/>
            <w:rPr>
              <w:rFonts w:eastAsiaTheme="minorEastAsia"/>
              <w:b w:val="0"/>
              <w:bCs w:val="0"/>
              <w:sz w:val="28"/>
              <w:szCs w:val="28"/>
              <w:lang w:val="ru-KZ" w:eastAsia="ru-KZ"/>
            </w:rPr>
          </w:pPr>
          <w:hyperlink w:anchor="_Toc217561949" w:history="1">
            <w:r w:rsidR="00954FAE" w:rsidRPr="00954FAE">
              <w:rPr>
                <w:rStyle w:val="ab"/>
                <w:sz w:val="28"/>
                <w:szCs w:val="28"/>
                <w:lang w:val="kk-KZ"/>
              </w:rPr>
              <w:t>ПРИЛОЖЕНИЕ Д</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_Toc217561949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123</w:t>
            </w:r>
            <w:r w:rsidR="00954FAE" w:rsidRPr="00954FAE">
              <w:rPr>
                <w:webHidden/>
                <w:sz w:val="28"/>
                <w:szCs w:val="28"/>
              </w:rPr>
              <w:fldChar w:fldCharType="end"/>
            </w:r>
          </w:hyperlink>
        </w:p>
        <w:p w14:paraId="3B8C682F" w14:textId="201317CC" w:rsidR="00954FAE" w:rsidRPr="00954FAE" w:rsidRDefault="00FE4509">
          <w:pPr>
            <w:pStyle w:val="12"/>
            <w:rPr>
              <w:rFonts w:eastAsiaTheme="minorEastAsia"/>
              <w:b w:val="0"/>
              <w:bCs w:val="0"/>
              <w:sz w:val="28"/>
              <w:szCs w:val="28"/>
              <w:lang w:val="ru-KZ" w:eastAsia="ru-KZ"/>
            </w:rPr>
          </w:pPr>
          <w:hyperlink w:anchor="_Toc217561950" w:history="1">
            <w:r w:rsidR="00954FAE" w:rsidRPr="00954FAE">
              <w:rPr>
                <w:rStyle w:val="ab"/>
                <w:sz w:val="28"/>
                <w:szCs w:val="28"/>
              </w:rPr>
              <w:t xml:space="preserve">ПРИЛОЖЕНИЕ </w:t>
            </w:r>
            <w:r w:rsidR="00954FAE" w:rsidRPr="00954FAE">
              <w:rPr>
                <w:rStyle w:val="ab"/>
                <w:sz w:val="28"/>
                <w:szCs w:val="28"/>
                <w:lang w:val="kk-KZ"/>
              </w:rPr>
              <w:t>Е</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_Toc217561950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124</w:t>
            </w:r>
            <w:r w:rsidR="00954FAE" w:rsidRPr="00954FAE">
              <w:rPr>
                <w:webHidden/>
                <w:sz w:val="28"/>
                <w:szCs w:val="28"/>
              </w:rPr>
              <w:fldChar w:fldCharType="end"/>
            </w:r>
          </w:hyperlink>
        </w:p>
        <w:p w14:paraId="1485A353" w14:textId="56286B21" w:rsidR="00954FAE" w:rsidRPr="00954FAE" w:rsidRDefault="00FE4509">
          <w:pPr>
            <w:pStyle w:val="12"/>
            <w:rPr>
              <w:rFonts w:eastAsiaTheme="minorEastAsia"/>
              <w:b w:val="0"/>
              <w:bCs w:val="0"/>
              <w:sz w:val="28"/>
              <w:szCs w:val="28"/>
              <w:lang w:val="ru-KZ" w:eastAsia="ru-KZ"/>
            </w:rPr>
          </w:pPr>
          <w:hyperlink w:anchor="_Toc217561951" w:history="1">
            <w:r w:rsidR="00954FAE" w:rsidRPr="00954FAE">
              <w:rPr>
                <w:rStyle w:val="ab"/>
                <w:sz w:val="28"/>
                <w:szCs w:val="28"/>
              </w:rPr>
              <w:t xml:space="preserve">ПРИЛОЖЕНИЕ </w:t>
            </w:r>
            <w:r w:rsidR="00954FAE" w:rsidRPr="00954FAE">
              <w:rPr>
                <w:rStyle w:val="ab"/>
                <w:sz w:val="28"/>
                <w:szCs w:val="28"/>
                <w:lang w:val="kk-KZ"/>
              </w:rPr>
              <w:t>Ж</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_Toc217561951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125</w:t>
            </w:r>
            <w:r w:rsidR="00954FAE" w:rsidRPr="00954FAE">
              <w:rPr>
                <w:webHidden/>
                <w:sz w:val="28"/>
                <w:szCs w:val="28"/>
              </w:rPr>
              <w:fldChar w:fldCharType="end"/>
            </w:r>
          </w:hyperlink>
        </w:p>
        <w:p w14:paraId="65D76F3B" w14:textId="673E1026" w:rsidR="00954FAE" w:rsidRPr="00954FAE" w:rsidRDefault="00FE4509">
          <w:pPr>
            <w:pStyle w:val="12"/>
            <w:rPr>
              <w:rFonts w:eastAsiaTheme="minorEastAsia"/>
              <w:b w:val="0"/>
              <w:bCs w:val="0"/>
              <w:sz w:val="28"/>
              <w:szCs w:val="28"/>
              <w:lang w:val="ru-KZ" w:eastAsia="ru-KZ"/>
            </w:rPr>
          </w:pPr>
          <w:hyperlink w:anchor="_Toc217561952" w:history="1">
            <w:r w:rsidR="00954FAE" w:rsidRPr="00954FAE">
              <w:rPr>
                <w:rStyle w:val="ab"/>
                <w:sz w:val="28"/>
                <w:szCs w:val="28"/>
              </w:rPr>
              <w:t xml:space="preserve">ПРИЛОЖЕНИЕ </w:t>
            </w:r>
            <w:r w:rsidR="00954FAE" w:rsidRPr="00954FAE">
              <w:rPr>
                <w:rStyle w:val="ab"/>
                <w:sz w:val="28"/>
                <w:szCs w:val="28"/>
                <w:lang w:val="kk-KZ"/>
              </w:rPr>
              <w:t>И</w:t>
            </w:r>
            <w:r w:rsidR="00954FAE" w:rsidRPr="00954FAE">
              <w:rPr>
                <w:webHidden/>
                <w:sz w:val="28"/>
                <w:szCs w:val="28"/>
              </w:rPr>
              <w:tab/>
            </w:r>
            <w:r w:rsidR="00954FAE" w:rsidRPr="00954FAE">
              <w:rPr>
                <w:webHidden/>
                <w:sz w:val="28"/>
                <w:szCs w:val="28"/>
              </w:rPr>
              <w:fldChar w:fldCharType="begin"/>
            </w:r>
            <w:r w:rsidR="00954FAE" w:rsidRPr="00954FAE">
              <w:rPr>
                <w:webHidden/>
                <w:sz w:val="28"/>
                <w:szCs w:val="28"/>
              </w:rPr>
              <w:instrText xml:space="preserve"> PAGEREF _Toc217561952 \h </w:instrText>
            </w:r>
            <w:r w:rsidR="00954FAE" w:rsidRPr="00954FAE">
              <w:rPr>
                <w:webHidden/>
                <w:sz w:val="28"/>
                <w:szCs w:val="28"/>
              </w:rPr>
            </w:r>
            <w:r w:rsidR="00954FAE" w:rsidRPr="00954FAE">
              <w:rPr>
                <w:webHidden/>
                <w:sz w:val="28"/>
                <w:szCs w:val="28"/>
              </w:rPr>
              <w:fldChar w:fldCharType="separate"/>
            </w:r>
            <w:r w:rsidR="006E5170">
              <w:rPr>
                <w:webHidden/>
                <w:sz w:val="28"/>
                <w:szCs w:val="28"/>
              </w:rPr>
              <w:t>129</w:t>
            </w:r>
            <w:r w:rsidR="00954FAE" w:rsidRPr="00954FAE">
              <w:rPr>
                <w:webHidden/>
                <w:sz w:val="28"/>
                <w:szCs w:val="28"/>
              </w:rPr>
              <w:fldChar w:fldCharType="end"/>
            </w:r>
          </w:hyperlink>
        </w:p>
        <w:p w14:paraId="0717FADD" w14:textId="14D32099" w:rsidR="00881B68" w:rsidRPr="00954FAE" w:rsidRDefault="00881B68" w:rsidP="000852DD">
          <w:pPr>
            <w:widowControl/>
            <w:autoSpaceDE/>
            <w:autoSpaceDN/>
            <w:spacing w:after="160" w:line="259" w:lineRule="auto"/>
            <w:rPr>
              <w:sz w:val="28"/>
              <w:szCs w:val="28"/>
            </w:rPr>
          </w:pPr>
          <w:r w:rsidRPr="00954FAE">
            <w:rPr>
              <w:sz w:val="28"/>
              <w:szCs w:val="28"/>
            </w:rPr>
            <w:fldChar w:fldCharType="end"/>
          </w:r>
        </w:p>
      </w:sdtContent>
    </w:sdt>
    <w:p w14:paraId="5CC68B57" w14:textId="77777777" w:rsidR="00A00B41" w:rsidRPr="00185BC0" w:rsidRDefault="00A00B41" w:rsidP="00A00B41"/>
    <w:p w14:paraId="71318D9D" w14:textId="77777777" w:rsidR="00A00B41" w:rsidRPr="00185BC0" w:rsidRDefault="00A00B41" w:rsidP="00A00B41"/>
    <w:p w14:paraId="06FEE89B" w14:textId="77777777" w:rsidR="00A00B41" w:rsidRPr="00185BC0" w:rsidRDefault="00A00B41" w:rsidP="00A00B41"/>
    <w:p w14:paraId="156D3F33" w14:textId="77777777" w:rsidR="00A00B41" w:rsidRPr="00185BC0" w:rsidRDefault="00A00B41" w:rsidP="00A00B41"/>
    <w:p w14:paraId="7567FD64" w14:textId="77777777" w:rsidR="00A00B41" w:rsidRPr="00185BC0" w:rsidRDefault="00A00B41" w:rsidP="00A00B41"/>
    <w:p w14:paraId="4FAD0BFC" w14:textId="77777777" w:rsidR="00A00B41" w:rsidRPr="00185BC0" w:rsidRDefault="00A00B41" w:rsidP="00A00B41"/>
    <w:p w14:paraId="0641E2B3" w14:textId="77777777" w:rsidR="00A00B41" w:rsidRPr="00185BC0" w:rsidRDefault="00A00B41" w:rsidP="00A00B41"/>
    <w:p w14:paraId="0178AC1A" w14:textId="77777777" w:rsidR="00A00B41" w:rsidRPr="00185BC0" w:rsidRDefault="00A00B41" w:rsidP="00A00B41"/>
    <w:p w14:paraId="7740AD66" w14:textId="77777777" w:rsidR="00A00B41" w:rsidRPr="00185BC0" w:rsidRDefault="00A00B41" w:rsidP="00A00B41"/>
    <w:p w14:paraId="1B0347A4" w14:textId="77777777" w:rsidR="00A00B41" w:rsidRPr="00185BC0" w:rsidRDefault="00A00B41" w:rsidP="00A00B41"/>
    <w:p w14:paraId="1E12675E" w14:textId="77777777" w:rsidR="00A00B41" w:rsidRPr="00185BC0" w:rsidRDefault="00A00B41" w:rsidP="00A00B41"/>
    <w:p w14:paraId="7AD47D0B" w14:textId="77777777" w:rsidR="00A00B41" w:rsidRPr="00185BC0" w:rsidRDefault="00A00B41" w:rsidP="00A00B41"/>
    <w:p w14:paraId="2CC8B047" w14:textId="77777777" w:rsidR="00A00B41" w:rsidRPr="00185BC0" w:rsidRDefault="00A00B41" w:rsidP="00A00B41"/>
    <w:p w14:paraId="10EEE659" w14:textId="77777777" w:rsidR="00A00B41" w:rsidRPr="00185BC0" w:rsidRDefault="00A00B41" w:rsidP="00A00B41"/>
    <w:p w14:paraId="17F87F1F" w14:textId="77777777" w:rsidR="00A00B41" w:rsidRPr="00185BC0" w:rsidRDefault="00A00B41" w:rsidP="00A00B41"/>
    <w:p w14:paraId="0EC3580C" w14:textId="77777777" w:rsidR="00A00B41" w:rsidRPr="00185BC0" w:rsidRDefault="00A00B41" w:rsidP="00A00B41"/>
    <w:p w14:paraId="0F7D6914" w14:textId="77777777" w:rsidR="00A00B41" w:rsidRPr="00185BC0" w:rsidRDefault="00A00B41" w:rsidP="00A00B41"/>
    <w:p w14:paraId="5CCC541B" w14:textId="77777777" w:rsidR="00A00B41" w:rsidRPr="00185BC0" w:rsidRDefault="00A00B41" w:rsidP="00A00B41"/>
    <w:p w14:paraId="56E67DE3" w14:textId="77777777" w:rsidR="00A00B41" w:rsidRPr="00185BC0" w:rsidRDefault="00A00B41" w:rsidP="00A00B41"/>
    <w:p w14:paraId="192EC32F" w14:textId="77777777" w:rsidR="00A00B41" w:rsidRPr="00185BC0" w:rsidRDefault="00A00B41" w:rsidP="00A00B41"/>
    <w:p w14:paraId="272D5F89" w14:textId="77777777" w:rsidR="00A00B41" w:rsidRPr="00185BC0" w:rsidRDefault="00A00B41" w:rsidP="00A00B41"/>
    <w:p w14:paraId="0B731D1C" w14:textId="77777777" w:rsidR="00A00B41" w:rsidRPr="00185BC0" w:rsidRDefault="00A00B41" w:rsidP="00A00B41"/>
    <w:p w14:paraId="0E766EF7" w14:textId="77777777" w:rsidR="00A00B41" w:rsidRPr="00185BC0" w:rsidRDefault="00A00B41" w:rsidP="00A00B41"/>
    <w:p w14:paraId="384A29E5" w14:textId="77777777" w:rsidR="00A00B41" w:rsidRPr="00185BC0" w:rsidRDefault="00A00B41" w:rsidP="00A00B41"/>
    <w:p w14:paraId="02BBEF7B" w14:textId="77777777" w:rsidR="00A00B41" w:rsidRPr="00185BC0" w:rsidRDefault="00A00B41" w:rsidP="00A00B41"/>
    <w:p w14:paraId="4C58A195" w14:textId="77777777" w:rsidR="00A00B41" w:rsidRPr="00185BC0" w:rsidRDefault="00A00B41" w:rsidP="00A00B41"/>
    <w:p w14:paraId="30FDA80A" w14:textId="051AD668" w:rsidR="00A00B41" w:rsidRPr="00185BC0" w:rsidRDefault="00A00B41" w:rsidP="00A00B41"/>
    <w:p w14:paraId="71A00216" w14:textId="227CE993" w:rsidR="00D33B88" w:rsidRPr="00185BC0" w:rsidRDefault="00D33B88" w:rsidP="00A00B41"/>
    <w:p w14:paraId="2D196F51" w14:textId="43D031C5" w:rsidR="00D33B88" w:rsidRPr="00185BC0" w:rsidRDefault="00D33B88" w:rsidP="00A00B41"/>
    <w:p w14:paraId="25122703" w14:textId="446F6CC4" w:rsidR="00D33B88" w:rsidRPr="00185BC0" w:rsidRDefault="00D33B88" w:rsidP="00A00B41"/>
    <w:p w14:paraId="01AC6A68" w14:textId="4E7ACB08" w:rsidR="00D33B88" w:rsidRPr="00185BC0" w:rsidRDefault="00D33B88" w:rsidP="00A00B41"/>
    <w:p w14:paraId="246BB441" w14:textId="1687DDE8" w:rsidR="00A00B41" w:rsidRPr="00185BC0" w:rsidRDefault="00A00B41" w:rsidP="00A00B41"/>
    <w:p w14:paraId="7558D6DC" w14:textId="4992F889" w:rsidR="00A00B41" w:rsidRDefault="00A00B41" w:rsidP="00A00B41"/>
    <w:p w14:paraId="26557D35" w14:textId="38B12123" w:rsidR="00CD2F87" w:rsidRDefault="00CD2F87" w:rsidP="00A00B41"/>
    <w:p w14:paraId="7E510F1B" w14:textId="06BD8562" w:rsidR="00CD2F87" w:rsidRDefault="00CD2F87" w:rsidP="00A00B41"/>
    <w:p w14:paraId="2FB2BCC5" w14:textId="7700A5EF" w:rsidR="00CD2F87" w:rsidRDefault="00CD2F87" w:rsidP="00A00B41"/>
    <w:p w14:paraId="59BC1054" w14:textId="1ECB39EA" w:rsidR="00A00B41" w:rsidRPr="00185BC0" w:rsidRDefault="00A00B41" w:rsidP="00A00B41"/>
    <w:p w14:paraId="75797FD9" w14:textId="77777777" w:rsidR="00A00B41" w:rsidRPr="00185BC0" w:rsidRDefault="00A00B41" w:rsidP="00A00B41"/>
    <w:p w14:paraId="2F6BE54A" w14:textId="1202FC22" w:rsidR="00A00B41" w:rsidRPr="00185BC0" w:rsidRDefault="00A00B41" w:rsidP="00A00B41"/>
    <w:p w14:paraId="40A432EE" w14:textId="512AB0BA" w:rsidR="00881B68" w:rsidRPr="00185BC0" w:rsidRDefault="00881B68" w:rsidP="00881B68">
      <w:pPr>
        <w:ind w:right="155"/>
        <w:jc w:val="center"/>
        <w:outlineLvl w:val="0"/>
        <w:rPr>
          <w:b/>
          <w:bCs/>
          <w:sz w:val="28"/>
          <w:szCs w:val="28"/>
        </w:rPr>
      </w:pPr>
      <w:bookmarkStart w:id="3" w:name="_Toc217561920"/>
      <w:r w:rsidRPr="00185BC0">
        <w:rPr>
          <w:b/>
          <w:bCs/>
          <w:sz w:val="28"/>
          <w:szCs w:val="28"/>
        </w:rPr>
        <w:lastRenderedPageBreak/>
        <w:t>НОРМАТИВНЫЕ ССЫЛКИ</w:t>
      </w:r>
      <w:bookmarkEnd w:id="3"/>
    </w:p>
    <w:p w14:paraId="66C921ED" w14:textId="77777777" w:rsidR="00881B68" w:rsidRPr="00185BC0" w:rsidRDefault="00881B68" w:rsidP="00881B68">
      <w:pPr>
        <w:pStyle w:val="a3"/>
      </w:pPr>
    </w:p>
    <w:p w14:paraId="7642BC9C" w14:textId="77777777" w:rsidR="00881B68" w:rsidRPr="00185BC0" w:rsidRDefault="00881B68" w:rsidP="00881B68">
      <w:pPr>
        <w:ind w:firstLine="567"/>
        <w:jc w:val="both"/>
        <w:rPr>
          <w:sz w:val="28"/>
          <w:szCs w:val="28"/>
        </w:rPr>
      </w:pPr>
      <w:r w:rsidRPr="00185BC0">
        <w:rPr>
          <w:sz w:val="28"/>
          <w:szCs w:val="28"/>
        </w:rPr>
        <w:t xml:space="preserve">В настоящей диссертации использованы ссылки на следующие стандарты: </w:t>
      </w:r>
    </w:p>
    <w:p w14:paraId="794A98F1"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Закон Республики Казахстан «О науке»: принят 21 мая 2022 года, №123.</w:t>
      </w:r>
    </w:p>
    <w:p w14:paraId="3DDA4186"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Закон Республики Казахстан «О персональных данных и их защите»: принят 21 мая 2013 года, №94.</w:t>
      </w:r>
    </w:p>
    <w:p w14:paraId="791081C6"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Кодекс Республики Казахстан «О здоровье народа и системе здравоохранения»: принят 7 июля 2020 года, №360.</w:t>
      </w:r>
    </w:p>
    <w:p w14:paraId="094F8FCE"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Дорожная карта по реализации мероприятий, направленных на улучшение качества медицинской помощи населению Республики Казахстан на 2020–2025 годы.</w:t>
      </w:r>
    </w:p>
    <w:p w14:paraId="4C4C8383"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 xml:space="preserve">Хельсинская декларация Всемирной медицинской ассоциации «Этические принципы проведения медицинских исследований с участием человека в качестве субъекта»: с изменениями, внесёнными на 64-й Генеральной Ассамблее ВМА, </w:t>
      </w:r>
      <w:proofErr w:type="spellStart"/>
      <w:r w:rsidRPr="00185BC0">
        <w:rPr>
          <w:sz w:val="28"/>
          <w:szCs w:val="28"/>
        </w:rPr>
        <w:t>Форталеза</w:t>
      </w:r>
      <w:proofErr w:type="spellEnd"/>
      <w:r w:rsidRPr="00185BC0">
        <w:rPr>
          <w:sz w:val="28"/>
          <w:szCs w:val="28"/>
        </w:rPr>
        <w:t>, Бразилия, октябрь 2013.</w:t>
      </w:r>
    </w:p>
    <w:p w14:paraId="2E5E22D7"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Конвенция о защите прав человека и достоинства личности в связи с применением достижений биологии и медицины (Конвенция о правах человека в биомедицине, ETS №164): Овьедо, 1997.</w:t>
      </w:r>
    </w:p>
    <w:p w14:paraId="6C6B5B4F"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 xml:space="preserve">Международное руководство ICH-GCP E6(R2): Надлежащая клиническая практика (Good </w:t>
      </w:r>
      <w:proofErr w:type="spellStart"/>
      <w:r w:rsidRPr="00185BC0">
        <w:rPr>
          <w:sz w:val="28"/>
          <w:szCs w:val="28"/>
        </w:rPr>
        <w:t>Clinical</w:t>
      </w:r>
      <w:proofErr w:type="spellEnd"/>
      <w:r w:rsidRPr="00185BC0">
        <w:rPr>
          <w:sz w:val="28"/>
          <w:szCs w:val="28"/>
        </w:rPr>
        <w:t xml:space="preserve"> </w:t>
      </w:r>
      <w:proofErr w:type="spellStart"/>
      <w:r w:rsidRPr="00185BC0">
        <w:rPr>
          <w:sz w:val="28"/>
          <w:szCs w:val="28"/>
        </w:rPr>
        <w:t>Practice</w:t>
      </w:r>
      <w:proofErr w:type="spellEnd"/>
      <w:r w:rsidRPr="00185BC0">
        <w:rPr>
          <w:sz w:val="28"/>
          <w:szCs w:val="28"/>
        </w:rPr>
        <w:t>), Женева, 2016.</w:t>
      </w:r>
    </w:p>
    <w:p w14:paraId="6D9AD14B"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Стандарт надлежащей клинической практики (GCP): с изменениями по состоянию на 21 апреля 2023 года.</w:t>
      </w:r>
    </w:p>
    <w:p w14:paraId="675C2427"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Государственный общеобязательный стандарт послевузовского образования (ГОСО): приложение №8, утверждено приказом Министра образования и науки Республики Казахстан от 31 октября 2018 года, №604.</w:t>
      </w:r>
    </w:p>
    <w:p w14:paraId="54E3DA63"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Положение о компетентностной модели выпускника PhD докторантуры: ПЛ МУА-122-20.</w:t>
      </w:r>
    </w:p>
    <w:p w14:paraId="443DE939"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Требования к содержанию и оформлению PhD докторской диссертации: РИ МУА-48-20.</w:t>
      </w:r>
    </w:p>
    <w:p w14:paraId="162900B5"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Приказ Министра образования и науки Республики Казахстан «Об утверждении Правил присуждения ученых степеней»: утверждён 31 марта 2011 года, №127.</w:t>
      </w:r>
    </w:p>
    <w:p w14:paraId="3E0CE0CB"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СУ-МУА-01. Стандарт университета. Общие требования к содержанию, оформлению документации интегрированной системы менеджмента.</w:t>
      </w:r>
    </w:p>
    <w:p w14:paraId="0F1898B3"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СУ-МУА-02. Стандарт университета. Управление документацией.</w:t>
      </w:r>
    </w:p>
    <w:p w14:paraId="3DA6D369"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СУ-МУА-03. Стандарт университета. Управление записями.</w:t>
      </w:r>
    </w:p>
    <w:p w14:paraId="44092874"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СУ-МУА-04. Стандарт университета. Термины и определения.</w:t>
      </w:r>
    </w:p>
    <w:p w14:paraId="2E61C4A8"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MC ISO 9000:2015. Системы менеджмента качества. Основные положения и словарь.</w:t>
      </w:r>
    </w:p>
    <w:p w14:paraId="77C224B0"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MC ISO 9001:2015. Системы менеджмента качества. Требования.</w:t>
      </w:r>
    </w:p>
    <w:p w14:paraId="6E0674F6"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MC ISO 27001:2013. Системы менеджмента информационной безопасности. Требования.</w:t>
      </w:r>
    </w:p>
    <w:p w14:paraId="08C1F97B"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MC ISO 26000:2012. Руководство по социальной ответственности.</w:t>
      </w:r>
    </w:p>
    <w:p w14:paraId="148C9DC2"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lastRenderedPageBreak/>
        <w:t>ГОСТ 7.32-2001. Система стандартов по информации, библиотечному и издательскому делу. Отчёт о научно-исследовательской работе. Структура и правила оформления.</w:t>
      </w:r>
    </w:p>
    <w:p w14:paraId="718CC62F"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ГОСТ 7.9-95 (ИСО 214-76). Система стандартов по информации, библиотечному и издательскому делу. Реферат и аннотация. Общие требования.</w:t>
      </w:r>
    </w:p>
    <w:p w14:paraId="409BE772" w14:textId="77777777" w:rsidR="00881B68" w:rsidRPr="00185BC0" w:rsidRDefault="00881B68" w:rsidP="00D47CC4">
      <w:pPr>
        <w:pStyle w:val="a6"/>
        <w:numPr>
          <w:ilvl w:val="0"/>
          <w:numId w:val="15"/>
        </w:numPr>
        <w:ind w:left="0" w:firstLine="567"/>
        <w:jc w:val="both"/>
        <w:rPr>
          <w:sz w:val="28"/>
          <w:szCs w:val="28"/>
        </w:rPr>
      </w:pPr>
      <w:r w:rsidRPr="00185BC0">
        <w:rPr>
          <w:sz w:val="28"/>
          <w:szCs w:val="28"/>
        </w:rPr>
        <w:t>ГОСТ 7.13-93.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380AC952" w14:textId="77777777" w:rsidR="00881B68" w:rsidRPr="00185BC0" w:rsidRDefault="00881B68" w:rsidP="00881B68">
      <w:pPr>
        <w:jc w:val="both"/>
        <w:rPr>
          <w:b/>
          <w:sz w:val="28"/>
          <w:szCs w:val="28"/>
        </w:rPr>
      </w:pPr>
    </w:p>
    <w:p w14:paraId="10DA1E84" w14:textId="77777777" w:rsidR="00881B68" w:rsidRPr="00185BC0" w:rsidRDefault="00881B68" w:rsidP="00881B68">
      <w:pPr>
        <w:pStyle w:val="a3"/>
      </w:pPr>
    </w:p>
    <w:p w14:paraId="1AD16B9F" w14:textId="77777777" w:rsidR="00881B68" w:rsidRPr="00185BC0" w:rsidRDefault="00881B68" w:rsidP="00881B68">
      <w:pPr>
        <w:pStyle w:val="a3"/>
      </w:pPr>
    </w:p>
    <w:p w14:paraId="6F1A790B" w14:textId="77777777" w:rsidR="00881B68" w:rsidRPr="00185BC0" w:rsidRDefault="00881B68" w:rsidP="00881B68">
      <w:pPr>
        <w:pStyle w:val="a3"/>
      </w:pPr>
    </w:p>
    <w:p w14:paraId="349207E0" w14:textId="77777777" w:rsidR="00881B68" w:rsidRPr="00185BC0" w:rsidRDefault="00881B68" w:rsidP="00881B68">
      <w:pPr>
        <w:pStyle w:val="a3"/>
        <w:rPr>
          <w:lang w:val="kk-KZ"/>
        </w:rPr>
      </w:pPr>
    </w:p>
    <w:p w14:paraId="7B78FE38" w14:textId="6BBDA17A" w:rsidR="00881B68" w:rsidRPr="00185BC0" w:rsidRDefault="00881B68" w:rsidP="00881B68">
      <w:pPr>
        <w:pStyle w:val="a3"/>
      </w:pPr>
    </w:p>
    <w:p w14:paraId="64E8BE54" w14:textId="080BCDAA" w:rsidR="00881B68" w:rsidRPr="00185BC0" w:rsidRDefault="00881B68" w:rsidP="00881B68">
      <w:pPr>
        <w:pStyle w:val="a3"/>
      </w:pPr>
    </w:p>
    <w:p w14:paraId="47DDAF73" w14:textId="1EA0AD90" w:rsidR="00881B68" w:rsidRPr="00185BC0" w:rsidRDefault="00881B68" w:rsidP="00881B68">
      <w:pPr>
        <w:pStyle w:val="a3"/>
      </w:pPr>
    </w:p>
    <w:p w14:paraId="152F3E8A" w14:textId="507EE3B6" w:rsidR="00881B68" w:rsidRPr="00185BC0" w:rsidRDefault="00881B68" w:rsidP="00881B68">
      <w:pPr>
        <w:pStyle w:val="a3"/>
      </w:pPr>
    </w:p>
    <w:p w14:paraId="2EF2A412" w14:textId="2D8D100C" w:rsidR="00881B68" w:rsidRPr="00185BC0" w:rsidRDefault="00881B68" w:rsidP="00881B68">
      <w:pPr>
        <w:pStyle w:val="a3"/>
      </w:pPr>
    </w:p>
    <w:p w14:paraId="17AD571B" w14:textId="6FF369DE" w:rsidR="00881B68" w:rsidRPr="00185BC0" w:rsidRDefault="00881B68" w:rsidP="00881B68">
      <w:pPr>
        <w:pStyle w:val="a3"/>
      </w:pPr>
    </w:p>
    <w:p w14:paraId="6831594A" w14:textId="483B5E99" w:rsidR="00881B68" w:rsidRPr="00185BC0" w:rsidRDefault="00881B68" w:rsidP="00881B68">
      <w:pPr>
        <w:pStyle w:val="a3"/>
      </w:pPr>
    </w:p>
    <w:p w14:paraId="28A8F0F2" w14:textId="743033D3" w:rsidR="00881B68" w:rsidRPr="00185BC0" w:rsidRDefault="00881B68" w:rsidP="00881B68">
      <w:pPr>
        <w:pStyle w:val="a3"/>
      </w:pPr>
    </w:p>
    <w:p w14:paraId="78412387" w14:textId="75FCF83D" w:rsidR="00881B68" w:rsidRPr="00185BC0" w:rsidRDefault="00881B68" w:rsidP="00881B68">
      <w:pPr>
        <w:pStyle w:val="a3"/>
      </w:pPr>
    </w:p>
    <w:p w14:paraId="04CC224B" w14:textId="264C3A8A" w:rsidR="00881B68" w:rsidRPr="00185BC0" w:rsidRDefault="00881B68" w:rsidP="00881B68">
      <w:pPr>
        <w:pStyle w:val="a3"/>
      </w:pPr>
    </w:p>
    <w:p w14:paraId="556E88D0" w14:textId="0C8374BF" w:rsidR="00881B68" w:rsidRPr="00185BC0" w:rsidRDefault="00881B68" w:rsidP="00881B68">
      <w:pPr>
        <w:pStyle w:val="a3"/>
      </w:pPr>
    </w:p>
    <w:p w14:paraId="2A228D6B" w14:textId="0A980709" w:rsidR="00881B68" w:rsidRPr="00185BC0" w:rsidRDefault="00881B68" w:rsidP="00881B68">
      <w:pPr>
        <w:pStyle w:val="a3"/>
      </w:pPr>
    </w:p>
    <w:p w14:paraId="05528A7D" w14:textId="4A9782F3" w:rsidR="00881B68" w:rsidRPr="00185BC0" w:rsidRDefault="00881B68" w:rsidP="00881B68">
      <w:pPr>
        <w:pStyle w:val="a3"/>
      </w:pPr>
    </w:p>
    <w:p w14:paraId="31877E31" w14:textId="3600F671" w:rsidR="00881B68" w:rsidRPr="00185BC0" w:rsidRDefault="00881B68" w:rsidP="00881B68">
      <w:pPr>
        <w:pStyle w:val="a3"/>
      </w:pPr>
    </w:p>
    <w:p w14:paraId="5DFB2251" w14:textId="06607265" w:rsidR="00881B68" w:rsidRPr="00185BC0" w:rsidRDefault="00881B68" w:rsidP="00881B68">
      <w:pPr>
        <w:pStyle w:val="a3"/>
      </w:pPr>
    </w:p>
    <w:p w14:paraId="3D112E8F" w14:textId="573401AF" w:rsidR="00881B68" w:rsidRPr="00185BC0" w:rsidRDefault="00881B68" w:rsidP="00881B68">
      <w:pPr>
        <w:pStyle w:val="a3"/>
      </w:pPr>
    </w:p>
    <w:p w14:paraId="01317955" w14:textId="620874CA" w:rsidR="00881B68" w:rsidRPr="00185BC0" w:rsidRDefault="00881B68" w:rsidP="00881B68">
      <w:pPr>
        <w:pStyle w:val="a3"/>
      </w:pPr>
    </w:p>
    <w:p w14:paraId="79754B16" w14:textId="23CE9144" w:rsidR="00881B68" w:rsidRPr="00185BC0" w:rsidRDefault="00881B68" w:rsidP="00881B68">
      <w:pPr>
        <w:pStyle w:val="a3"/>
      </w:pPr>
    </w:p>
    <w:p w14:paraId="46A7A45C" w14:textId="28594247" w:rsidR="00881B68" w:rsidRPr="00185BC0" w:rsidRDefault="00881B68" w:rsidP="00881B68">
      <w:pPr>
        <w:pStyle w:val="a3"/>
      </w:pPr>
    </w:p>
    <w:p w14:paraId="03506401" w14:textId="3E193568" w:rsidR="00881B68" w:rsidRPr="00185BC0" w:rsidRDefault="00881B68" w:rsidP="00881B68">
      <w:pPr>
        <w:pStyle w:val="a3"/>
      </w:pPr>
    </w:p>
    <w:p w14:paraId="6822B5B7" w14:textId="16A223A5" w:rsidR="00881B68" w:rsidRPr="00185BC0" w:rsidRDefault="00881B68" w:rsidP="00881B68">
      <w:pPr>
        <w:pStyle w:val="a3"/>
      </w:pPr>
    </w:p>
    <w:p w14:paraId="653E3593" w14:textId="1E9A30EE" w:rsidR="00881B68" w:rsidRPr="00185BC0" w:rsidRDefault="00881B68" w:rsidP="00881B68">
      <w:pPr>
        <w:pStyle w:val="a3"/>
      </w:pPr>
    </w:p>
    <w:p w14:paraId="1C53DCDA" w14:textId="584C481F" w:rsidR="00881B68" w:rsidRPr="00185BC0" w:rsidRDefault="00881B68" w:rsidP="00881B68">
      <w:pPr>
        <w:pStyle w:val="a3"/>
      </w:pPr>
    </w:p>
    <w:p w14:paraId="0177BE8F" w14:textId="69D619A3" w:rsidR="00881B68" w:rsidRPr="00185BC0" w:rsidRDefault="00881B68" w:rsidP="00881B68">
      <w:pPr>
        <w:pStyle w:val="a3"/>
      </w:pPr>
    </w:p>
    <w:p w14:paraId="55A26A11" w14:textId="52CBEA09" w:rsidR="00881B68" w:rsidRPr="00185BC0" w:rsidRDefault="00881B68" w:rsidP="00881B68">
      <w:pPr>
        <w:pStyle w:val="a3"/>
      </w:pPr>
    </w:p>
    <w:p w14:paraId="73DE4FA1" w14:textId="2DE2FB7F" w:rsidR="00881B68" w:rsidRPr="00185BC0" w:rsidRDefault="00881B68" w:rsidP="00881B68">
      <w:pPr>
        <w:pStyle w:val="a3"/>
      </w:pPr>
    </w:p>
    <w:p w14:paraId="77D70D14" w14:textId="77777777" w:rsidR="00387CA6" w:rsidRPr="00185BC0" w:rsidRDefault="00387CA6" w:rsidP="00881B68">
      <w:pPr>
        <w:pStyle w:val="a3"/>
      </w:pPr>
    </w:p>
    <w:p w14:paraId="05C45928" w14:textId="46C72B1F" w:rsidR="00881B68" w:rsidRPr="00185BC0" w:rsidRDefault="00881B68" w:rsidP="00881B68">
      <w:pPr>
        <w:pStyle w:val="a3"/>
      </w:pPr>
    </w:p>
    <w:p w14:paraId="61CE2E5C" w14:textId="3DD5610E" w:rsidR="0024089E" w:rsidRPr="00185BC0" w:rsidRDefault="0024089E" w:rsidP="00881B68">
      <w:pPr>
        <w:pStyle w:val="a3"/>
      </w:pPr>
    </w:p>
    <w:p w14:paraId="3DF92390" w14:textId="19D61E1C" w:rsidR="0024089E" w:rsidRPr="00185BC0" w:rsidRDefault="0024089E" w:rsidP="00881B68">
      <w:pPr>
        <w:pStyle w:val="a3"/>
      </w:pPr>
    </w:p>
    <w:p w14:paraId="464DE6FF" w14:textId="55C7CB1D" w:rsidR="0024089E" w:rsidRPr="00185BC0" w:rsidRDefault="0024089E" w:rsidP="00881B68">
      <w:pPr>
        <w:pStyle w:val="a3"/>
      </w:pPr>
    </w:p>
    <w:p w14:paraId="6CC7F4F8" w14:textId="4E0DBB57" w:rsidR="00331E2B" w:rsidRPr="00185BC0" w:rsidRDefault="00331E2B" w:rsidP="00881B68">
      <w:pPr>
        <w:pStyle w:val="a3"/>
      </w:pPr>
    </w:p>
    <w:p w14:paraId="7FD8CC26" w14:textId="77777777" w:rsidR="00331E2B" w:rsidRPr="00185BC0" w:rsidRDefault="00331E2B" w:rsidP="00881B68">
      <w:pPr>
        <w:pStyle w:val="a3"/>
      </w:pPr>
    </w:p>
    <w:p w14:paraId="5292FABB" w14:textId="665517AA" w:rsidR="00024A35" w:rsidRPr="00185BC0" w:rsidRDefault="00024A35" w:rsidP="00881B68">
      <w:pPr>
        <w:pStyle w:val="a3"/>
      </w:pPr>
    </w:p>
    <w:p w14:paraId="6979C632" w14:textId="77777777" w:rsidR="00024A35" w:rsidRPr="00185BC0" w:rsidRDefault="00024A35" w:rsidP="00881B68">
      <w:pPr>
        <w:pStyle w:val="a3"/>
      </w:pPr>
    </w:p>
    <w:p w14:paraId="6181FA4D" w14:textId="77777777" w:rsidR="0024089E" w:rsidRPr="00185BC0" w:rsidRDefault="0024089E" w:rsidP="00881B68">
      <w:pPr>
        <w:pStyle w:val="a3"/>
      </w:pPr>
    </w:p>
    <w:p w14:paraId="1C05BF2F" w14:textId="238434CF" w:rsidR="00881B68" w:rsidRPr="00185BC0" w:rsidRDefault="00881B68" w:rsidP="00881B68">
      <w:pPr>
        <w:pStyle w:val="a3"/>
      </w:pPr>
    </w:p>
    <w:p w14:paraId="5B130CC0" w14:textId="77777777" w:rsidR="00881B68" w:rsidRPr="00185BC0" w:rsidRDefault="00881B68" w:rsidP="00881B68">
      <w:pPr>
        <w:ind w:right="155"/>
        <w:jc w:val="center"/>
        <w:outlineLvl w:val="0"/>
        <w:rPr>
          <w:bCs/>
          <w:sz w:val="28"/>
          <w:szCs w:val="28"/>
        </w:rPr>
      </w:pPr>
      <w:bookmarkStart w:id="4" w:name="_Toc217561921"/>
      <w:r w:rsidRPr="00185BC0">
        <w:rPr>
          <w:b/>
          <w:bCs/>
          <w:sz w:val="28"/>
          <w:szCs w:val="28"/>
        </w:rPr>
        <w:lastRenderedPageBreak/>
        <w:t>ОПРЕДЕЛЕНИЯ</w:t>
      </w:r>
      <w:bookmarkEnd w:id="4"/>
    </w:p>
    <w:p w14:paraId="04DD00B0" w14:textId="77777777" w:rsidR="00881B68" w:rsidRPr="00185BC0" w:rsidRDefault="00881B68" w:rsidP="00881B68">
      <w:pPr>
        <w:pStyle w:val="a3"/>
        <w:ind w:firstLine="567"/>
        <w:jc w:val="both"/>
        <w:rPr>
          <w:sz w:val="28"/>
          <w:szCs w:val="28"/>
        </w:rPr>
      </w:pPr>
    </w:p>
    <w:p w14:paraId="2D7018BC" w14:textId="77777777" w:rsidR="00881B68" w:rsidRPr="00185BC0" w:rsidRDefault="00881B68" w:rsidP="00881B68">
      <w:pPr>
        <w:pStyle w:val="a3"/>
        <w:ind w:firstLine="567"/>
        <w:jc w:val="both"/>
        <w:rPr>
          <w:sz w:val="28"/>
          <w:szCs w:val="28"/>
        </w:rPr>
      </w:pPr>
      <w:r w:rsidRPr="00185BC0">
        <w:rPr>
          <w:sz w:val="28"/>
          <w:szCs w:val="28"/>
        </w:rPr>
        <w:t>В диссертации применяются следующие термины с соответствующими определениями:</w:t>
      </w:r>
    </w:p>
    <w:p w14:paraId="4071B1FF" w14:textId="1E507DCC" w:rsidR="00881B68" w:rsidRPr="00185BC0" w:rsidRDefault="00881B68" w:rsidP="00881B68">
      <w:pPr>
        <w:pStyle w:val="a3"/>
        <w:ind w:firstLine="567"/>
        <w:jc w:val="both"/>
        <w:rPr>
          <w:sz w:val="28"/>
          <w:szCs w:val="28"/>
          <w:lang w:val="kk-KZ"/>
        </w:rPr>
      </w:pPr>
      <w:r w:rsidRPr="00185BC0">
        <w:rPr>
          <w:b/>
          <w:sz w:val="28"/>
          <w:szCs w:val="28"/>
          <w:lang w:val="kk-KZ"/>
        </w:rPr>
        <w:t>Autodesk Inventor Professional</w:t>
      </w:r>
      <w:r w:rsidRPr="00185BC0">
        <w:rPr>
          <w:sz w:val="28"/>
          <w:szCs w:val="28"/>
          <w:lang w:val="kk-KZ"/>
        </w:rPr>
        <w:t xml:space="preserve"> </w:t>
      </w:r>
      <w:r w:rsidR="00DA5A93" w:rsidRPr="00185BC0">
        <w:rPr>
          <w:sz w:val="28"/>
          <w:szCs w:val="28"/>
          <w:lang w:val="kk-KZ"/>
        </w:rPr>
        <w:t>–</w:t>
      </w:r>
      <w:r w:rsidR="005C0C17" w:rsidRPr="00185BC0">
        <w:rPr>
          <w:sz w:val="28"/>
          <w:szCs w:val="28"/>
          <w:lang w:val="kk-KZ"/>
        </w:rPr>
        <w:t xml:space="preserve"> </w:t>
      </w:r>
      <w:r w:rsidRPr="00185BC0">
        <w:rPr>
          <w:sz w:val="28"/>
          <w:szCs w:val="28"/>
          <w:lang w:val="kk-KZ"/>
        </w:rPr>
        <w:t>современная система автоматизированного проектирования (САПР), предназначенная для параметрического трёхмерного моделирования изделий, проведения инженерных расчётов и подготовки конструкторской документации.</w:t>
      </w:r>
    </w:p>
    <w:p w14:paraId="64C66B56" w14:textId="66EA5E46" w:rsidR="00881B68" w:rsidRPr="00185BC0" w:rsidRDefault="00881B68" w:rsidP="00881B68">
      <w:pPr>
        <w:pStyle w:val="a3"/>
        <w:ind w:firstLine="567"/>
        <w:jc w:val="both"/>
        <w:rPr>
          <w:sz w:val="28"/>
          <w:szCs w:val="28"/>
          <w:lang w:val="kk-KZ"/>
        </w:rPr>
      </w:pPr>
      <w:r w:rsidRPr="00185BC0">
        <w:rPr>
          <w:b/>
          <w:sz w:val="28"/>
          <w:szCs w:val="28"/>
          <w:lang w:val="kk-KZ"/>
        </w:rPr>
        <w:t>CAD/CAM</w:t>
      </w:r>
      <w:r w:rsidRPr="00185BC0">
        <w:rPr>
          <w:sz w:val="28"/>
          <w:szCs w:val="28"/>
          <w:lang w:val="kk-KZ"/>
        </w:rPr>
        <w:t xml:space="preserve"> </w:t>
      </w:r>
      <w:r w:rsidR="00DA5A93" w:rsidRPr="00185BC0">
        <w:rPr>
          <w:sz w:val="28"/>
          <w:szCs w:val="28"/>
          <w:lang w:val="kk-KZ"/>
        </w:rPr>
        <w:t>–</w:t>
      </w:r>
      <w:r w:rsidR="00D33B88" w:rsidRPr="00185BC0">
        <w:rPr>
          <w:sz w:val="28"/>
          <w:szCs w:val="28"/>
          <w:lang w:val="kk-KZ"/>
        </w:rPr>
        <w:t xml:space="preserve"> </w:t>
      </w:r>
      <w:r w:rsidRPr="00185BC0">
        <w:rPr>
          <w:sz w:val="28"/>
          <w:szCs w:val="28"/>
          <w:lang w:val="kk-KZ"/>
        </w:rPr>
        <w:t xml:space="preserve">совокупность технологий Computer-Aided Design (CAD </w:t>
      </w:r>
      <w:r w:rsidR="00DA5A93" w:rsidRPr="00185BC0">
        <w:rPr>
          <w:sz w:val="28"/>
          <w:szCs w:val="28"/>
          <w:lang w:val="kk-KZ"/>
        </w:rPr>
        <w:t>–</w:t>
      </w:r>
      <w:r w:rsidRPr="00185BC0">
        <w:rPr>
          <w:sz w:val="28"/>
          <w:szCs w:val="28"/>
          <w:lang w:val="kk-KZ"/>
        </w:rPr>
        <w:t xml:space="preserve"> автоматизированное проектирование) и Computer-Aided Manufacturing (CAM </w:t>
      </w:r>
      <w:r w:rsidR="00DA5A93" w:rsidRPr="00185BC0">
        <w:rPr>
          <w:sz w:val="28"/>
          <w:szCs w:val="28"/>
          <w:lang w:val="kk-KZ"/>
        </w:rPr>
        <w:t>–</w:t>
      </w:r>
      <w:r w:rsidRPr="00185BC0">
        <w:rPr>
          <w:sz w:val="28"/>
          <w:szCs w:val="28"/>
          <w:lang w:val="kk-KZ"/>
        </w:rPr>
        <w:t xml:space="preserve"> автоматизированное производство).</w:t>
      </w:r>
    </w:p>
    <w:p w14:paraId="2B10AB12" w14:textId="73A20F3B" w:rsidR="00881B68" w:rsidRPr="00185BC0" w:rsidRDefault="00881B68" w:rsidP="00881B68">
      <w:pPr>
        <w:pStyle w:val="a3"/>
        <w:ind w:firstLine="567"/>
        <w:jc w:val="both"/>
        <w:rPr>
          <w:sz w:val="28"/>
          <w:szCs w:val="28"/>
        </w:rPr>
      </w:pPr>
      <w:r w:rsidRPr="00185BC0">
        <w:rPr>
          <w:b/>
          <w:sz w:val="28"/>
          <w:szCs w:val="28"/>
        </w:rPr>
        <w:t xml:space="preserve">DICOM (Digital </w:t>
      </w:r>
      <w:proofErr w:type="spellStart"/>
      <w:r w:rsidRPr="00185BC0">
        <w:rPr>
          <w:b/>
          <w:sz w:val="28"/>
          <w:szCs w:val="28"/>
        </w:rPr>
        <w:t>Imaging</w:t>
      </w:r>
      <w:proofErr w:type="spellEnd"/>
      <w:r w:rsidRPr="00185BC0">
        <w:rPr>
          <w:b/>
          <w:sz w:val="28"/>
          <w:szCs w:val="28"/>
        </w:rPr>
        <w:t xml:space="preserve"> </w:t>
      </w:r>
      <w:proofErr w:type="spellStart"/>
      <w:r w:rsidRPr="00185BC0">
        <w:rPr>
          <w:b/>
          <w:sz w:val="28"/>
          <w:szCs w:val="28"/>
        </w:rPr>
        <w:t>and</w:t>
      </w:r>
      <w:proofErr w:type="spellEnd"/>
      <w:r w:rsidRPr="00185BC0">
        <w:rPr>
          <w:b/>
          <w:sz w:val="28"/>
          <w:szCs w:val="28"/>
        </w:rPr>
        <w:t xml:space="preserve"> Communications </w:t>
      </w:r>
      <w:proofErr w:type="spellStart"/>
      <w:r w:rsidRPr="00185BC0">
        <w:rPr>
          <w:b/>
          <w:sz w:val="28"/>
          <w:szCs w:val="28"/>
        </w:rPr>
        <w:t>in</w:t>
      </w:r>
      <w:proofErr w:type="spellEnd"/>
      <w:r w:rsidRPr="00185BC0">
        <w:rPr>
          <w:b/>
          <w:sz w:val="28"/>
          <w:szCs w:val="28"/>
        </w:rPr>
        <w:t xml:space="preserve"> </w:t>
      </w:r>
      <w:proofErr w:type="spellStart"/>
      <w:r w:rsidRPr="00185BC0">
        <w:rPr>
          <w:b/>
          <w:sz w:val="28"/>
          <w:szCs w:val="28"/>
        </w:rPr>
        <w:t>Medicine</w:t>
      </w:r>
      <w:proofErr w:type="spellEnd"/>
      <w:r w:rsidRPr="00185BC0">
        <w:rPr>
          <w:b/>
          <w:sz w:val="28"/>
          <w:szCs w:val="28"/>
        </w:rPr>
        <w:t>)</w:t>
      </w:r>
      <w:r w:rsidRPr="00185BC0">
        <w:rPr>
          <w:sz w:val="28"/>
          <w:szCs w:val="28"/>
        </w:rPr>
        <w:t xml:space="preserve"> </w:t>
      </w:r>
      <w:r w:rsidR="00DA5A93" w:rsidRPr="00185BC0">
        <w:rPr>
          <w:sz w:val="28"/>
          <w:szCs w:val="28"/>
        </w:rPr>
        <w:t>–</w:t>
      </w:r>
      <w:r w:rsidRPr="00185BC0">
        <w:rPr>
          <w:sz w:val="28"/>
          <w:szCs w:val="28"/>
        </w:rPr>
        <w:t xml:space="preserve"> </w:t>
      </w:r>
      <w:r w:rsidR="00312F9F" w:rsidRPr="00185BC0">
        <w:rPr>
          <w:sz w:val="28"/>
          <w:szCs w:val="28"/>
        </w:rPr>
        <w:t>международный стандарт для обработки, архивирования, обмена и отображения медицинских изображений, а также связанной с ними информации</w:t>
      </w:r>
      <w:r w:rsidRPr="00185BC0">
        <w:rPr>
          <w:sz w:val="28"/>
          <w:szCs w:val="28"/>
        </w:rPr>
        <w:t>.</w:t>
      </w:r>
    </w:p>
    <w:p w14:paraId="397F8970" w14:textId="4C30237E" w:rsidR="00881B68" w:rsidRPr="00185BC0" w:rsidRDefault="00881B68" w:rsidP="00881B68">
      <w:pPr>
        <w:pStyle w:val="a3"/>
        <w:ind w:firstLine="567"/>
        <w:jc w:val="both"/>
        <w:rPr>
          <w:sz w:val="28"/>
          <w:szCs w:val="28"/>
          <w:lang w:val="kk-KZ"/>
        </w:rPr>
      </w:pPr>
      <w:r w:rsidRPr="00185BC0">
        <w:rPr>
          <w:b/>
          <w:sz w:val="28"/>
          <w:szCs w:val="28"/>
          <w:lang w:val="kk-KZ"/>
        </w:rPr>
        <w:t xml:space="preserve">DMU50 </w:t>
      </w:r>
      <w:r w:rsidR="00DA5A93" w:rsidRPr="00185BC0">
        <w:rPr>
          <w:sz w:val="28"/>
          <w:szCs w:val="28"/>
          <w:lang w:val="kk-KZ"/>
        </w:rPr>
        <w:t>–</w:t>
      </w:r>
      <w:r w:rsidRPr="00185BC0">
        <w:rPr>
          <w:sz w:val="28"/>
          <w:szCs w:val="28"/>
          <w:lang w:val="kk-KZ"/>
        </w:rPr>
        <w:t xml:space="preserve"> </w:t>
      </w:r>
      <w:r w:rsidR="00D33B88" w:rsidRPr="00185BC0">
        <w:rPr>
          <w:sz w:val="28"/>
          <w:szCs w:val="28"/>
          <w:lang w:val="kk-KZ"/>
        </w:rPr>
        <w:t xml:space="preserve"> </w:t>
      </w:r>
      <w:r w:rsidRPr="00185BC0">
        <w:rPr>
          <w:sz w:val="28"/>
          <w:szCs w:val="28"/>
          <w:lang w:val="kk-KZ"/>
        </w:rPr>
        <w:t>универсальный пятиосевой обрабатывающий центр (станок с числовым программным управлением, ЧПУ), используемый для высокоточной механической обработки сложных деталей из различных материалов, включая титановые сплавы, такие как ВТ-6, что особенно важно в медицине и ортопедической травматологии.</w:t>
      </w:r>
    </w:p>
    <w:p w14:paraId="6CC8547E" w14:textId="2388A8CA" w:rsidR="00881B68" w:rsidRPr="00185BC0" w:rsidRDefault="00881B68" w:rsidP="00881B68">
      <w:pPr>
        <w:pStyle w:val="a3"/>
        <w:ind w:firstLine="567"/>
        <w:jc w:val="both"/>
        <w:rPr>
          <w:sz w:val="28"/>
          <w:szCs w:val="28"/>
        </w:rPr>
      </w:pPr>
      <w:proofErr w:type="spellStart"/>
      <w:r w:rsidRPr="00185BC0">
        <w:rPr>
          <w:b/>
          <w:sz w:val="28"/>
          <w:szCs w:val="28"/>
        </w:rPr>
        <w:t>Fused</w:t>
      </w:r>
      <w:proofErr w:type="spellEnd"/>
      <w:r w:rsidRPr="00185BC0">
        <w:rPr>
          <w:b/>
          <w:sz w:val="28"/>
          <w:szCs w:val="28"/>
        </w:rPr>
        <w:t xml:space="preserve"> </w:t>
      </w:r>
      <w:proofErr w:type="spellStart"/>
      <w:r w:rsidRPr="00185BC0">
        <w:rPr>
          <w:b/>
          <w:sz w:val="28"/>
          <w:szCs w:val="28"/>
        </w:rPr>
        <w:t>Deposition</w:t>
      </w:r>
      <w:proofErr w:type="spellEnd"/>
      <w:r w:rsidRPr="00185BC0">
        <w:rPr>
          <w:b/>
          <w:sz w:val="28"/>
          <w:szCs w:val="28"/>
        </w:rPr>
        <w:t xml:space="preserve"> </w:t>
      </w:r>
      <w:proofErr w:type="spellStart"/>
      <w:r w:rsidRPr="00185BC0">
        <w:rPr>
          <w:b/>
          <w:sz w:val="28"/>
          <w:szCs w:val="28"/>
        </w:rPr>
        <w:t>Modeling</w:t>
      </w:r>
      <w:proofErr w:type="spellEnd"/>
      <w:r w:rsidRPr="00185BC0">
        <w:rPr>
          <w:b/>
          <w:sz w:val="28"/>
          <w:szCs w:val="28"/>
        </w:rPr>
        <w:t xml:space="preserve"> (FDM)</w:t>
      </w:r>
      <w:r w:rsidRPr="00185BC0">
        <w:rPr>
          <w:sz w:val="28"/>
          <w:szCs w:val="28"/>
        </w:rPr>
        <w:t xml:space="preserve"> </w:t>
      </w:r>
      <w:r w:rsidR="00DA5A93" w:rsidRPr="00185BC0">
        <w:rPr>
          <w:sz w:val="28"/>
          <w:szCs w:val="28"/>
        </w:rPr>
        <w:t>–</w:t>
      </w:r>
      <w:r w:rsidR="00D33B88" w:rsidRPr="00185BC0">
        <w:rPr>
          <w:sz w:val="28"/>
          <w:szCs w:val="28"/>
          <w:lang w:val="kk-KZ"/>
        </w:rPr>
        <w:t xml:space="preserve"> </w:t>
      </w:r>
      <w:r w:rsidRPr="00185BC0">
        <w:rPr>
          <w:sz w:val="28"/>
          <w:szCs w:val="28"/>
        </w:rPr>
        <w:t>одна из наиболее распространённых технологий аддитивного производства (3D-печати), применяемая для создания прототипов, моделей и готовых изделий.</w:t>
      </w:r>
    </w:p>
    <w:p w14:paraId="5C5E5890" w14:textId="7D274701" w:rsidR="00881B68" w:rsidRPr="00185BC0" w:rsidRDefault="00881B68" w:rsidP="00881B68">
      <w:pPr>
        <w:pStyle w:val="a3"/>
        <w:ind w:firstLine="567"/>
        <w:jc w:val="both"/>
        <w:rPr>
          <w:sz w:val="28"/>
          <w:szCs w:val="28"/>
        </w:rPr>
      </w:pPr>
      <w:r w:rsidRPr="00185BC0">
        <w:rPr>
          <w:b/>
          <w:sz w:val="28"/>
          <w:szCs w:val="28"/>
        </w:rPr>
        <w:t xml:space="preserve">Harris </w:t>
      </w:r>
      <w:proofErr w:type="spellStart"/>
      <w:r w:rsidRPr="00185BC0">
        <w:rPr>
          <w:b/>
          <w:sz w:val="28"/>
          <w:szCs w:val="28"/>
        </w:rPr>
        <w:t>Hip</w:t>
      </w:r>
      <w:proofErr w:type="spellEnd"/>
      <w:r w:rsidRPr="00185BC0">
        <w:rPr>
          <w:b/>
          <w:sz w:val="28"/>
          <w:szCs w:val="28"/>
        </w:rPr>
        <w:t xml:space="preserve"> </w:t>
      </w:r>
      <w:proofErr w:type="spellStart"/>
      <w:r w:rsidRPr="00185BC0">
        <w:rPr>
          <w:b/>
          <w:sz w:val="28"/>
          <w:szCs w:val="28"/>
        </w:rPr>
        <w:t>Score</w:t>
      </w:r>
      <w:proofErr w:type="spellEnd"/>
      <w:r w:rsidRPr="00185BC0">
        <w:rPr>
          <w:sz w:val="28"/>
          <w:szCs w:val="28"/>
        </w:rPr>
        <w:t xml:space="preserve"> </w:t>
      </w:r>
      <w:r w:rsidR="00DA5A93" w:rsidRPr="00185BC0">
        <w:rPr>
          <w:sz w:val="28"/>
          <w:szCs w:val="28"/>
        </w:rPr>
        <w:t>–</w:t>
      </w:r>
      <w:r w:rsidR="00D33B88" w:rsidRPr="00185BC0">
        <w:rPr>
          <w:sz w:val="28"/>
          <w:szCs w:val="28"/>
          <w:lang w:val="kk-KZ"/>
        </w:rPr>
        <w:t xml:space="preserve"> </w:t>
      </w:r>
      <w:r w:rsidRPr="00185BC0">
        <w:rPr>
          <w:sz w:val="28"/>
          <w:szCs w:val="28"/>
        </w:rPr>
        <w:t>стандартизированная клиническая шкала, используемая для оценки функции тазобедренного сустава после хирургического или консервативного лечения.</w:t>
      </w:r>
    </w:p>
    <w:p w14:paraId="2A7870A5" w14:textId="1DE36408" w:rsidR="00881B68" w:rsidRPr="00185BC0" w:rsidRDefault="00881B68" w:rsidP="00881B68">
      <w:pPr>
        <w:pStyle w:val="a3"/>
        <w:ind w:firstLine="567"/>
        <w:jc w:val="both"/>
        <w:rPr>
          <w:sz w:val="28"/>
          <w:szCs w:val="28"/>
          <w:lang w:val="kk-KZ"/>
        </w:rPr>
      </w:pPr>
      <w:r w:rsidRPr="00185BC0">
        <w:rPr>
          <w:b/>
          <w:sz w:val="28"/>
          <w:szCs w:val="28"/>
          <w:lang w:val="kk-KZ"/>
        </w:rPr>
        <w:t>KOMPAS-3D</w:t>
      </w:r>
      <w:r w:rsidRPr="00185BC0">
        <w:rPr>
          <w:sz w:val="28"/>
          <w:szCs w:val="28"/>
          <w:lang w:val="kk-KZ"/>
        </w:rPr>
        <w:t xml:space="preserve"> </w:t>
      </w:r>
      <w:r w:rsidR="00DA5A93" w:rsidRPr="00185BC0">
        <w:rPr>
          <w:sz w:val="28"/>
          <w:szCs w:val="28"/>
          <w:lang w:val="kk-KZ"/>
        </w:rPr>
        <w:t>–</w:t>
      </w:r>
      <w:r w:rsidR="00D33B88" w:rsidRPr="00185BC0">
        <w:rPr>
          <w:sz w:val="28"/>
          <w:szCs w:val="28"/>
          <w:lang w:val="kk-KZ"/>
        </w:rPr>
        <w:t xml:space="preserve"> </w:t>
      </w:r>
      <w:r w:rsidRPr="00185BC0">
        <w:rPr>
          <w:sz w:val="28"/>
          <w:szCs w:val="28"/>
          <w:lang w:val="kk-KZ"/>
        </w:rPr>
        <w:t>система трёхмерного моделирования, предназначенная для создания, анализа и оптимизации изделий и их конструктивных элементов.</w:t>
      </w:r>
    </w:p>
    <w:p w14:paraId="698625BB" w14:textId="0E7D3106" w:rsidR="00881B68" w:rsidRPr="00185BC0" w:rsidRDefault="00881B68" w:rsidP="00881B68">
      <w:pPr>
        <w:pStyle w:val="a3"/>
        <w:ind w:firstLine="567"/>
        <w:jc w:val="both"/>
        <w:rPr>
          <w:sz w:val="28"/>
          <w:szCs w:val="28"/>
          <w:lang w:val="kk-KZ"/>
        </w:rPr>
      </w:pPr>
      <w:r w:rsidRPr="00185BC0">
        <w:rPr>
          <w:b/>
          <w:sz w:val="28"/>
          <w:szCs w:val="28"/>
          <w:lang w:val="kk-KZ"/>
        </w:rPr>
        <w:t>MasterCAM</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современная система автоматизированного проектирования и подготовки управляющих программ (CAM </w:t>
      </w:r>
      <w:r w:rsidR="00DA5A93" w:rsidRPr="00185BC0">
        <w:rPr>
          <w:sz w:val="28"/>
          <w:szCs w:val="28"/>
          <w:lang w:val="kk-KZ"/>
        </w:rPr>
        <w:t>–</w:t>
      </w:r>
      <w:r w:rsidRPr="00185BC0">
        <w:rPr>
          <w:sz w:val="28"/>
          <w:szCs w:val="28"/>
          <w:lang w:val="kk-KZ"/>
        </w:rPr>
        <w:t xml:space="preserve"> Computer-Aided Manufacturing), используемая для обработки деталей на станках с числовым программным управлением (ЧПУ).</w:t>
      </w:r>
    </w:p>
    <w:p w14:paraId="5A627530" w14:textId="53AEE563" w:rsidR="00881B68" w:rsidRPr="00185BC0" w:rsidRDefault="00881B68" w:rsidP="00881B68">
      <w:pPr>
        <w:pStyle w:val="a3"/>
        <w:ind w:firstLine="567"/>
        <w:jc w:val="both"/>
        <w:rPr>
          <w:sz w:val="28"/>
          <w:szCs w:val="28"/>
        </w:rPr>
      </w:pPr>
      <w:proofErr w:type="spellStart"/>
      <w:r w:rsidRPr="00185BC0">
        <w:rPr>
          <w:b/>
          <w:sz w:val="28"/>
          <w:szCs w:val="28"/>
        </w:rPr>
        <w:t>Materialise</w:t>
      </w:r>
      <w:proofErr w:type="spellEnd"/>
      <w:r w:rsidRPr="00185BC0">
        <w:rPr>
          <w:b/>
          <w:sz w:val="28"/>
          <w:szCs w:val="28"/>
        </w:rPr>
        <w:t xml:space="preserve"> </w:t>
      </w:r>
      <w:proofErr w:type="spellStart"/>
      <w:r w:rsidRPr="00185BC0">
        <w:rPr>
          <w:b/>
          <w:sz w:val="28"/>
          <w:szCs w:val="28"/>
        </w:rPr>
        <w:t>Mimics</w:t>
      </w:r>
      <w:proofErr w:type="spellEnd"/>
      <w:r w:rsidRPr="00185BC0">
        <w:rPr>
          <w:sz w:val="28"/>
          <w:szCs w:val="28"/>
        </w:rPr>
        <w:t xml:space="preserve"> </w:t>
      </w:r>
      <w:r w:rsidR="00DA5A93" w:rsidRPr="00185BC0">
        <w:rPr>
          <w:sz w:val="28"/>
          <w:szCs w:val="28"/>
        </w:rPr>
        <w:t>–</w:t>
      </w:r>
      <w:r w:rsidR="00D33B88" w:rsidRPr="00185BC0">
        <w:rPr>
          <w:sz w:val="28"/>
          <w:szCs w:val="28"/>
          <w:lang w:val="kk-KZ"/>
        </w:rPr>
        <w:t xml:space="preserve"> </w:t>
      </w:r>
      <w:r w:rsidRPr="00185BC0">
        <w:rPr>
          <w:sz w:val="28"/>
          <w:szCs w:val="28"/>
        </w:rPr>
        <w:t xml:space="preserve">специализированное программное обеспечение, разработанное компанией </w:t>
      </w:r>
      <w:proofErr w:type="spellStart"/>
      <w:r w:rsidRPr="00185BC0">
        <w:rPr>
          <w:sz w:val="28"/>
          <w:szCs w:val="28"/>
        </w:rPr>
        <w:t>Materialise</w:t>
      </w:r>
      <w:proofErr w:type="spellEnd"/>
      <w:r w:rsidRPr="00185BC0">
        <w:rPr>
          <w:sz w:val="28"/>
          <w:szCs w:val="28"/>
        </w:rPr>
        <w:t xml:space="preserve"> для обработки и анализа медицинских изображений, в частности данных в формате DICOM (Digital </w:t>
      </w:r>
      <w:proofErr w:type="spellStart"/>
      <w:r w:rsidRPr="00185BC0">
        <w:rPr>
          <w:sz w:val="28"/>
          <w:szCs w:val="28"/>
        </w:rPr>
        <w:t>Imaging</w:t>
      </w:r>
      <w:proofErr w:type="spellEnd"/>
      <w:r w:rsidRPr="00185BC0">
        <w:rPr>
          <w:sz w:val="28"/>
          <w:szCs w:val="28"/>
        </w:rPr>
        <w:t xml:space="preserve"> </w:t>
      </w:r>
      <w:proofErr w:type="spellStart"/>
      <w:r w:rsidRPr="00185BC0">
        <w:rPr>
          <w:sz w:val="28"/>
          <w:szCs w:val="28"/>
        </w:rPr>
        <w:t>and</w:t>
      </w:r>
      <w:proofErr w:type="spellEnd"/>
      <w:r w:rsidRPr="00185BC0">
        <w:rPr>
          <w:sz w:val="28"/>
          <w:szCs w:val="28"/>
        </w:rPr>
        <w:t xml:space="preserve"> Communications </w:t>
      </w:r>
      <w:proofErr w:type="spellStart"/>
      <w:r w:rsidRPr="00185BC0">
        <w:rPr>
          <w:sz w:val="28"/>
          <w:szCs w:val="28"/>
        </w:rPr>
        <w:t>in</w:t>
      </w:r>
      <w:proofErr w:type="spellEnd"/>
      <w:r w:rsidRPr="00185BC0">
        <w:rPr>
          <w:sz w:val="28"/>
          <w:szCs w:val="28"/>
        </w:rPr>
        <w:t xml:space="preserve"> </w:t>
      </w:r>
      <w:proofErr w:type="spellStart"/>
      <w:r w:rsidRPr="00185BC0">
        <w:rPr>
          <w:sz w:val="28"/>
          <w:szCs w:val="28"/>
        </w:rPr>
        <w:t>Medicine</w:t>
      </w:r>
      <w:proofErr w:type="spellEnd"/>
      <w:r w:rsidRPr="00185BC0">
        <w:rPr>
          <w:sz w:val="28"/>
          <w:szCs w:val="28"/>
        </w:rPr>
        <w:t>).</w:t>
      </w:r>
    </w:p>
    <w:p w14:paraId="0E368EC1" w14:textId="51F43094" w:rsidR="00881B68" w:rsidRPr="00185BC0" w:rsidRDefault="00881B68" w:rsidP="00881B68">
      <w:pPr>
        <w:pStyle w:val="a3"/>
        <w:ind w:firstLine="567"/>
        <w:jc w:val="both"/>
        <w:rPr>
          <w:sz w:val="28"/>
          <w:szCs w:val="28"/>
        </w:rPr>
      </w:pPr>
      <w:proofErr w:type="spellStart"/>
      <w:r w:rsidRPr="00185BC0">
        <w:rPr>
          <w:b/>
          <w:sz w:val="28"/>
          <w:szCs w:val="28"/>
        </w:rPr>
        <w:t>Oxford</w:t>
      </w:r>
      <w:proofErr w:type="spellEnd"/>
      <w:r w:rsidRPr="00185BC0">
        <w:rPr>
          <w:b/>
          <w:sz w:val="28"/>
          <w:szCs w:val="28"/>
        </w:rPr>
        <w:t xml:space="preserve"> </w:t>
      </w:r>
      <w:proofErr w:type="spellStart"/>
      <w:r w:rsidRPr="00185BC0">
        <w:rPr>
          <w:b/>
          <w:sz w:val="28"/>
          <w:szCs w:val="28"/>
        </w:rPr>
        <w:t>Hip</w:t>
      </w:r>
      <w:proofErr w:type="spellEnd"/>
      <w:r w:rsidRPr="00185BC0">
        <w:rPr>
          <w:b/>
          <w:sz w:val="28"/>
          <w:szCs w:val="28"/>
        </w:rPr>
        <w:t xml:space="preserve"> </w:t>
      </w:r>
      <w:proofErr w:type="spellStart"/>
      <w:r w:rsidR="00F520DB" w:rsidRPr="00185BC0">
        <w:rPr>
          <w:b/>
          <w:sz w:val="28"/>
          <w:szCs w:val="28"/>
        </w:rPr>
        <w:t>Score</w:t>
      </w:r>
      <w:proofErr w:type="spellEnd"/>
      <w:r w:rsidR="00F520DB" w:rsidRPr="00185BC0">
        <w:rPr>
          <w:sz w:val="28"/>
          <w:szCs w:val="28"/>
        </w:rPr>
        <w:t xml:space="preserve"> –</w:t>
      </w:r>
      <w:r w:rsidRPr="00185BC0">
        <w:rPr>
          <w:sz w:val="28"/>
          <w:szCs w:val="28"/>
        </w:rPr>
        <w:t xml:space="preserve"> специализированный опросник, разработанный для оценки функционального состояния тазобедренного сустава и качества жизни пациентов после эндопротезирования или других хирургических вмешательств.</w:t>
      </w:r>
    </w:p>
    <w:p w14:paraId="5E0F2D32" w14:textId="54EEAEBD" w:rsidR="00881B68" w:rsidRPr="00185BC0" w:rsidRDefault="00881B68" w:rsidP="00881B68">
      <w:pPr>
        <w:pStyle w:val="a3"/>
        <w:ind w:firstLine="567"/>
        <w:jc w:val="both"/>
        <w:rPr>
          <w:sz w:val="28"/>
          <w:szCs w:val="28"/>
          <w:lang w:val="kk-KZ"/>
        </w:rPr>
      </w:pPr>
      <w:r w:rsidRPr="00185BC0">
        <w:rPr>
          <w:b/>
          <w:sz w:val="28"/>
          <w:szCs w:val="28"/>
          <w:lang w:val="kk-KZ"/>
        </w:rPr>
        <w:t>PACS</w:t>
      </w:r>
      <w:r w:rsidRPr="00185BC0">
        <w:rPr>
          <w:sz w:val="28"/>
          <w:szCs w:val="28"/>
          <w:lang w:val="kk-KZ"/>
        </w:rPr>
        <w:t xml:space="preserve"> </w:t>
      </w:r>
      <w:r w:rsidRPr="00185BC0">
        <w:rPr>
          <w:b/>
          <w:sz w:val="28"/>
          <w:szCs w:val="28"/>
          <w:lang w:val="kk-KZ"/>
        </w:rPr>
        <w:t>(Picture Archiving and Communication System)</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это система архивации и передачи медицинских изображений, которая используется в больницах, клиниках и исследовательских центрах для хранения, обработки, передачи и просмотра данных медицинской визуализации.</w:t>
      </w:r>
    </w:p>
    <w:p w14:paraId="0745C204" w14:textId="5200E4E4" w:rsidR="00881B68" w:rsidRPr="00185BC0" w:rsidRDefault="00881B68" w:rsidP="00881B68">
      <w:pPr>
        <w:pStyle w:val="a3"/>
        <w:ind w:firstLine="567"/>
        <w:jc w:val="both"/>
        <w:rPr>
          <w:sz w:val="28"/>
          <w:szCs w:val="28"/>
        </w:rPr>
      </w:pPr>
      <w:r w:rsidRPr="00185BC0">
        <w:rPr>
          <w:b/>
          <w:sz w:val="28"/>
          <w:szCs w:val="28"/>
        </w:rPr>
        <w:t>SLA (</w:t>
      </w:r>
      <w:proofErr w:type="spellStart"/>
      <w:r w:rsidRPr="00185BC0">
        <w:rPr>
          <w:b/>
          <w:sz w:val="28"/>
          <w:szCs w:val="28"/>
        </w:rPr>
        <w:t>Stereolithography</w:t>
      </w:r>
      <w:proofErr w:type="spellEnd"/>
      <w:r w:rsidRPr="00185BC0">
        <w:rPr>
          <w:b/>
          <w:sz w:val="28"/>
          <w:szCs w:val="28"/>
        </w:rPr>
        <w:t xml:space="preserve">, </w:t>
      </w:r>
      <w:proofErr w:type="spellStart"/>
      <w:r w:rsidRPr="00185BC0">
        <w:rPr>
          <w:b/>
          <w:sz w:val="28"/>
          <w:szCs w:val="28"/>
        </w:rPr>
        <w:t>стереолитография</w:t>
      </w:r>
      <w:proofErr w:type="spellEnd"/>
      <w:r w:rsidRPr="00185BC0">
        <w:rPr>
          <w:b/>
          <w:sz w:val="28"/>
          <w:szCs w:val="28"/>
        </w:rPr>
        <w:t>)</w:t>
      </w:r>
      <w:r w:rsidRPr="00185BC0">
        <w:rPr>
          <w:sz w:val="28"/>
          <w:szCs w:val="28"/>
        </w:rPr>
        <w:t xml:space="preserve"> </w:t>
      </w:r>
      <w:r w:rsidR="00DA5A93" w:rsidRPr="00185BC0">
        <w:rPr>
          <w:sz w:val="28"/>
          <w:szCs w:val="28"/>
        </w:rPr>
        <w:t>–</w:t>
      </w:r>
      <w:r w:rsidRPr="00185BC0">
        <w:rPr>
          <w:sz w:val="28"/>
          <w:szCs w:val="28"/>
        </w:rPr>
        <w:t xml:space="preserve"> одна из старейших и наиболее точных технологий аддитивного производства (3D-печати), которая используется для создания </w:t>
      </w:r>
      <w:proofErr w:type="spellStart"/>
      <w:r w:rsidRPr="00185BC0">
        <w:rPr>
          <w:sz w:val="28"/>
          <w:szCs w:val="28"/>
        </w:rPr>
        <w:t>высокодетализированных</w:t>
      </w:r>
      <w:proofErr w:type="spellEnd"/>
      <w:r w:rsidRPr="00185BC0">
        <w:rPr>
          <w:sz w:val="28"/>
          <w:szCs w:val="28"/>
        </w:rPr>
        <w:t xml:space="preserve"> моделей, прототипов, </w:t>
      </w:r>
      <w:r w:rsidRPr="00185BC0">
        <w:rPr>
          <w:sz w:val="28"/>
          <w:szCs w:val="28"/>
        </w:rPr>
        <w:lastRenderedPageBreak/>
        <w:t>навигационных шаблонов и даже медицинских имплантатов.</w:t>
      </w:r>
    </w:p>
    <w:p w14:paraId="1A30C7AE" w14:textId="3B14E5AB" w:rsidR="00881B68" w:rsidRPr="00185BC0" w:rsidRDefault="00881B68" w:rsidP="00881B68">
      <w:pPr>
        <w:pStyle w:val="a3"/>
        <w:ind w:firstLine="567"/>
        <w:jc w:val="both"/>
        <w:rPr>
          <w:sz w:val="28"/>
          <w:szCs w:val="28"/>
        </w:rPr>
      </w:pPr>
      <w:proofErr w:type="spellStart"/>
      <w:r w:rsidRPr="00185BC0">
        <w:rPr>
          <w:b/>
          <w:sz w:val="28"/>
          <w:szCs w:val="28"/>
        </w:rPr>
        <w:t>SolidWorks</w:t>
      </w:r>
      <w:proofErr w:type="spellEnd"/>
      <w:r w:rsidRPr="00185BC0">
        <w:rPr>
          <w:sz w:val="28"/>
          <w:szCs w:val="28"/>
        </w:rPr>
        <w:t xml:space="preserve"> </w:t>
      </w:r>
      <w:r w:rsidR="00DA5A93" w:rsidRPr="00185BC0">
        <w:rPr>
          <w:sz w:val="28"/>
          <w:szCs w:val="28"/>
        </w:rPr>
        <w:t>–</w:t>
      </w:r>
      <w:r w:rsidR="00D33B88" w:rsidRPr="00185BC0">
        <w:rPr>
          <w:sz w:val="28"/>
          <w:szCs w:val="28"/>
          <w:lang w:val="kk-KZ"/>
        </w:rPr>
        <w:t xml:space="preserve"> </w:t>
      </w:r>
      <w:r w:rsidRPr="00185BC0">
        <w:rPr>
          <w:sz w:val="28"/>
          <w:szCs w:val="28"/>
        </w:rPr>
        <w:t>профессиональная система автоматизированного проектирования (CAD, Computer-</w:t>
      </w:r>
      <w:proofErr w:type="spellStart"/>
      <w:r w:rsidRPr="00185BC0">
        <w:rPr>
          <w:sz w:val="28"/>
          <w:szCs w:val="28"/>
        </w:rPr>
        <w:t>Aided</w:t>
      </w:r>
      <w:proofErr w:type="spellEnd"/>
      <w:r w:rsidRPr="00185BC0">
        <w:rPr>
          <w:sz w:val="28"/>
          <w:szCs w:val="28"/>
        </w:rPr>
        <w:t xml:space="preserve"> Design), используемая для трёхмерного моделирования, инженерных расчётов и подготовки данных для производства.</w:t>
      </w:r>
    </w:p>
    <w:p w14:paraId="5C6928D7" w14:textId="5A2D0A71" w:rsidR="00881B68" w:rsidRPr="00185BC0" w:rsidRDefault="00881B68" w:rsidP="00881B68">
      <w:pPr>
        <w:pStyle w:val="a3"/>
        <w:ind w:firstLine="567"/>
        <w:jc w:val="both"/>
        <w:rPr>
          <w:sz w:val="28"/>
          <w:szCs w:val="28"/>
          <w:lang w:val="kk-KZ"/>
        </w:rPr>
      </w:pPr>
      <w:r w:rsidRPr="00185BC0">
        <w:rPr>
          <w:b/>
          <w:sz w:val="28"/>
          <w:szCs w:val="28"/>
          <w:lang w:val="kk-KZ"/>
        </w:rPr>
        <w:t>Stress shielding</w:t>
      </w:r>
      <w:r w:rsidRPr="00185BC0">
        <w:rPr>
          <w:sz w:val="28"/>
          <w:szCs w:val="28"/>
          <w:lang w:val="kk-KZ"/>
        </w:rPr>
        <w:t xml:space="preserve"> </w:t>
      </w:r>
      <w:r w:rsidR="00DA5A93" w:rsidRPr="00185BC0">
        <w:rPr>
          <w:sz w:val="28"/>
          <w:szCs w:val="28"/>
          <w:lang w:val="kk-KZ"/>
        </w:rPr>
        <w:t>–</w:t>
      </w:r>
      <w:r w:rsidR="00D33B88" w:rsidRPr="00185BC0">
        <w:rPr>
          <w:sz w:val="28"/>
          <w:szCs w:val="28"/>
          <w:lang w:val="kk-KZ"/>
        </w:rPr>
        <w:t xml:space="preserve"> </w:t>
      </w:r>
      <w:r w:rsidRPr="00185BC0">
        <w:rPr>
          <w:sz w:val="28"/>
          <w:szCs w:val="28"/>
          <w:lang w:val="kk-KZ"/>
        </w:rPr>
        <w:t>неравномерное перераспределение механических напряжений в кости при установке имплантата, приводящее к тому, что имплантат берет на себя значительную часть нагрузки, а кость в прилегающей зоне недополучает физиологическую нагрузку, необходимую для поддержания её плотности и структуры.</w:t>
      </w:r>
    </w:p>
    <w:p w14:paraId="495096A6" w14:textId="413936FA" w:rsidR="00881B68" w:rsidRPr="00185BC0" w:rsidRDefault="00881B68" w:rsidP="00881B68">
      <w:pPr>
        <w:pStyle w:val="a3"/>
        <w:ind w:firstLine="567"/>
        <w:jc w:val="both"/>
        <w:rPr>
          <w:sz w:val="28"/>
          <w:szCs w:val="28"/>
          <w:lang w:val="kk-KZ"/>
        </w:rPr>
      </w:pPr>
      <w:r w:rsidRPr="00185BC0">
        <w:rPr>
          <w:b/>
          <w:sz w:val="28"/>
          <w:szCs w:val="28"/>
          <w:lang w:val="kk-KZ"/>
        </w:rPr>
        <w:t>Templating</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предоперационное планирование в ортопедии, которое выполняется с использованием рентгенологических снимков (чаще всего в формате DICOM) для подбора оптимального размера и положения имплантатов, а также для прогнозирования необходимости дополнительных процедур.</w:t>
      </w:r>
    </w:p>
    <w:p w14:paraId="33B03047" w14:textId="721E9B09" w:rsidR="00881B68" w:rsidRPr="00185BC0" w:rsidRDefault="00881B68" w:rsidP="00881B68">
      <w:pPr>
        <w:pStyle w:val="a3"/>
        <w:ind w:firstLine="567"/>
        <w:jc w:val="both"/>
        <w:rPr>
          <w:sz w:val="28"/>
          <w:szCs w:val="28"/>
          <w:lang w:val="kk-KZ"/>
        </w:rPr>
      </w:pPr>
      <w:r w:rsidRPr="00185BC0">
        <w:rPr>
          <w:b/>
          <w:sz w:val="28"/>
          <w:szCs w:val="28"/>
          <w:lang w:val="kk-KZ"/>
        </w:rPr>
        <w:t xml:space="preserve">TESA </w:t>
      </w:r>
      <w:r w:rsidR="00DA5A93" w:rsidRPr="00185BC0">
        <w:rPr>
          <w:sz w:val="28"/>
          <w:szCs w:val="28"/>
          <w:lang w:val="kk-KZ"/>
        </w:rPr>
        <w:t>–</w:t>
      </w:r>
      <w:r w:rsidRPr="00185BC0">
        <w:rPr>
          <w:sz w:val="28"/>
          <w:szCs w:val="28"/>
          <w:lang w:val="kk-KZ"/>
        </w:rPr>
        <w:t xml:space="preserve"> швейцарский производитель высокоточных измерительных инструментов и систем контроля качества, используемых для проверки линейных и угловых размеров изделий в машиностроении и медицинском приборостроении.</w:t>
      </w:r>
    </w:p>
    <w:p w14:paraId="0938E2B2" w14:textId="1AC61A1D" w:rsidR="00881B68" w:rsidRPr="00185BC0" w:rsidRDefault="00881B68" w:rsidP="00881B68">
      <w:pPr>
        <w:pStyle w:val="a3"/>
        <w:ind w:firstLine="567"/>
        <w:jc w:val="both"/>
        <w:rPr>
          <w:sz w:val="28"/>
          <w:szCs w:val="28"/>
        </w:rPr>
      </w:pPr>
      <w:r w:rsidRPr="00185BC0">
        <w:rPr>
          <w:b/>
          <w:sz w:val="28"/>
          <w:szCs w:val="28"/>
        </w:rPr>
        <w:t xml:space="preserve">Visual </w:t>
      </w:r>
      <w:proofErr w:type="spellStart"/>
      <w:r w:rsidRPr="00185BC0">
        <w:rPr>
          <w:b/>
          <w:sz w:val="28"/>
          <w:szCs w:val="28"/>
        </w:rPr>
        <w:t>Analogue</w:t>
      </w:r>
      <w:proofErr w:type="spellEnd"/>
      <w:r w:rsidRPr="00185BC0">
        <w:rPr>
          <w:b/>
          <w:sz w:val="28"/>
          <w:szCs w:val="28"/>
        </w:rPr>
        <w:t xml:space="preserve"> </w:t>
      </w:r>
      <w:proofErr w:type="spellStart"/>
      <w:r w:rsidRPr="00185BC0">
        <w:rPr>
          <w:b/>
          <w:sz w:val="28"/>
          <w:szCs w:val="28"/>
        </w:rPr>
        <w:t>Scale</w:t>
      </w:r>
      <w:proofErr w:type="spellEnd"/>
      <w:r w:rsidRPr="00185BC0">
        <w:rPr>
          <w:sz w:val="28"/>
          <w:szCs w:val="28"/>
        </w:rPr>
        <w:t xml:space="preserve"> </w:t>
      </w:r>
      <w:r w:rsidR="00DA5A93" w:rsidRPr="00185BC0">
        <w:rPr>
          <w:sz w:val="28"/>
          <w:szCs w:val="28"/>
        </w:rPr>
        <w:t>–</w:t>
      </w:r>
      <w:r w:rsidRPr="00185BC0">
        <w:rPr>
          <w:sz w:val="28"/>
          <w:szCs w:val="28"/>
        </w:rPr>
        <w:t xml:space="preserve"> субъективный метод количественной оценки интенсивности боли у пациента.</w:t>
      </w:r>
    </w:p>
    <w:p w14:paraId="665D8467" w14:textId="4FFD455F" w:rsidR="00881B68" w:rsidRPr="00185BC0" w:rsidRDefault="00881B68" w:rsidP="00881B68">
      <w:pPr>
        <w:pStyle w:val="a3"/>
        <w:ind w:firstLine="567"/>
        <w:jc w:val="both"/>
        <w:rPr>
          <w:sz w:val="28"/>
          <w:szCs w:val="28"/>
          <w:lang w:val="kk-KZ"/>
        </w:rPr>
      </w:pPr>
      <w:r w:rsidRPr="00185BC0">
        <w:rPr>
          <w:b/>
          <w:sz w:val="28"/>
          <w:szCs w:val="28"/>
          <w:lang w:val="kk-KZ"/>
        </w:rPr>
        <w:t>Антеверсия бедренной кости</w:t>
      </w:r>
      <w:r w:rsidRPr="00185BC0">
        <w:rPr>
          <w:sz w:val="28"/>
          <w:szCs w:val="28"/>
          <w:lang w:val="kk-KZ"/>
        </w:rPr>
        <w:t xml:space="preserve"> </w:t>
      </w:r>
      <w:r w:rsidR="00DA5A93" w:rsidRPr="00185BC0">
        <w:rPr>
          <w:sz w:val="28"/>
          <w:szCs w:val="28"/>
          <w:lang w:val="kk-KZ"/>
        </w:rPr>
        <w:t>–</w:t>
      </w:r>
      <w:r w:rsidR="00D33B88" w:rsidRPr="00185BC0">
        <w:rPr>
          <w:sz w:val="28"/>
          <w:szCs w:val="28"/>
          <w:lang w:val="kk-KZ"/>
        </w:rPr>
        <w:t xml:space="preserve"> </w:t>
      </w:r>
      <w:r w:rsidRPr="00185BC0">
        <w:rPr>
          <w:sz w:val="28"/>
          <w:szCs w:val="28"/>
          <w:lang w:val="kk-KZ"/>
        </w:rPr>
        <w:t>анатомический угол между осью шейки бедренной кости и фронтальной плоскостью мыщелков дистального отдела бедра, при котором шейка и головка бедренной кости смещены вперёд относительно мыщелков.</w:t>
      </w:r>
    </w:p>
    <w:p w14:paraId="2CAD5709" w14:textId="26F0B1AD" w:rsidR="00881B68" w:rsidRPr="00185BC0" w:rsidRDefault="00881B68" w:rsidP="00881B68">
      <w:pPr>
        <w:pStyle w:val="a3"/>
        <w:ind w:firstLine="567"/>
        <w:jc w:val="both"/>
        <w:rPr>
          <w:sz w:val="28"/>
          <w:szCs w:val="28"/>
          <w:lang w:val="kk-KZ"/>
        </w:rPr>
      </w:pPr>
      <w:r w:rsidRPr="00185BC0">
        <w:rPr>
          <w:b/>
          <w:sz w:val="28"/>
          <w:szCs w:val="28"/>
          <w:lang w:val="kk-KZ"/>
        </w:rPr>
        <w:t>Антеторсия бедра</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анатомический термин, обозначающий угол между осью шейки бедренной кости и фронтальной плоскостью мыщелков бедра, при котором шейка бедра направлена вперёд относительно мыщелков дистального отдела.</w:t>
      </w:r>
    </w:p>
    <w:p w14:paraId="10F0B22A" w14:textId="0963D100" w:rsidR="00881B68" w:rsidRPr="00185BC0" w:rsidRDefault="00881B68" w:rsidP="00881B68">
      <w:pPr>
        <w:pStyle w:val="a3"/>
        <w:ind w:firstLine="567"/>
        <w:jc w:val="both"/>
        <w:rPr>
          <w:sz w:val="28"/>
          <w:szCs w:val="28"/>
          <w:lang w:val="kk-KZ"/>
        </w:rPr>
      </w:pPr>
      <w:r w:rsidRPr="00185BC0">
        <w:rPr>
          <w:b/>
          <w:sz w:val="28"/>
          <w:szCs w:val="28"/>
          <w:lang w:val="kk-KZ"/>
        </w:rPr>
        <w:t>Ацетабулярный угол (угол крыши вертлужной впадины или Acetabular Index)</w:t>
      </w:r>
      <w:r w:rsidRPr="00185BC0">
        <w:rPr>
          <w:sz w:val="28"/>
          <w:szCs w:val="28"/>
          <w:lang w:val="kk-KZ"/>
        </w:rPr>
        <w:t xml:space="preserve"> </w:t>
      </w:r>
      <w:r w:rsidR="00DA5A93" w:rsidRPr="00185BC0">
        <w:rPr>
          <w:sz w:val="28"/>
          <w:szCs w:val="28"/>
          <w:lang w:val="kk-KZ"/>
        </w:rPr>
        <w:t>–</w:t>
      </w:r>
      <w:r w:rsidR="00D33B88" w:rsidRPr="00185BC0">
        <w:rPr>
          <w:sz w:val="28"/>
          <w:szCs w:val="28"/>
          <w:lang w:val="kk-KZ"/>
        </w:rPr>
        <w:t xml:space="preserve"> </w:t>
      </w:r>
      <w:r w:rsidRPr="00185BC0">
        <w:rPr>
          <w:sz w:val="28"/>
          <w:szCs w:val="28"/>
          <w:lang w:val="kk-KZ"/>
        </w:rPr>
        <w:t>важный рентгенологический показатель, который используется для оценки развития вертлужной впадины, особенно при дисплазии тазобедренного сустава.</w:t>
      </w:r>
    </w:p>
    <w:p w14:paraId="7CEFAA14" w14:textId="69401E2E" w:rsidR="00881B68" w:rsidRPr="00185BC0" w:rsidRDefault="00881B68" w:rsidP="00881B68">
      <w:pPr>
        <w:pStyle w:val="a3"/>
        <w:ind w:firstLine="567"/>
        <w:jc w:val="both"/>
        <w:rPr>
          <w:sz w:val="28"/>
          <w:szCs w:val="28"/>
        </w:rPr>
      </w:pPr>
      <w:r w:rsidRPr="00185BC0">
        <w:rPr>
          <w:b/>
          <w:sz w:val="28"/>
          <w:szCs w:val="28"/>
        </w:rPr>
        <w:t>ВТ-6</w:t>
      </w:r>
      <w:r w:rsidRPr="00185BC0">
        <w:rPr>
          <w:sz w:val="28"/>
          <w:szCs w:val="28"/>
        </w:rPr>
        <w:t xml:space="preserve"> </w:t>
      </w:r>
      <w:r w:rsidR="00DA5A93" w:rsidRPr="00185BC0">
        <w:rPr>
          <w:sz w:val="28"/>
          <w:szCs w:val="28"/>
        </w:rPr>
        <w:t>–</w:t>
      </w:r>
      <w:r w:rsidRPr="00185BC0">
        <w:rPr>
          <w:sz w:val="28"/>
          <w:szCs w:val="28"/>
        </w:rPr>
        <w:t xml:space="preserve"> титановый сплав, широко используемый в авиационной, космической и медицинской промышленности, включая ортопедические конструкции и имплантаты.</w:t>
      </w:r>
    </w:p>
    <w:p w14:paraId="115CC3A5" w14:textId="77777777" w:rsidR="00881B68" w:rsidRPr="00185BC0" w:rsidRDefault="00881B68" w:rsidP="00881B68">
      <w:pPr>
        <w:pStyle w:val="a3"/>
        <w:ind w:firstLine="567"/>
        <w:jc w:val="both"/>
        <w:rPr>
          <w:sz w:val="28"/>
          <w:szCs w:val="28"/>
        </w:rPr>
      </w:pPr>
      <w:r w:rsidRPr="00185BC0">
        <w:rPr>
          <w:b/>
          <w:sz w:val="28"/>
          <w:szCs w:val="28"/>
          <w:lang w:val="kk-KZ"/>
        </w:rPr>
        <w:t>Дисплазия</w:t>
      </w:r>
      <w:r w:rsidRPr="00185BC0">
        <w:rPr>
          <w:sz w:val="28"/>
          <w:szCs w:val="28"/>
        </w:rPr>
        <w:t xml:space="preserve"> - нарушение формирования тазобедренного сустава, захватывающее все составляющие сустав элементы: костно-хрящевую основу, </w:t>
      </w:r>
      <w:proofErr w:type="spellStart"/>
      <w:r w:rsidRPr="00185BC0">
        <w:rPr>
          <w:sz w:val="28"/>
          <w:szCs w:val="28"/>
        </w:rPr>
        <w:t>связочно</w:t>
      </w:r>
      <w:proofErr w:type="spellEnd"/>
      <w:r w:rsidRPr="00185BC0">
        <w:rPr>
          <w:sz w:val="28"/>
          <w:szCs w:val="28"/>
        </w:rPr>
        <w:t>-капсульный аппарат и мышечный компонент.</w:t>
      </w:r>
    </w:p>
    <w:p w14:paraId="2ECA4684" w14:textId="44EFCF93" w:rsidR="00881B68" w:rsidRPr="00185BC0" w:rsidRDefault="00881B68" w:rsidP="00881B68">
      <w:pPr>
        <w:pStyle w:val="a3"/>
        <w:ind w:firstLine="567"/>
        <w:jc w:val="both"/>
        <w:rPr>
          <w:sz w:val="28"/>
          <w:szCs w:val="28"/>
        </w:rPr>
      </w:pPr>
      <w:r w:rsidRPr="00185BC0">
        <w:rPr>
          <w:b/>
          <w:sz w:val="28"/>
          <w:szCs w:val="28"/>
        </w:rPr>
        <w:t>Диспластический коксартроз</w:t>
      </w:r>
      <w:r w:rsidRPr="00185BC0">
        <w:rPr>
          <w:sz w:val="28"/>
          <w:szCs w:val="28"/>
        </w:rPr>
        <w:t xml:space="preserve"> –</w:t>
      </w:r>
      <w:r w:rsidR="00704901" w:rsidRPr="00185BC0">
        <w:rPr>
          <w:sz w:val="28"/>
          <w:szCs w:val="28"/>
        </w:rPr>
        <w:t xml:space="preserve"> дегенеративно-дистрофическое поражение тазобедренного сустава, обусловленное врождёнными нарушениями его развития и характеризующееся деформацией суставных компонентов, недостаточной сформированностью вертлужной впадины, а также изменением </w:t>
      </w:r>
      <w:proofErr w:type="spellStart"/>
      <w:r w:rsidR="00704901" w:rsidRPr="00185BC0">
        <w:rPr>
          <w:sz w:val="28"/>
          <w:szCs w:val="28"/>
        </w:rPr>
        <w:t>шеечно-диафизарных</w:t>
      </w:r>
      <w:proofErr w:type="spellEnd"/>
      <w:r w:rsidR="00704901" w:rsidRPr="00185BC0">
        <w:rPr>
          <w:sz w:val="28"/>
          <w:szCs w:val="28"/>
        </w:rPr>
        <w:t xml:space="preserve"> соотношений и </w:t>
      </w:r>
      <w:proofErr w:type="spellStart"/>
      <w:r w:rsidR="00704901" w:rsidRPr="00185BC0">
        <w:rPr>
          <w:sz w:val="28"/>
          <w:szCs w:val="28"/>
        </w:rPr>
        <w:t>антеверсии</w:t>
      </w:r>
      <w:proofErr w:type="spellEnd"/>
      <w:r w:rsidR="00704901" w:rsidRPr="00185BC0">
        <w:rPr>
          <w:sz w:val="28"/>
          <w:szCs w:val="28"/>
        </w:rPr>
        <w:t xml:space="preserve"> проксимального отдела бедренной кости</w:t>
      </w:r>
      <w:r w:rsidRPr="00185BC0">
        <w:rPr>
          <w:sz w:val="28"/>
          <w:szCs w:val="28"/>
        </w:rPr>
        <w:t>.</w:t>
      </w:r>
    </w:p>
    <w:p w14:paraId="21000AED" w14:textId="130C33CE" w:rsidR="00881B68" w:rsidRPr="00185BC0" w:rsidRDefault="00881B68" w:rsidP="00881B68">
      <w:pPr>
        <w:pStyle w:val="a3"/>
        <w:ind w:firstLine="567"/>
        <w:jc w:val="both"/>
        <w:rPr>
          <w:sz w:val="28"/>
          <w:szCs w:val="28"/>
          <w:lang w:val="kk-KZ"/>
        </w:rPr>
      </w:pPr>
      <w:r w:rsidRPr="00185BC0">
        <w:rPr>
          <w:b/>
          <w:sz w:val="28"/>
          <w:szCs w:val="28"/>
          <w:lang w:val="kk-KZ"/>
        </w:rPr>
        <w:t>Доступ по Хардингу</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w:t>
      </w:r>
      <w:r w:rsidR="00704901" w:rsidRPr="00185BC0">
        <w:rPr>
          <w:sz w:val="28"/>
          <w:szCs w:val="28"/>
          <w:lang w:val="kk-KZ"/>
        </w:rPr>
        <w:t xml:space="preserve">передне-боковой хирургический подход к тазобедренному суставу, используемый преимущественно при выполнении </w:t>
      </w:r>
      <w:r w:rsidR="00704901" w:rsidRPr="00185BC0">
        <w:rPr>
          <w:sz w:val="28"/>
          <w:szCs w:val="28"/>
          <w:lang w:val="kk-KZ"/>
        </w:rPr>
        <w:lastRenderedPageBreak/>
        <w:t>тотального эндопротезирования тазобедренного сустава</w:t>
      </w:r>
      <w:r w:rsidRPr="00185BC0">
        <w:rPr>
          <w:sz w:val="28"/>
          <w:szCs w:val="28"/>
          <w:lang w:val="kk-KZ"/>
        </w:rPr>
        <w:t>.</w:t>
      </w:r>
    </w:p>
    <w:p w14:paraId="19AFD8D4" w14:textId="4765D669" w:rsidR="00881B68" w:rsidRPr="00185BC0" w:rsidRDefault="00881B68" w:rsidP="00881B68">
      <w:pPr>
        <w:pStyle w:val="a3"/>
        <w:ind w:firstLine="567"/>
        <w:jc w:val="both"/>
        <w:rPr>
          <w:sz w:val="28"/>
          <w:szCs w:val="28"/>
        </w:rPr>
      </w:pPr>
      <w:r w:rsidRPr="00185BC0">
        <w:rPr>
          <w:b/>
          <w:sz w:val="28"/>
          <w:szCs w:val="28"/>
        </w:rPr>
        <w:t xml:space="preserve">Классификация </w:t>
      </w:r>
      <w:proofErr w:type="spellStart"/>
      <w:r w:rsidRPr="00185BC0">
        <w:rPr>
          <w:b/>
          <w:sz w:val="28"/>
          <w:szCs w:val="28"/>
        </w:rPr>
        <w:t>Crowe</w:t>
      </w:r>
      <w:proofErr w:type="spellEnd"/>
      <w:r w:rsidRPr="00185BC0">
        <w:rPr>
          <w:sz w:val="28"/>
          <w:szCs w:val="28"/>
        </w:rPr>
        <w:t xml:space="preserve"> </w:t>
      </w:r>
      <w:r w:rsidR="00DA5A93" w:rsidRPr="00185BC0">
        <w:rPr>
          <w:sz w:val="28"/>
          <w:szCs w:val="28"/>
        </w:rPr>
        <w:t>–</w:t>
      </w:r>
      <w:r w:rsidRPr="00185BC0">
        <w:rPr>
          <w:sz w:val="28"/>
          <w:szCs w:val="28"/>
        </w:rPr>
        <w:t xml:space="preserve"> общепринятая система оценки степени врожденной или диспластической деформации тазобедренного сустава, основанная на величине проксимального смещения центра головки бедренной кости относительно истинного центра вертлужной впадины на переднезадней рентгенограмме таза</w:t>
      </w:r>
    </w:p>
    <w:p w14:paraId="0A1DEF5F" w14:textId="5C4BDB0F" w:rsidR="00881B68" w:rsidRPr="00185BC0" w:rsidRDefault="00881B68" w:rsidP="00881B68">
      <w:pPr>
        <w:pStyle w:val="a3"/>
        <w:ind w:firstLine="567"/>
        <w:jc w:val="both"/>
        <w:rPr>
          <w:sz w:val="28"/>
          <w:szCs w:val="28"/>
          <w:lang w:val="kk-KZ"/>
        </w:rPr>
      </w:pPr>
      <w:r w:rsidRPr="00185BC0">
        <w:rPr>
          <w:b/>
          <w:sz w:val="28"/>
          <w:szCs w:val="28"/>
          <w:lang w:val="kk-KZ"/>
        </w:rPr>
        <w:t>Коэффициент Пуассона</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безразмерная физическая величина, характеризующая взаимосвязь между относительными деформациями тела при его растяжении или сжатии.</w:t>
      </w:r>
    </w:p>
    <w:p w14:paraId="3974C563" w14:textId="05D3F8C6" w:rsidR="00881B68" w:rsidRPr="00185BC0" w:rsidRDefault="00881B68" w:rsidP="00881B68">
      <w:pPr>
        <w:pStyle w:val="a3"/>
        <w:ind w:firstLine="567"/>
        <w:jc w:val="both"/>
        <w:rPr>
          <w:sz w:val="28"/>
          <w:szCs w:val="28"/>
          <w:lang w:val="kk-KZ"/>
        </w:rPr>
      </w:pPr>
      <w:r w:rsidRPr="00185BC0">
        <w:rPr>
          <w:b/>
          <w:sz w:val="28"/>
          <w:szCs w:val="28"/>
          <w:lang w:val="kk-KZ"/>
        </w:rPr>
        <w:t>Конечно-элементный анализ (КЭА)</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численный метод решения задач механики деформируемого твёрдого тела, динамики, теплопередачи и других инженерных дисциплин.</w:t>
      </w:r>
    </w:p>
    <w:p w14:paraId="4FC53171" w14:textId="20BEBD69" w:rsidR="00881B68" w:rsidRPr="00185BC0" w:rsidRDefault="00881B68" w:rsidP="00881B68">
      <w:pPr>
        <w:pStyle w:val="a3"/>
        <w:ind w:firstLine="567"/>
        <w:jc w:val="both"/>
        <w:rPr>
          <w:sz w:val="28"/>
          <w:szCs w:val="28"/>
          <w:lang w:val="kk-KZ"/>
        </w:rPr>
      </w:pPr>
      <w:r w:rsidRPr="00185BC0">
        <w:rPr>
          <w:b/>
          <w:sz w:val="28"/>
          <w:szCs w:val="28"/>
          <w:lang w:val="kk-KZ"/>
        </w:rPr>
        <w:t>КТ (компьютерная томография)</w:t>
      </w:r>
      <w:r w:rsidRPr="00185BC0">
        <w:rPr>
          <w:sz w:val="28"/>
          <w:szCs w:val="28"/>
          <w:lang w:val="kk-KZ"/>
        </w:rPr>
        <w:t xml:space="preserve"> </w:t>
      </w:r>
      <w:r w:rsidR="00DA5A93" w:rsidRPr="00185BC0">
        <w:rPr>
          <w:sz w:val="28"/>
          <w:szCs w:val="28"/>
          <w:lang w:val="kk-KZ"/>
        </w:rPr>
        <w:t>–</w:t>
      </w:r>
      <w:r w:rsidR="00D33B88" w:rsidRPr="00185BC0">
        <w:rPr>
          <w:sz w:val="28"/>
          <w:szCs w:val="28"/>
          <w:lang w:val="kk-KZ"/>
        </w:rPr>
        <w:t xml:space="preserve"> </w:t>
      </w:r>
      <w:r w:rsidRPr="00185BC0">
        <w:rPr>
          <w:sz w:val="28"/>
          <w:szCs w:val="28"/>
          <w:lang w:val="kk-KZ"/>
        </w:rPr>
        <w:t>метод послойного рентгенологического исследования, позволяющий получать детализированные изображения костных и мягкотканных структур с высокой точностью.</w:t>
      </w:r>
    </w:p>
    <w:p w14:paraId="5B06AB05" w14:textId="13F7CCC1" w:rsidR="00881B68" w:rsidRPr="00185BC0" w:rsidRDefault="00881B68" w:rsidP="00881B68">
      <w:pPr>
        <w:pStyle w:val="a3"/>
        <w:ind w:firstLine="567"/>
        <w:jc w:val="both"/>
        <w:rPr>
          <w:sz w:val="28"/>
          <w:szCs w:val="28"/>
          <w:lang w:val="kk-KZ"/>
        </w:rPr>
      </w:pPr>
      <w:r w:rsidRPr="00185BC0">
        <w:rPr>
          <w:b/>
          <w:sz w:val="28"/>
          <w:szCs w:val="28"/>
          <w:lang w:val="kk-KZ"/>
        </w:rPr>
        <w:t>Метод конечных элементов (МКЭ)</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численный метод решения задач механики сплошных сред, позволяющий моделировать напряжённо-деформированное состояние (НДС) и другие физические процессы в сложных объектах.</w:t>
      </w:r>
    </w:p>
    <w:p w14:paraId="29DBB908" w14:textId="1560F5FF" w:rsidR="00881B68" w:rsidRPr="00185BC0" w:rsidRDefault="00881B68" w:rsidP="00881B68">
      <w:pPr>
        <w:pStyle w:val="a3"/>
        <w:ind w:firstLine="567"/>
        <w:jc w:val="both"/>
        <w:rPr>
          <w:sz w:val="28"/>
          <w:szCs w:val="28"/>
          <w:lang w:val="kk-KZ"/>
        </w:rPr>
      </w:pPr>
      <w:r w:rsidRPr="00185BC0">
        <w:rPr>
          <w:b/>
          <w:sz w:val="28"/>
          <w:szCs w:val="28"/>
          <w:lang w:val="kk-KZ"/>
        </w:rPr>
        <w:t>Мягкотканные релизы</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комплекс хирургических манипуляций, направленных на частичное или полное рассечение, удлинение или перемещение мягких тканей (сухожилий, фасций, капсул суставов, связок, мышц) с целью устранения патологического натяжения и восстановления нормальной анатомии и биомеханики области.</w:t>
      </w:r>
    </w:p>
    <w:p w14:paraId="6D56360E" w14:textId="7FB7C9C8" w:rsidR="00881B68" w:rsidRPr="00185BC0" w:rsidRDefault="00881B68" w:rsidP="00881B68">
      <w:pPr>
        <w:pStyle w:val="a3"/>
        <w:ind w:firstLine="567"/>
        <w:jc w:val="both"/>
        <w:rPr>
          <w:sz w:val="28"/>
          <w:szCs w:val="28"/>
          <w:lang w:val="kk-KZ"/>
        </w:rPr>
      </w:pPr>
      <w:r w:rsidRPr="00185BC0">
        <w:rPr>
          <w:b/>
          <w:sz w:val="28"/>
          <w:szCs w:val="28"/>
          <w:lang w:val="kk-KZ"/>
        </w:rPr>
        <w:t>Напряжённо-деформированное состояние (НДС)</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совокупность внутренних напряжений и деформаций, возникающих в теле или конструкции под действием внешних или внутренних нагрузок, температурных воздействий, силовых факторов или ограничений перемещений.</w:t>
      </w:r>
    </w:p>
    <w:p w14:paraId="1F64A23C" w14:textId="34E6A525" w:rsidR="00881B68" w:rsidRPr="00185BC0" w:rsidRDefault="00881B68" w:rsidP="00881B68">
      <w:pPr>
        <w:pStyle w:val="a3"/>
        <w:ind w:firstLine="567"/>
        <w:jc w:val="both"/>
        <w:rPr>
          <w:sz w:val="28"/>
          <w:szCs w:val="28"/>
          <w:lang w:val="kk-KZ"/>
        </w:rPr>
      </w:pPr>
      <w:r w:rsidRPr="00185BC0">
        <w:rPr>
          <w:b/>
          <w:sz w:val="28"/>
          <w:szCs w:val="28"/>
          <w:lang w:val="kk-KZ"/>
        </w:rPr>
        <w:t>Напряжения Мизеса (или эквивалентные напряжения по Мизесу)</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расчетный критерий, применяемый в механике деформируемого твердого тела и прочностных расчетах для оценки начала пластической деформации материала при сложном напряженном состоянии.</w:t>
      </w:r>
    </w:p>
    <w:p w14:paraId="72B0A80B" w14:textId="4435A45C" w:rsidR="00881B68" w:rsidRPr="00185BC0" w:rsidRDefault="00881B68" w:rsidP="00881B68">
      <w:pPr>
        <w:pStyle w:val="a3"/>
        <w:ind w:firstLine="567"/>
        <w:jc w:val="both"/>
        <w:rPr>
          <w:sz w:val="28"/>
          <w:szCs w:val="28"/>
          <w:lang w:val="kk-KZ"/>
        </w:rPr>
      </w:pPr>
      <w:r w:rsidRPr="00185BC0">
        <w:rPr>
          <w:b/>
          <w:sz w:val="28"/>
          <w:szCs w:val="28"/>
          <w:lang w:val="kk-KZ"/>
        </w:rPr>
        <w:t>Неоартроз при дисплазии тазобедренного сустава (ДДТБС)</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патологическое образование нового сочленения между головкой бедренной кости и подвздошной костью, возникающее вследствие врождённой гипоплазии или деформации вертлужной впадины и высокого врождённого вывиха бедра.</w:t>
      </w:r>
    </w:p>
    <w:p w14:paraId="7E2B9C70" w14:textId="77777777" w:rsidR="00881B68" w:rsidRPr="00185BC0" w:rsidRDefault="00881B68" w:rsidP="00881B68">
      <w:pPr>
        <w:pStyle w:val="a3"/>
        <w:ind w:firstLine="567"/>
        <w:jc w:val="both"/>
        <w:rPr>
          <w:sz w:val="28"/>
          <w:szCs w:val="28"/>
        </w:rPr>
      </w:pPr>
      <w:proofErr w:type="spellStart"/>
      <w:r w:rsidRPr="00185BC0">
        <w:rPr>
          <w:b/>
          <w:sz w:val="28"/>
          <w:szCs w:val="28"/>
        </w:rPr>
        <w:t>Подвертельная</w:t>
      </w:r>
      <w:proofErr w:type="spellEnd"/>
      <w:r w:rsidRPr="00185BC0">
        <w:rPr>
          <w:b/>
          <w:sz w:val="28"/>
          <w:szCs w:val="28"/>
        </w:rPr>
        <w:t xml:space="preserve"> остеотомия</w:t>
      </w:r>
      <w:r w:rsidRPr="00185BC0">
        <w:rPr>
          <w:sz w:val="28"/>
          <w:szCs w:val="28"/>
        </w:rPr>
        <w:t xml:space="preserve"> – хирургический метод операции, направленная на устранение деформации или улучшение функции опорно-двигательного аппарата путем искусственного перелома кости.</w:t>
      </w:r>
    </w:p>
    <w:p w14:paraId="6A1D6AFF" w14:textId="6EAEA10A" w:rsidR="00881B68" w:rsidRPr="00185BC0" w:rsidRDefault="00881B68" w:rsidP="00881B68">
      <w:pPr>
        <w:pStyle w:val="a3"/>
        <w:ind w:firstLine="567"/>
        <w:jc w:val="both"/>
        <w:rPr>
          <w:sz w:val="28"/>
          <w:szCs w:val="28"/>
          <w:lang w:val="kk-KZ"/>
        </w:rPr>
      </w:pPr>
      <w:r w:rsidRPr="00185BC0">
        <w:rPr>
          <w:b/>
          <w:sz w:val="28"/>
          <w:szCs w:val="28"/>
          <w:lang w:val="kk-KZ"/>
        </w:rPr>
        <w:t>Рентгенография</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это метод визуализации внутренних структур организма с помощью рентгеновского излучения, при котором получают изображение костей и тканей на специальной пленке или цифровом носителе.</w:t>
      </w:r>
    </w:p>
    <w:p w14:paraId="059EB1A6" w14:textId="5B08600A" w:rsidR="00881B68" w:rsidRPr="00185BC0" w:rsidRDefault="00881B68" w:rsidP="00881B68">
      <w:pPr>
        <w:pStyle w:val="a3"/>
        <w:ind w:firstLine="567"/>
        <w:jc w:val="both"/>
        <w:rPr>
          <w:sz w:val="28"/>
          <w:szCs w:val="28"/>
          <w:lang w:val="kk-KZ"/>
        </w:rPr>
      </w:pPr>
      <w:r w:rsidRPr="00185BC0">
        <w:rPr>
          <w:b/>
          <w:sz w:val="28"/>
          <w:szCs w:val="28"/>
          <w:lang w:val="kk-KZ"/>
        </w:rPr>
        <w:t>Симптом «слезной капли» (teardrop sign)</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рентгенологический признак, наблюдаемый на рентгенограммах тазобедренного сустава в прямой проекции, который представляет собой тень в виде капли слезы, расположенную </w:t>
      </w:r>
      <w:r w:rsidRPr="00185BC0">
        <w:rPr>
          <w:sz w:val="28"/>
          <w:szCs w:val="28"/>
          <w:lang w:val="kk-KZ"/>
        </w:rPr>
        <w:lastRenderedPageBreak/>
        <w:t>медиальнее вертлужной впадины.</w:t>
      </w:r>
    </w:p>
    <w:p w14:paraId="3411EE32" w14:textId="502B1CC5" w:rsidR="00881B68" w:rsidRPr="00185BC0" w:rsidRDefault="00881B68" w:rsidP="00881B68">
      <w:pPr>
        <w:pStyle w:val="a3"/>
        <w:ind w:firstLine="567"/>
        <w:jc w:val="both"/>
        <w:rPr>
          <w:sz w:val="28"/>
          <w:szCs w:val="28"/>
          <w:lang w:val="kk-KZ"/>
        </w:rPr>
      </w:pPr>
      <w:r w:rsidRPr="00185BC0">
        <w:rPr>
          <w:b/>
          <w:sz w:val="28"/>
          <w:szCs w:val="28"/>
          <w:lang w:val="kk-KZ"/>
        </w:rPr>
        <w:t>Симптом Тренделенбурга</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клинический признак, который указывает на слабость отводящих мышц бедра (m. gluteus medius и m. gluteus minimus) или нарушение их функции.</w:t>
      </w:r>
    </w:p>
    <w:p w14:paraId="2EEBB32E" w14:textId="74E4978B" w:rsidR="00881B68" w:rsidRPr="00185BC0" w:rsidRDefault="00881B68" w:rsidP="00881B68">
      <w:pPr>
        <w:pStyle w:val="a3"/>
        <w:ind w:firstLine="567"/>
        <w:jc w:val="both"/>
        <w:rPr>
          <w:sz w:val="28"/>
          <w:szCs w:val="28"/>
          <w:lang w:val="kk-KZ"/>
        </w:rPr>
      </w:pPr>
      <w:r w:rsidRPr="00185BC0">
        <w:rPr>
          <w:b/>
          <w:sz w:val="28"/>
          <w:szCs w:val="28"/>
          <w:lang w:val="kk-KZ"/>
        </w:rPr>
        <w:t>Телерентгенография</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метод рентгенологического исследования, при котором выполняется снимок в полный рост, чаще всего нижних конечностей и таза, на одной пленке или в едином цифровом изображении.</w:t>
      </w:r>
    </w:p>
    <w:p w14:paraId="2345BC56" w14:textId="08A0E084" w:rsidR="00881B68" w:rsidRPr="00185BC0" w:rsidRDefault="00881B68" w:rsidP="00881B68">
      <w:pPr>
        <w:pStyle w:val="a3"/>
        <w:ind w:firstLine="567"/>
        <w:jc w:val="both"/>
        <w:rPr>
          <w:sz w:val="28"/>
          <w:szCs w:val="28"/>
          <w:lang w:val="kk-KZ"/>
        </w:rPr>
      </w:pPr>
      <w:r w:rsidRPr="00185BC0">
        <w:rPr>
          <w:b/>
          <w:sz w:val="28"/>
          <w:szCs w:val="28"/>
          <w:lang w:val="kk-KZ"/>
        </w:rPr>
        <w:t>Тенотомия</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хирургическая процедура, заключающаяся в пересечении сухожилия мышцы с целью снижения мышечного напряжения, устранения контрактур или коррекции патологического положения конечности.</w:t>
      </w:r>
    </w:p>
    <w:p w14:paraId="4556F3CD" w14:textId="7283D552" w:rsidR="00881B68" w:rsidRPr="00185BC0" w:rsidRDefault="00881B68" w:rsidP="00881B68">
      <w:pPr>
        <w:pStyle w:val="a3"/>
        <w:ind w:firstLine="567"/>
        <w:jc w:val="both"/>
        <w:rPr>
          <w:sz w:val="28"/>
          <w:szCs w:val="28"/>
          <w:lang w:val="kk-KZ"/>
        </w:rPr>
      </w:pPr>
      <w:r w:rsidRPr="00185BC0">
        <w:rPr>
          <w:b/>
          <w:sz w:val="28"/>
          <w:szCs w:val="28"/>
          <w:lang w:val="kk-KZ"/>
        </w:rPr>
        <w:t>Угол Виберга (Wiberg angle, также известен как угол центра-края, Center-Edge (CE) angle)</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рентгенологический показатель, применяемый для оценки покрытия головки бедренной кости вертлужной впадиной и диагностики дисплазии тазобедренного сустава.</w:t>
      </w:r>
    </w:p>
    <w:p w14:paraId="33D3E108" w14:textId="22A258B9" w:rsidR="00881B68" w:rsidRPr="00185BC0" w:rsidRDefault="00881B68" w:rsidP="00881B68">
      <w:pPr>
        <w:pStyle w:val="a3"/>
        <w:ind w:firstLine="567"/>
        <w:jc w:val="both"/>
        <w:rPr>
          <w:sz w:val="28"/>
          <w:szCs w:val="28"/>
          <w:lang w:val="kk-KZ"/>
        </w:rPr>
      </w:pPr>
      <w:r w:rsidRPr="00185BC0">
        <w:rPr>
          <w:b/>
          <w:sz w:val="28"/>
          <w:szCs w:val="28"/>
          <w:lang w:val="kk-KZ"/>
        </w:rPr>
        <w:t>Утиная походка</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характерный патологический тип походки, при котором туловище и таз совершают избыточные поперечные колебания из стороны в сторону, напоминая движения утки.</w:t>
      </w:r>
    </w:p>
    <w:p w14:paraId="1BE2DD70" w14:textId="4F417DB0" w:rsidR="00881B68" w:rsidRPr="00185BC0" w:rsidRDefault="00881B68" w:rsidP="00881B68">
      <w:pPr>
        <w:pStyle w:val="a3"/>
        <w:ind w:firstLine="567"/>
        <w:jc w:val="both"/>
        <w:rPr>
          <w:sz w:val="28"/>
          <w:szCs w:val="28"/>
        </w:rPr>
      </w:pPr>
      <w:r w:rsidRPr="00185BC0">
        <w:rPr>
          <w:b/>
          <w:sz w:val="28"/>
          <w:szCs w:val="28"/>
        </w:rPr>
        <w:t xml:space="preserve">Эндопротезирование </w:t>
      </w:r>
      <w:r w:rsidR="00DA5A93" w:rsidRPr="00185BC0">
        <w:rPr>
          <w:b/>
          <w:sz w:val="28"/>
          <w:szCs w:val="28"/>
        </w:rPr>
        <w:t>–</w:t>
      </w:r>
      <w:r w:rsidRPr="00185BC0">
        <w:rPr>
          <w:sz w:val="28"/>
          <w:szCs w:val="28"/>
        </w:rPr>
        <w:t xml:space="preserve"> оперативное хирургическое вмешательство по замене сустава или его части на искусственный протез.</w:t>
      </w:r>
    </w:p>
    <w:p w14:paraId="442A876A" w14:textId="2E99B8D1" w:rsidR="00881B68" w:rsidRPr="00185BC0" w:rsidRDefault="00881B68" w:rsidP="00881B68">
      <w:pPr>
        <w:pStyle w:val="a3"/>
      </w:pPr>
    </w:p>
    <w:p w14:paraId="5A53E318" w14:textId="48F0F652" w:rsidR="00881B68" w:rsidRPr="00185BC0" w:rsidRDefault="00881B68" w:rsidP="00881B68">
      <w:pPr>
        <w:pStyle w:val="a3"/>
      </w:pPr>
    </w:p>
    <w:p w14:paraId="5F2679E9" w14:textId="621FBC7B" w:rsidR="00881B68" w:rsidRPr="00185BC0" w:rsidRDefault="00881B68" w:rsidP="00881B68">
      <w:pPr>
        <w:pStyle w:val="a3"/>
      </w:pPr>
    </w:p>
    <w:p w14:paraId="768E968B" w14:textId="573246DC" w:rsidR="00881B68" w:rsidRPr="00185BC0" w:rsidRDefault="00881B68" w:rsidP="00881B68">
      <w:pPr>
        <w:pStyle w:val="a3"/>
      </w:pPr>
    </w:p>
    <w:p w14:paraId="3ED54335" w14:textId="16802791" w:rsidR="00881B68" w:rsidRPr="00185BC0" w:rsidRDefault="00881B68" w:rsidP="00881B68">
      <w:pPr>
        <w:pStyle w:val="a3"/>
      </w:pPr>
    </w:p>
    <w:p w14:paraId="4D7A9AF3" w14:textId="73973BBC" w:rsidR="00881B68" w:rsidRPr="00185BC0" w:rsidRDefault="00881B68" w:rsidP="00881B68">
      <w:pPr>
        <w:pStyle w:val="a3"/>
      </w:pPr>
    </w:p>
    <w:p w14:paraId="0BDB84E0" w14:textId="26B8C1E0" w:rsidR="00881B68" w:rsidRPr="00185BC0" w:rsidRDefault="00881B68" w:rsidP="00881B68">
      <w:pPr>
        <w:pStyle w:val="a3"/>
      </w:pPr>
    </w:p>
    <w:p w14:paraId="18F288E4" w14:textId="2B7A567D" w:rsidR="00D33B88" w:rsidRPr="00185BC0" w:rsidRDefault="00D33B88" w:rsidP="00881B68">
      <w:pPr>
        <w:pStyle w:val="a3"/>
      </w:pPr>
    </w:p>
    <w:p w14:paraId="0F54D414" w14:textId="4458AE80" w:rsidR="00D33B88" w:rsidRPr="00185BC0" w:rsidRDefault="00D33B88" w:rsidP="00881B68">
      <w:pPr>
        <w:pStyle w:val="a3"/>
      </w:pPr>
    </w:p>
    <w:p w14:paraId="192B36EC" w14:textId="29E6CE15" w:rsidR="00D33B88" w:rsidRPr="00185BC0" w:rsidRDefault="00D33B88" w:rsidP="00881B68">
      <w:pPr>
        <w:pStyle w:val="a3"/>
      </w:pPr>
    </w:p>
    <w:p w14:paraId="167CC702" w14:textId="77777777" w:rsidR="00D33B88" w:rsidRPr="00185BC0" w:rsidRDefault="00D33B88" w:rsidP="00881B68">
      <w:pPr>
        <w:pStyle w:val="a3"/>
      </w:pPr>
    </w:p>
    <w:p w14:paraId="34811944" w14:textId="57B311C1" w:rsidR="00881B68" w:rsidRPr="00185BC0" w:rsidRDefault="00881B68" w:rsidP="00881B68">
      <w:pPr>
        <w:pStyle w:val="a3"/>
      </w:pPr>
    </w:p>
    <w:p w14:paraId="0BBD00F8" w14:textId="6CDAD420" w:rsidR="00881B68" w:rsidRPr="00185BC0" w:rsidRDefault="00881B68" w:rsidP="00881B68">
      <w:pPr>
        <w:pStyle w:val="a3"/>
      </w:pPr>
    </w:p>
    <w:p w14:paraId="2208CC02" w14:textId="46873048" w:rsidR="00881B68" w:rsidRPr="00185BC0" w:rsidRDefault="00881B68" w:rsidP="00881B68">
      <w:pPr>
        <w:pStyle w:val="a3"/>
      </w:pPr>
    </w:p>
    <w:p w14:paraId="4B5425E7" w14:textId="763EF066" w:rsidR="00881B68" w:rsidRPr="00185BC0" w:rsidRDefault="00881B68" w:rsidP="00881B68">
      <w:pPr>
        <w:pStyle w:val="a3"/>
      </w:pPr>
    </w:p>
    <w:p w14:paraId="67995EF4" w14:textId="01DCB80C" w:rsidR="00881B68" w:rsidRPr="00185BC0" w:rsidRDefault="00881B68" w:rsidP="00881B68">
      <w:pPr>
        <w:pStyle w:val="a3"/>
      </w:pPr>
    </w:p>
    <w:p w14:paraId="0B8D4C13" w14:textId="3B1CBBF3" w:rsidR="00881B68" w:rsidRPr="00185BC0" w:rsidRDefault="00881B68" w:rsidP="00881B68">
      <w:pPr>
        <w:pStyle w:val="a3"/>
      </w:pPr>
    </w:p>
    <w:p w14:paraId="586333B7" w14:textId="70C3D688" w:rsidR="00331E2B" w:rsidRPr="00185BC0" w:rsidRDefault="00331E2B" w:rsidP="00881B68">
      <w:pPr>
        <w:pStyle w:val="a3"/>
      </w:pPr>
    </w:p>
    <w:p w14:paraId="240A248E" w14:textId="34292CE2" w:rsidR="00331E2B" w:rsidRPr="00185BC0" w:rsidRDefault="00331E2B" w:rsidP="00881B68">
      <w:pPr>
        <w:pStyle w:val="a3"/>
      </w:pPr>
    </w:p>
    <w:p w14:paraId="2AABB704" w14:textId="1898D0EC" w:rsidR="00331E2B" w:rsidRPr="00185BC0" w:rsidRDefault="00331E2B" w:rsidP="00881B68">
      <w:pPr>
        <w:pStyle w:val="a3"/>
      </w:pPr>
    </w:p>
    <w:p w14:paraId="3993B79D" w14:textId="72F7DF9E" w:rsidR="00331E2B" w:rsidRPr="00185BC0" w:rsidRDefault="00331E2B" w:rsidP="00881B68">
      <w:pPr>
        <w:pStyle w:val="a3"/>
      </w:pPr>
    </w:p>
    <w:p w14:paraId="2A4AAB95" w14:textId="0DA53E49" w:rsidR="00331E2B" w:rsidRPr="00185BC0" w:rsidRDefault="00331E2B" w:rsidP="00881B68">
      <w:pPr>
        <w:pStyle w:val="a3"/>
      </w:pPr>
    </w:p>
    <w:p w14:paraId="1753311E" w14:textId="6D900105" w:rsidR="00331E2B" w:rsidRPr="00185BC0" w:rsidRDefault="00331E2B" w:rsidP="00881B68">
      <w:pPr>
        <w:pStyle w:val="a3"/>
      </w:pPr>
    </w:p>
    <w:p w14:paraId="488414B4" w14:textId="0E1B08D9" w:rsidR="00331E2B" w:rsidRPr="00185BC0" w:rsidRDefault="00331E2B" w:rsidP="00881B68">
      <w:pPr>
        <w:pStyle w:val="a3"/>
      </w:pPr>
    </w:p>
    <w:p w14:paraId="3E2F1CF0" w14:textId="77777777" w:rsidR="00331E2B" w:rsidRPr="00185BC0" w:rsidRDefault="00331E2B" w:rsidP="00881B68">
      <w:pPr>
        <w:pStyle w:val="a3"/>
      </w:pPr>
    </w:p>
    <w:p w14:paraId="5722A80E" w14:textId="67960F3A" w:rsidR="00881B68" w:rsidRPr="00185BC0" w:rsidRDefault="00881B68" w:rsidP="00881B68">
      <w:pPr>
        <w:pStyle w:val="a3"/>
      </w:pPr>
    </w:p>
    <w:p w14:paraId="02D324BA" w14:textId="7934A253" w:rsidR="00881B68" w:rsidRPr="00185BC0" w:rsidRDefault="00881B68" w:rsidP="00881B68">
      <w:pPr>
        <w:pStyle w:val="a3"/>
      </w:pPr>
    </w:p>
    <w:p w14:paraId="7344312E" w14:textId="1A1F9931" w:rsidR="00881B68" w:rsidRPr="00185BC0" w:rsidRDefault="00881B68" w:rsidP="00881B68">
      <w:pPr>
        <w:pStyle w:val="a3"/>
      </w:pPr>
    </w:p>
    <w:p w14:paraId="49449A6F" w14:textId="50657294" w:rsidR="00881B68" w:rsidRPr="00185BC0" w:rsidRDefault="00881B68" w:rsidP="00881B68">
      <w:pPr>
        <w:pStyle w:val="a3"/>
      </w:pPr>
    </w:p>
    <w:p w14:paraId="7E130CBE" w14:textId="77777777" w:rsidR="00881B68" w:rsidRPr="00185BC0" w:rsidRDefault="00881B68" w:rsidP="00881B68">
      <w:pPr>
        <w:pStyle w:val="2"/>
        <w:jc w:val="center"/>
        <w:rPr>
          <w:rFonts w:ascii="Times New Roman" w:hAnsi="Times New Roman" w:cs="Times New Roman"/>
          <w:b/>
          <w:bCs/>
          <w:color w:val="auto"/>
        </w:rPr>
      </w:pPr>
      <w:bookmarkStart w:id="5" w:name="_Toc217561922"/>
      <w:r w:rsidRPr="00185BC0">
        <w:rPr>
          <w:rFonts w:ascii="Times New Roman" w:hAnsi="Times New Roman" w:cs="Times New Roman"/>
          <w:b/>
          <w:bCs/>
          <w:color w:val="auto"/>
        </w:rPr>
        <w:lastRenderedPageBreak/>
        <w:t>ОБОЗНАЧЕНИЯ И СОКРАЩЕНИЯ</w:t>
      </w:r>
      <w:bookmarkEnd w:id="5"/>
    </w:p>
    <w:p w14:paraId="3BDCC425" w14:textId="77777777" w:rsidR="00881B68" w:rsidRPr="00185BC0" w:rsidRDefault="00881B68" w:rsidP="00881B68">
      <w:pPr>
        <w:pStyle w:val="a3"/>
        <w:rPr>
          <w:b/>
          <w:bCs/>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8068"/>
      </w:tblGrid>
      <w:tr w:rsidR="00881B68" w:rsidRPr="00605C7C" w14:paraId="285D3467" w14:textId="77777777" w:rsidTr="00881B68">
        <w:tc>
          <w:tcPr>
            <w:tcW w:w="1243" w:type="dxa"/>
          </w:tcPr>
          <w:p w14:paraId="1F5D814E" w14:textId="77777777" w:rsidR="00881B68" w:rsidRPr="00185BC0" w:rsidRDefault="00881B68" w:rsidP="00881B68">
            <w:pPr>
              <w:pStyle w:val="a3"/>
              <w:jc w:val="both"/>
              <w:rPr>
                <w:sz w:val="28"/>
                <w:szCs w:val="28"/>
                <w:lang w:val="en-US"/>
              </w:rPr>
            </w:pPr>
            <w:r w:rsidRPr="00185BC0">
              <w:rPr>
                <w:sz w:val="28"/>
                <w:szCs w:val="28"/>
                <w:lang w:val="en-US"/>
              </w:rPr>
              <w:t>AE</w:t>
            </w:r>
          </w:p>
          <w:p w14:paraId="61365A36" w14:textId="77777777" w:rsidR="00881B68" w:rsidRPr="00185BC0" w:rsidRDefault="00881B68" w:rsidP="00881B68">
            <w:pPr>
              <w:pStyle w:val="a3"/>
              <w:jc w:val="both"/>
              <w:rPr>
                <w:sz w:val="28"/>
                <w:szCs w:val="28"/>
                <w:lang w:val="kk-KZ"/>
              </w:rPr>
            </w:pPr>
            <w:r w:rsidRPr="00185BC0">
              <w:rPr>
                <w:sz w:val="28"/>
                <w:szCs w:val="28"/>
                <w:lang w:val="en-US"/>
              </w:rPr>
              <w:t>CAD</w:t>
            </w:r>
          </w:p>
        </w:tc>
        <w:tc>
          <w:tcPr>
            <w:tcW w:w="8080" w:type="dxa"/>
          </w:tcPr>
          <w:p w14:paraId="7D2FB164" w14:textId="77777777" w:rsidR="00881B68" w:rsidRPr="00185BC0" w:rsidRDefault="00881B68" w:rsidP="00881B68">
            <w:pPr>
              <w:pStyle w:val="a3"/>
              <w:jc w:val="both"/>
              <w:rPr>
                <w:sz w:val="28"/>
                <w:szCs w:val="28"/>
                <w:lang w:val="en-US"/>
              </w:rPr>
            </w:pPr>
            <w:r w:rsidRPr="00185BC0">
              <w:rPr>
                <w:sz w:val="28"/>
                <w:szCs w:val="28"/>
                <w:lang w:val="en-US"/>
              </w:rPr>
              <w:t>Adverse event</w:t>
            </w:r>
          </w:p>
          <w:p w14:paraId="29B5391F" w14:textId="77777777" w:rsidR="00881B68" w:rsidRPr="00185BC0" w:rsidRDefault="00881B68" w:rsidP="00881B68">
            <w:pPr>
              <w:pStyle w:val="a3"/>
              <w:jc w:val="both"/>
              <w:rPr>
                <w:sz w:val="28"/>
                <w:szCs w:val="28"/>
                <w:lang w:val="en-US"/>
              </w:rPr>
            </w:pPr>
            <w:r w:rsidRPr="00185BC0">
              <w:rPr>
                <w:sz w:val="28"/>
                <w:szCs w:val="28"/>
                <w:lang w:val="en-US"/>
              </w:rPr>
              <w:t>Computer</w:t>
            </w:r>
            <w:r w:rsidRPr="00185BC0">
              <w:rPr>
                <w:sz w:val="28"/>
                <w:szCs w:val="28"/>
                <w:lang w:val="kk-KZ"/>
              </w:rPr>
              <w:t xml:space="preserve"> </w:t>
            </w:r>
            <w:r w:rsidRPr="00185BC0">
              <w:rPr>
                <w:sz w:val="28"/>
                <w:szCs w:val="28"/>
                <w:lang w:val="en-US"/>
              </w:rPr>
              <w:t>Aided</w:t>
            </w:r>
            <w:r w:rsidRPr="00185BC0">
              <w:rPr>
                <w:sz w:val="28"/>
                <w:szCs w:val="28"/>
                <w:lang w:val="kk-KZ"/>
              </w:rPr>
              <w:t xml:space="preserve"> </w:t>
            </w:r>
            <w:r w:rsidRPr="00185BC0">
              <w:rPr>
                <w:sz w:val="28"/>
                <w:szCs w:val="28"/>
                <w:lang w:val="en-US"/>
              </w:rPr>
              <w:t>Design</w:t>
            </w:r>
          </w:p>
        </w:tc>
      </w:tr>
      <w:tr w:rsidR="00881B68" w:rsidRPr="00185BC0" w14:paraId="2752D0EC" w14:textId="77777777" w:rsidTr="00881B68">
        <w:tc>
          <w:tcPr>
            <w:tcW w:w="1243" w:type="dxa"/>
          </w:tcPr>
          <w:p w14:paraId="1AB01A9A" w14:textId="77777777" w:rsidR="00881B68" w:rsidRPr="00185BC0" w:rsidRDefault="00881B68" w:rsidP="00881B68">
            <w:pPr>
              <w:pStyle w:val="a3"/>
              <w:jc w:val="both"/>
              <w:rPr>
                <w:sz w:val="28"/>
                <w:szCs w:val="28"/>
                <w:lang w:val="en-US"/>
              </w:rPr>
            </w:pPr>
            <w:r w:rsidRPr="00185BC0">
              <w:rPr>
                <w:sz w:val="28"/>
                <w:szCs w:val="28"/>
                <w:lang w:val="en-US"/>
              </w:rPr>
              <w:t>CAM</w:t>
            </w:r>
          </w:p>
        </w:tc>
        <w:tc>
          <w:tcPr>
            <w:tcW w:w="8080" w:type="dxa"/>
          </w:tcPr>
          <w:p w14:paraId="70F94ED9" w14:textId="77777777" w:rsidR="00881B68" w:rsidRPr="00185BC0" w:rsidRDefault="00881B68" w:rsidP="00881B68">
            <w:pPr>
              <w:pStyle w:val="a3"/>
              <w:jc w:val="both"/>
              <w:rPr>
                <w:sz w:val="28"/>
                <w:szCs w:val="28"/>
                <w:lang w:val="en-US"/>
              </w:rPr>
            </w:pPr>
            <w:r w:rsidRPr="00185BC0">
              <w:rPr>
                <w:sz w:val="28"/>
                <w:szCs w:val="28"/>
                <w:lang w:val="en-US"/>
              </w:rPr>
              <w:t>Computer Aided Manufacture</w:t>
            </w:r>
          </w:p>
        </w:tc>
      </w:tr>
      <w:tr w:rsidR="00881B68" w:rsidRPr="00605C7C" w14:paraId="0D173F68" w14:textId="77777777" w:rsidTr="00881B68">
        <w:tc>
          <w:tcPr>
            <w:tcW w:w="1243" w:type="dxa"/>
          </w:tcPr>
          <w:p w14:paraId="2F25AB67" w14:textId="77777777" w:rsidR="00881B68" w:rsidRPr="00185BC0" w:rsidRDefault="00881B68" w:rsidP="00881B68">
            <w:pPr>
              <w:pStyle w:val="a3"/>
              <w:jc w:val="both"/>
              <w:rPr>
                <w:sz w:val="28"/>
                <w:szCs w:val="28"/>
                <w:lang w:val="en-US"/>
              </w:rPr>
            </w:pPr>
            <w:r w:rsidRPr="00185BC0">
              <w:rPr>
                <w:sz w:val="28"/>
                <w:szCs w:val="28"/>
                <w:lang w:val="en-US"/>
              </w:rPr>
              <w:t>DICOM</w:t>
            </w:r>
          </w:p>
        </w:tc>
        <w:tc>
          <w:tcPr>
            <w:tcW w:w="8080" w:type="dxa"/>
          </w:tcPr>
          <w:p w14:paraId="532D54B3" w14:textId="77777777" w:rsidR="00881B68" w:rsidRPr="00185BC0" w:rsidRDefault="00881B68" w:rsidP="00881B68">
            <w:pPr>
              <w:pStyle w:val="a3"/>
              <w:jc w:val="both"/>
              <w:rPr>
                <w:sz w:val="28"/>
                <w:szCs w:val="28"/>
                <w:lang w:val="en-US"/>
              </w:rPr>
            </w:pPr>
            <w:r w:rsidRPr="00185BC0">
              <w:rPr>
                <w:sz w:val="28"/>
                <w:szCs w:val="28"/>
                <w:lang w:val="en-US"/>
              </w:rPr>
              <w:t>Digital Imaging and Communications in Medicine</w:t>
            </w:r>
          </w:p>
        </w:tc>
      </w:tr>
      <w:tr w:rsidR="00881B68" w:rsidRPr="00185BC0" w14:paraId="649D6745" w14:textId="77777777" w:rsidTr="00881B68">
        <w:tc>
          <w:tcPr>
            <w:tcW w:w="1243" w:type="dxa"/>
          </w:tcPr>
          <w:p w14:paraId="4FE82D3B" w14:textId="77777777" w:rsidR="00881B68" w:rsidRPr="00185BC0" w:rsidRDefault="00881B68" w:rsidP="00881B68">
            <w:pPr>
              <w:pStyle w:val="a3"/>
              <w:jc w:val="both"/>
              <w:rPr>
                <w:sz w:val="28"/>
                <w:szCs w:val="28"/>
                <w:lang w:val="en-US"/>
              </w:rPr>
            </w:pPr>
            <w:r w:rsidRPr="00185BC0">
              <w:rPr>
                <w:sz w:val="28"/>
                <w:szCs w:val="28"/>
                <w:lang w:val="en-US"/>
              </w:rPr>
              <w:t>FDM</w:t>
            </w:r>
          </w:p>
        </w:tc>
        <w:tc>
          <w:tcPr>
            <w:tcW w:w="8080" w:type="dxa"/>
          </w:tcPr>
          <w:p w14:paraId="191C0FF8" w14:textId="77777777" w:rsidR="00881B68" w:rsidRPr="00185BC0" w:rsidRDefault="00881B68" w:rsidP="00881B68">
            <w:pPr>
              <w:pStyle w:val="a3"/>
              <w:jc w:val="both"/>
              <w:rPr>
                <w:sz w:val="28"/>
                <w:szCs w:val="28"/>
                <w:lang w:val="en-US"/>
              </w:rPr>
            </w:pPr>
            <w:r w:rsidRPr="00185BC0">
              <w:rPr>
                <w:sz w:val="28"/>
                <w:szCs w:val="28"/>
                <w:lang w:val="en-US"/>
              </w:rPr>
              <w:t>Fused Deposition Modelling</w:t>
            </w:r>
          </w:p>
        </w:tc>
      </w:tr>
      <w:tr w:rsidR="00881B68" w:rsidRPr="00605C7C" w14:paraId="1072D4B2" w14:textId="77777777" w:rsidTr="00881B68">
        <w:tc>
          <w:tcPr>
            <w:tcW w:w="1243" w:type="dxa"/>
          </w:tcPr>
          <w:p w14:paraId="058FBB87" w14:textId="77777777" w:rsidR="00881B68" w:rsidRPr="00185BC0" w:rsidRDefault="00881B68" w:rsidP="00881B68">
            <w:pPr>
              <w:pStyle w:val="a3"/>
              <w:jc w:val="both"/>
              <w:rPr>
                <w:sz w:val="28"/>
                <w:szCs w:val="28"/>
                <w:lang w:val="en-US"/>
              </w:rPr>
            </w:pPr>
            <w:r w:rsidRPr="00185BC0">
              <w:rPr>
                <w:sz w:val="28"/>
                <w:szCs w:val="28"/>
                <w:lang w:val="en-US"/>
              </w:rPr>
              <w:t>HHS</w:t>
            </w:r>
          </w:p>
          <w:p w14:paraId="7619EE60" w14:textId="77777777" w:rsidR="00881B68" w:rsidRPr="00185BC0" w:rsidRDefault="00881B68" w:rsidP="00881B68">
            <w:pPr>
              <w:pStyle w:val="a3"/>
              <w:jc w:val="both"/>
              <w:rPr>
                <w:sz w:val="28"/>
                <w:szCs w:val="28"/>
                <w:lang w:val="en-US"/>
              </w:rPr>
            </w:pPr>
            <w:r w:rsidRPr="00185BC0">
              <w:rPr>
                <w:sz w:val="28"/>
                <w:szCs w:val="28"/>
                <w:lang w:val="en-US"/>
              </w:rPr>
              <w:t>LCP</w:t>
            </w:r>
          </w:p>
        </w:tc>
        <w:tc>
          <w:tcPr>
            <w:tcW w:w="8080" w:type="dxa"/>
          </w:tcPr>
          <w:p w14:paraId="5BDACBE3" w14:textId="77777777" w:rsidR="00881B68" w:rsidRPr="00185BC0" w:rsidRDefault="00881B68" w:rsidP="00881B68">
            <w:pPr>
              <w:pStyle w:val="a3"/>
              <w:jc w:val="both"/>
              <w:rPr>
                <w:sz w:val="28"/>
                <w:szCs w:val="28"/>
                <w:lang w:val="en-US"/>
              </w:rPr>
            </w:pPr>
            <w:r w:rsidRPr="00185BC0">
              <w:rPr>
                <w:sz w:val="28"/>
                <w:szCs w:val="28"/>
                <w:lang w:val="en-US"/>
              </w:rPr>
              <w:t>Harris Hip Score</w:t>
            </w:r>
          </w:p>
          <w:p w14:paraId="73CCBCC5" w14:textId="77777777" w:rsidR="00881B68" w:rsidRPr="00185BC0" w:rsidRDefault="00881B68" w:rsidP="00881B68">
            <w:pPr>
              <w:pStyle w:val="a3"/>
              <w:jc w:val="both"/>
              <w:rPr>
                <w:sz w:val="28"/>
                <w:szCs w:val="28"/>
                <w:lang w:val="en-US"/>
              </w:rPr>
            </w:pPr>
            <w:r w:rsidRPr="00185BC0">
              <w:rPr>
                <w:sz w:val="28"/>
                <w:szCs w:val="28"/>
                <w:lang w:val="en-US"/>
              </w:rPr>
              <w:t>Locking Compression Plate</w:t>
            </w:r>
          </w:p>
        </w:tc>
      </w:tr>
      <w:tr w:rsidR="00881B68" w:rsidRPr="00605C7C" w14:paraId="1770B47A" w14:textId="77777777" w:rsidTr="00881B68">
        <w:tc>
          <w:tcPr>
            <w:tcW w:w="1243" w:type="dxa"/>
          </w:tcPr>
          <w:p w14:paraId="20565F59" w14:textId="77777777" w:rsidR="00881B68" w:rsidRPr="00185BC0" w:rsidRDefault="00881B68" w:rsidP="00881B68">
            <w:pPr>
              <w:pStyle w:val="a3"/>
              <w:jc w:val="both"/>
              <w:rPr>
                <w:sz w:val="28"/>
                <w:szCs w:val="28"/>
                <w:lang w:val="en-US"/>
              </w:rPr>
            </w:pPr>
            <w:r w:rsidRPr="00185BC0">
              <w:rPr>
                <w:sz w:val="28"/>
                <w:szCs w:val="28"/>
                <w:lang w:val="en-US"/>
              </w:rPr>
              <w:t>OHS</w:t>
            </w:r>
          </w:p>
          <w:p w14:paraId="2C949307" w14:textId="77777777" w:rsidR="00881B68" w:rsidRPr="00185BC0" w:rsidRDefault="00881B68" w:rsidP="00881B68">
            <w:pPr>
              <w:pStyle w:val="a3"/>
              <w:jc w:val="both"/>
              <w:rPr>
                <w:sz w:val="28"/>
                <w:szCs w:val="28"/>
                <w:lang w:val="en-US"/>
              </w:rPr>
            </w:pPr>
            <w:r w:rsidRPr="00185BC0">
              <w:rPr>
                <w:sz w:val="28"/>
                <w:szCs w:val="28"/>
              </w:rPr>
              <w:t>PACS</w:t>
            </w:r>
          </w:p>
        </w:tc>
        <w:tc>
          <w:tcPr>
            <w:tcW w:w="8080" w:type="dxa"/>
          </w:tcPr>
          <w:p w14:paraId="5AD94823" w14:textId="77777777" w:rsidR="00881B68" w:rsidRPr="00185BC0" w:rsidRDefault="00881B68" w:rsidP="00881B68">
            <w:pPr>
              <w:pStyle w:val="a3"/>
              <w:jc w:val="both"/>
              <w:rPr>
                <w:sz w:val="28"/>
                <w:szCs w:val="28"/>
                <w:lang w:val="en-US"/>
              </w:rPr>
            </w:pPr>
            <w:r w:rsidRPr="00185BC0">
              <w:rPr>
                <w:sz w:val="28"/>
                <w:szCs w:val="28"/>
                <w:lang w:val="en-US"/>
              </w:rPr>
              <w:t>Oxford Hip Score</w:t>
            </w:r>
          </w:p>
          <w:p w14:paraId="5CB14353" w14:textId="77777777" w:rsidR="00881B68" w:rsidRPr="00185BC0" w:rsidRDefault="00881B68" w:rsidP="00881B68">
            <w:pPr>
              <w:pStyle w:val="a3"/>
              <w:jc w:val="both"/>
              <w:rPr>
                <w:sz w:val="28"/>
                <w:szCs w:val="28"/>
                <w:lang w:val="en-US"/>
              </w:rPr>
            </w:pPr>
            <w:r w:rsidRPr="00185BC0">
              <w:rPr>
                <w:sz w:val="28"/>
                <w:szCs w:val="28"/>
                <w:lang w:val="en-US"/>
              </w:rPr>
              <w:t>Picture Archiving and Communication System</w:t>
            </w:r>
          </w:p>
        </w:tc>
      </w:tr>
      <w:tr w:rsidR="00881B68" w:rsidRPr="00185BC0" w14:paraId="3C024548" w14:textId="77777777" w:rsidTr="00881B68">
        <w:tc>
          <w:tcPr>
            <w:tcW w:w="1243" w:type="dxa"/>
          </w:tcPr>
          <w:p w14:paraId="59C86052" w14:textId="77777777" w:rsidR="00881B68" w:rsidRPr="00185BC0" w:rsidRDefault="00881B68" w:rsidP="00881B68">
            <w:pPr>
              <w:pStyle w:val="a3"/>
              <w:jc w:val="both"/>
              <w:rPr>
                <w:sz w:val="28"/>
                <w:szCs w:val="28"/>
                <w:lang w:val="en-US"/>
              </w:rPr>
            </w:pPr>
            <w:r w:rsidRPr="00185BC0">
              <w:rPr>
                <w:sz w:val="28"/>
                <w:szCs w:val="28"/>
                <w:lang w:val="en-US"/>
              </w:rPr>
              <w:t>SLA</w:t>
            </w:r>
          </w:p>
        </w:tc>
        <w:tc>
          <w:tcPr>
            <w:tcW w:w="8080" w:type="dxa"/>
          </w:tcPr>
          <w:p w14:paraId="772405DF" w14:textId="77777777" w:rsidR="00881B68" w:rsidRPr="00185BC0" w:rsidRDefault="00881B68" w:rsidP="00881B68">
            <w:pPr>
              <w:pStyle w:val="a3"/>
              <w:jc w:val="both"/>
              <w:rPr>
                <w:sz w:val="28"/>
                <w:szCs w:val="28"/>
                <w:lang w:val="kk-KZ"/>
              </w:rPr>
            </w:pPr>
            <w:proofErr w:type="spellStart"/>
            <w:r w:rsidRPr="00185BC0">
              <w:rPr>
                <w:sz w:val="28"/>
                <w:szCs w:val="28"/>
                <w:lang w:val="en-US"/>
              </w:rPr>
              <w:t>Stereplithoghraphy</w:t>
            </w:r>
            <w:proofErr w:type="spellEnd"/>
            <w:r w:rsidRPr="00185BC0">
              <w:rPr>
                <w:sz w:val="28"/>
                <w:szCs w:val="28"/>
                <w:lang w:val="kk-KZ"/>
              </w:rPr>
              <w:t xml:space="preserve"> </w:t>
            </w:r>
          </w:p>
        </w:tc>
      </w:tr>
      <w:tr w:rsidR="00881B68" w:rsidRPr="00185BC0" w14:paraId="27E01E99" w14:textId="77777777" w:rsidTr="00881B68">
        <w:tc>
          <w:tcPr>
            <w:tcW w:w="1243" w:type="dxa"/>
          </w:tcPr>
          <w:p w14:paraId="3E28AC01" w14:textId="77777777" w:rsidR="00881B68" w:rsidRPr="00185BC0" w:rsidRDefault="00881B68" w:rsidP="00881B68">
            <w:pPr>
              <w:pStyle w:val="a3"/>
              <w:jc w:val="both"/>
              <w:rPr>
                <w:sz w:val="28"/>
                <w:szCs w:val="28"/>
                <w:lang w:val="en-US"/>
              </w:rPr>
            </w:pPr>
            <w:r w:rsidRPr="00185BC0">
              <w:rPr>
                <w:sz w:val="28"/>
                <w:szCs w:val="28"/>
                <w:lang w:val="en-US"/>
              </w:rPr>
              <w:t>VAS</w:t>
            </w:r>
          </w:p>
          <w:p w14:paraId="395B7BD4" w14:textId="77777777" w:rsidR="00881B68" w:rsidRPr="00185BC0" w:rsidRDefault="00881B68" w:rsidP="00881B68">
            <w:pPr>
              <w:pStyle w:val="a3"/>
              <w:jc w:val="both"/>
              <w:rPr>
                <w:sz w:val="28"/>
                <w:szCs w:val="28"/>
                <w:lang w:val="en-US"/>
              </w:rPr>
            </w:pPr>
            <w:r w:rsidRPr="00185BC0">
              <w:rPr>
                <w:sz w:val="28"/>
                <w:szCs w:val="28"/>
                <w:lang w:val="en-US"/>
              </w:rPr>
              <w:t>WOMAC</w:t>
            </w:r>
          </w:p>
          <w:p w14:paraId="05AA4937" w14:textId="77777777" w:rsidR="00881B68" w:rsidRPr="00185BC0" w:rsidRDefault="00881B68" w:rsidP="00881B68">
            <w:pPr>
              <w:pStyle w:val="a3"/>
              <w:jc w:val="both"/>
              <w:rPr>
                <w:sz w:val="28"/>
                <w:szCs w:val="28"/>
                <w:lang w:val="en-US"/>
              </w:rPr>
            </w:pPr>
            <w:r w:rsidRPr="00185BC0">
              <w:rPr>
                <w:sz w:val="28"/>
                <w:szCs w:val="28"/>
                <w:lang w:val="en-US"/>
              </w:rPr>
              <w:t>АЛТ</w:t>
            </w:r>
          </w:p>
          <w:p w14:paraId="70C7643F" w14:textId="77777777" w:rsidR="00881B68" w:rsidRPr="00185BC0" w:rsidRDefault="00881B68" w:rsidP="00881B68">
            <w:pPr>
              <w:pStyle w:val="a3"/>
              <w:jc w:val="both"/>
              <w:rPr>
                <w:sz w:val="28"/>
                <w:szCs w:val="28"/>
                <w:lang w:val="en-US"/>
              </w:rPr>
            </w:pPr>
            <w:r w:rsidRPr="00185BC0">
              <w:rPr>
                <w:sz w:val="28"/>
                <w:szCs w:val="28"/>
                <w:lang w:val="en-US"/>
              </w:rPr>
              <w:t>АСТ</w:t>
            </w:r>
          </w:p>
          <w:p w14:paraId="2C5DB79A" w14:textId="77777777" w:rsidR="00881B68" w:rsidRPr="00185BC0" w:rsidRDefault="00881B68" w:rsidP="00881B68">
            <w:pPr>
              <w:pStyle w:val="a3"/>
              <w:jc w:val="both"/>
              <w:rPr>
                <w:sz w:val="28"/>
                <w:szCs w:val="28"/>
                <w:lang w:val="en-US"/>
              </w:rPr>
            </w:pPr>
            <w:r w:rsidRPr="00185BC0">
              <w:rPr>
                <w:sz w:val="28"/>
                <w:szCs w:val="28"/>
                <w:lang w:val="en-US"/>
              </w:rPr>
              <w:t>АЧТВ</w:t>
            </w:r>
          </w:p>
        </w:tc>
        <w:tc>
          <w:tcPr>
            <w:tcW w:w="8080" w:type="dxa"/>
          </w:tcPr>
          <w:p w14:paraId="22596C62" w14:textId="77777777" w:rsidR="00881B68" w:rsidRPr="00185BC0" w:rsidRDefault="00881B68" w:rsidP="00881B68">
            <w:pPr>
              <w:pStyle w:val="a3"/>
              <w:jc w:val="both"/>
              <w:rPr>
                <w:sz w:val="28"/>
                <w:szCs w:val="28"/>
                <w:lang w:val="en-US"/>
              </w:rPr>
            </w:pPr>
            <w:r w:rsidRPr="00185BC0">
              <w:rPr>
                <w:sz w:val="28"/>
                <w:szCs w:val="28"/>
                <w:lang w:val="en-US"/>
              </w:rPr>
              <w:t>Visual Analogue Scale</w:t>
            </w:r>
          </w:p>
          <w:p w14:paraId="5B9FB27B" w14:textId="77777777" w:rsidR="00881B68" w:rsidRPr="00185BC0" w:rsidRDefault="00881B68" w:rsidP="00881B68">
            <w:pPr>
              <w:pStyle w:val="a3"/>
              <w:jc w:val="both"/>
              <w:rPr>
                <w:sz w:val="28"/>
                <w:szCs w:val="28"/>
                <w:lang w:val="en-US"/>
              </w:rPr>
            </w:pPr>
            <w:r w:rsidRPr="00185BC0">
              <w:rPr>
                <w:sz w:val="28"/>
                <w:szCs w:val="28"/>
                <w:lang w:val="en-US"/>
              </w:rPr>
              <w:t>Western Ontario and McMaster Universities Osteoarthritis Index</w:t>
            </w:r>
          </w:p>
          <w:p w14:paraId="188F1272" w14:textId="77777777" w:rsidR="00881B68" w:rsidRPr="00185BC0" w:rsidRDefault="00881B68" w:rsidP="00881B68">
            <w:pPr>
              <w:pStyle w:val="a3"/>
              <w:jc w:val="both"/>
              <w:rPr>
                <w:sz w:val="28"/>
                <w:szCs w:val="28"/>
              </w:rPr>
            </w:pPr>
            <w:r w:rsidRPr="00185BC0">
              <w:rPr>
                <w:sz w:val="28"/>
                <w:szCs w:val="28"/>
              </w:rPr>
              <w:t>Аланинаминотрансфераза</w:t>
            </w:r>
          </w:p>
          <w:p w14:paraId="43C35942" w14:textId="77777777" w:rsidR="00881B68" w:rsidRPr="00185BC0" w:rsidRDefault="00881B68" w:rsidP="00881B68">
            <w:pPr>
              <w:pStyle w:val="a3"/>
              <w:jc w:val="both"/>
              <w:rPr>
                <w:sz w:val="28"/>
                <w:szCs w:val="28"/>
              </w:rPr>
            </w:pPr>
            <w:proofErr w:type="spellStart"/>
            <w:r w:rsidRPr="00185BC0">
              <w:rPr>
                <w:sz w:val="28"/>
                <w:szCs w:val="28"/>
              </w:rPr>
              <w:t>Аспартатаминотрансфераза</w:t>
            </w:r>
            <w:proofErr w:type="spellEnd"/>
          </w:p>
          <w:p w14:paraId="38441B82" w14:textId="77777777" w:rsidR="00881B68" w:rsidRPr="00185BC0" w:rsidRDefault="00881B68" w:rsidP="00881B68">
            <w:pPr>
              <w:pStyle w:val="a3"/>
              <w:jc w:val="both"/>
              <w:rPr>
                <w:sz w:val="28"/>
                <w:szCs w:val="28"/>
              </w:rPr>
            </w:pPr>
            <w:r w:rsidRPr="00185BC0">
              <w:rPr>
                <w:sz w:val="28"/>
                <w:szCs w:val="28"/>
              </w:rPr>
              <w:t xml:space="preserve">Активированное частичное </w:t>
            </w:r>
            <w:proofErr w:type="spellStart"/>
            <w:r w:rsidRPr="00185BC0">
              <w:rPr>
                <w:sz w:val="28"/>
                <w:szCs w:val="28"/>
              </w:rPr>
              <w:t>тромбопластиновое</w:t>
            </w:r>
            <w:proofErr w:type="spellEnd"/>
            <w:r w:rsidRPr="00185BC0">
              <w:rPr>
                <w:sz w:val="28"/>
                <w:szCs w:val="28"/>
              </w:rPr>
              <w:t xml:space="preserve"> время</w:t>
            </w:r>
          </w:p>
        </w:tc>
      </w:tr>
      <w:tr w:rsidR="00881B68" w:rsidRPr="00185BC0" w14:paraId="11C1A072" w14:textId="77777777" w:rsidTr="00881B68">
        <w:tc>
          <w:tcPr>
            <w:tcW w:w="1243" w:type="dxa"/>
          </w:tcPr>
          <w:p w14:paraId="5C029B49" w14:textId="77777777" w:rsidR="00881B68" w:rsidRPr="00185BC0" w:rsidRDefault="00881B68" w:rsidP="00881B68">
            <w:pPr>
              <w:pStyle w:val="a3"/>
              <w:jc w:val="both"/>
              <w:rPr>
                <w:sz w:val="28"/>
                <w:szCs w:val="28"/>
                <w:lang w:val="kk-KZ"/>
              </w:rPr>
            </w:pPr>
            <w:r w:rsidRPr="00185BC0">
              <w:rPr>
                <w:sz w:val="28"/>
                <w:szCs w:val="28"/>
                <w:lang w:val="kk-KZ"/>
              </w:rPr>
              <w:t>БАК</w:t>
            </w:r>
          </w:p>
          <w:p w14:paraId="6B0C3933" w14:textId="77777777" w:rsidR="00881B68" w:rsidRPr="00185BC0" w:rsidRDefault="00881B68" w:rsidP="00881B68">
            <w:pPr>
              <w:pStyle w:val="a3"/>
              <w:jc w:val="both"/>
              <w:rPr>
                <w:sz w:val="28"/>
                <w:szCs w:val="28"/>
              </w:rPr>
            </w:pPr>
            <w:r w:rsidRPr="00185BC0">
              <w:rPr>
                <w:sz w:val="28"/>
                <w:szCs w:val="28"/>
              </w:rPr>
              <w:t>БДП</w:t>
            </w:r>
          </w:p>
        </w:tc>
        <w:tc>
          <w:tcPr>
            <w:tcW w:w="8080" w:type="dxa"/>
          </w:tcPr>
          <w:p w14:paraId="4EFB5921" w14:textId="77777777" w:rsidR="00881B68" w:rsidRPr="00185BC0" w:rsidRDefault="00881B68" w:rsidP="00881B68">
            <w:pPr>
              <w:pStyle w:val="a3"/>
              <w:jc w:val="both"/>
              <w:rPr>
                <w:sz w:val="28"/>
                <w:szCs w:val="28"/>
                <w:lang w:val="kk-KZ"/>
              </w:rPr>
            </w:pPr>
            <w:r w:rsidRPr="00185BC0">
              <w:rPr>
                <w:sz w:val="28"/>
                <w:szCs w:val="28"/>
                <w:lang w:val="kk-KZ"/>
              </w:rPr>
              <w:t>Биохимический анализ крови</w:t>
            </w:r>
          </w:p>
          <w:p w14:paraId="1B972DB8" w14:textId="77777777" w:rsidR="00881B68" w:rsidRPr="00185BC0" w:rsidRDefault="00881B68" w:rsidP="00881B68">
            <w:pPr>
              <w:pStyle w:val="a3"/>
              <w:jc w:val="both"/>
              <w:rPr>
                <w:sz w:val="28"/>
                <w:szCs w:val="28"/>
              </w:rPr>
            </w:pPr>
            <w:r w:rsidRPr="00185BC0">
              <w:rPr>
                <w:sz w:val="28"/>
                <w:szCs w:val="28"/>
              </w:rPr>
              <w:t>База данных пациента</w:t>
            </w:r>
          </w:p>
        </w:tc>
      </w:tr>
      <w:tr w:rsidR="00881B68" w:rsidRPr="00185BC0" w14:paraId="4D7C1B3E" w14:textId="77777777" w:rsidTr="00881B68">
        <w:tc>
          <w:tcPr>
            <w:tcW w:w="1243" w:type="dxa"/>
          </w:tcPr>
          <w:p w14:paraId="4C34FC85" w14:textId="77777777" w:rsidR="00881B68" w:rsidRPr="00185BC0" w:rsidRDefault="00881B68" w:rsidP="00881B68">
            <w:pPr>
              <w:pStyle w:val="a3"/>
              <w:jc w:val="both"/>
              <w:rPr>
                <w:sz w:val="28"/>
                <w:szCs w:val="28"/>
                <w:lang w:val="kk-KZ"/>
              </w:rPr>
            </w:pPr>
            <w:r w:rsidRPr="00185BC0">
              <w:rPr>
                <w:sz w:val="28"/>
                <w:szCs w:val="28"/>
                <w:lang w:val="kk-KZ"/>
              </w:rPr>
              <w:t>ВКТУ</w:t>
            </w:r>
          </w:p>
        </w:tc>
        <w:tc>
          <w:tcPr>
            <w:tcW w:w="8080" w:type="dxa"/>
          </w:tcPr>
          <w:p w14:paraId="27C8629E" w14:textId="77777777" w:rsidR="00881B68" w:rsidRPr="00185BC0" w:rsidRDefault="00881B68" w:rsidP="00881B68">
            <w:pPr>
              <w:pStyle w:val="a3"/>
              <w:jc w:val="both"/>
              <w:rPr>
                <w:sz w:val="28"/>
                <w:szCs w:val="28"/>
              </w:rPr>
            </w:pPr>
            <w:r w:rsidRPr="00185BC0">
              <w:rPr>
                <w:sz w:val="28"/>
                <w:szCs w:val="28"/>
              </w:rPr>
              <w:t>Восточно-Казахстанский технический университет</w:t>
            </w:r>
          </w:p>
        </w:tc>
      </w:tr>
      <w:tr w:rsidR="00881B68" w:rsidRPr="00185BC0" w14:paraId="0CFF7993" w14:textId="77777777" w:rsidTr="00881B68">
        <w:tc>
          <w:tcPr>
            <w:tcW w:w="1243" w:type="dxa"/>
          </w:tcPr>
          <w:p w14:paraId="2D2DFD2E" w14:textId="77777777" w:rsidR="00881B68" w:rsidRPr="00185BC0" w:rsidRDefault="00881B68" w:rsidP="00881B68">
            <w:pPr>
              <w:pStyle w:val="a3"/>
              <w:jc w:val="both"/>
              <w:rPr>
                <w:sz w:val="28"/>
                <w:szCs w:val="28"/>
                <w:lang w:val="kk-KZ"/>
              </w:rPr>
            </w:pPr>
            <w:r w:rsidRPr="00185BC0">
              <w:rPr>
                <w:sz w:val="28"/>
                <w:szCs w:val="28"/>
                <w:lang w:val="kk-KZ"/>
              </w:rPr>
              <w:t>ДК</w:t>
            </w:r>
          </w:p>
        </w:tc>
        <w:tc>
          <w:tcPr>
            <w:tcW w:w="8080" w:type="dxa"/>
          </w:tcPr>
          <w:p w14:paraId="58569784" w14:textId="77777777" w:rsidR="00881B68" w:rsidRPr="00185BC0" w:rsidRDefault="00881B68" w:rsidP="00881B68">
            <w:pPr>
              <w:pStyle w:val="a3"/>
              <w:jc w:val="both"/>
              <w:rPr>
                <w:sz w:val="28"/>
                <w:szCs w:val="28"/>
                <w:lang w:val="kk-KZ"/>
              </w:rPr>
            </w:pPr>
            <w:r w:rsidRPr="00185BC0">
              <w:rPr>
                <w:sz w:val="28"/>
                <w:szCs w:val="28"/>
                <w:lang w:val="kk-KZ"/>
              </w:rPr>
              <w:t>Диспластический коксартроз</w:t>
            </w:r>
          </w:p>
        </w:tc>
      </w:tr>
      <w:tr w:rsidR="00881B68" w:rsidRPr="00185BC0" w14:paraId="0228CADA" w14:textId="77777777" w:rsidTr="00881B68">
        <w:tc>
          <w:tcPr>
            <w:tcW w:w="1243" w:type="dxa"/>
          </w:tcPr>
          <w:p w14:paraId="3FE7AEFB" w14:textId="77777777" w:rsidR="00881B68" w:rsidRPr="00185BC0" w:rsidRDefault="00881B68" w:rsidP="00881B68">
            <w:pPr>
              <w:pStyle w:val="a3"/>
              <w:jc w:val="both"/>
              <w:rPr>
                <w:sz w:val="28"/>
                <w:szCs w:val="28"/>
              </w:rPr>
            </w:pPr>
            <w:r w:rsidRPr="00185BC0">
              <w:rPr>
                <w:sz w:val="28"/>
                <w:szCs w:val="28"/>
              </w:rPr>
              <w:t>ИИН</w:t>
            </w:r>
          </w:p>
        </w:tc>
        <w:tc>
          <w:tcPr>
            <w:tcW w:w="8080" w:type="dxa"/>
          </w:tcPr>
          <w:p w14:paraId="36309DF7" w14:textId="77777777" w:rsidR="00881B68" w:rsidRPr="00185BC0" w:rsidRDefault="00881B68" w:rsidP="00881B68">
            <w:pPr>
              <w:pStyle w:val="a3"/>
              <w:jc w:val="both"/>
              <w:rPr>
                <w:sz w:val="28"/>
                <w:szCs w:val="28"/>
              </w:rPr>
            </w:pPr>
            <w:r w:rsidRPr="00185BC0">
              <w:rPr>
                <w:sz w:val="28"/>
                <w:szCs w:val="28"/>
              </w:rPr>
              <w:t>Индивидуальный идентификационный номер</w:t>
            </w:r>
          </w:p>
        </w:tc>
      </w:tr>
      <w:tr w:rsidR="00881B68" w:rsidRPr="00185BC0" w14:paraId="7325F86E" w14:textId="77777777" w:rsidTr="00881B68">
        <w:tc>
          <w:tcPr>
            <w:tcW w:w="1243" w:type="dxa"/>
          </w:tcPr>
          <w:p w14:paraId="71FAB08F" w14:textId="77777777" w:rsidR="00881B68" w:rsidRPr="00185BC0" w:rsidRDefault="00881B68" w:rsidP="00881B68">
            <w:pPr>
              <w:pStyle w:val="a3"/>
              <w:jc w:val="both"/>
              <w:rPr>
                <w:sz w:val="28"/>
                <w:szCs w:val="28"/>
              </w:rPr>
            </w:pPr>
            <w:r w:rsidRPr="00185BC0">
              <w:rPr>
                <w:sz w:val="28"/>
                <w:szCs w:val="28"/>
              </w:rPr>
              <w:t>КОКСНВО</w:t>
            </w:r>
          </w:p>
        </w:tc>
        <w:tc>
          <w:tcPr>
            <w:tcW w:w="8080" w:type="dxa"/>
          </w:tcPr>
          <w:p w14:paraId="395453F7" w14:textId="77777777" w:rsidR="00881B68" w:rsidRPr="00185BC0" w:rsidRDefault="00881B68" w:rsidP="00881B68">
            <w:pPr>
              <w:pStyle w:val="a3"/>
              <w:jc w:val="both"/>
              <w:rPr>
                <w:sz w:val="28"/>
                <w:szCs w:val="28"/>
              </w:rPr>
            </w:pPr>
            <w:r w:rsidRPr="00185BC0">
              <w:rPr>
                <w:sz w:val="28"/>
                <w:szCs w:val="28"/>
              </w:rPr>
              <w:t>Комитетом по повышению качества в сфере науки и высшем образовании Министерства науки и высшего образования</w:t>
            </w:r>
          </w:p>
        </w:tc>
      </w:tr>
      <w:tr w:rsidR="00881B68" w:rsidRPr="00185BC0" w14:paraId="328C2DD7" w14:textId="77777777" w:rsidTr="00881B68">
        <w:tc>
          <w:tcPr>
            <w:tcW w:w="1243" w:type="dxa"/>
          </w:tcPr>
          <w:p w14:paraId="12B87BAA" w14:textId="77777777" w:rsidR="00881B68" w:rsidRPr="00185BC0" w:rsidRDefault="00881B68" w:rsidP="00881B68">
            <w:pPr>
              <w:pStyle w:val="a3"/>
              <w:jc w:val="both"/>
              <w:rPr>
                <w:sz w:val="28"/>
                <w:szCs w:val="28"/>
                <w:lang w:val="kk-KZ"/>
              </w:rPr>
            </w:pPr>
            <w:r w:rsidRPr="00185BC0">
              <w:rPr>
                <w:sz w:val="28"/>
                <w:szCs w:val="28"/>
                <w:lang w:val="kk-KZ"/>
              </w:rPr>
              <w:t>КТ</w:t>
            </w:r>
          </w:p>
          <w:p w14:paraId="4A6CEB38" w14:textId="77777777" w:rsidR="00881B68" w:rsidRPr="00185BC0" w:rsidRDefault="00881B68" w:rsidP="00881B68">
            <w:pPr>
              <w:pStyle w:val="a3"/>
              <w:jc w:val="both"/>
              <w:rPr>
                <w:sz w:val="28"/>
                <w:szCs w:val="28"/>
                <w:lang w:val="kk-KZ"/>
              </w:rPr>
            </w:pPr>
            <w:r w:rsidRPr="00185BC0">
              <w:rPr>
                <w:sz w:val="28"/>
                <w:szCs w:val="28"/>
                <w:lang w:val="kk-KZ"/>
              </w:rPr>
              <w:t>КЭА</w:t>
            </w:r>
          </w:p>
          <w:p w14:paraId="4F88A19A" w14:textId="77777777" w:rsidR="00881B68" w:rsidRPr="00185BC0" w:rsidRDefault="00881B68" w:rsidP="00881B68">
            <w:pPr>
              <w:pStyle w:val="a3"/>
              <w:jc w:val="both"/>
              <w:rPr>
                <w:sz w:val="28"/>
                <w:szCs w:val="28"/>
              </w:rPr>
            </w:pPr>
            <w:r w:rsidRPr="00185BC0">
              <w:rPr>
                <w:sz w:val="28"/>
                <w:szCs w:val="28"/>
              </w:rPr>
              <w:t>ЛЭК</w:t>
            </w:r>
          </w:p>
        </w:tc>
        <w:tc>
          <w:tcPr>
            <w:tcW w:w="8080" w:type="dxa"/>
          </w:tcPr>
          <w:p w14:paraId="47AC7E1E" w14:textId="77777777" w:rsidR="00881B68" w:rsidRPr="00185BC0" w:rsidRDefault="00881B68" w:rsidP="00881B68">
            <w:pPr>
              <w:pStyle w:val="a3"/>
              <w:jc w:val="both"/>
              <w:rPr>
                <w:sz w:val="28"/>
                <w:szCs w:val="28"/>
                <w:lang w:val="kk-KZ"/>
              </w:rPr>
            </w:pPr>
            <w:r w:rsidRPr="00185BC0">
              <w:rPr>
                <w:sz w:val="28"/>
                <w:szCs w:val="28"/>
                <w:lang w:val="kk-KZ"/>
              </w:rPr>
              <w:t>Компьютерная томография</w:t>
            </w:r>
          </w:p>
          <w:p w14:paraId="3F6F1153" w14:textId="77777777" w:rsidR="00881B68" w:rsidRPr="00185BC0" w:rsidRDefault="00881B68" w:rsidP="00881B68">
            <w:pPr>
              <w:pStyle w:val="a3"/>
              <w:jc w:val="both"/>
              <w:rPr>
                <w:sz w:val="28"/>
                <w:szCs w:val="28"/>
                <w:lang w:val="kk-KZ"/>
              </w:rPr>
            </w:pPr>
            <w:r w:rsidRPr="00185BC0">
              <w:rPr>
                <w:sz w:val="28"/>
                <w:szCs w:val="28"/>
                <w:lang w:val="kk-KZ"/>
              </w:rPr>
              <w:t>Конечно-элементный анализ</w:t>
            </w:r>
          </w:p>
          <w:p w14:paraId="22F8817C" w14:textId="77777777" w:rsidR="00881B68" w:rsidRPr="00185BC0" w:rsidRDefault="00881B68" w:rsidP="00881B68">
            <w:pPr>
              <w:pStyle w:val="a3"/>
              <w:jc w:val="both"/>
              <w:rPr>
                <w:sz w:val="28"/>
                <w:szCs w:val="28"/>
                <w:lang w:val="kk-KZ"/>
              </w:rPr>
            </w:pPr>
            <w:r w:rsidRPr="00185BC0">
              <w:rPr>
                <w:sz w:val="28"/>
                <w:szCs w:val="28"/>
                <w:lang w:val="kk-KZ"/>
              </w:rPr>
              <w:t>Локальный этический комитет</w:t>
            </w:r>
          </w:p>
        </w:tc>
      </w:tr>
      <w:tr w:rsidR="00881B68" w:rsidRPr="00185BC0" w14:paraId="73C36DB9" w14:textId="77777777" w:rsidTr="00881B68">
        <w:tc>
          <w:tcPr>
            <w:tcW w:w="1243" w:type="dxa"/>
          </w:tcPr>
          <w:p w14:paraId="46C768FF" w14:textId="77777777" w:rsidR="00881B68" w:rsidRPr="00185BC0" w:rsidRDefault="00881B68" w:rsidP="00881B68">
            <w:pPr>
              <w:pStyle w:val="a3"/>
              <w:jc w:val="both"/>
              <w:rPr>
                <w:sz w:val="28"/>
                <w:szCs w:val="28"/>
                <w:lang w:val="kk-KZ"/>
              </w:rPr>
            </w:pPr>
            <w:r w:rsidRPr="00185BC0">
              <w:rPr>
                <w:sz w:val="28"/>
                <w:szCs w:val="28"/>
                <w:lang w:val="kk-KZ"/>
              </w:rPr>
              <w:t>МЗ</w:t>
            </w:r>
          </w:p>
        </w:tc>
        <w:tc>
          <w:tcPr>
            <w:tcW w:w="8080" w:type="dxa"/>
          </w:tcPr>
          <w:p w14:paraId="6B13DAF2" w14:textId="77777777" w:rsidR="00881B68" w:rsidRPr="00185BC0" w:rsidRDefault="00881B68" w:rsidP="00881B68">
            <w:pPr>
              <w:pStyle w:val="a3"/>
              <w:jc w:val="both"/>
              <w:rPr>
                <w:sz w:val="28"/>
                <w:szCs w:val="28"/>
                <w:lang w:val="kk-KZ"/>
              </w:rPr>
            </w:pPr>
            <w:r w:rsidRPr="00185BC0">
              <w:rPr>
                <w:sz w:val="28"/>
                <w:szCs w:val="28"/>
                <w:lang w:val="kk-KZ"/>
              </w:rPr>
              <w:t>Министерство здравохранение</w:t>
            </w:r>
          </w:p>
        </w:tc>
      </w:tr>
      <w:tr w:rsidR="00881B68" w:rsidRPr="00185BC0" w14:paraId="57A2467C" w14:textId="77777777" w:rsidTr="00881B68">
        <w:tc>
          <w:tcPr>
            <w:tcW w:w="1243" w:type="dxa"/>
          </w:tcPr>
          <w:p w14:paraId="2B553D22" w14:textId="77777777" w:rsidR="00881B68" w:rsidRPr="00185BC0" w:rsidRDefault="00881B68" w:rsidP="00881B68">
            <w:pPr>
              <w:pStyle w:val="a3"/>
              <w:jc w:val="both"/>
              <w:rPr>
                <w:sz w:val="28"/>
                <w:szCs w:val="28"/>
              </w:rPr>
            </w:pPr>
            <w:r w:rsidRPr="00185BC0">
              <w:rPr>
                <w:sz w:val="28"/>
                <w:szCs w:val="28"/>
              </w:rPr>
              <w:t>МКБ 10</w:t>
            </w:r>
          </w:p>
          <w:p w14:paraId="0016FCA0" w14:textId="77777777" w:rsidR="00881B68" w:rsidRPr="00185BC0" w:rsidRDefault="00881B68" w:rsidP="00881B68">
            <w:pPr>
              <w:pStyle w:val="a3"/>
              <w:jc w:val="both"/>
              <w:rPr>
                <w:sz w:val="28"/>
                <w:szCs w:val="28"/>
              </w:rPr>
            </w:pPr>
            <w:r w:rsidRPr="00185BC0">
              <w:rPr>
                <w:sz w:val="28"/>
                <w:szCs w:val="28"/>
              </w:rPr>
              <w:t>МКЭ</w:t>
            </w:r>
          </w:p>
        </w:tc>
        <w:tc>
          <w:tcPr>
            <w:tcW w:w="8080" w:type="dxa"/>
          </w:tcPr>
          <w:p w14:paraId="0CE62D3E" w14:textId="77777777" w:rsidR="00881B68" w:rsidRPr="00185BC0" w:rsidRDefault="00881B68" w:rsidP="00881B68">
            <w:pPr>
              <w:pStyle w:val="a3"/>
              <w:jc w:val="both"/>
              <w:rPr>
                <w:sz w:val="28"/>
                <w:szCs w:val="28"/>
              </w:rPr>
            </w:pPr>
            <w:r w:rsidRPr="00185BC0">
              <w:rPr>
                <w:sz w:val="28"/>
                <w:szCs w:val="28"/>
              </w:rPr>
              <w:t>международная классификация болезней Десятого пересмотра</w:t>
            </w:r>
          </w:p>
          <w:p w14:paraId="75624FF4" w14:textId="77777777" w:rsidR="00881B68" w:rsidRPr="00185BC0" w:rsidRDefault="00881B68" w:rsidP="00881B68">
            <w:pPr>
              <w:pStyle w:val="a3"/>
              <w:jc w:val="both"/>
              <w:rPr>
                <w:sz w:val="28"/>
                <w:szCs w:val="28"/>
              </w:rPr>
            </w:pPr>
            <w:r w:rsidRPr="00185BC0">
              <w:rPr>
                <w:sz w:val="28"/>
                <w:szCs w:val="28"/>
              </w:rPr>
              <w:t>Метод конечных элементов</w:t>
            </w:r>
          </w:p>
        </w:tc>
      </w:tr>
      <w:tr w:rsidR="00881B68" w:rsidRPr="00185BC0" w14:paraId="1A479BD3" w14:textId="77777777" w:rsidTr="00881B68">
        <w:tc>
          <w:tcPr>
            <w:tcW w:w="1243" w:type="dxa"/>
          </w:tcPr>
          <w:p w14:paraId="0776DAA4" w14:textId="77777777" w:rsidR="00881B68" w:rsidRPr="00185BC0" w:rsidRDefault="00881B68" w:rsidP="00881B68">
            <w:pPr>
              <w:pStyle w:val="a3"/>
              <w:jc w:val="both"/>
              <w:rPr>
                <w:sz w:val="28"/>
                <w:szCs w:val="28"/>
              </w:rPr>
            </w:pPr>
            <w:proofErr w:type="spellStart"/>
            <w:r w:rsidRPr="00185BC0">
              <w:rPr>
                <w:sz w:val="28"/>
                <w:szCs w:val="28"/>
              </w:rPr>
              <w:t>МНиВО</w:t>
            </w:r>
            <w:proofErr w:type="spellEnd"/>
          </w:p>
          <w:p w14:paraId="75AE8603" w14:textId="77777777" w:rsidR="00881B68" w:rsidRPr="00185BC0" w:rsidRDefault="00881B68" w:rsidP="00881B68">
            <w:pPr>
              <w:pStyle w:val="a3"/>
              <w:jc w:val="both"/>
              <w:rPr>
                <w:sz w:val="28"/>
                <w:szCs w:val="28"/>
              </w:rPr>
            </w:pPr>
            <w:r w:rsidRPr="00185BC0">
              <w:rPr>
                <w:sz w:val="28"/>
                <w:szCs w:val="28"/>
              </w:rPr>
              <w:t>МНО</w:t>
            </w:r>
          </w:p>
        </w:tc>
        <w:tc>
          <w:tcPr>
            <w:tcW w:w="8080" w:type="dxa"/>
          </w:tcPr>
          <w:p w14:paraId="43582962" w14:textId="77777777" w:rsidR="00881B68" w:rsidRPr="00185BC0" w:rsidRDefault="00881B68" w:rsidP="00881B68">
            <w:pPr>
              <w:pStyle w:val="a3"/>
              <w:jc w:val="both"/>
              <w:rPr>
                <w:sz w:val="28"/>
                <w:szCs w:val="28"/>
              </w:rPr>
            </w:pPr>
            <w:r w:rsidRPr="00185BC0">
              <w:rPr>
                <w:sz w:val="28"/>
                <w:szCs w:val="28"/>
              </w:rPr>
              <w:t>Министерство науки и высшего образования</w:t>
            </w:r>
          </w:p>
          <w:p w14:paraId="28387E07" w14:textId="77777777" w:rsidR="00881B68" w:rsidRPr="00185BC0" w:rsidRDefault="00881B68" w:rsidP="00881B68">
            <w:pPr>
              <w:pStyle w:val="a3"/>
              <w:jc w:val="both"/>
              <w:rPr>
                <w:sz w:val="28"/>
                <w:szCs w:val="28"/>
              </w:rPr>
            </w:pPr>
            <w:r w:rsidRPr="00185BC0">
              <w:rPr>
                <w:sz w:val="28"/>
                <w:szCs w:val="28"/>
              </w:rPr>
              <w:t>Международное нормализованное отношение</w:t>
            </w:r>
          </w:p>
        </w:tc>
      </w:tr>
      <w:tr w:rsidR="00881B68" w:rsidRPr="00185BC0" w14:paraId="367B4771" w14:textId="77777777" w:rsidTr="00881B68">
        <w:tc>
          <w:tcPr>
            <w:tcW w:w="1243" w:type="dxa"/>
          </w:tcPr>
          <w:p w14:paraId="4831B9DB" w14:textId="77777777" w:rsidR="00881B68" w:rsidRPr="00185BC0" w:rsidRDefault="00881B68" w:rsidP="00881B68">
            <w:pPr>
              <w:pStyle w:val="a3"/>
              <w:jc w:val="both"/>
              <w:rPr>
                <w:sz w:val="28"/>
                <w:szCs w:val="28"/>
                <w:lang w:val="kk-KZ"/>
              </w:rPr>
            </w:pPr>
            <w:r w:rsidRPr="00185BC0">
              <w:rPr>
                <w:sz w:val="28"/>
                <w:szCs w:val="28"/>
                <w:lang w:val="kk-KZ"/>
              </w:rPr>
              <w:t>МОН</w:t>
            </w:r>
          </w:p>
          <w:p w14:paraId="36B3D5FC" w14:textId="77777777" w:rsidR="00881B68" w:rsidRPr="00185BC0" w:rsidRDefault="00881B68" w:rsidP="00881B68">
            <w:pPr>
              <w:pStyle w:val="a3"/>
              <w:jc w:val="both"/>
              <w:rPr>
                <w:sz w:val="28"/>
                <w:szCs w:val="28"/>
                <w:lang w:val="kk-KZ"/>
              </w:rPr>
            </w:pPr>
            <w:r w:rsidRPr="00185BC0">
              <w:rPr>
                <w:sz w:val="28"/>
                <w:szCs w:val="28"/>
              </w:rPr>
              <w:t>МПР</w:t>
            </w:r>
            <w:r w:rsidRPr="00185BC0">
              <w:rPr>
                <w:sz w:val="28"/>
                <w:szCs w:val="28"/>
                <w:lang w:val="kk-KZ"/>
              </w:rPr>
              <w:t xml:space="preserve"> </w:t>
            </w:r>
          </w:p>
          <w:p w14:paraId="2C24ECB4" w14:textId="77777777" w:rsidR="00881B68" w:rsidRPr="00185BC0" w:rsidRDefault="00881B68" w:rsidP="00881B68">
            <w:pPr>
              <w:pStyle w:val="a3"/>
              <w:jc w:val="both"/>
              <w:rPr>
                <w:sz w:val="28"/>
                <w:szCs w:val="28"/>
                <w:lang w:val="kk-KZ"/>
              </w:rPr>
            </w:pPr>
            <w:r w:rsidRPr="00185BC0">
              <w:rPr>
                <w:sz w:val="28"/>
                <w:szCs w:val="28"/>
                <w:lang w:val="kk-KZ"/>
              </w:rPr>
              <w:t>НДС</w:t>
            </w:r>
          </w:p>
        </w:tc>
        <w:tc>
          <w:tcPr>
            <w:tcW w:w="8080" w:type="dxa"/>
          </w:tcPr>
          <w:p w14:paraId="1F998C29" w14:textId="77777777" w:rsidR="00881B68" w:rsidRPr="00185BC0" w:rsidRDefault="00881B68" w:rsidP="00881B68">
            <w:pPr>
              <w:pStyle w:val="a3"/>
              <w:jc w:val="both"/>
              <w:rPr>
                <w:sz w:val="28"/>
                <w:szCs w:val="28"/>
                <w:lang w:val="kk-KZ"/>
              </w:rPr>
            </w:pPr>
            <w:r w:rsidRPr="00185BC0">
              <w:rPr>
                <w:sz w:val="28"/>
                <w:szCs w:val="28"/>
                <w:lang w:val="kk-KZ"/>
              </w:rPr>
              <w:t>Министерство оброзования и науки</w:t>
            </w:r>
          </w:p>
          <w:p w14:paraId="60A2C168" w14:textId="77777777" w:rsidR="00881B68" w:rsidRPr="00185BC0" w:rsidRDefault="00881B68" w:rsidP="00881B68">
            <w:pPr>
              <w:pStyle w:val="a3"/>
              <w:jc w:val="both"/>
              <w:rPr>
                <w:sz w:val="28"/>
                <w:szCs w:val="28"/>
                <w:lang w:val="kk-KZ"/>
              </w:rPr>
            </w:pPr>
            <w:r w:rsidRPr="00185BC0">
              <w:rPr>
                <w:sz w:val="28"/>
                <w:szCs w:val="28"/>
              </w:rPr>
              <w:t>М</w:t>
            </w:r>
            <w:r w:rsidRPr="00185BC0">
              <w:rPr>
                <w:sz w:val="28"/>
                <w:szCs w:val="28"/>
                <w:lang w:val="kk-KZ"/>
              </w:rPr>
              <w:t>ногоплоскостная реконструкция</w:t>
            </w:r>
          </w:p>
          <w:p w14:paraId="5EE29BAE" w14:textId="77777777" w:rsidR="00881B68" w:rsidRPr="00185BC0" w:rsidRDefault="00881B68" w:rsidP="00881B68">
            <w:pPr>
              <w:pStyle w:val="a3"/>
              <w:jc w:val="both"/>
              <w:rPr>
                <w:sz w:val="28"/>
                <w:szCs w:val="28"/>
                <w:lang w:val="kk-KZ"/>
              </w:rPr>
            </w:pPr>
            <w:r w:rsidRPr="00185BC0">
              <w:rPr>
                <w:sz w:val="28"/>
                <w:szCs w:val="28"/>
                <w:lang w:val="kk-KZ"/>
              </w:rPr>
              <w:t>Напряжённо-деформированная состояния</w:t>
            </w:r>
          </w:p>
        </w:tc>
      </w:tr>
      <w:tr w:rsidR="00881B68" w:rsidRPr="00185BC0" w14:paraId="6819D2D1" w14:textId="77777777" w:rsidTr="00881B68">
        <w:tc>
          <w:tcPr>
            <w:tcW w:w="1243" w:type="dxa"/>
          </w:tcPr>
          <w:p w14:paraId="32707CBD" w14:textId="77777777" w:rsidR="00881B68" w:rsidRPr="00185BC0" w:rsidRDefault="00881B68" w:rsidP="00881B68">
            <w:pPr>
              <w:pStyle w:val="a3"/>
              <w:jc w:val="both"/>
              <w:rPr>
                <w:sz w:val="28"/>
                <w:szCs w:val="28"/>
              </w:rPr>
            </w:pPr>
            <w:r w:rsidRPr="00185BC0">
              <w:rPr>
                <w:sz w:val="28"/>
                <w:szCs w:val="28"/>
              </w:rPr>
              <w:t>ННЦТО</w:t>
            </w:r>
          </w:p>
          <w:p w14:paraId="206E2B77" w14:textId="77777777" w:rsidR="00881B68" w:rsidRPr="00185BC0" w:rsidRDefault="00881B68" w:rsidP="00881B68">
            <w:pPr>
              <w:pStyle w:val="a3"/>
              <w:jc w:val="both"/>
              <w:rPr>
                <w:sz w:val="28"/>
                <w:szCs w:val="28"/>
              </w:rPr>
            </w:pPr>
            <w:r w:rsidRPr="00185BC0">
              <w:rPr>
                <w:sz w:val="28"/>
                <w:szCs w:val="28"/>
              </w:rPr>
              <w:t>НЯ</w:t>
            </w:r>
          </w:p>
        </w:tc>
        <w:tc>
          <w:tcPr>
            <w:tcW w:w="8080" w:type="dxa"/>
          </w:tcPr>
          <w:p w14:paraId="3D862EAD" w14:textId="77777777" w:rsidR="00881B68" w:rsidRPr="00185BC0" w:rsidRDefault="00881B68" w:rsidP="00881B68">
            <w:pPr>
              <w:pStyle w:val="a3"/>
              <w:jc w:val="both"/>
              <w:rPr>
                <w:sz w:val="28"/>
                <w:szCs w:val="28"/>
              </w:rPr>
            </w:pPr>
            <w:r w:rsidRPr="00185BC0">
              <w:rPr>
                <w:sz w:val="28"/>
                <w:szCs w:val="28"/>
              </w:rPr>
              <w:t>Национальный научный центр травматологии и ортопедии</w:t>
            </w:r>
          </w:p>
          <w:p w14:paraId="5FB97066" w14:textId="77777777" w:rsidR="00881B68" w:rsidRPr="00185BC0" w:rsidRDefault="00881B68" w:rsidP="00881B68">
            <w:pPr>
              <w:pStyle w:val="a3"/>
              <w:jc w:val="both"/>
              <w:rPr>
                <w:sz w:val="28"/>
                <w:szCs w:val="28"/>
              </w:rPr>
            </w:pPr>
            <w:r w:rsidRPr="00185BC0">
              <w:rPr>
                <w:sz w:val="28"/>
                <w:szCs w:val="28"/>
              </w:rPr>
              <w:t>Нежелательное явление</w:t>
            </w:r>
          </w:p>
        </w:tc>
      </w:tr>
      <w:tr w:rsidR="00881B68" w:rsidRPr="00185BC0" w14:paraId="68641C1A" w14:textId="77777777" w:rsidTr="00881B68">
        <w:tc>
          <w:tcPr>
            <w:tcW w:w="1243" w:type="dxa"/>
          </w:tcPr>
          <w:p w14:paraId="41B98CFE" w14:textId="77777777" w:rsidR="00881B68" w:rsidRPr="00185BC0" w:rsidRDefault="00881B68" w:rsidP="00881B68">
            <w:pPr>
              <w:pStyle w:val="a3"/>
              <w:jc w:val="both"/>
              <w:rPr>
                <w:sz w:val="28"/>
                <w:szCs w:val="28"/>
              </w:rPr>
            </w:pPr>
            <w:r w:rsidRPr="00185BC0">
              <w:rPr>
                <w:sz w:val="28"/>
                <w:szCs w:val="28"/>
              </w:rPr>
              <w:t>ОА</w:t>
            </w:r>
          </w:p>
          <w:p w14:paraId="0662C9CA" w14:textId="77777777" w:rsidR="00881B68" w:rsidRPr="00185BC0" w:rsidRDefault="00881B68" w:rsidP="00881B68">
            <w:pPr>
              <w:pStyle w:val="a3"/>
              <w:jc w:val="both"/>
              <w:rPr>
                <w:sz w:val="28"/>
                <w:szCs w:val="28"/>
                <w:lang w:val="kk-KZ"/>
              </w:rPr>
            </w:pPr>
            <w:r w:rsidRPr="00185BC0">
              <w:rPr>
                <w:sz w:val="28"/>
                <w:szCs w:val="28"/>
                <w:lang w:val="kk-KZ"/>
              </w:rPr>
              <w:t>ОАК</w:t>
            </w:r>
          </w:p>
        </w:tc>
        <w:tc>
          <w:tcPr>
            <w:tcW w:w="8080" w:type="dxa"/>
          </w:tcPr>
          <w:p w14:paraId="16E3F1DF" w14:textId="77777777" w:rsidR="00881B68" w:rsidRPr="00185BC0" w:rsidRDefault="00881B68" w:rsidP="00881B68">
            <w:pPr>
              <w:pStyle w:val="a3"/>
              <w:jc w:val="both"/>
              <w:rPr>
                <w:sz w:val="28"/>
                <w:szCs w:val="28"/>
              </w:rPr>
            </w:pPr>
            <w:r w:rsidRPr="00185BC0">
              <w:rPr>
                <w:sz w:val="28"/>
                <w:szCs w:val="28"/>
              </w:rPr>
              <w:t>Остеоартроз</w:t>
            </w:r>
          </w:p>
          <w:p w14:paraId="41C2C749" w14:textId="77777777" w:rsidR="00881B68" w:rsidRPr="00185BC0" w:rsidRDefault="00881B68" w:rsidP="00881B68">
            <w:pPr>
              <w:pStyle w:val="a3"/>
              <w:jc w:val="both"/>
              <w:rPr>
                <w:sz w:val="28"/>
                <w:szCs w:val="28"/>
                <w:lang w:val="kk-KZ"/>
              </w:rPr>
            </w:pPr>
            <w:r w:rsidRPr="00185BC0">
              <w:rPr>
                <w:sz w:val="28"/>
                <w:szCs w:val="28"/>
                <w:lang w:val="kk-KZ"/>
              </w:rPr>
              <w:t>Общий анализ крови</w:t>
            </w:r>
          </w:p>
        </w:tc>
      </w:tr>
      <w:tr w:rsidR="00881B68" w:rsidRPr="00185BC0" w14:paraId="562ED0C1" w14:textId="77777777" w:rsidTr="00881B68">
        <w:tc>
          <w:tcPr>
            <w:tcW w:w="1243" w:type="dxa"/>
          </w:tcPr>
          <w:p w14:paraId="6396F074" w14:textId="77777777" w:rsidR="00881B68" w:rsidRPr="00185BC0" w:rsidRDefault="00881B68" w:rsidP="00881B68">
            <w:pPr>
              <w:pStyle w:val="a3"/>
              <w:jc w:val="both"/>
              <w:rPr>
                <w:sz w:val="28"/>
                <w:szCs w:val="28"/>
                <w:lang w:val="kk-KZ"/>
              </w:rPr>
            </w:pPr>
            <w:r w:rsidRPr="00185BC0">
              <w:rPr>
                <w:sz w:val="28"/>
                <w:szCs w:val="28"/>
                <w:lang w:val="kk-KZ"/>
              </w:rPr>
              <w:t>ПО</w:t>
            </w:r>
          </w:p>
          <w:p w14:paraId="30937845" w14:textId="77777777" w:rsidR="00881B68" w:rsidRPr="00185BC0" w:rsidRDefault="00881B68" w:rsidP="00881B68">
            <w:pPr>
              <w:pStyle w:val="a3"/>
              <w:jc w:val="both"/>
              <w:rPr>
                <w:sz w:val="28"/>
                <w:szCs w:val="28"/>
                <w:lang w:val="kk-KZ"/>
              </w:rPr>
            </w:pPr>
            <w:r w:rsidRPr="00185BC0">
              <w:rPr>
                <w:sz w:val="28"/>
                <w:szCs w:val="28"/>
                <w:lang w:val="kk-KZ"/>
              </w:rPr>
              <w:t>ППУО</w:t>
            </w:r>
          </w:p>
        </w:tc>
        <w:tc>
          <w:tcPr>
            <w:tcW w:w="8080" w:type="dxa"/>
          </w:tcPr>
          <w:p w14:paraId="2479B8A6" w14:textId="77777777" w:rsidR="00881B68" w:rsidRPr="00185BC0" w:rsidRDefault="00881B68" w:rsidP="00881B68">
            <w:pPr>
              <w:pStyle w:val="a3"/>
              <w:jc w:val="both"/>
              <w:rPr>
                <w:sz w:val="28"/>
                <w:szCs w:val="28"/>
              </w:rPr>
            </w:pPr>
            <w:r w:rsidRPr="00185BC0">
              <w:rPr>
                <w:sz w:val="28"/>
                <w:szCs w:val="28"/>
                <w:lang w:val="kk-KZ"/>
              </w:rPr>
              <w:t>П</w:t>
            </w:r>
            <w:proofErr w:type="spellStart"/>
            <w:r w:rsidRPr="00185BC0">
              <w:rPr>
                <w:sz w:val="28"/>
                <w:szCs w:val="28"/>
              </w:rPr>
              <w:t>рограммное</w:t>
            </w:r>
            <w:proofErr w:type="spellEnd"/>
            <w:r w:rsidRPr="00185BC0">
              <w:rPr>
                <w:sz w:val="28"/>
                <w:szCs w:val="28"/>
              </w:rPr>
              <w:t xml:space="preserve"> обеспечение</w:t>
            </w:r>
          </w:p>
          <w:p w14:paraId="6CAD7A04" w14:textId="77777777" w:rsidR="00881B68" w:rsidRPr="00185BC0" w:rsidRDefault="00881B68" w:rsidP="00881B68">
            <w:pPr>
              <w:pStyle w:val="a3"/>
              <w:jc w:val="both"/>
              <w:rPr>
                <w:sz w:val="28"/>
                <w:szCs w:val="28"/>
              </w:rPr>
            </w:pPr>
            <w:r w:rsidRPr="00185BC0">
              <w:rPr>
                <w:sz w:val="28"/>
                <w:szCs w:val="28"/>
              </w:rPr>
              <w:t xml:space="preserve">Поперечная </w:t>
            </w:r>
            <w:proofErr w:type="spellStart"/>
            <w:r w:rsidRPr="00185BC0">
              <w:rPr>
                <w:sz w:val="28"/>
                <w:szCs w:val="28"/>
              </w:rPr>
              <w:t>подвертельная</w:t>
            </w:r>
            <w:proofErr w:type="spellEnd"/>
            <w:r w:rsidRPr="00185BC0">
              <w:rPr>
                <w:sz w:val="28"/>
                <w:szCs w:val="28"/>
              </w:rPr>
              <w:t xml:space="preserve"> укорачивающая остеотомия</w:t>
            </w:r>
          </w:p>
        </w:tc>
      </w:tr>
      <w:tr w:rsidR="00881B68" w:rsidRPr="00185BC0" w14:paraId="28A69D17" w14:textId="77777777" w:rsidTr="00881B68">
        <w:tc>
          <w:tcPr>
            <w:tcW w:w="1243" w:type="dxa"/>
          </w:tcPr>
          <w:p w14:paraId="5D0B6C21" w14:textId="77777777" w:rsidR="00881B68" w:rsidRPr="00185BC0" w:rsidRDefault="00881B68" w:rsidP="00881B68">
            <w:pPr>
              <w:pStyle w:val="a3"/>
              <w:jc w:val="both"/>
              <w:rPr>
                <w:sz w:val="28"/>
                <w:szCs w:val="28"/>
                <w:lang w:val="kk-KZ"/>
              </w:rPr>
            </w:pPr>
            <w:r w:rsidRPr="00185BC0">
              <w:rPr>
                <w:sz w:val="28"/>
                <w:szCs w:val="28"/>
                <w:lang w:val="kk-KZ"/>
              </w:rPr>
              <w:t>ПХВ</w:t>
            </w:r>
          </w:p>
        </w:tc>
        <w:tc>
          <w:tcPr>
            <w:tcW w:w="8080" w:type="dxa"/>
          </w:tcPr>
          <w:p w14:paraId="1A401D09" w14:textId="77777777" w:rsidR="00881B68" w:rsidRPr="00185BC0" w:rsidRDefault="00881B68" w:rsidP="00881B68">
            <w:pPr>
              <w:pStyle w:val="a3"/>
              <w:jc w:val="both"/>
              <w:rPr>
                <w:sz w:val="28"/>
                <w:szCs w:val="28"/>
              </w:rPr>
            </w:pPr>
            <w:r w:rsidRPr="00185BC0">
              <w:rPr>
                <w:sz w:val="28"/>
                <w:szCs w:val="28"/>
              </w:rPr>
              <w:t>Право хозяйственного ведения</w:t>
            </w:r>
          </w:p>
        </w:tc>
      </w:tr>
      <w:tr w:rsidR="00881B68" w:rsidRPr="00185BC0" w14:paraId="6A0F1433" w14:textId="77777777" w:rsidTr="00881B68">
        <w:tc>
          <w:tcPr>
            <w:tcW w:w="1243" w:type="dxa"/>
          </w:tcPr>
          <w:p w14:paraId="1AE54563" w14:textId="77777777" w:rsidR="00881B68" w:rsidRPr="00185BC0" w:rsidRDefault="00881B68" w:rsidP="00881B68">
            <w:pPr>
              <w:pStyle w:val="a3"/>
              <w:jc w:val="both"/>
              <w:rPr>
                <w:sz w:val="28"/>
                <w:szCs w:val="28"/>
                <w:lang w:val="kk-KZ"/>
              </w:rPr>
            </w:pPr>
            <w:r w:rsidRPr="00185BC0">
              <w:rPr>
                <w:sz w:val="28"/>
                <w:szCs w:val="28"/>
                <w:lang w:val="kk-KZ"/>
              </w:rPr>
              <w:t>РГП</w:t>
            </w:r>
          </w:p>
        </w:tc>
        <w:tc>
          <w:tcPr>
            <w:tcW w:w="8080" w:type="dxa"/>
          </w:tcPr>
          <w:p w14:paraId="68A3AC1F" w14:textId="77777777" w:rsidR="00881B68" w:rsidRPr="00185BC0" w:rsidRDefault="00881B68" w:rsidP="00881B68">
            <w:pPr>
              <w:pStyle w:val="a3"/>
              <w:jc w:val="both"/>
              <w:rPr>
                <w:sz w:val="28"/>
                <w:szCs w:val="28"/>
              </w:rPr>
            </w:pPr>
            <w:r w:rsidRPr="00185BC0">
              <w:rPr>
                <w:sz w:val="28"/>
                <w:szCs w:val="28"/>
              </w:rPr>
              <w:t>Республиканское государственное предприятие</w:t>
            </w:r>
          </w:p>
        </w:tc>
      </w:tr>
      <w:tr w:rsidR="00881B68" w:rsidRPr="00185BC0" w14:paraId="1BEF670A" w14:textId="77777777" w:rsidTr="00881B68">
        <w:tc>
          <w:tcPr>
            <w:tcW w:w="1243" w:type="dxa"/>
          </w:tcPr>
          <w:p w14:paraId="5F86DACB" w14:textId="77777777" w:rsidR="00881B68" w:rsidRPr="00185BC0" w:rsidRDefault="00881B68" w:rsidP="00881B68">
            <w:pPr>
              <w:pStyle w:val="a3"/>
              <w:jc w:val="both"/>
              <w:rPr>
                <w:sz w:val="28"/>
                <w:szCs w:val="28"/>
              </w:rPr>
            </w:pPr>
            <w:r w:rsidRPr="00185BC0">
              <w:rPr>
                <w:sz w:val="28"/>
                <w:szCs w:val="28"/>
              </w:rPr>
              <w:t>РК</w:t>
            </w:r>
          </w:p>
        </w:tc>
        <w:tc>
          <w:tcPr>
            <w:tcW w:w="8080" w:type="dxa"/>
          </w:tcPr>
          <w:p w14:paraId="538477A9" w14:textId="77777777" w:rsidR="00881B68" w:rsidRPr="00185BC0" w:rsidRDefault="00881B68" w:rsidP="00881B68">
            <w:pPr>
              <w:pStyle w:val="a3"/>
              <w:jc w:val="both"/>
              <w:rPr>
                <w:sz w:val="28"/>
                <w:szCs w:val="28"/>
              </w:rPr>
            </w:pPr>
            <w:r w:rsidRPr="00185BC0">
              <w:rPr>
                <w:sz w:val="28"/>
                <w:szCs w:val="28"/>
              </w:rPr>
              <w:t>Республика Казахстан</w:t>
            </w:r>
          </w:p>
        </w:tc>
      </w:tr>
      <w:tr w:rsidR="00881B68" w:rsidRPr="00185BC0" w14:paraId="6FF82186" w14:textId="77777777" w:rsidTr="00881B68">
        <w:tc>
          <w:tcPr>
            <w:tcW w:w="1243" w:type="dxa"/>
          </w:tcPr>
          <w:p w14:paraId="4A50998A" w14:textId="77777777" w:rsidR="00881B68" w:rsidRPr="00185BC0" w:rsidRDefault="00881B68" w:rsidP="00881B68">
            <w:pPr>
              <w:pStyle w:val="a3"/>
              <w:jc w:val="both"/>
              <w:rPr>
                <w:sz w:val="28"/>
                <w:szCs w:val="28"/>
              </w:rPr>
            </w:pPr>
            <w:r w:rsidRPr="00185BC0">
              <w:rPr>
                <w:sz w:val="28"/>
                <w:szCs w:val="28"/>
              </w:rPr>
              <w:t>САПР</w:t>
            </w:r>
          </w:p>
        </w:tc>
        <w:tc>
          <w:tcPr>
            <w:tcW w:w="8080" w:type="dxa"/>
          </w:tcPr>
          <w:p w14:paraId="111F11BC" w14:textId="77777777" w:rsidR="00881B68" w:rsidRPr="00185BC0" w:rsidRDefault="00881B68" w:rsidP="00881B68">
            <w:pPr>
              <w:pStyle w:val="a3"/>
              <w:jc w:val="both"/>
              <w:rPr>
                <w:sz w:val="28"/>
                <w:szCs w:val="28"/>
              </w:rPr>
            </w:pPr>
            <w:r w:rsidRPr="00185BC0">
              <w:rPr>
                <w:sz w:val="28"/>
                <w:szCs w:val="28"/>
              </w:rPr>
              <w:t>Система Автоматизации Проектных Работ</w:t>
            </w:r>
          </w:p>
        </w:tc>
      </w:tr>
      <w:tr w:rsidR="00881B68" w:rsidRPr="00185BC0" w14:paraId="7DE7E598" w14:textId="77777777" w:rsidTr="00881B68">
        <w:tc>
          <w:tcPr>
            <w:tcW w:w="1243" w:type="dxa"/>
          </w:tcPr>
          <w:p w14:paraId="1D2B15C8" w14:textId="77777777" w:rsidR="00881B68" w:rsidRPr="00185BC0" w:rsidRDefault="00881B68" w:rsidP="00881B68">
            <w:pPr>
              <w:pStyle w:val="a3"/>
              <w:jc w:val="both"/>
              <w:rPr>
                <w:sz w:val="28"/>
                <w:szCs w:val="28"/>
                <w:lang w:val="kk-KZ"/>
              </w:rPr>
            </w:pPr>
            <w:r w:rsidRPr="00185BC0">
              <w:rPr>
                <w:sz w:val="28"/>
                <w:szCs w:val="28"/>
                <w:lang w:val="kk-KZ"/>
              </w:rPr>
              <w:lastRenderedPageBreak/>
              <w:t>СНЯ</w:t>
            </w:r>
          </w:p>
          <w:p w14:paraId="18EF5620" w14:textId="77777777" w:rsidR="00881B68" w:rsidRPr="00185BC0" w:rsidRDefault="00881B68" w:rsidP="00881B68">
            <w:pPr>
              <w:pStyle w:val="a3"/>
              <w:jc w:val="both"/>
              <w:rPr>
                <w:sz w:val="28"/>
                <w:szCs w:val="28"/>
              </w:rPr>
            </w:pPr>
            <w:r w:rsidRPr="00185BC0">
              <w:rPr>
                <w:sz w:val="28"/>
                <w:szCs w:val="28"/>
              </w:rPr>
              <w:t>СОЭ</w:t>
            </w:r>
          </w:p>
        </w:tc>
        <w:tc>
          <w:tcPr>
            <w:tcW w:w="8080" w:type="dxa"/>
          </w:tcPr>
          <w:p w14:paraId="30C7D381" w14:textId="77777777" w:rsidR="00881B68" w:rsidRPr="00185BC0" w:rsidRDefault="00881B68" w:rsidP="00881B68">
            <w:pPr>
              <w:pStyle w:val="a3"/>
              <w:jc w:val="both"/>
              <w:rPr>
                <w:sz w:val="28"/>
                <w:szCs w:val="28"/>
              </w:rPr>
            </w:pPr>
            <w:r w:rsidRPr="00185BC0">
              <w:rPr>
                <w:sz w:val="28"/>
                <w:szCs w:val="28"/>
              </w:rPr>
              <w:t>Серьезное нежелательное явление или реакция</w:t>
            </w:r>
          </w:p>
          <w:p w14:paraId="7D09D972" w14:textId="77777777" w:rsidR="00881B68" w:rsidRPr="00185BC0" w:rsidRDefault="00881B68" w:rsidP="00881B68">
            <w:pPr>
              <w:pStyle w:val="a3"/>
              <w:jc w:val="both"/>
              <w:rPr>
                <w:sz w:val="28"/>
                <w:szCs w:val="28"/>
              </w:rPr>
            </w:pPr>
            <w:r w:rsidRPr="00185BC0">
              <w:rPr>
                <w:sz w:val="28"/>
                <w:szCs w:val="28"/>
              </w:rPr>
              <w:t>Скорость оседания эритроцитов</w:t>
            </w:r>
          </w:p>
        </w:tc>
      </w:tr>
      <w:tr w:rsidR="00881B68" w:rsidRPr="00185BC0" w14:paraId="7FA92F6C" w14:textId="77777777" w:rsidTr="00881B68">
        <w:tc>
          <w:tcPr>
            <w:tcW w:w="1243" w:type="dxa"/>
          </w:tcPr>
          <w:p w14:paraId="445FE9BC" w14:textId="77777777" w:rsidR="00881B68" w:rsidRPr="00185BC0" w:rsidRDefault="00881B68" w:rsidP="00881B68">
            <w:pPr>
              <w:pStyle w:val="a3"/>
              <w:jc w:val="both"/>
              <w:rPr>
                <w:sz w:val="28"/>
                <w:szCs w:val="28"/>
              </w:rPr>
            </w:pPr>
            <w:r w:rsidRPr="00185BC0">
              <w:rPr>
                <w:sz w:val="28"/>
                <w:szCs w:val="28"/>
              </w:rPr>
              <w:t>СРБ</w:t>
            </w:r>
          </w:p>
          <w:p w14:paraId="2E96B255" w14:textId="77777777" w:rsidR="00881B68" w:rsidRPr="00185BC0" w:rsidRDefault="00881B68" w:rsidP="00881B68">
            <w:pPr>
              <w:pStyle w:val="a3"/>
              <w:jc w:val="both"/>
              <w:rPr>
                <w:sz w:val="28"/>
                <w:szCs w:val="28"/>
              </w:rPr>
            </w:pPr>
            <w:r w:rsidRPr="00185BC0">
              <w:rPr>
                <w:sz w:val="28"/>
                <w:szCs w:val="28"/>
              </w:rPr>
              <w:t>ТБС</w:t>
            </w:r>
          </w:p>
          <w:p w14:paraId="664422F8" w14:textId="77777777" w:rsidR="00881B68" w:rsidRPr="00185BC0" w:rsidRDefault="00881B68" w:rsidP="00881B68">
            <w:pPr>
              <w:pStyle w:val="a3"/>
              <w:jc w:val="both"/>
              <w:rPr>
                <w:sz w:val="28"/>
                <w:szCs w:val="28"/>
              </w:rPr>
            </w:pPr>
            <w:r w:rsidRPr="00185BC0">
              <w:rPr>
                <w:sz w:val="28"/>
                <w:szCs w:val="28"/>
              </w:rPr>
              <w:t>ТЭТС</w:t>
            </w:r>
          </w:p>
        </w:tc>
        <w:tc>
          <w:tcPr>
            <w:tcW w:w="8080" w:type="dxa"/>
          </w:tcPr>
          <w:p w14:paraId="5EFE77DB" w14:textId="77777777" w:rsidR="00881B68" w:rsidRPr="00185BC0" w:rsidRDefault="00881B68" w:rsidP="00881B68">
            <w:pPr>
              <w:pStyle w:val="a3"/>
              <w:jc w:val="both"/>
              <w:rPr>
                <w:sz w:val="28"/>
                <w:szCs w:val="28"/>
              </w:rPr>
            </w:pPr>
            <w:r w:rsidRPr="00185BC0">
              <w:rPr>
                <w:sz w:val="28"/>
                <w:szCs w:val="28"/>
              </w:rPr>
              <w:t>С-реактивный белок</w:t>
            </w:r>
          </w:p>
          <w:p w14:paraId="6348FEBF" w14:textId="77777777" w:rsidR="00881B68" w:rsidRPr="00185BC0" w:rsidRDefault="00881B68" w:rsidP="00881B68">
            <w:pPr>
              <w:pStyle w:val="a3"/>
              <w:jc w:val="both"/>
              <w:rPr>
                <w:sz w:val="28"/>
                <w:szCs w:val="28"/>
              </w:rPr>
            </w:pPr>
            <w:r w:rsidRPr="00185BC0">
              <w:rPr>
                <w:sz w:val="28"/>
                <w:szCs w:val="28"/>
              </w:rPr>
              <w:t>Тазобедренный сустав</w:t>
            </w:r>
          </w:p>
          <w:p w14:paraId="0261DEB3" w14:textId="77777777" w:rsidR="00881B68" w:rsidRPr="00185BC0" w:rsidRDefault="00881B68" w:rsidP="00881B68">
            <w:pPr>
              <w:pStyle w:val="a3"/>
              <w:jc w:val="both"/>
              <w:rPr>
                <w:sz w:val="28"/>
                <w:szCs w:val="28"/>
              </w:rPr>
            </w:pPr>
            <w:r w:rsidRPr="00185BC0">
              <w:rPr>
                <w:sz w:val="28"/>
                <w:szCs w:val="28"/>
              </w:rPr>
              <w:t>Тотальное эндопротезирование тазобедренного сустава</w:t>
            </w:r>
          </w:p>
        </w:tc>
      </w:tr>
      <w:tr w:rsidR="00881B68" w:rsidRPr="00185BC0" w14:paraId="3DA59253" w14:textId="77777777" w:rsidTr="00881B68">
        <w:tc>
          <w:tcPr>
            <w:tcW w:w="1243" w:type="dxa"/>
          </w:tcPr>
          <w:p w14:paraId="188D3D7F" w14:textId="77777777" w:rsidR="00881B68" w:rsidRPr="00185BC0" w:rsidRDefault="00881B68" w:rsidP="00881B68">
            <w:pPr>
              <w:pStyle w:val="a3"/>
              <w:jc w:val="both"/>
              <w:rPr>
                <w:sz w:val="28"/>
                <w:szCs w:val="28"/>
              </w:rPr>
            </w:pPr>
            <w:r w:rsidRPr="00185BC0">
              <w:rPr>
                <w:sz w:val="28"/>
                <w:szCs w:val="28"/>
              </w:rPr>
              <w:t>ЧПУ</w:t>
            </w:r>
          </w:p>
        </w:tc>
        <w:tc>
          <w:tcPr>
            <w:tcW w:w="8080" w:type="dxa"/>
          </w:tcPr>
          <w:p w14:paraId="7D7CF3E5" w14:textId="77777777" w:rsidR="00881B68" w:rsidRPr="00185BC0" w:rsidRDefault="00881B68" w:rsidP="00881B68">
            <w:pPr>
              <w:pStyle w:val="a3"/>
              <w:jc w:val="both"/>
              <w:rPr>
                <w:sz w:val="28"/>
                <w:szCs w:val="28"/>
              </w:rPr>
            </w:pPr>
            <w:r w:rsidRPr="00185BC0">
              <w:rPr>
                <w:sz w:val="28"/>
                <w:szCs w:val="28"/>
              </w:rPr>
              <w:t>Числовое Программное Управление</w:t>
            </w:r>
          </w:p>
        </w:tc>
      </w:tr>
      <w:tr w:rsidR="00881B68" w:rsidRPr="00185BC0" w14:paraId="47BACF14" w14:textId="77777777" w:rsidTr="00881B68">
        <w:trPr>
          <w:trHeight w:val="587"/>
        </w:trPr>
        <w:tc>
          <w:tcPr>
            <w:tcW w:w="1243" w:type="dxa"/>
          </w:tcPr>
          <w:p w14:paraId="13EB56FE" w14:textId="77777777" w:rsidR="00881B68" w:rsidRPr="00185BC0" w:rsidRDefault="00881B68" w:rsidP="00881B68">
            <w:pPr>
              <w:pStyle w:val="a3"/>
              <w:jc w:val="both"/>
              <w:rPr>
                <w:sz w:val="28"/>
                <w:szCs w:val="28"/>
              </w:rPr>
            </w:pPr>
            <w:proofErr w:type="spellStart"/>
            <w:r w:rsidRPr="00185BC0">
              <w:rPr>
                <w:sz w:val="28"/>
                <w:szCs w:val="28"/>
              </w:rPr>
              <w:t>эИРК</w:t>
            </w:r>
            <w:proofErr w:type="spellEnd"/>
          </w:p>
          <w:p w14:paraId="467503C6" w14:textId="77777777" w:rsidR="00881B68" w:rsidRPr="00185BC0" w:rsidRDefault="00881B68" w:rsidP="00881B68">
            <w:pPr>
              <w:pStyle w:val="a3"/>
              <w:jc w:val="both"/>
              <w:rPr>
                <w:sz w:val="28"/>
                <w:szCs w:val="28"/>
              </w:rPr>
            </w:pPr>
            <w:r w:rsidRPr="00185BC0">
              <w:rPr>
                <w:sz w:val="28"/>
                <w:szCs w:val="28"/>
              </w:rPr>
              <w:t>ЭКГ</w:t>
            </w:r>
          </w:p>
          <w:p w14:paraId="121E90EF" w14:textId="77777777" w:rsidR="00881B68" w:rsidRPr="00185BC0" w:rsidRDefault="00881B68" w:rsidP="00881B68">
            <w:pPr>
              <w:pStyle w:val="a3"/>
              <w:jc w:val="both"/>
              <w:rPr>
                <w:sz w:val="28"/>
                <w:szCs w:val="28"/>
              </w:rPr>
            </w:pPr>
            <w:r w:rsidRPr="00185BC0">
              <w:rPr>
                <w:sz w:val="28"/>
                <w:szCs w:val="28"/>
              </w:rPr>
              <w:t>ЭФГДС</w:t>
            </w:r>
          </w:p>
          <w:p w14:paraId="39AAD7AC" w14:textId="77777777" w:rsidR="00881B68" w:rsidRPr="00185BC0" w:rsidRDefault="00881B68" w:rsidP="00881B68">
            <w:pPr>
              <w:pStyle w:val="a3"/>
              <w:jc w:val="both"/>
              <w:rPr>
                <w:sz w:val="28"/>
                <w:szCs w:val="28"/>
              </w:rPr>
            </w:pPr>
            <w:proofErr w:type="spellStart"/>
            <w:r w:rsidRPr="00185BC0">
              <w:rPr>
                <w:sz w:val="28"/>
                <w:szCs w:val="28"/>
              </w:rPr>
              <w:t>ЭхоКГ</w:t>
            </w:r>
            <w:proofErr w:type="spellEnd"/>
          </w:p>
        </w:tc>
        <w:tc>
          <w:tcPr>
            <w:tcW w:w="8080" w:type="dxa"/>
          </w:tcPr>
          <w:p w14:paraId="6A20B9D3" w14:textId="77777777" w:rsidR="00881B68" w:rsidRPr="00185BC0" w:rsidRDefault="00881B68" w:rsidP="00881B68">
            <w:pPr>
              <w:pStyle w:val="a3"/>
              <w:jc w:val="both"/>
              <w:rPr>
                <w:sz w:val="28"/>
                <w:szCs w:val="28"/>
              </w:rPr>
            </w:pPr>
            <w:r w:rsidRPr="00185BC0">
              <w:rPr>
                <w:sz w:val="28"/>
                <w:szCs w:val="28"/>
              </w:rPr>
              <w:t>Электронная индивидуальная регистрационная карта</w:t>
            </w:r>
          </w:p>
          <w:p w14:paraId="0485B36A" w14:textId="77777777" w:rsidR="00881B68" w:rsidRPr="00185BC0" w:rsidRDefault="00881B68" w:rsidP="00881B68">
            <w:pPr>
              <w:pStyle w:val="a3"/>
              <w:jc w:val="both"/>
              <w:rPr>
                <w:sz w:val="28"/>
                <w:szCs w:val="28"/>
              </w:rPr>
            </w:pPr>
            <w:r w:rsidRPr="00185BC0">
              <w:rPr>
                <w:sz w:val="28"/>
                <w:szCs w:val="28"/>
              </w:rPr>
              <w:t>Электрокардиография</w:t>
            </w:r>
          </w:p>
          <w:p w14:paraId="1840A23B" w14:textId="77777777" w:rsidR="00881B68" w:rsidRPr="00185BC0" w:rsidRDefault="00881B68" w:rsidP="00881B68">
            <w:pPr>
              <w:pStyle w:val="a3"/>
              <w:jc w:val="both"/>
              <w:rPr>
                <w:sz w:val="28"/>
                <w:szCs w:val="28"/>
              </w:rPr>
            </w:pPr>
            <w:proofErr w:type="spellStart"/>
            <w:r w:rsidRPr="00185BC0">
              <w:rPr>
                <w:sz w:val="28"/>
                <w:szCs w:val="28"/>
              </w:rPr>
              <w:t>Эзофагогастродуоденоскопия</w:t>
            </w:r>
            <w:proofErr w:type="spellEnd"/>
          </w:p>
          <w:p w14:paraId="029C782C" w14:textId="77777777" w:rsidR="00881B68" w:rsidRPr="00185BC0" w:rsidRDefault="00881B68" w:rsidP="00881B68">
            <w:pPr>
              <w:pStyle w:val="a3"/>
              <w:jc w:val="both"/>
              <w:rPr>
                <w:sz w:val="28"/>
                <w:szCs w:val="28"/>
              </w:rPr>
            </w:pPr>
            <w:r w:rsidRPr="00185BC0">
              <w:rPr>
                <w:sz w:val="28"/>
                <w:szCs w:val="28"/>
              </w:rPr>
              <w:t>Эхокардиография</w:t>
            </w:r>
          </w:p>
        </w:tc>
      </w:tr>
    </w:tbl>
    <w:p w14:paraId="424899DE" w14:textId="77777777" w:rsidR="00881B68" w:rsidRPr="00185BC0" w:rsidRDefault="00881B68" w:rsidP="00881B68">
      <w:pPr>
        <w:pStyle w:val="a3"/>
        <w:rPr>
          <w:b/>
        </w:rPr>
      </w:pPr>
    </w:p>
    <w:p w14:paraId="64A71AB7" w14:textId="143EA4E5" w:rsidR="00881B68" w:rsidRPr="00185BC0" w:rsidRDefault="00881B68" w:rsidP="00881B68">
      <w:pPr>
        <w:pStyle w:val="a3"/>
        <w:rPr>
          <w:b/>
        </w:rPr>
      </w:pPr>
      <w:r w:rsidRPr="00185BC0">
        <w:rPr>
          <w:b/>
        </w:rPr>
        <w:br w:type="page"/>
      </w:r>
    </w:p>
    <w:p w14:paraId="1CE03E79" w14:textId="691E0595" w:rsidR="00881B68" w:rsidRPr="00185BC0" w:rsidRDefault="00D25D77" w:rsidP="00881B68">
      <w:pPr>
        <w:pStyle w:val="1"/>
        <w:jc w:val="center"/>
      </w:pPr>
      <w:bookmarkStart w:id="6" w:name="_Toc217561923"/>
      <w:r w:rsidRPr="00185BC0">
        <w:lastRenderedPageBreak/>
        <w:t>ВВЕДЕНИЕ</w:t>
      </w:r>
      <w:bookmarkEnd w:id="6"/>
    </w:p>
    <w:p w14:paraId="33782994" w14:textId="68389A86" w:rsidR="00881B68" w:rsidRPr="00185BC0" w:rsidRDefault="0048757C" w:rsidP="000107C5">
      <w:pPr>
        <w:ind w:left="-45" w:firstLine="612"/>
        <w:jc w:val="both"/>
        <w:rPr>
          <w:color w:val="000000"/>
          <w:sz w:val="28"/>
          <w:szCs w:val="28"/>
        </w:rPr>
      </w:pPr>
      <w:r w:rsidRPr="00185BC0">
        <w:rPr>
          <w:color w:val="000000"/>
          <w:sz w:val="28"/>
          <w:szCs w:val="28"/>
          <w:lang w:val="kk-KZ"/>
        </w:rPr>
        <w:t xml:space="preserve">Диспластический коксартроз (ДК) является актуальной проблемой в ортопедии у взрослых и развивается в 21-80% случаях в результате несвоевременного лечения врожденной патологии тазобедренного сустава </w:t>
      </w:r>
      <w:r w:rsidR="001C2725" w:rsidRPr="00185BC0">
        <w:rPr>
          <w:color w:val="000000"/>
          <w:sz w:val="28"/>
          <w:szCs w:val="28"/>
          <w:lang w:val="kk-KZ"/>
        </w:rPr>
        <w:fldChar w:fldCharType="begin" w:fldLock="1"/>
      </w:r>
      <w:r w:rsidR="001C2725" w:rsidRPr="00185BC0">
        <w:rPr>
          <w:color w:val="000000"/>
          <w:sz w:val="28"/>
          <w:szCs w:val="28"/>
          <w:lang w:val="kk-KZ"/>
        </w:rPr>
        <w:instrText>ADDIN CSL_CITATION {"citationItems":[{"id":"ITEM-1","itemData":{"id":"ITEM-1","issued":{"date-parts":[["0"]]},"title":"Ахтямов, И. Хирургическое лечение дисплазии тазобедренного сустава / И.Ф. Ахтямов, О. Соколовский. – Казань, 2008. – 371 с.","type":"article"},"uris":["http://www.mendeley.com/documents/?uuid=01cb2e2d-bac4-4bf2-8fd6-afe7651d68f0"]}],"mendeley":{"formattedCitation":"[1]","plainTextFormattedCitation":"[1]","previouslyFormattedCitation":"[1]"},"properties":{"noteIndex":0},"schema":"https://github.com/citation-style-language/schema/raw/master/csl-citation.json"}</w:instrText>
      </w:r>
      <w:r w:rsidR="001C2725" w:rsidRPr="00185BC0">
        <w:rPr>
          <w:color w:val="000000"/>
          <w:sz w:val="28"/>
          <w:szCs w:val="28"/>
          <w:lang w:val="kk-KZ"/>
        </w:rPr>
        <w:fldChar w:fldCharType="separate"/>
      </w:r>
      <w:r w:rsidR="001C2725" w:rsidRPr="00185BC0">
        <w:rPr>
          <w:noProof/>
          <w:color w:val="000000"/>
          <w:sz w:val="28"/>
          <w:szCs w:val="28"/>
          <w:lang w:val="kk-KZ"/>
        </w:rPr>
        <w:t>[1]</w:t>
      </w:r>
      <w:r w:rsidR="001C2725" w:rsidRPr="00185BC0">
        <w:rPr>
          <w:color w:val="000000"/>
          <w:sz w:val="28"/>
          <w:szCs w:val="28"/>
          <w:lang w:val="kk-KZ"/>
        </w:rPr>
        <w:fldChar w:fldCharType="end"/>
      </w:r>
      <w:r w:rsidR="00881B68" w:rsidRPr="00185BC0">
        <w:rPr>
          <w:color w:val="000000"/>
          <w:sz w:val="28"/>
          <w:szCs w:val="28"/>
        </w:rPr>
        <w:t>.</w:t>
      </w:r>
      <w:r w:rsidR="000852DD" w:rsidRPr="00185BC0">
        <w:rPr>
          <w:color w:val="000000"/>
          <w:sz w:val="28"/>
          <w:szCs w:val="28"/>
        </w:rPr>
        <w:t xml:space="preserve"> </w:t>
      </w:r>
      <w:r w:rsidRPr="00185BC0">
        <w:rPr>
          <w:color w:val="000000"/>
          <w:sz w:val="28"/>
          <w:szCs w:val="28"/>
        </w:rPr>
        <w:t>В связи с тем, что Казахстан относится к эндемичной зоне по данной патологии, её распространённость достигает 19%, а доля среди всех выполненных артропластик составляет 45,8%</w:t>
      </w:r>
      <w:r w:rsidR="00D33B88" w:rsidRPr="00185BC0">
        <w:rPr>
          <w:color w:val="000000"/>
          <w:sz w:val="28"/>
          <w:szCs w:val="28"/>
          <w:lang w:val="kk-KZ"/>
        </w:rPr>
        <w:t xml:space="preserve">, что обусловлено врождённым недоразвитием структур тазобедренного сустава и сопровождается изменениями не только костных компонентов, но также сосудисто-нервного пучка и окружающих мягких тканей </w:t>
      </w:r>
      <w:r w:rsidR="001C2725" w:rsidRPr="00185BC0">
        <w:rPr>
          <w:color w:val="000000"/>
          <w:sz w:val="28"/>
          <w:szCs w:val="28"/>
          <w:lang w:val="kk-KZ"/>
        </w:rPr>
        <w:fldChar w:fldCharType="begin" w:fldLock="1"/>
      </w:r>
      <w:r w:rsidR="001C2725" w:rsidRPr="00185BC0">
        <w:rPr>
          <w:color w:val="000000"/>
          <w:sz w:val="28"/>
          <w:szCs w:val="28"/>
          <w:lang w:val="kk-KZ"/>
        </w:rPr>
        <w:instrText>ADDIN CSL_CITATION {"citationItems":[{"id":"ITEM-1","itemData":{"id":"ITEM-1","issued":{"date-parts":[["0"]]},"title":"Опыт тотального эндопротезирования тазобедренного сустава при дисплазии III-IV типа","type":"article"},"uris":["http://www.mendeley.com/documents/?uuid=69f2298e-a712-4536-991f-8b1f9cc1f272"]}],"mendeley":{"formattedCitation":"[2]","plainTextFormattedCitation":"[2]","previouslyFormattedCitation":"[2]"},"properties":{"noteIndex":0},"schema":"https://github.com/citation-style-language/schema/raw/master/csl-citation.json"}</w:instrText>
      </w:r>
      <w:r w:rsidR="001C2725" w:rsidRPr="00185BC0">
        <w:rPr>
          <w:color w:val="000000"/>
          <w:sz w:val="28"/>
          <w:szCs w:val="28"/>
          <w:lang w:val="kk-KZ"/>
        </w:rPr>
        <w:fldChar w:fldCharType="separate"/>
      </w:r>
      <w:r w:rsidR="001C2725" w:rsidRPr="00185BC0">
        <w:rPr>
          <w:noProof/>
          <w:color w:val="000000"/>
          <w:sz w:val="28"/>
          <w:szCs w:val="28"/>
          <w:lang w:val="kk-KZ"/>
        </w:rPr>
        <w:t>[2]</w:t>
      </w:r>
      <w:r w:rsidR="001C2725" w:rsidRPr="00185BC0">
        <w:rPr>
          <w:color w:val="000000"/>
          <w:sz w:val="28"/>
          <w:szCs w:val="28"/>
          <w:lang w:val="kk-KZ"/>
        </w:rPr>
        <w:fldChar w:fldCharType="end"/>
      </w:r>
      <w:r w:rsidR="0027781D" w:rsidRPr="00185BC0">
        <w:rPr>
          <w:color w:val="000000"/>
          <w:sz w:val="28"/>
          <w:szCs w:val="28"/>
          <w:lang w:val="kk-KZ"/>
        </w:rPr>
        <w:t>.</w:t>
      </w:r>
      <w:r w:rsidR="000852DD" w:rsidRPr="00185BC0">
        <w:rPr>
          <w:color w:val="000000"/>
          <w:sz w:val="28"/>
          <w:szCs w:val="28"/>
        </w:rPr>
        <w:t xml:space="preserve"> </w:t>
      </w:r>
      <w:r w:rsidR="000107C5" w:rsidRPr="00185BC0">
        <w:rPr>
          <w:color w:val="000000"/>
          <w:sz w:val="28"/>
          <w:szCs w:val="28"/>
        </w:rPr>
        <w:t>Точная этиология данной патологии остаётся неясной</w:t>
      </w:r>
      <w:r w:rsidR="00D33B88" w:rsidRPr="00185BC0">
        <w:rPr>
          <w:color w:val="000000"/>
          <w:sz w:val="28"/>
          <w:szCs w:val="28"/>
          <w:lang w:val="kk-KZ"/>
        </w:rPr>
        <w:t xml:space="preserve"> и </w:t>
      </w:r>
      <w:r w:rsidR="000107C5" w:rsidRPr="00185BC0">
        <w:rPr>
          <w:color w:val="000000"/>
          <w:sz w:val="28"/>
          <w:szCs w:val="28"/>
        </w:rPr>
        <w:t xml:space="preserve"> предполагается, что её прогрессированию способствуют внутренние факторы, включая генетические (</w:t>
      </w:r>
      <w:r w:rsidR="00007C41" w:rsidRPr="00185BC0">
        <w:rPr>
          <w:color w:val="000000"/>
          <w:sz w:val="28"/>
          <w:szCs w:val="28"/>
        </w:rPr>
        <w:t>низкий рост и астеническое телосложение</w:t>
      </w:r>
      <w:r w:rsidR="000107C5" w:rsidRPr="00185BC0">
        <w:rPr>
          <w:color w:val="000000"/>
          <w:sz w:val="28"/>
          <w:szCs w:val="28"/>
        </w:rPr>
        <w:t>), культурные (тугое пеленание), географические (степные и горные регионы), а также климатические условия, характеризующиеся низкой инсоляцией, высокой влажностью и высокотемпературным климатом</w:t>
      </w:r>
      <w:r w:rsidR="000107C5" w:rsidRPr="00185BC0">
        <w:rPr>
          <w:color w:val="000000"/>
          <w:sz w:val="28"/>
          <w:szCs w:val="28"/>
          <w:lang w:val="kk-KZ"/>
        </w:rPr>
        <w:t xml:space="preserve"> </w:t>
      </w:r>
      <w:r w:rsidR="001C2725" w:rsidRPr="00185BC0">
        <w:rPr>
          <w:color w:val="000000"/>
          <w:sz w:val="28"/>
          <w:szCs w:val="28"/>
          <w:shd w:val="clear" w:color="auto" w:fill="FFFFFF"/>
          <w:lang w:val="kk-KZ"/>
        </w:rPr>
        <w:fldChar w:fldCharType="begin" w:fldLock="1"/>
      </w:r>
      <w:r w:rsidR="001C2725" w:rsidRPr="00185BC0">
        <w:rPr>
          <w:color w:val="000000"/>
          <w:sz w:val="28"/>
          <w:szCs w:val="28"/>
          <w:shd w:val="clear" w:color="auto" w:fill="FFFFFF"/>
          <w:lang w:val="kk-KZ"/>
        </w:rPr>
        <w:instrText>ADDIN CSL_CITATION {"citationItems":[{"id":"ITEM-1","itemData":{"DOI":"10.1111/os.12713","ISSN":"17577853","abstract":"Objectives: To summarize our pioneering surgical practice and clinical outcome of Crowe type III-IV developmental dysplasia of the hip (DDH) with a direct anterior approach total hip arthroplasty in a single teaching hospital in Southwest China. Methods: Fourteen patients (15 hips) diagnosed with Crowe type III-IV developmental dysplasia of the hip were involved in this single-center retrospective study between 2016 and 2018. A comprehensive surgical procedure, including preoperative planning and algorithms for leg length equalization, intraoperative stepwise soft tissue release, bone defect reconstruction, and an innovative subtrochanteric osteotomy, was described. Furthermore, advancements in intraoperative CT guidance, computer navigation, and nerve monitoring were available for specific demands. The short-term clinical outcome was evaluated at the endpoint of follow-up by three patient-reported functional scales (Harris, WOMAC, and SF-12 scores), and objective data collected at the clinic, including functional recovery (muscle strength of hip flexor and abductor, correction of the pelvic tilt, leg length discrepancy, and limp), radiographic analysis, and complication occurrence. Results: The intraoperative variables were carefully recorded. The mean operating times in Crowe type III and IV groups were 115.8 min and 156.2 min, and the median blood loss volumes were 520.5 mL and 810.2 mL, respectively. The general changes in the Harris, SF-12, and WOMAC scores of the two groups were 46.2, 8.7 and 134.3, respectively, at a mean follow-up of 25.4 months. Enhanced recovery of hip abductor muscle strength was identified in 85.7% of the population at the third postoperative month. The equalization of leg length and correction of the pelvic tile were observed at the sixth postoperative month, with a 36-mm decrease in leg length discrepancy. No radiographic evidence of the loosening or migration of the components was observed. A self-innovated subtrochanteric shortening osteotomy was performed in five patients, and they healed after 6 months. Specific complications included two cases of distal femoral cracks and one case of a periprosthetic fracture needing internal fixation. Two patients received a late iliotibial band release at the 3rd month postoperatively due to progressive genu valgum. No records of infection, dislocation, nerve palsy, bone non-union, or revision surgery were identified. Discussion: The direct anterior approach total hip arthroplasty s…","author":[{"dropping-particle":"","family":"Liu","given":"Zai yang","non-dropping-particle":"","parse-names":false,"suffix":""},{"dropping-particle":"","family":"Zhang","given":"Jun","non-dropping-particle":"","parse-names":false,"suffix":""},{"dropping-particle":"","family":"Wu","given":"Song tao","non-dropping-particle":"","parse-names":false,"suffix":""},{"dropping-particle":"","family":"Li","given":"Zi qiang","non-dropping-particle":"","parse-names":false,"suffix":""},{"dropping-particle":"","family":"Xu","given":"Zhong hua","non-dropping-particle":"","parse-names":false,"suffix":""},{"dropping-particle":"","family":"Zhang","given":"Xia","non-dropping-particle":"","parse-names":false,"suffix":""},{"dropping-particle":"","family":"Zhou","given":"Yue","non-dropping-particle":"","parse-names":false,"suffix":""},{"dropping-particle":"","family":"Zhang","given":"Yuan","non-dropping-particle":"","parse-names":false,"suffix":""}],"container-title":"Orthopaedic Surgery","id":"ITEM-1","issue":"4","issued":{"date-parts":[["2020"]]},"title":"Direct Anterior Approach in Crowe Type III-IV Developmental Dysplasia of the Hip: Surgical Technique and 2 years Follow-up from Southwest China","type":"article-journal","volume":"12"},"uris":["http://www.mendeley.com/documents/?uuid=216858ec-25dc-381d-88d3-4e57431e8641"]}],"mendeley":{"formattedCitation":"[3]","plainTextFormattedCitation":"[3]","previouslyFormattedCitation":"[3]"},"properties":{"noteIndex":0},"schema":"https://github.com/citation-style-language/schema/raw/master/csl-citation.json"}</w:instrText>
      </w:r>
      <w:r w:rsidR="001C2725" w:rsidRPr="00185BC0">
        <w:rPr>
          <w:color w:val="000000"/>
          <w:sz w:val="28"/>
          <w:szCs w:val="28"/>
          <w:shd w:val="clear" w:color="auto" w:fill="FFFFFF"/>
          <w:lang w:val="kk-KZ"/>
        </w:rPr>
        <w:fldChar w:fldCharType="separate"/>
      </w:r>
      <w:r w:rsidR="001C2725" w:rsidRPr="00185BC0">
        <w:rPr>
          <w:noProof/>
          <w:color w:val="000000"/>
          <w:sz w:val="28"/>
          <w:szCs w:val="28"/>
          <w:shd w:val="clear" w:color="auto" w:fill="FFFFFF"/>
          <w:lang w:val="kk-KZ"/>
        </w:rPr>
        <w:t>[3]</w:t>
      </w:r>
      <w:r w:rsidR="001C2725" w:rsidRPr="00185BC0">
        <w:rPr>
          <w:color w:val="000000"/>
          <w:sz w:val="28"/>
          <w:szCs w:val="28"/>
          <w:shd w:val="clear" w:color="auto" w:fill="FFFFFF"/>
          <w:lang w:val="kk-KZ"/>
        </w:rPr>
        <w:fldChar w:fldCharType="end"/>
      </w:r>
      <w:r w:rsidR="00881B68" w:rsidRPr="00185BC0">
        <w:rPr>
          <w:color w:val="000000"/>
          <w:sz w:val="28"/>
          <w:szCs w:val="28"/>
        </w:rPr>
        <w:t>.</w:t>
      </w:r>
      <w:r w:rsidR="000852DD" w:rsidRPr="00185BC0">
        <w:rPr>
          <w:color w:val="000000"/>
          <w:sz w:val="28"/>
          <w:szCs w:val="28"/>
        </w:rPr>
        <w:t xml:space="preserve"> </w:t>
      </w:r>
      <w:r w:rsidR="00371B3B" w:rsidRPr="00185BC0">
        <w:rPr>
          <w:color w:val="000000"/>
          <w:sz w:val="28"/>
          <w:szCs w:val="28"/>
        </w:rPr>
        <w:t xml:space="preserve">У данной категории пациентов выявляется комплекс анатомических аномалий тазобедренного сустава, сформировавшихся вследствие длительного вывиха головки бедренной кости, включая уменьшенные размеры вертлужной впадины, </w:t>
      </w:r>
      <w:proofErr w:type="spellStart"/>
      <w:r w:rsidR="00371B3B" w:rsidRPr="00185BC0">
        <w:rPr>
          <w:color w:val="000000"/>
          <w:sz w:val="28"/>
          <w:szCs w:val="28"/>
        </w:rPr>
        <w:t>скошенность</w:t>
      </w:r>
      <w:proofErr w:type="spellEnd"/>
      <w:r w:rsidR="00371B3B" w:rsidRPr="00185BC0">
        <w:rPr>
          <w:color w:val="000000"/>
          <w:sz w:val="28"/>
          <w:szCs w:val="28"/>
        </w:rPr>
        <w:t xml:space="preserve"> её крыши, узкий бедренный канал и выраженную </w:t>
      </w:r>
      <w:proofErr w:type="spellStart"/>
      <w:r w:rsidR="00371B3B" w:rsidRPr="00185BC0">
        <w:rPr>
          <w:color w:val="000000"/>
          <w:sz w:val="28"/>
          <w:szCs w:val="28"/>
        </w:rPr>
        <w:t>антеверсию</w:t>
      </w:r>
      <w:proofErr w:type="spellEnd"/>
      <w:r w:rsidR="00371B3B" w:rsidRPr="00185BC0">
        <w:rPr>
          <w:color w:val="000000"/>
          <w:sz w:val="28"/>
          <w:szCs w:val="28"/>
        </w:rPr>
        <w:t xml:space="preserve"> бедренной кости. Совокупность этих изменений значительно затрудняет восстановление нормальной анатомии бедра в ходе оперативного вмешательства, что обусловлено не только врождённым недоразвитием костных структур тазобедренного сустава, но и вторичными изменениями окружающих мягких тканей и сосудисто-нервного пучка</w:t>
      </w:r>
      <w:r w:rsidR="001C2725" w:rsidRPr="00185BC0">
        <w:rPr>
          <w:color w:val="000000"/>
          <w:sz w:val="28"/>
          <w:szCs w:val="28"/>
          <w:lang w:val="kk-KZ"/>
        </w:rPr>
        <w:t xml:space="preserve"> </w:t>
      </w:r>
      <w:r w:rsidR="001C2725" w:rsidRPr="00185BC0">
        <w:rPr>
          <w:color w:val="000000"/>
          <w:sz w:val="28"/>
          <w:szCs w:val="28"/>
          <w:lang w:val="kk-KZ"/>
        </w:rPr>
        <w:fldChar w:fldCharType="begin" w:fldLock="1"/>
      </w:r>
      <w:r w:rsidR="001C2725" w:rsidRPr="00185BC0">
        <w:rPr>
          <w:color w:val="000000"/>
          <w:sz w:val="28"/>
          <w:szCs w:val="28"/>
          <w:lang w:val="kk-KZ"/>
        </w:rPr>
        <w:instrText>ADDIN CSL_CITATION {"citationItems":[{"id":"ITEM-1","itemData":{"DOI":"10.1177/0300060519853383","ISSN":"14732300","abstract":"Objective: This study was performed to document the clinical and radiographic results of consecutive patients with Crowe IV developmental dysplasia of the hip (DDH) treated by cementless total hip arthroplasty (THA) using an S-ROM femoral component with shortening derotational subtrochanteric osteotomy. Methods: Twenty-three hips of 21 patients with Crowe IV DDH were treated by cementless THA combined with shortening derotational subtrochanteric osteotomy from January 2005 to January 2011. The mean preoperative modified Harris hip score (mHHS) and University of California, Los Angeles (UCLA) activity score were 40.7 and 4.2, respectively. Results: The mean follow-up was 105 months. The mean mHHS and UCLA score improved to 87.0 and 9.1, respectively, at the latest follow-up. Nine of the 23 hips had a negative Trendelenburg sign. One of the 23 hips was outside the Lewinnek acetabular cup inclination safe range, and 3 of the 23 hips were outside the Lewinnek acetabular cup anteversion safe range. The probability of prosthesis survival was 100% at 5 years and 91.3% at 10 years. Conclusion: Patients with Crowe IV DDH can be treated by cementless THA combined with shortening derotational subtrochanteric osteotomy. This method can greatly improve hip joint function and relieve pain without significant complications.","author":[{"dropping-particle":"","family":"Liu","given":"Tang","non-dropping-particle":"","parse-names":false,"suffix":""},{"dropping-particle":"","family":"Wang","given":"Sisi","non-dropping-particle":"","parse-names":false,"suffix":""},{"dropping-particle":"","family":"Huang","given":"Guoliang","non-dropping-particle":"","parse-names":false,"suffix":""},{"dropping-particle":"","family":"Wang","given":"Wanchun","non-dropping-particle":"","parse-names":false,"suffix":""}],"container-title":"Journal of International Medical Research","id":"ITEM-1","issue":"7","issued":{"date-parts":[["2019"]]},"title":"Treatment of Crowe IV developmental dysplasia of the hip with cementless total hip arthroplasty and shortening subtrochanteric osteotomy","type":"article-journal","volume":"47"},"uris":["http://www.mendeley.com/documents/?uuid=aa1bf088-48f1-3428-b5b8-8d926177fb24"]}],"mendeley":{"formattedCitation":"[4]","plainTextFormattedCitation":"[4]","previouslyFormattedCitation":"[4]"},"properties":{"noteIndex":0},"schema":"https://github.com/citation-style-language/schema/raw/master/csl-citation.json"}</w:instrText>
      </w:r>
      <w:r w:rsidR="001C2725" w:rsidRPr="00185BC0">
        <w:rPr>
          <w:color w:val="000000"/>
          <w:sz w:val="28"/>
          <w:szCs w:val="28"/>
          <w:lang w:val="kk-KZ"/>
        </w:rPr>
        <w:fldChar w:fldCharType="separate"/>
      </w:r>
      <w:r w:rsidR="001C2725" w:rsidRPr="00185BC0">
        <w:rPr>
          <w:noProof/>
          <w:color w:val="000000"/>
          <w:sz w:val="28"/>
          <w:szCs w:val="28"/>
          <w:lang w:val="kk-KZ"/>
        </w:rPr>
        <w:t>[4]</w:t>
      </w:r>
      <w:r w:rsidR="001C2725" w:rsidRPr="00185BC0">
        <w:rPr>
          <w:color w:val="000000"/>
          <w:sz w:val="28"/>
          <w:szCs w:val="28"/>
          <w:lang w:val="kk-KZ"/>
        </w:rPr>
        <w:fldChar w:fldCharType="end"/>
      </w:r>
      <w:r w:rsidR="00881B68" w:rsidRPr="00185BC0">
        <w:rPr>
          <w:color w:val="000000"/>
          <w:sz w:val="28"/>
          <w:szCs w:val="28"/>
        </w:rPr>
        <w:t>.</w:t>
      </w:r>
    </w:p>
    <w:p w14:paraId="7A124D91" w14:textId="6BB0787E" w:rsidR="00371B3B" w:rsidRPr="00185BC0" w:rsidRDefault="00371B3B" w:rsidP="000107C5">
      <w:pPr>
        <w:ind w:left="-45" w:firstLine="612"/>
        <w:jc w:val="both"/>
        <w:rPr>
          <w:color w:val="000000"/>
          <w:sz w:val="28"/>
          <w:szCs w:val="28"/>
          <w:lang w:val="kk-KZ"/>
        </w:rPr>
      </w:pPr>
      <w:r w:rsidRPr="00185BC0">
        <w:rPr>
          <w:color w:val="000000"/>
          <w:sz w:val="28"/>
          <w:szCs w:val="28"/>
        </w:rPr>
        <w:t xml:space="preserve">Вариабельность клинического течения обусловлено различной степенью анатомических нарушений тазобедренного сустава. Именно степень выраженности дисплазии определяет тяжесть дегенеративных изменений, техническую сложность хирургического лечения и прогноз его результатов. В связи с этим для объективной оценки морфологических изменений и стандартизации подходов к лечению применяется классификация </w:t>
      </w:r>
      <w:proofErr w:type="spellStart"/>
      <w:r w:rsidRPr="00185BC0">
        <w:rPr>
          <w:color w:val="000000"/>
          <w:sz w:val="28"/>
          <w:szCs w:val="28"/>
        </w:rPr>
        <w:t>Crowe</w:t>
      </w:r>
      <w:proofErr w:type="spellEnd"/>
      <w:r w:rsidRPr="00185BC0">
        <w:rPr>
          <w:color w:val="000000"/>
          <w:sz w:val="28"/>
          <w:szCs w:val="28"/>
        </w:rPr>
        <w:t>, основанная на величине проксимального смещения головки бедренной кости относительно истинной вертлужной впадины, в соответствии с которой выделяют четыре степени дисплазии тазобедренного сустава</w:t>
      </w:r>
      <w:r w:rsidRPr="00185BC0">
        <w:rPr>
          <w:color w:val="000000"/>
          <w:sz w:val="28"/>
          <w:szCs w:val="28"/>
          <w:lang w:val="kk-KZ"/>
        </w:rPr>
        <w:t xml:space="preserve"> </w:t>
      </w:r>
      <w:r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{"citationItems":[{"id":"ITEM-1","itemData":{"DOI":"10.1016/j.arth.2024.05.031","ISSN":"15328406","abstract":"Background: Developmental dysplasia of the hip (DDH) is one of the principal causes of secondary hip osteoarthritis, giving rise to considerable pain, impaired mobility, and a reduced quality of life. The optimal approach to managing individuals who have Crowe type IV DDH remains controversial. This study aimed to review the existing literature on the application of total hip arthroplasty (THA) as a treatment modality for Crowe type IV DDH, assessing its efficacy in addressing this severe hip deformity. Methods: A comprehensive search across the PubMed, Scopus, and Web of Science databases identified relevant studies. Inclusion criteria encompassed investigations reporting outcomes of THA in Crowe type IV DDH patients. Data extraction and quality assessment were performed independently by 2 reviewers. Utilizing R software, the prevalence of THA complications was analyzed through proportion analysis, employing the inverse variance method. Results: In this systematic review, a total of 74 studies were included, comprising a collective sample size of 2,829 patients (3,356 hips) diagnosed with Crowe type IV DDH. The posterior or posterolateral approach was the most commonly utilized surgical approach, followed by the lateral Hardinge and direct lateral approaches. The majority of studies have employed subtrochanteric osteotomies. Notably, post-THA, leg length discrepancy decreased, Trendelenburg sign resolved, and back pain was reduced. Patient-reported outcome measures like the Harris Hip Score improved significantly. The pooled prevalence rates of major postoperative complications were also assessed, including dislocation (7.2%), revision (8.7%), intraoperative fractures (10.5%), loosening (5.7%), nerve paralysis (5.6%), deep vein thrombosis (3.6%), infection (3.8%), heterotopic ossification grade 2 and above (6.1%), and a complicated patient rate of 11.0%. Conclusions: Synthesizing diverse study data, an overview of THAs performance emerges, demonstrating significant enhancements in function, pain reduction, quality of life, and the correction of substantial leg length discrepancy. While THA has shown positive outcomes, instances of complications have been reported. The decision to undergo THA should involve a collaborative assessment between the surgeon and the patient, considering potential benefits and complications.","author":[{"dropping-particle":"","family":"Esmaeili","given":"Sina","non-dropping-particle":"","parse-names":false,"suffix":""},{"dropping-particle":"","family":"Ghaseminejad-Raeini","given":"Amirhossein","non-dropping-particle":"","parse-names":false,"suffix":""},{"dropping-particle":"","family":"Ghane","given":"Golnar","non-dropping-particle":"","parse-names":false,"suffix":""},{"dropping-particle":"","family":"Soleimani","given":"Mohammad","non-dropping-particle":"","parse-names":false,"suffix":""},{"dropping-particle":"","family":"Mortazavi","given":"Seyed Mohammad Javad","non-dropping-particle":"","parse-names":false,"suffix":""},{"dropping-particle":"","family":"Shafiei","given":"Seyyed Hossein","non-dropping-particle":"","parse-names":false,"suffix":""}],"container-title":"Journal of Arthroplasty","id":"ITEM-1","issue":"10","issued":{"date-parts":[["2024"]]},"title":"Total Hip Arthroplasty in Patients Who Have Crowe Type IV Developmental Dysplasia of the Hip: A Systematic Review","type":"article-journal","volume":"39"},"uris":["http://www.mendeley.com/documents/?uuid=52f9ba57-86ac-35a2-8d87-4d399f8e789e"]}],"mendeley":{"formattedCitation":"[5]","plainTextFormattedCitation":"[5]","previouslyFormattedCitation":"[5]"},"properties":{"noteIndex":0},"schema":"https://github.com/citation-style-language/schema/raw/master/csl-citation.json"}</w:instrText>
      </w:r>
      <w:r w:rsidRPr="00185BC0">
        <w:rPr>
          <w:color w:val="000000"/>
          <w:sz w:val="28"/>
          <w:szCs w:val="28"/>
          <w:lang w:val="kk-KZ"/>
        </w:rPr>
        <w:fldChar w:fldCharType="separate"/>
      </w:r>
      <w:r w:rsidRPr="00185BC0">
        <w:rPr>
          <w:noProof/>
          <w:color w:val="000000"/>
          <w:sz w:val="28"/>
          <w:szCs w:val="28"/>
          <w:lang w:val="kk-KZ"/>
        </w:rPr>
        <w:t>[5]</w:t>
      </w:r>
      <w:r w:rsidRPr="00185BC0">
        <w:rPr>
          <w:color w:val="000000"/>
          <w:sz w:val="28"/>
          <w:szCs w:val="28"/>
          <w:lang w:val="kk-KZ"/>
        </w:rPr>
        <w:fldChar w:fldCharType="end"/>
      </w:r>
      <w:r w:rsidRPr="00185BC0">
        <w:rPr>
          <w:color w:val="000000"/>
          <w:sz w:val="28"/>
          <w:szCs w:val="28"/>
          <w:lang w:val="kk-KZ"/>
        </w:rPr>
        <w:t>.</w:t>
      </w:r>
    </w:p>
    <w:p w14:paraId="0DF28DA0" w14:textId="5FE0010C" w:rsidR="002C4E37" w:rsidRPr="00185BC0" w:rsidRDefault="00E659F9" w:rsidP="000107C5">
      <w:pPr>
        <w:ind w:left="-45" w:firstLine="612"/>
        <w:jc w:val="both"/>
        <w:rPr>
          <w:color w:val="000000"/>
          <w:sz w:val="28"/>
          <w:szCs w:val="28"/>
          <w:lang w:val="kk-KZ"/>
        </w:rPr>
      </w:pPr>
      <w:r w:rsidRPr="00185BC0">
        <w:rPr>
          <w:color w:val="000000"/>
          <w:sz w:val="28"/>
          <w:szCs w:val="28"/>
          <w:lang w:val="kk-KZ"/>
        </w:rPr>
        <w:t xml:space="preserve">Тяжелая степень дисплазии характеризуется высоким расположением головки и наиболее выраженным проявлением аномалий развития тазобедренного сустава, что приводит к развитию диспластического коксартроза IV типа по </w:t>
      </w:r>
      <w:r w:rsidR="00D25D77" w:rsidRPr="00185BC0">
        <w:rPr>
          <w:color w:val="000000"/>
          <w:sz w:val="28"/>
          <w:szCs w:val="28"/>
          <w:lang w:val="en-US"/>
        </w:rPr>
        <w:t>Crowe</w:t>
      </w:r>
      <w:r w:rsidRPr="00185BC0">
        <w:rPr>
          <w:color w:val="000000"/>
          <w:sz w:val="28"/>
          <w:szCs w:val="28"/>
          <w:lang w:val="kk-KZ"/>
        </w:rPr>
        <w:t xml:space="preserve">.  Эндопротезирование при ДК IV типа по </w:t>
      </w:r>
      <w:r w:rsidR="00D25D77" w:rsidRPr="00185BC0">
        <w:rPr>
          <w:color w:val="000000"/>
          <w:sz w:val="28"/>
          <w:szCs w:val="28"/>
          <w:lang w:val="en-US"/>
        </w:rPr>
        <w:t>Crowe</w:t>
      </w:r>
      <w:r w:rsidRPr="00185BC0">
        <w:rPr>
          <w:color w:val="000000"/>
          <w:sz w:val="28"/>
          <w:szCs w:val="28"/>
          <w:lang w:val="kk-KZ"/>
        </w:rPr>
        <w:t xml:space="preserve"> является золотым стандартом лечения и сложной высокотехнологической хирургией, из-за высокого вывиха головки бедренной кости и трудностями технического низведения бедра до уровня истинной вертлужной впадины </w:t>
      </w:r>
      <w:r w:rsidR="001C2725"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{"citationItems":[{"id":"ITEM-1","itemData":{"DOI":"10.1016/j.artd.2019.03.002","ISSN":"23523441","abstract":"Background: The complexity of femoral and acetabular anatomy and restoring anatomic center of hip rotation in Crowe type IV developmental dysplasia of the hip (DDH) complicates standard reconstruction. The aim of this study is to evaluate surgical techniques and clinical outcomes of subtrochanteric transverse shortening osteotomy with the use of cementless rectangular cross-section femoral implants in Crowe IV dysplastic hips. Methods: A total of 26 hips of 25 consecutive patients with Crowe type IV DDH who underwent cementless total hip arthroplasty with subtrochanteric femoral transverse shortening osteotomy were retrospectively analyzed. The Harris Hip Score, Visual Analog Scale-pain, leg length discrepancy, and vertical and lateral migration of hip rotation center were recorded. Results: Mean age, follow-up, and time of union were 41 ± 9.7 years, 7.1 ± 1.2 years, and 3.7 ± 1.1 months, respectively. Mean Harris Hip Score significantly improved from 38 ± 5.7 to 86 ± 6.1 points postoperatively (P &lt; .01). Mean leg length discrepancy and Visual Analog Scale significantly decreased from 4.3 ± 1.3 to 1.2 ± 0.6 cm, and 6.4 ± 1.2 to 1.8 ± 0.8 points, respectively (P &lt; .01). One female patient had a dislocation due to acetabular liner wear, which was managed by liner and head change. One patient had Sudeck's atrophy, while another had pain on the lateral thigh, both of which were resolved with conservative management. Conclusions: Combined transverse subtrochanteric femoral osteotomy and cementless total hip arthroplasty with rectangular cross-section femoral implants is technically demanding, effective, and safe in femoral shortening for treatment of Crowe type IV DDH.","author":[{"dropping-particle":"","family":"Erdem","given":"Yusuf","non-dropping-particle":"","parse-names":false,"suffix":""},{"dropping-particle":"","family":"Bek","given":"Dogan","non-dropping-particle":"","parse-names":false,"suffix":""},{"dropping-particle":"","family":"Atbasi","given":"Zafer","non-dropping-particle":"","parse-names":false,"suffix":""},{"dropping-particle":"","family":"Neyisci","given":"Cagri","non-dropping-particle":"","parse-names":false,"suffix":""},{"dropping-particle":"","family":"Yildiz","given":"Cemil","non-dropping-particle":"","parse-names":false,"suffix":""},{"dropping-particle":"","family":"Basbozkurt","given":"Mustafa","non-dropping-particle":"","parse-names":false,"suffix":""}],"container-title":"Arthroplasty Today","id":"ITEM-1","issue":"2","issued":{"date-parts":[["2019"]]},"title":"Total hip arthroplasty with rectangular stems and subtrochanteric transverse shortening osteotomy in Crowe type IV hips: a retrospective study","type":"article-journal","volume":"5"},"uris":["http://www.mendeley.com/documents/?uuid=9d7f57da-1a6e-37be-97b4-4f03bffdd84c"]},{"id":"ITEM-2","itemData":{"DOI":"10.1111/os.12576","ISSN":"17577853","abstract":"Total hip arthroplasty (THA) of Crowe type IV developmental dysplasia of the hip (DDH) is challenging. Although traditional (lateral, posterolateral, and posterior) THA approaches have been used with great anatomic success, they damage periarticular muscles, which are already quite weak in type IV DDH. The recently developed direct anterior approach (DAA) can provide an inter-nerve and inter-muscle approach for THA of type IV dysplasia hips. However, femur exposure with the DAA could be difficult during surgery and it is hard to apply femoral shortening osteotomy. THA techniques used for type IV DDH include anatomic hip center techniques (true acetabular reconstruction) and high hip center techniques, wherein an acetabulum is reconstructed above the original one. Although anatomic construction of the hip center is considered “the gold standard” treatment, it is impossible if the anatomical acetabular is too small and shallow. Procedures used to support type IV DDH reduction with anatomic hip center techniques include greater trochanter osteotomy, lesser trochanter osteotomy, and subtrochanteric osteotomy. However, these techniques have yet to be standardized, and it is unclear which is best for type IV DDH. One-state and two-state non-osteotomy reduction techniques have also been introduced to treat type IV DDH. Potential complications of THA performed in patients with type IV DDH include leg length discrepancy (LLD), peri-operative femur fracture, nonunion of the osteotomy site, and nerve injury. It is worth noting that nowadays an increasing number of Crowe type IV DDH patients are more sensitive to postoperative LLD.","author":[{"dropping-particle":"","family":"Shi","given":"Xiao tong","non-dropping-particle":"","parse-names":false,"suffix":""},{"dropping-particle":"","family":"Li","given":"Chao feng","non-dropping-particle":"","parse-names":false,"suffix":""},{"dropping-particle":"","family":"Han","given":"Yu","non-dropping-particle":"","parse-names":false,"suffix":""},{"dropping-particle":"","family":"Song","given":"Ya","non-dropping-particle":"","parse-names":false,"suffix":""},{"dropping-particle":"","family":"Li","given":"Shu xuan","non-dropping-particle":"","parse-names":false,"suffix":""},{"dropping-particle":"","family":"Liu","given":"Jian guo","non-dropping-particle":"","parse-names":false,"suffix":""}],"container-title":"Orthopaedic Surgery","id":"ITEM-2","issue":"6","issued":{"date-parts":[["2019"]]},"title":"Total Hip Arthroplasty for Crowe Type IV Hip Dysplasia: Surgical Techniques and Postoperative Complications","type":"article","volume":"11"},"uris":["http://www.mendeley.com/documents/?uuid=52005101-5c30-31ad-8367-db0edc3c4e8a"]},{"id":"ITEM-3","itemData":{"DOI":"10.1166/jmihi.2018.2301","ISSN":"2156-7018","author":[{"dropping-particle":"","family":"Yu","given":"Xiao","non-dropping-particle":"","parse-names":false,"suffix":""},{"dropping-particle":"","family":"Zhang","given":"Di-Feng","non-dropping-particle":"","parse-names":false,"suffix":""},{"dropping-particle":"","family":"Chen","given":"Xian-Jun","non-dropping-particle":"","parse-names":false,"suffix":""},{"dropping-particle":"","family":"Liu","given":"Bing-Gen","non-dropping-particle":"","parse-names":false,"suffix":""},{"dropping-particle":"","family":"Yang","given":"Ji","non-dropping-particle":"","parse-names":false,"suffix":""},{"dropping-particle":"","family":"Pang","given":"Qing-Jiang","non-dropping-particle":"","parse-names":false,"suffix":""}],"container-title":"Journal of Medical Imaging and Health Informatics","id":"ITEM-3","issue":"2","issued":{"date-parts":[["2018"]]},"title":"Functional Outcome of Crowe IV Congenital Dysplasia of the Hip Managed by Total Hip Arthroplasty with Subtrochanteric Osteotomy","type":"article-journal","volume":"8"},"uris":["http://www.mendeley.com/documents/?uuid=dd85655f-fa26-3a66-81eb-ccc8b79dc9b6"]}],"mendeley":{"formattedCitation":"[6–8]","plainTextFormattedCitation":"[6–8]","previouslyFormattedCitation":"[6–8]"},"properties":{"noteIndex":0},"schema":"https://github.com/citation-style-language/schema/raw/master/csl-citation.json"}</w:instrText>
      </w:r>
      <w:r w:rsidR="001C2725" w:rsidRPr="00185BC0">
        <w:rPr>
          <w:color w:val="000000"/>
          <w:sz w:val="28"/>
          <w:szCs w:val="28"/>
          <w:lang w:val="kk-KZ"/>
        </w:rPr>
        <w:fldChar w:fldCharType="separate"/>
      </w:r>
      <w:r w:rsidR="00371B3B" w:rsidRPr="00185BC0">
        <w:rPr>
          <w:noProof/>
          <w:color w:val="000000"/>
          <w:sz w:val="28"/>
          <w:szCs w:val="28"/>
          <w:lang w:val="kk-KZ"/>
        </w:rPr>
        <w:t>[6–8]</w:t>
      </w:r>
      <w:r w:rsidR="001C2725" w:rsidRPr="00185BC0">
        <w:rPr>
          <w:color w:val="000000"/>
          <w:sz w:val="28"/>
          <w:szCs w:val="28"/>
          <w:lang w:val="kk-KZ"/>
        </w:rPr>
        <w:fldChar w:fldCharType="end"/>
      </w:r>
      <w:r w:rsidR="00881B68" w:rsidRPr="00185BC0">
        <w:rPr>
          <w:color w:val="000000"/>
          <w:sz w:val="28"/>
          <w:szCs w:val="28"/>
        </w:rPr>
        <w:t>.  Высокий вывих головки бедренной кости и тяжелая контрактура мягких тканей вокруг сустава делают репозицию тазобедренного сустава трудным процессом, а чрезмерное удлинение нижней конечности считается одной из основных причин, вызывающих травматизацию</w:t>
      </w:r>
      <w:r w:rsidR="005D5B96" w:rsidRPr="00185BC0">
        <w:rPr>
          <w:color w:val="000000"/>
          <w:sz w:val="28"/>
          <w:szCs w:val="28"/>
          <w:lang w:val="kk-KZ"/>
        </w:rPr>
        <w:t xml:space="preserve"> </w:t>
      </w:r>
      <w:r w:rsidRPr="00185BC0">
        <w:rPr>
          <w:color w:val="000000"/>
          <w:sz w:val="28"/>
          <w:szCs w:val="28"/>
          <w:lang w:val="kk-KZ"/>
        </w:rPr>
        <w:t xml:space="preserve">седалищного </w:t>
      </w:r>
      <w:r w:rsidRPr="00185BC0">
        <w:rPr>
          <w:color w:val="000000"/>
          <w:sz w:val="28"/>
          <w:szCs w:val="28"/>
        </w:rPr>
        <w:t>нерва</w:t>
      </w:r>
      <w:r w:rsidR="00881B68" w:rsidRPr="00185BC0">
        <w:rPr>
          <w:color w:val="000000"/>
          <w:sz w:val="28"/>
          <w:szCs w:val="28"/>
        </w:rPr>
        <w:t xml:space="preserve"> после тотального эндопротезирования тазобедренного сустава. </w:t>
      </w:r>
      <w:r w:rsidR="007A7DC6" w:rsidRPr="00185BC0">
        <w:rPr>
          <w:color w:val="000000"/>
          <w:sz w:val="28"/>
          <w:szCs w:val="28"/>
        </w:rPr>
        <w:t xml:space="preserve">В связи с этим </w:t>
      </w:r>
      <w:proofErr w:type="spellStart"/>
      <w:r w:rsidR="007A7DC6" w:rsidRPr="00185BC0">
        <w:rPr>
          <w:color w:val="000000"/>
          <w:sz w:val="28"/>
          <w:szCs w:val="28"/>
        </w:rPr>
        <w:t>Charnley</w:t>
      </w:r>
      <w:proofErr w:type="spellEnd"/>
      <w:r w:rsidR="007A7DC6" w:rsidRPr="00185BC0">
        <w:rPr>
          <w:color w:val="000000"/>
          <w:sz w:val="28"/>
          <w:szCs w:val="28"/>
        </w:rPr>
        <w:t xml:space="preserve"> впервые в </w:t>
      </w:r>
      <w:r w:rsidR="007A7DC6" w:rsidRPr="00185BC0">
        <w:rPr>
          <w:color w:val="000000"/>
          <w:sz w:val="28"/>
          <w:szCs w:val="28"/>
        </w:rPr>
        <w:lastRenderedPageBreak/>
        <w:t>клиническую практику</w:t>
      </w:r>
      <w:r w:rsidR="008924D7" w:rsidRPr="00185BC0">
        <w:rPr>
          <w:color w:val="000000"/>
          <w:sz w:val="28"/>
          <w:szCs w:val="28"/>
          <w:lang w:val="kk-KZ"/>
        </w:rPr>
        <w:t xml:space="preserve"> </w:t>
      </w:r>
      <w:r w:rsidR="008924D7" w:rsidRPr="00185BC0">
        <w:rPr>
          <w:color w:val="000000"/>
          <w:sz w:val="28"/>
          <w:szCs w:val="28"/>
        </w:rPr>
        <w:t>внедрил</w:t>
      </w:r>
      <w:r w:rsidR="007A7DC6" w:rsidRPr="00185BC0">
        <w:rPr>
          <w:color w:val="000000"/>
          <w:sz w:val="28"/>
          <w:szCs w:val="28"/>
        </w:rPr>
        <w:t xml:space="preserve"> </w:t>
      </w:r>
      <w:proofErr w:type="spellStart"/>
      <w:r w:rsidR="002C4E37" w:rsidRPr="00185BC0">
        <w:rPr>
          <w:color w:val="000000"/>
          <w:sz w:val="28"/>
          <w:szCs w:val="28"/>
        </w:rPr>
        <w:t>подвертельную</w:t>
      </w:r>
      <w:proofErr w:type="spellEnd"/>
      <w:r w:rsidR="002C4E37" w:rsidRPr="00185BC0">
        <w:rPr>
          <w:color w:val="000000"/>
          <w:sz w:val="28"/>
          <w:szCs w:val="28"/>
        </w:rPr>
        <w:t xml:space="preserve"> укорачивающую </w:t>
      </w:r>
      <w:r w:rsidR="007A7DC6" w:rsidRPr="00185BC0">
        <w:rPr>
          <w:color w:val="000000"/>
          <w:sz w:val="28"/>
          <w:szCs w:val="28"/>
        </w:rPr>
        <w:t xml:space="preserve">остеотомию, которая стала стандартным доступом при </w:t>
      </w:r>
      <w:proofErr w:type="spellStart"/>
      <w:r w:rsidR="007A7DC6" w:rsidRPr="00185BC0">
        <w:rPr>
          <w:color w:val="000000"/>
          <w:sz w:val="28"/>
          <w:szCs w:val="28"/>
        </w:rPr>
        <w:t>низкофрикционной</w:t>
      </w:r>
      <w:proofErr w:type="spellEnd"/>
      <w:r w:rsidR="007A7DC6" w:rsidRPr="00185BC0">
        <w:rPr>
          <w:color w:val="000000"/>
          <w:sz w:val="28"/>
          <w:szCs w:val="28"/>
        </w:rPr>
        <w:t xml:space="preserve"> артропластике тазобедренного сустава и позволила обеспечить адекватную экспозицию и облегчить репозицию бедра при высоких диспластических вывихах</w:t>
      </w:r>
      <w:r w:rsidR="005110D3" w:rsidRPr="00185BC0">
        <w:rPr>
          <w:color w:val="000000"/>
          <w:sz w:val="28"/>
          <w:szCs w:val="28"/>
          <w:lang w:val="kk-KZ"/>
        </w:rPr>
        <w:t xml:space="preserve"> </w:t>
      </w:r>
      <w:r w:rsidR="005110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{"citationItems":[{"id":"ITEM-1","itemData":{"DOI":"10.3389/fsurg.2023.1103689","ISSN":"2296875X","abstract":"Osteotomy of the femur is necessary in some cases of primary/revision total hip arthroplasty (THA) procedure. There are two mainly used femur osteotomy methods in THA: greater trochanteric osteotomy and subtrochanteric osteotomy. Greater trochanteric osteotomy can improve hip exposure, provide greater stability against dislocation and favorably influence the abductor moment arm. Whether in the primary or revision THA, greater trochanteric osteotomy has its unique position. Subtrochanteric osteotomy adjusts the degree of femoral de-rotation and corrects the leg length. It is widely used in hip preservation and arthroplasty surgery. All osteotomy methods have specific indications, while nonunion is the commonest complication. In this paper, we analyze the greater trochanteric osteotomy and the subtrochanteric osteotomy in primary/revision THA and summarize the characteristics of different osteotomy methods.","author":[{"dropping-particle":"","family":"Pan","given":"Yuqi","non-dropping-particle":"","parse-names":false,"suffix":""},{"dropping-particle":"","family":"Chen","given":"Yunsu","non-dropping-particle":"","parse-names":false,"suffix":""}],"container-title":"Frontiers in Surgery","id":"ITEM-1","issue":"February","issued":{"date-parts":[["2023"]]},"page":"1-7","title":"Greater trochanteric osteotomy and subtrochanteric osteotomy in primary/revision total hip arthroplasty","type":"article-journal","volume":"10"},"uris":["http://www.mendeley.com/documents/?uuid=197fe702-9969-494d-9f71-79245b1290c3"]}],"mendeley":{"formattedCitation":"[9]","plainTextFormattedCitation":"[9]","previouslyFormattedCitation":"[9]"},"properties":{"noteIndex":0},"schema":"https://github.com/citation-style-language/schema/raw/master/csl-citation.json"}</w:instrText>
      </w:r>
      <w:r w:rsidR="005110D3" w:rsidRPr="00185BC0">
        <w:rPr>
          <w:color w:val="000000"/>
          <w:sz w:val="28"/>
          <w:szCs w:val="28"/>
          <w:lang w:val="kk-KZ"/>
        </w:rPr>
        <w:fldChar w:fldCharType="separate"/>
      </w:r>
      <w:r w:rsidR="00371B3B" w:rsidRPr="00185BC0">
        <w:rPr>
          <w:noProof/>
          <w:color w:val="000000"/>
          <w:sz w:val="28"/>
          <w:szCs w:val="28"/>
          <w:lang w:val="kk-KZ"/>
        </w:rPr>
        <w:t>[9]</w:t>
      </w:r>
      <w:r w:rsidR="005110D3" w:rsidRPr="00185BC0">
        <w:rPr>
          <w:color w:val="000000"/>
          <w:sz w:val="28"/>
          <w:szCs w:val="28"/>
          <w:lang w:val="kk-KZ"/>
        </w:rPr>
        <w:fldChar w:fldCharType="end"/>
      </w:r>
      <w:r w:rsidR="007A7DC6" w:rsidRPr="00185BC0">
        <w:rPr>
          <w:color w:val="000000"/>
          <w:sz w:val="28"/>
          <w:szCs w:val="28"/>
        </w:rPr>
        <w:t>.</w:t>
      </w:r>
      <w:r w:rsidR="00881B68" w:rsidRPr="00185BC0">
        <w:rPr>
          <w:color w:val="000000"/>
          <w:sz w:val="28"/>
          <w:szCs w:val="28"/>
        </w:rPr>
        <w:t xml:space="preserve"> </w:t>
      </w:r>
      <w:r w:rsidR="002C4E37" w:rsidRPr="00185BC0">
        <w:rPr>
          <w:color w:val="000000"/>
          <w:sz w:val="28"/>
          <w:szCs w:val="28"/>
        </w:rPr>
        <w:t xml:space="preserve">В современной ортопедической практике применяется несколько видов остеотомий бедра, которые имеют как свои преимущества, так и недостатки </w:t>
      </w:r>
      <w:r w:rsidR="005110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{"citationItems":[{"id":"ITEM-1","itemData":{"DOI":"10.1016/j.arth.2017.02.024","ISSN":"15328406","abstract":"Background Developmental dysplasia of the hip (DDH) is a recognized cause of secondary arthritis, which may eventually lead to total hip arthroplasty (THA). An understanding of the common acetabular and femoral morphologic abnormalities will aid the surgeon in preparing for the complexity of the surgical case. Methods We present the challenges associated with acetabular and femoral morphologies that may be present in the dysplastic hip and discuss surgical options to consider when performing THA. In addition, common complications associated with this population are reviewed. Results The complexity of THA in the DDH patient is due to a broad range of pathomorphologic changes of the acetabulum and femur, as well as the diverse and often younger age of these patients. As such, THA in the DDH patient may offer a typical primary hip arthroplasty or be a highly complex reconstruction. It is important to be familiar with all the subtleties associated with DDH in the THA population. The surgeon must be prepared for bone deficiency when reconstructing the acetabulum and should place the component low and medial (at the anatomic hip center), and avoid oversizing the acetabular component. Femoral dysplasia is also complex and variable, and the surgeon must be prepared for different stem choices that allow for decoupling of the metaphyseal stem fit from the implanted stem version. In Crowe III and IV dysplasia, femoral derotation/shortening osteotomy may be required. Many complications associated with THA in the DDH patient may be mitigated with careful planning and surgical technique. Conclusion Performed correctly, THA can yield excellent results in this complex patient population.","author":[{"dropping-particle":"","family":"Greber","given":"Eric M.","non-dropping-particle":"","parse-names":false,"suffix":""},{"dropping-particle":"","family":"Pelt","given":"Christopher E.","non-dropping-particle":"","parse-names":false,"suffix":""},{"dropping-particle":"","family":"Gililland","given":"Jeremy M.","non-dropping-particle":"","parse-names":false,"suffix":""},{"dropping-particle":"","family":"Anderson","given":"Mike B.","non-dropping-particle":"","parse-names":false,"suffix":""},{"dropping-particle":"","family":"Erickson","given":"Jill A.","non-dropping-particle":"","parse-names":false,"suffix":""},{"dropping-particle":"","family":"Peters","given":"Christopher L.","non-dropping-particle":"","parse-names":false,"suffix":""}],"container-title":"Journal of Arthroplasty","id":"ITEM-1","issue":"9","issued":{"date-parts":[["2017"]]},"title":"Challenges in Total Hip Arthroplasty in the Setting of Developmental Dysplasia of the Hip","type":"article-journal","volume":"32"},"uris":["http://www.mendeley.com/documents/?uuid=24e841a5-2267-3aa3-a0f9-bebedd228625"]},{"id":"ITEM-2","itemData":{"DOI":"10.1007/s00132-019-03694-w","ISSN":"00854530","abstract":"Background: Endoprosthetic care of high hip dislocation is a surgical challenge. The hip anatomy is greatly altered in these patients, including a rather flat and small acetabulum with impaired bone quality and a relevant chance of a bony defect of the acetabular roof. Additionally, the front coverage and in some cases even the dorsal coverage of the hip are missing. The proximal femur is characterized with an increased antetorsion, a coxa valga position and an enlarged greater trochanter. The medullary cavity is narrowed, the offset is reduced, and the absolut leg length can be enlarged. Further anatomic variations can have been caused by previous surgeries. Aim of the treatment: The goal of the endoprosthetic care is the re-creation of a hip with an anatomic center of rotation, an anatomic offset and equal leg length. Treatment: This can be achieved by a medial shift of the acetabular cup. An acetabular osteotomy including central cancellous bone graft or a bony graft to reinforce the acetabular roof might be necessary. In cases in which an anatomic acetabular cup placement is not possible, a more cranial placement can be done. Further strategies that are essential in several cases are shortening or re-orientation osteotomies of the femur, reaming of the medullary cavity and correct implant selection. Additionally, thorough soft tissue management is of main importance. Generally, the surgery should be well prepared preoperatively.","author":[{"dropping-particle":"","family":"Roth","given":"A.","non-dropping-particle":"","parse-names":false,"suffix":""},{"dropping-particle":"","family":"Goralski","given":"S.","non-dropping-particle":"","parse-names":false,"suffix":""},{"dropping-particle":"","family":"Layher","given":"F.","non-dropping-particle":"","parse-names":false,"suffix":""},{"dropping-particle":"","family":"Fakler","given":"J.","non-dropping-particle":"","parse-names":false,"suffix":""},{"dropping-particle":"","family":"Ghanem","given":"M.","non-dropping-particle":"","parse-names":false,"suffix":""},{"dropping-particle":"","family":"Pempe","given":"C.","non-dropping-particle":"","parse-names":false,"suffix":""},{"dropping-particle":"","family":"Hennings","given":"R.","non-dropping-particle":"","parse-names":false,"suffix":""},{"dropping-particle":"","family":"Spiegl","given":"U.","non-dropping-particle":"","parse-names":false,"suffix":""},{"dropping-particle":"","family":"Zajonz","given":"D.","non-dropping-particle":"","parse-names":false,"suffix":""}],"container-title":"Orthopade","id":"ITEM-2","issue":"4","issued":{"date-parts":[["2019"]]},"title":"Challenges of primary hip arthroplasty with high hip dislocation","type":"article","volume":"48"},"uris":["http://www.mendeley.com/documents/?uuid=53e3b952-ab84-35ad-8d9c-1e5ac22838ca"]}],"mendeley":{"formattedCitation":"[10, 11]","plainTextFormattedCitation":"[10, 11]","previouslyFormattedCitation":"[10, 11]"},"properties":{"noteIndex":0},"schema":"https://github.com/citation-style-language/schema/raw/master/csl-citation.json"}</w:instrText>
      </w:r>
      <w:r w:rsidR="005110D3" w:rsidRPr="00185BC0">
        <w:rPr>
          <w:color w:val="000000"/>
          <w:sz w:val="28"/>
          <w:szCs w:val="28"/>
          <w:lang w:val="kk-KZ"/>
        </w:rPr>
        <w:fldChar w:fldCharType="separate"/>
      </w:r>
      <w:r w:rsidR="00371B3B" w:rsidRPr="00185BC0">
        <w:rPr>
          <w:noProof/>
          <w:color w:val="000000"/>
          <w:sz w:val="28"/>
          <w:szCs w:val="28"/>
          <w:lang w:val="kk-KZ"/>
        </w:rPr>
        <w:t>[10, 11]</w:t>
      </w:r>
      <w:r w:rsidR="005110D3" w:rsidRPr="00185BC0">
        <w:rPr>
          <w:color w:val="000000"/>
          <w:sz w:val="28"/>
          <w:szCs w:val="28"/>
          <w:lang w:val="kk-KZ"/>
        </w:rPr>
        <w:fldChar w:fldCharType="end"/>
      </w:r>
      <w:r w:rsidR="002C4E37" w:rsidRPr="00185BC0">
        <w:rPr>
          <w:color w:val="000000"/>
          <w:sz w:val="28"/>
          <w:szCs w:val="28"/>
          <w:lang w:val="kk-KZ"/>
        </w:rPr>
        <w:t>,</w:t>
      </w:r>
      <w:r w:rsidR="00881B68" w:rsidRPr="00185BC0">
        <w:rPr>
          <w:color w:val="000000"/>
          <w:sz w:val="28"/>
          <w:szCs w:val="28"/>
        </w:rPr>
        <w:t> </w:t>
      </w:r>
      <w:r w:rsidR="002C4E37" w:rsidRPr="00185BC0">
        <w:rPr>
          <w:color w:val="000000"/>
          <w:sz w:val="28"/>
          <w:szCs w:val="28"/>
        </w:rPr>
        <w:t xml:space="preserve">среди них поперечная остеотомия является наиболее распространённой благодаря технической простоте и сокращению времени операции </w:t>
      </w:r>
      <w:r w:rsidR="005110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{"citationItems":[{"id":"ITEM-1","itemData":{"DOI":"10.1111/os.12576","ISSN":"17577853","abstract":"Total hip arthroplasty (THA) of Crowe type IV developmental dysplasia of the hip (DDH) is challenging. Although traditional (lateral, posterolateral, and posterior) THA approaches have been used with great anatomic success, they damage periarticular muscles, which are already quite weak in type IV DDH. The recently developed direct anterior approach (DAA) can provide an inter-nerve and inter-muscle approach for THA of type IV dysplasia hips. However, femur exposure with the DAA could be difficult during surgery and it is hard to apply femoral shortening osteotomy. THA techniques used for type IV DDH include anatomic hip center techniques (true acetabular reconstruction) and high hip center techniques, wherein an acetabulum is reconstructed above the original one. Although anatomic construction of the hip center is considered “the gold standard” treatment, it is impossible if the anatomical acetabular is too small and shallow. Procedures used to support type IV DDH reduction with anatomic hip center techniques include greater trochanter osteotomy, lesser trochanter osteotomy, and subtrochanteric osteotomy. However, these techniques have yet to be standardized, and it is unclear which is best for type IV DDH. One-state and two-state non-osteotomy reduction techniques have also been introduced to treat type IV DDH. Potential complications of THA performed in patients with type IV DDH include leg length discrepancy (LLD), peri-operative femur fracture, nonunion of the osteotomy site, and nerve injury. It is worth noting that nowadays an increasing number of Crowe type IV DDH patients are more sensitive to postoperative LLD.","author":[{"dropping-particle":"","family":"Shi","given":"Xiao tong","non-dropping-particle":"","parse-names":false,"suffix":""},{"dropping-particle":"","family":"Li","given":"Chao feng","non-dropping-particle":"","parse-names":false,"suffix":""},{"dropping-particle":"","family":"Han","given":"Yu","non-dropping-particle":"","parse-names":false,"suffix":""},{"dropping-particle":"","family":"Song","given":"Ya","non-dropping-particle":"","parse-names":false,"suffix":""},{"dropping-particle":"","family":"Li","given":"Shu xuan","non-dropping-particle":"","parse-names":false,"suffix":""},{"dropping-particle":"","family":"Liu","given":"Jian guo","non-dropping-particle":"","parse-names":false,"suffix":""}],"container-title":"Orthopaedic Surgery","id":"ITEM-1","issue":"6","issued":{"date-parts":[["2019"]]},"title":"Total Hip Arthroplasty for Crowe Type IV Hip Dysplasia: Surgical Techniques and Postoperative Complications","type":"article","volume":"11"},"uris":["http://www.mendeley.com/documents/?uuid=52005101-5c30-31ad-8367-db0edc3c4e8a"]},{"id":"ITEM-2","itemData":{"DOI":"10.1186/s12891-017-1857-x","ISSN":"14712474","abstract":"Background: This retrospective study was designed to determine complications, functional and radiographic results of transverse subtrochanteric osteotomy during cementless, modular total hip arthroplasty (THA) in a series of active patients younger than 45 years with Crowe Type-III or IV developmental dysplasia of the hip (DDH). Methods: We followed 49 patients (56 hips) with DDH who were treated with cementless THA, where the acetabular cup was positioned in the anatomic hip center and where a simultaneous transverse femoral osteotomy was performed. Complication rate evaluation and clinical outcomes were measured by validated clinical scores and radiographic evaluation were performed at a mean follow up of 10 years (range, 4.8-14.3 years). Results: The mean limb-length discrepancy was reduced from 4.2 cm to 1.1 cm (P &lt; 0.01). The mean Harris hip score (HSS) significantly improved from 40.6 points to 87.4 points (P &lt; 0.01). Similarly, severity of low back pain, modified MAP, HOOS, and SF-12 also showed significant improvement (P &lt; 0.01). There were 3 cases of postoperative dislocation, 3 cases of transient nerve palsy, 2 cases of nonunion, and 4 cases of intraoperative fracture. At 10 years follow-up, the estimated survival rate with any component revision as end points was 92%. Conclusion: The cementless THA combined with transverse subtrochanteric osteotomy is a reliable technique with restoration of a more normal limb, satisfactory clinical outcomes, and mid-term survival of components.","author":[{"dropping-particle":"","family":"Wang","given":"Duan","non-dropping-particle":"","parse-names":false,"suffix":""},{"dropping-particle":"","family":"Li","given":"De Hua","non-dropping-particle":"","parse-names":false,"suffix":""},{"dropping-particle":"","family":"Li","given":"Qi","non-dropping-particle":"","parse-names":false,"suffix":""},{"dropping-particle":"","family":"Wang","given":"Hao Yang","non-dropping-particle":"","parse-names":false,"suffix":""},{"dropping-particle":"","family":"Luo","given":"Ze Yu","non-dropping-particle":"","parse-names":false,"suffix":""},{"dropping-particle":"","family":"Yang","given":"Yang","non-dropping-particle":"","parse-names":false,"suffix":""},{"dropping-particle":"","family":"Pei","given":"Fu Xing","non-dropping-particle":"","parse-names":false,"suffix":""},{"dropping-particle":"","family":"Zhou","given":"Zong Ke","non-dropping-particle":"","parse-names":false,"suffix":""}],"container-title":"BMC Musculoskeletal Disorders","id":"ITEM-2","issue":"1","issued":{"date-parts":[["2017"]]},"title":"Subtrochanteric shortening osteotomy during cementless total hip arthroplasty in young patients with severe developmental dysplasia of the hip","type":"article-journal","volume":"18"},"uris":["http://www.mendeley.com/documents/?uuid=53182822-953a-3cab-af0d-196990a4b1c6"]}],"mendeley":{"formattedCitation":"[7, 12]","plainTextFormattedCitation":"[7, 12]","previouslyFormattedCitation":"[7, 12]"},"properties":{"noteIndex":0},"schema":"https://github.com/citation-style-language/schema/raw/master/csl-citation.json"}</w:instrText>
      </w:r>
      <w:r w:rsidR="005110D3" w:rsidRPr="00185BC0">
        <w:rPr>
          <w:color w:val="000000"/>
          <w:sz w:val="28"/>
          <w:szCs w:val="28"/>
          <w:lang w:val="kk-KZ"/>
        </w:rPr>
        <w:fldChar w:fldCharType="separate"/>
      </w:r>
      <w:r w:rsidR="00371B3B" w:rsidRPr="00185BC0">
        <w:rPr>
          <w:noProof/>
          <w:color w:val="000000"/>
          <w:sz w:val="28"/>
          <w:szCs w:val="28"/>
          <w:lang w:val="kk-KZ"/>
        </w:rPr>
        <w:t>[7, 12]</w:t>
      </w:r>
      <w:r w:rsidR="005110D3" w:rsidRPr="00185BC0">
        <w:rPr>
          <w:color w:val="000000"/>
          <w:sz w:val="28"/>
          <w:szCs w:val="28"/>
          <w:lang w:val="kk-KZ"/>
        </w:rPr>
        <w:fldChar w:fldCharType="end"/>
      </w:r>
      <w:r w:rsidR="00881B68" w:rsidRPr="00185BC0">
        <w:rPr>
          <w:color w:val="000000"/>
          <w:sz w:val="28"/>
          <w:szCs w:val="28"/>
        </w:rPr>
        <w:t>.</w:t>
      </w:r>
      <w:r w:rsidR="002C4E37" w:rsidRPr="00185BC0">
        <w:rPr>
          <w:color w:val="000000"/>
          <w:sz w:val="28"/>
          <w:szCs w:val="28"/>
          <w:lang w:val="kk-KZ"/>
        </w:rPr>
        <w:t xml:space="preserve"> </w:t>
      </w:r>
      <w:r w:rsidR="002C4E37" w:rsidRPr="00185BC0">
        <w:rPr>
          <w:color w:val="000000"/>
          <w:sz w:val="28"/>
          <w:szCs w:val="28"/>
        </w:rPr>
        <w:t>Вместе с тем</w:t>
      </w:r>
      <w:r w:rsidR="008924D7" w:rsidRPr="00185BC0">
        <w:rPr>
          <w:color w:val="000000"/>
          <w:sz w:val="28"/>
          <w:szCs w:val="28"/>
          <w:lang w:val="kk-KZ"/>
        </w:rPr>
        <w:t>,</w:t>
      </w:r>
      <w:r w:rsidR="002C4E37" w:rsidRPr="00185BC0">
        <w:rPr>
          <w:color w:val="000000"/>
          <w:sz w:val="28"/>
          <w:szCs w:val="28"/>
        </w:rPr>
        <w:t xml:space="preserve"> при выполнении остеотомии возникают две основные проблемы: сложность точного определения необходимой величины укорочения бедренной кости и выбор надёжного метода фиксации костного отломка, обеспечивающего его стабильность и консолидацию</w:t>
      </w:r>
      <w:r w:rsidR="002C4E37" w:rsidRPr="00185BC0">
        <w:rPr>
          <w:color w:val="000000"/>
          <w:sz w:val="28"/>
          <w:szCs w:val="28"/>
          <w:lang w:val="kk-KZ"/>
        </w:rPr>
        <w:t xml:space="preserve">. </w:t>
      </w:r>
    </w:p>
    <w:p w14:paraId="6B9B7A98" w14:textId="6C85D473" w:rsidR="00573E15" w:rsidRPr="00185BC0" w:rsidRDefault="002C4E37" w:rsidP="00573E15">
      <w:pPr>
        <w:ind w:left="-45" w:firstLine="612"/>
        <w:jc w:val="both"/>
        <w:rPr>
          <w:color w:val="000000"/>
          <w:sz w:val="28"/>
          <w:szCs w:val="28"/>
        </w:rPr>
      </w:pPr>
      <w:r w:rsidRPr="00185BC0">
        <w:rPr>
          <w:color w:val="000000"/>
          <w:sz w:val="28"/>
          <w:szCs w:val="28"/>
        </w:rPr>
        <w:t>Основные проблемы стабилизации остеотомии бедра при эндопротезировании во многом связаны с наличием бедренного компонента эндопротеза, что ограничивает возможности надёжного удержания костных отломков. В этих условиях применяются различные способы стабилизации, каждый из которых имеет свои особенности и ограничения</w:t>
      </w:r>
      <w:r w:rsidR="00881B68" w:rsidRPr="00185BC0">
        <w:rPr>
          <w:color w:val="000000"/>
          <w:sz w:val="28"/>
          <w:szCs w:val="28"/>
        </w:rPr>
        <w:t xml:space="preserve"> </w:t>
      </w:r>
      <w:r w:rsidR="005110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{"citationItems":[{"id":"ITEM-1","itemData":{"DOI":"10.1186/s12891-019-2612-2","ISSN":"14712474","abstract":"Background: Total hip arthroplasty (THA) is considerably difficult to perform in patients with Crowe type IV developmental dysplasia of the hip (DDH). Some Crowe type IV DDH patients require a femoral subtrochanteric shortening osteotomy to equalize the length of the lower extremities and decrease the difficulty of intraoperative reduction. Subtrochanteric transverse osteotomy has been proven to have superior clinical efficacy, but some cases of nonunion occur. Case presentation: We present the case of a 62-year-old male patient who underwent right THA with femoral subtrochanteric transverse osteotomy due to Crowe type IV DDH. Nonunion of the osteotomy occurred during the follow-up period. In July 2017, the patient underwent right THA and femoral subtrochanteric transverse osteotomy due to Crowe type IV DDH. In November 2017, a slight feeling of bone rubbing and slight pain in the hip were reported. The ends of the osteotomy had rotated and united poorly. However, the patient requested to undergo continued observation. In December 2017, the patient reported an obvious sensation of bone rubbing and aggravated hip pain. The ends of the osteotomy had rotated and continued to exhibit nonunion. On December 26, 2017, the patient was treated with plate and screw internal fixation with bone morphogenetic protein (BMP) following our suggestion. In August 2018, the ends of the osteotomy had united after internal fixation was applied. Conclusions: THA with femoral subtrochanteric transverse osteotomy exhibits good efficacy for the treatment of patients with Crowe type IV DDH. However, postoperative nonunion occurs in a small number of cases. The causes of nonunion should be analysed, and effective measures should be taken to prevent this situation. Plate and screw internal fixation with BMP is an effective treatment for nonunion of the ends of an osteotomy.","author":[{"dropping-particle":"","family":"Gong","given":"Song","non-dropping-particle":"","parse-names":false,"suffix":""},{"dropping-particle":"","family":"Xu","given":"Weihua","non-dropping-particle":"","parse-names":false,"suffix":""},{"dropping-particle":"","family":"Wang","given":"Ruoyu","non-dropping-particle":"","parse-names":false,"suffix":""},{"dropping-particle":"","family":"Liu","given":"Shaokai","non-dropping-particle":"","parse-names":false,"suffix":""},{"dropping-particle":"","family":"Han","given":"Lizhi","non-dropping-particle":"","parse-names":false,"suffix":""},{"dropping-particle":"","family":"Chen","given":"Guo","non-dropping-particle":"","parse-names":false,"suffix":""},{"dropping-particle":"","family":"Wang","given":"Bo","non-dropping-particle":"","parse-names":false,"suffix":""}],"container-title":"BMC Musculoskeletal Disorders","id":"ITEM-1","issue":"1","issued":{"date-parts":[["2019"]]},"title":"The causes and management of nonunion of femoral subtrochanteric shortening osteotomy in a THA patient: A case report","type":"article-journal","volume":"20"},"uris":["http://www.mendeley.com/documents/?uuid=e97a5068-39bf-3247-9c2e-cad2562a64ad"]},{"id":"ITEM-2","itemData":{"DOI":"10.1186/s12891-020-03371-6","ISSN":"14712474","abstract":"Background: A few previous studies have investigated patient satisfaction after total hip arthroplasty (THA) according to the degree of pelvic deformity. This study compared patient-reported outcomes after primary THA for Crowe types III, IV and I dysplasia. Methods: This retrospective, single-center, single-surgeon case-control study included patients who underwent primary THA between 2008 and 2016. We sent postal questionnaires to 38 patients with Crowe type III and IV dysplasia. Among the questionnaire respondents, 23 patients, excluding those with a follow-up period of &lt; 1 year, were enrolled as the H group. The control group included 46 patients with Crowe type I, matched for sex, age, body mass index and surgical approach. To investigate the influence of femoral shortening osteotomy, the H group was divided according to whether femoral shortening osteotomy was performed. Ten patients underwent THA with femoral shortening osteotomy (FO group), while 12 patients underwent THA without femoral shortening osteotomy (N-FO group). Patient demographics, mean follow-up period, surgical information, pre- A nd postoperative leg length discrepancy (LLD), and perioperative complications were investigated. Clinical evaluations were performed using the Japanese Orthopaedic Association (JOA) scores, 36-item short-form survey (SF-36), net promotor score (NPS), visual analogue scale (VAS), and questionnaires. The VAS and SF-36 scores were determined only at final follow-up. Results: The H and control groups were not significantly different in the postoperative JOA scores and SF-36. In the H group, VAS at the final follow-up was significantly higher, and significantly more patients felt that postoperative rehabilitation was serious, expressing that they underwent THA for LLD correction. In addition, the VAS scores in the FO group was higher than those in the N-FO group. Postoperative LLD was significantly greater in the H group than in the control group. Each group had an NPS of &gt; 50. Conclusion: The postoperative VAS score was higher in Crowe type III and IV dysplasia than in Crowe type I dysplasia, but no significant differences were detected in the postoperative satisfaction, JOA score, and SF-36 score. These findings may help explain the effects of THA preoperatively to patients with Crowe type III and IV dysplasia. Level of evidence: Therapeutic Level 3b.","author":[{"dropping-particle":"","family":"Ueoka","given":"Ken","non-dropping-particle":"","parse-names":false,"suffix":""},{"dropping-particle":"","family":"Kabata","given":"Tamon","non-dropping-particle":"","parse-names":false,"suffix":""},{"dropping-particle":"","family":"Kajino","given":"Yoshitomo","non-dropping-particle":"","parse-names":false,"suffix":""},{"dropping-particle":"","family":"Inoue","given":"Daisuke","non-dropping-particle":"","parse-names":false,"suffix":""},{"dropping-particle":"","family":"Ohmori","given":"Takaaki","non-dropping-particle":"","parse-names":false,"suffix":""},{"dropping-particle":"","family":"Ueno","given":"Takuro","non-dropping-particle":"","parse-names":false,"suffix":""},{"dropping-particle":"","family":"Yoshitani","given":"Junya","non-dropping-particle":"","parse-names":false,"suffix":""},{"dropping-particle":"","family":"Yamamuro","given":"Yuki","non-dropping-particle":"","parse-names":false,"suffix":""},{"dropping-particle":"","family":"Tsuchiya","given":"Hiroyuki","non-dropping-particle":"","parse-names":false,"suffix":""}],"container-title":"BMC Musculoskeletal Disorders","id":"ITEM-2","issue":"1","issued":{"date-parts":[["2020"]]},"title":"Patient-reported outcomes following primary total hip arthroplasty in Crowe type III or IV developmental dysplasia are comparable to those in Crowe type I: A case-control study of 96 hips with intermediate-term follow-up","type":"article-journal","volume":"21"},"uris":["http://www.mendeley.com/documents/?uuid=ef812f4a-3f08-35e8-8ac5-40503de27f61"]}],"mendeley":{"formattedCitation":"[13, 14]","plainTextFormattedCitation":"[13, 14]","previouslyFormattedCitation":"[13, 14]"},"properties":{"noteIndex":0},"schema":"https://github.com/citation-style-language/schema/raw/master/csl-citation.json"}</w:instrText>
      </w:r>
      <w:r w:rsidR="005110D3" w:rsidRPr="00185BC0">
        <w:rPr>
          <w:color w:val="000000"/>
          <w:sz w:val="28"/>
          <w:szCs w:val="28"/>
          <w:lang w:val="kk-KZ"/>
        </w:rPr>
        <w:fldChar w:fldCharType="separate"/>
      </w:r>
      <w:r w:rsidR="00371B3B" w:rsidRPr="00185BC0">
        <w:rPr>
          <w:noProof/>
          <w:color w:val="000000"/>
          <w:sz w:val="28"/>
          <w:szCs w:val="28"/>
          <w:lang w:val="kk-KZ"/>
        </w:rPr>
        <w:t>[13, 14]</w:t>
      </w:r>
      <w:r w:rsidR="005110D3" w:rsidRPr="00185BC0">
        <w:rPr>
          <w:color w:val="000000"/>
          <w:sz w:val="28"/>
          <w:szCs w:val="28"/>
          <w:lang w:val="kk-KZ"/>
        </w:rPr>
        <w:fldChar w:fldCharType="end"/>
      </w:r>
      <w:r w:rsidR="00881B68" w:rsidRPr="00185BC0">
        <w:rPr>
          <w:color w:val="000000"/>
          <w:sz w:val="28"/>
          <w:szCs w:val="28"/>
        </w:rPr>
        <w:t>. </w:t>
      </w:r>
      <w:bookmarkStart w:id="7" w:name="_Hlk216854777"/>
      <w:r w:rsidR="00573E15" w:rsidRPr="00185BC0">
        <w:rPr>
          <w:color w:val="000000"/>
          <w:sz w:val="28"/>
          <w:szCs w:val="28"/>
        </w:rPr>
        <w:t xml:space="preserve">Применение костного трансплантата в качестве фиксации зоны остеотомии позволяет исправить </w:t>
      </w:r>
      <w:proofErr w:type="spellStart"/>
      <w:r w:rsidR="00573E15" w:rsidRPr="00185BC0">
        <w:rPr>
          <w:color w:val="000000"/>
          <w:sz w:val="28"/>
          <w:szCs w:val="28"/>
        </w:rPr>
        <w:t>антеверсию</w:t>
      </w:r>
      <w:proofErr w:type="spellEnd"/>
      <w:r w:rsidR="00573E15" w:rsidRPr="00185BC0">
        <w:rPr>
          <w:color w:val="000000"/>
          <w:sz w:val="28"/>
          <w:szCs w:val="28"/>
        </w:rPr>
        <w:t>, обеспечивает ротационную стабильность и исключает необходимость дополнительного остеосинтеза независимо от конструкции ножки, однако не обеспечивает самостоятельной механической устойчивости и может привести к лизису, отторжению и нагноению трансплантата</w:t>
      </w:r>
      <w:bookmarkEnd w:id="7"/>
      <w:r w:rsidRPr="00185BC0">
        <w:rPr>
          <w:color w:val="000000"/>
          <w:sz w:val="28"/>
          <w:szCs w:val="28"/>
        </w:rPr>
        <w:t xml:space="preserve"> </w:t>
      </w:r>
      <w:r w:rsidR="005110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{"citationItems":[{"id":"ITEM-1","itemData":{"DOI":"10.1016/j.arth.2013.09.004","ISSN":"15328406","abstract":"Safe reduction of the femoral head into the true acetabulum requires a certain amount of femoral shortening in patients with high dislocation of the hip. In subtrochanteric shortening applications, to reduce complications it is necessary to maintain a stable fixation at the osteotomy line. The purpose of this study is to investigate frequently used methods from a biomechanical point of view. Four osteotomy groups were created with composite femurs to investigate subtrochanteric osteotomies; transverse, oblique, z-subtrochanteric and double Chevron. All loading tests were carried out with two implant types both with and without strut graft and cable fixation. No single inherent feature increasing the stability of the investigated osteotomy types was found. Additionally graft application did not have a significant contribution to stability. © 2014 Elsevier Inc.","author":[{"dropping-particle":"","family":"Muratli","given":"Kivanc S.","non-dropping-particle":"","parse-names":false,"suffix":""},{"dropping-particle":"","family":"Karatosun","given":"Vasfi","non-dropping-particle":"","parse-names":false,"suffix":""},{"dropping-particle":"","family":"Uzun","given":"Bora","non-dropping-particle":"","parse-names":false,"suffix":""},{"dropping-particle":"","family":"Celik","given":"Salih","non-dropping-particle":"","parse-names":false,"suffix":""}],"container-title":"Journal of Arthroplasty","id":"ITEM-1","issue":"4","issued":{"date-parts":[["2014"]]},"title":"Subtrochanteric Shortening in Total Hip Arthroplasty: Biomechanical Comparison of Four Techniques","type":"article-journal","volume":"29"},"uris":["http://www.mendeley.com/documents/?uuid=d4070cbb-c701-3f06-8d17-c7b499ac7b22"]},{"id":"ITEM-2","itemData":{"DOI":"10.1016/j.arth.2009.02.023","ISSN":"08835403","abstract":"A new technique of femoral fixation that uses a transverse osteotomy for subtrochanteric shortening and derotation in total hip arthroplasty for Crowe type 3 to 4 dysplasia of the hip is described. This series included 21 cases in 12 women and 2 men, with a mean age of 42.3 years. Follow-up averaged 41.2 months. Bone pegs prepared from the resected femoral segment were seated in the medullary canal around the stem for femoral fixation. Merle d'Aubigné scores for pain, motion, and walking improved from 2.9, 4.4, and 3.7 to 5.2, 5.4, and 5.5, respectively. Radiographic union was detected within 12 ± 3.4 (range, 6-24) weeks in all cases. Complications were early dislocation in 2 cases. This technique allows correction of anteversion, provides excellent rotational stability, and eliminates the need for additional osteosynthesis regardless of the stem design. © 2010 Elsevier Inc.","author":[{"dropping-particle":"","family":"Togrul","given":"Emre","non-dropping-particle":"","parse-names":false,"suffix":""},{"dropping-particle":"","family":"Özkan","given":"Cenk","non-dropping-particle":"","parse-names":false,"suffix":""},{"dropping-particle":"","family":"Kalaci","given":"Aydiner","non-dropping-particle":"","parse-names":false,"suffix":""},{"dropping-particle":"","family":"Gülşen","given":"Mahir","non-dropping-particle":"","parse-names":false,"suffix":""}],"container-title":"Journal of Arthroplasty","id":"ITEM-2","issue":"3","issued":{"date-parts":[["2010"]]},"title":"A new technique of subtrochanteric shortening in total hip replacement for crowe type 3 to 4 dysplasia of the hip","type":"article-journal","volume":"25"},"uris":["http://www.mendeley.com/documents/?uuid=d24913c4-948d-30f0-8e79-1deaa7e437f4"]}],"mendeley":{"formattedCitation":"[15, 16]","plainTextFormattedCitation":"[15, 16]","previouslyFormattedCitation":"[15, 16]"},"properties":{"noteIndex":0},"schema":"https://github.com/citation-style-language/schema/raw/master/csl-citation.json"}</w:instrText>
      </w:r>
      <w:r w:rsidR="005110D3" w:rsidRPr="00185BC0">
        <w:rPr>
          <w:color w:val="000000"/>
          <w:sz w:val="28"/>
          <w:szCs w:val="28"/>
          <w:lang w:val="kk-KZ"/>
        </w:rPr>
        <w:fldChar w:fldCharType="separate"/>
      </w:r>
      <w:r w:rsidR="00371B3B" w:rsidRPr="00185BC0">
        <w:rPr>
          <w:noProof/>
          <w:color w:val="000000"/>
          <w:sz w:val="28"/>
          <w:szCs w:val="28"/>
          <w:lang w:val="kk-KZ"/>
        </w:rPr>
        <w:t>[15, 16]</w:t>
      </w:r>
      <w:r w:rsidR="005110D3" w:rsidRPr="00185BC0">
        <w:rPr>
          <w:color w:val="000000"/>
          <w:sz w:val="28"/>
          <w:szCs w:val="28"/>
          <w:lang w:val="kk-KZ"/>
        </w:rPr>
        <w:fldChar w:fldCharType="end"/>
      </w:r>
      <w:r w:rsidR="00881B68" w:rsidRPr="00185BC0">
        <w:rPr>
          <w:color w:val="000000"/>
          <w:sz w:val="28"/>
          <w:szCs w:val="28"/>
        </w:rPr>
        <w:t>. </w:t>
      </w:r>
      <w:r w:rsidR="00573E15" w:rsidRPr="00185BC0">
        <w:rPr>
          <w:color w:val="000000"/>
          <w:sz w:val="28"/>
          <w:szCs w:val="28"/>
        </w:rPr>
        <w:t xml:space="preserve">Применение кабеля и проволоки, несмотря на техническую простоту, не дает стабильную фиксацию места остеотомии, а также приводит в последующем к ротации отломков, что в свою очередь может вызвать </w:t>
      </w:r>
      <w:proofErr w:type="spellStart"/>
      <w:r w:rsidR="00573E15" w:rsidRPr="00185BC0">
        <w:rPr>
          <w:color w:val="000000"/>
          <w:sz w:val="28"/>
          <w:szCs w:val="28"/>
        </w:rPr>
        <w:t>остеолитические</w:t>
      </w:r>
      <w:proofErr w:type="spellEnd"/>
      <w:r w:rsidR="00573E15" w:rsidRPr="00185BC0">
        <w:rPr>
          <w:color w:val="000000"/>
          <w:sz w:val="28"/>
          <w:szCs w:val="28"/>
        </w:rPr>
        <w:t xml:space="preserve"> изменения костной ткани, </w:t>
      </w:r>
      <w:proofErr w:type="spellStart"/>
      <w:r w:rsidR="00573E15" w:rsidRPr="00185BC0">
        <w:rPr>
          <w:color w:val="000000"/>
          <w:sz w:val="28"/>
          <w:szCs w:val="28"/>
        </w:rPr>
        <w:t>преждевременн</w:t>
      </w:r>
      <w:proofErr w:type="spellEnd"/>
      <w:r w:rsidR="008924D7" w:rsidRPr="00185BC0">
        <w:rPr>
          <w:color w:val="000000"/>
          <w:sz w:val="28"/>
          <w:szCs w:val="28"/>
          <w:lang w:val="kk-KZ"/>
        </w:rPr>
        <w:t>ый</w:t>
      </w:r>
      <w:r w:rsidR="00573E15" w:rsidRPr="00185BC0">
        <w:rPr>
          <w:color w:val="000000"/>
          <w:sz w:val="28"/>
          <w:szCs w:val="28"/>
        </w:rPr>
        <w:t xml:space="preserve"> износ полиэтилена, </w:t>
      </w:r>
      <w:proofErr w:type="spellStart"/>
      <w:r w:rsidR="00573E15" w:rsidRPr="00185BC0">
        <w:rPr>
          <w:color w:val="000000"/>
          <w:sz w:val="28"/>
          <w:szCs w:val="28"/>
        </w:rPr>
        <w:t>развити</w:t>
      </w:r>
      <w:proofErr w:type="spellEnd"/>
      <w:r w:rsidR="008924D7" w:rsidRPr="00185BC0">
        <w:rPr>
          <w:color w:val="000000"/>
          <w:sz w:val="28"/>
          <w:szCs w:val="28"/>
          <w:lang w:val="kk-KZ"/>
        </w:rPr>
        <w:t>е</w:t>
      </w:r>
      <w:r w:rsidR="00573E15" w:rsidRPr="00185BC0">
        <w:rPr>
          <w:color w:val="000000"/>
          <w:sz w:val="28"/>
          <w:szCs w:val="28"/>
        </w:rPr>
        <w:t xml:space="preserve"> инфекционных осложнений</w:t>
      </w:r>
      <w:r w:rsidR="00573E15" w:rsidRPr="00185BC0">
        <w:rPr>
          <w:color w:val="000000"/>
          <w:sz w:val="28"/>
          <w:szCs w:val="28"/>
          <w:lang w:val="kk-KZ"/>
        </w:rPr>
        <w:t xml:space="preserve"> </w:t>
      </w:r>
      <w:r w:rsidR="005110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{"citationItems":[{"id":"ITEM-1","itemData":{"DOI":"10.1302/0301-620X.94B11.29687","ISSN":"0301620X","abstract":"There are no recent studies comparing cable with wire for the fixation of osteotomies or fractures in total hip replacement (THR). Our objective was to evaluate the five-year clinical and radiological outcomes and complication rates of the two techniques. We undertook a review including all primary and revision THRs performed in one hospital between 1996 and 2005 using cable or wire fixation. Clinical and radiological evaluation was performed five years post-operatively. Cables were used in 51 THRs and wires in 126, and of these, 36 THRs with cable (71%) and 101 with wire (80%) were evaluated at follow-up. The five-year radiographs available for 33 cable and 91 wire THRs revealed rates of breakage of fixation of 12 of 33 (36%) and 42 of 91 (46%), respectively. With cable there was a significantly higher risk of metal debris (68% vs 9%; adjusted relative risk (RR) 6.6; 95% confidence interval (CI) 3.0 to 14.1), nonunion (36% vs 21%; adjusted RR 2.0; 95% CI 1.0 to 3.9) and osteolysis around the material, acetabulum or femur (61% vs 19%; adjusted RR 3.9; 95% CI 2.3 to 6.5). Cable breakage increased the risk of osteolysis to 83%. There was a trend towards foreign-body reaction and increased infection with cables. Clinical results did not differ between the groups. In conclusion, we found a higher incidence of complications and a trend towards increased infection and foreign-body reaction with the use of cables. ©2012 British Editorial Society of Bone and Joint Surgery.","author":[{"dropping-particle":"","family":"Berton","given":"C.","non-dropping-particle":"","parse-names":false,"suffix":""},{"dropping-particle":"","family":"Puskas","given":"G. J.","non-dropping-particle":"","parse-names":false,"suffix":""},{"dropping-particle":"","family":"Christofilopoulos","given":"P.","non-dropping-particle":"","parse-names":false,"suffix":""},{"dropping-particle":"","family":"Stern","given":"R.","non-dropping-particle":"","parse-names":false,"suffix":""},{"dropping-particle":"","family":"Hoffmeyer","given":"P.","non-dropping-particle":"","parse-names":false,"suffix":""},{"dropping-particle":"","family":"Lübbeke","given":"A.","non-dropping-particle":"","parse-names":false,"suffix":""}],"container-title":"Journal of Bone and Joint Surgery - Series B","id":"ITEM-1","issue":"11","issued":{"date-parts":[["2012"]]},"title":"Comparison of the outcome following the fixation of osteotomies or fractures associated with total hip replacement using cables or wires: The results at five years","type":"article-journal","volume":"94 B"},"uris":["http://www.mendeley.com/documents/?uuid=480fced6-5a36-366d-945a-5b70250b47aa"]},{"id":"ITEM-2","itemData":{"DOI":"10.5606/EHC.2020.73078","ISSN":"26874792","abstract":"Objectives: This study aims to evaluate the efficacy of proximal humerus plate in the fixation of subtrochanteric femoral shortening osteotomy (SFSO) during total hip arthroplasty. Patients and methods: Thirty female patients (mean age 49.8 years; range, 22 to 68 years) who underwent hip arthroplasty with a SFSO and fixed with a proximal humerus plate between January 2014 and June 2018 were evaluated retrospectively. Rate of fracture healing, the number of fixed cortices at both sides of the osteotomy, and complications were documented. Results: The mean follow-up period was 28 months (range, 12-68 months). The average time to union was 106 days (range, 45-229 days). The mean number of cortices fixed in the proximal segment of the osteotomy was 6.2 (range, 4-9), and the mean number of cortices fixed in the distal segment of the osteotomy was 4.0 (range, 3-7). None of the patients had implant irritation or implant failure at the control visits. We observed only one non-union and our non-union rate was 3.3%. Conclusion: In conclusion, the use of a proximal humerus plate for the fixation of SFSO can be an alternative procedure for achieving adequate rotational stability until a solid union.","author":[{"dropping-particle":"","family":"Çaglar","given":"Ömür","non-dropping-particle":"","parse-names":false,"suffix":""},{"dropping-particle":"","family":"Özdemir","given":"Erdi","non-dropping-particle":"","parse-names":false,"suffix":""},{"dropping-particle":"","family":"Tokgözoglu","given":"Ahmet Mazhar","non-dropping-particle":"","parse-names":false,"suffix":""},{"dropping-particle":"","family":"Atilla","given":"Bülent","non-dropping-particle":"","parse-names":false,"suffix":""}],"container-title":"Joint Diseases and Related Surgery","id":"ITEM-2","issue":"2","issued":{"date-parts":[["2020"]]},"title":"Use of proximal humerus plates for the fixation of the subtrochanteric femoral shortening osteotomy during total hip arthroplasty for Crowe type IV developmental dysplasia of the hip patients","type":"article-journal","volume":"31"},"uris":["http://www.mendeley.com/documents/?uuid=b44842e0-89b4-372d-8c59-7d23cf760196"]}],"mendeley":{"formattedCitation":"[17, 18]","plainTextFormattedCitation":"[17, 18]","previouslyFormattedCitation":"[17, 18]"},"properties":{"noteIndex":0},"schema":"https://github.com/citation-style-language/schema/raw/master/csl-citation.json"}</w:instrText>
      </w:r>
      <w:r w:rsidR="005110D3" w:rsidRPr="00185BC0">
        <w:rPr>
          <w:color w:val="000000"/>
          <w:sz w:val="28"/>
          <w:szCs w:val="28"/>
          <w:lang w:val="kk-KZ"/>
        </w:rPr>
        <w:fldChar w:fldCharType="separate"/>
      </w:r>
      <w:r w:rsidR="00371B3B" w:rsidRPr="00185BC0">
        <w:rPr>
          <w:noProof/>
          <w:color w:val="000000"/>
          <w:sz w:val="28"/>
          <w:szCs w:val="28"/>
          <w:lang w:val="kk-KZ"/>
        </w:rPr>
        <w:t>[17, 18]</w:t>
      </w:r>
      <w:r w:rsidR="005110D3" w:rsidRPr="00185BC0">
        <w:rPr>
          <w:color w:val="000000"/>
          <w:sz w:val="28"/>
          <w:szCs w:val="28"/>
          <w:lang w:val="kk-KZ"/>
        </w:rPr>
        <w:fldChar w:fldCharType="end"/>
      </w:r>
      <w:r w:rsidR="00881B68" w:rsidRPr="00185BC0">
        <w:rPr>
          <w:color w:val="000000"/>
          <w:sz w:val="28"/>
          <w:szCs w:val="28"/>
        </w:rPr>
        <w:t>. </w:t>
      </w:r>
      <w:r w:rsidR="00573E15" w:rsidRPr="00185BC0">
        <w:rPr>
          <w:color w:val="000000"/>
          <w:sz w:val="28"/>
          <w:szCs w:val="28"/>
        </w:rPr>
        <w:t>Использование пластин позволяет достичь более жёсткой и контролируемой стабилизации, обеспечивает лучшую коррекцию оси бедра и уменьшает риск вторичного смещения отломков, но присутствие бедренного компонента протеза нередко ограничивает проведение винтов через оба кортикальных слоя и усложняет выполнение операции, так как данные пластины не предназначены для синтеза кости с наличием ножки протеза</w:t>
      </w:r>
      <w:r w:rsidR="00A36028" w:rsidRPr="00185BC0">
        <w:rPr>
          <w:color w:val="000000"/>
          <w:sz w:val="28"/>
          <w:szCs w:val="28"/>
        </w:rPr>
        <w:t xml:space="preserve"> </w:t>
      </w:r>
      <w:r w:rsidR="00A36028" w:rsidRPr="00185BC0">
        <w:rPr>
          <w:color w:val="000000"/>
          <w:sz w:val="28"/>
          <w:szCs w:val="28"/>
        </w:rPr>
        <w:fldChar w:fldCharType="begin" w:fldLock="1"/>
      </w:r>
      <w:r w:rsidR="002F5076" w:rsidRPr="00185BC0">
        <w:rPr>
          <w:color w:val="000000"/>
          <w:sz w:val="28"/>
          <w:szCs w:val="28"/>
        </w:rPr>
        <w:instrText>ADDIN CSL_CITATION {"citationItems":[{"id":"ITEM-1","itemData":{"DOI":"10.7507/1002-1892.202107121","ISSN":"10021892","abstract":"Objective: To compare the effectiveness of three different fixation methods after subtrochanteric shortening osteotomy (SSO) in total hip arthroplasty (THA) for Crowe type Ⅳ developmental dysplasia of the hip (DDH). Methods: A clinical data of 63 patients (78 hips) with Crowe type Ⅳ DDH, who underwent THA with SSO between November 2014 and May 2019, was retrospectively analyzed. Among them, 18 patients (20 hips) obtained stability by intramedullary pressure provided by the S-ROM modular prostheses (group A); 22 patients (30 hips) underwent prophylactic binding by stainless steel wire after osteotomy and before stem implantation (group B); 23 patients (28 hips) were fixed with autogenous cortical strut grafts and stainless steel wire or cables (group C). There was no significant difference in gender, age, body mass index, affected limb side, and preoperative Harris score between groups ( P&gt;0.05). The operation time, complications, imaging results, hip functional score of the three groups were recorded and compared. Results: There was no significant difference in the operation time between groups ( P&gt;0.05). All incisions healed by first intention. All patients were followed up, and the follow-up time was 2.5-4.0 years (mean, 3.1 years) in group A, 1.5-5.5 years (mean, 3.2 years) in group B, and 1.0-5.0 years (mean, 1.6 years) in group C. There was no significant difference in Harris score or Western Ontario and McMaster Universities Osteoarthritis Index (WOMAC) score between groups at 4 and 12 months after operation ( P&gt;0.05). X-ray films showed that there was no significant difference in osteotomy healing rate at 4, 8, and 12 months after operation and the osteotomy healing time between groups ( P&gt;0.05). There was no complications such as joint dislocation, prosthesis loosening, prosthetic joint infection, or heterotopic ossification during follow-up, except for the distal femoral fracture of 1 hip during operation in group B. Conclusion: In THA for patients with Crowe type Ⅳ DDH, the stainless steel wire binding alone and autogenous cortical strut grafts combined with stainless steel wire or cable binding can not significantly promote the osteotomy healing compared with femoral prosthesis intramedullary compression fixation. For patients with nonmatched medullary cavity after SSO, it is recommended to apply autogenous cortical strut grafts with wire or cables for additional fixation.","author":[{"dropping-particle":"","family":"Liu","given":"Yubo","non-dropping-particle":"","parse-names":false,"suffix":""},{"dropping-particle":"","family":"Ma","given":"Mingyang","non-dropping-particle":"","parse-names":false,"suffix":""},{"dropping-particle":"","family":"Yang","given":"Minzhi","non-dropping-particle":"","parse-names":false,"suffix":""},{"dropping-particle":"","family":"Guo","given":"Renwen","non-dropping-particle":"","parse-names":false,"suffix":""},{"dropping-particle":"","family":"Kong","given":"Xiangpeng","non-dropping-particle":"","parse-names":false,"suffix":""},{"dropping-particle":"","family":"Chai","given":"Wei","non-dropping-particle":"","parse-names":false,"suffix":""}],"container-title":"Zhongguo xiu fu chong jian wai ke za zhi = Zhongguo xiufu chongjian waike zazhi = Chinese journal of reparative and reconstructive surgery","id":"ITEM-1","issue":"12","issued":{"date-parts":[["2021"]]},"title":"A comparative study of three different fixation methods after subtrochanteric shortening osteotomy in total hip arthroplasty for Crowe type Ⅳ developmental dysplasia of the hip","type":"article-journal","volume":"35"},"uris":["http://www.mendeley.com/documents/?uuid=41bdae4e-1ce3-3ab0-bca6-d618a6678db5"]}],"mendeley":{"formattedCitation":"[19]","plainTextFormattedCitation":"[19]","previouslyFormattedCitation":"[19]"},"properties":{"noteIndex":0},"schema":"https://github.com/citation-style-language/schema/raw/master/csl-citation.json"}</w:instrText>
      </w:r>
      <w:r w:rsidR="00A36028" w:rsidRPr="00185BC0">
        <w:rPr>
          <w:color w:val="000000"/>
          <w:sz w:val="28"/>
          <w:szCs w:val="28"/>
        </w:rPr>
        <w:fldChar w:fldCharType="separate"/>
      </w:r>
      <w:r w:rsidR="00371B3B" w:rsidRPr="00185BC0">
        <w:rPr>
          <w:noProof/>
          <w:color w:val="000000"/>
          <w:sz w:val="28"/>
          <w:szCs w:val="28"/>
        </w:rPr>
        <w:t>[19]</w:t>
      </w:r>
      <w:r w:rsidR="00A36028" w:rsidRPr="00185BC0">
        <w:rPr>
          <w:color w:val="000000"/>
          <w:sz w:val="28"/>
          <w:szCs w:val="28"/>
        </w:rPr>
        <w:fldChar w:fldCharType="end"/>
      </w:r>
      <w:r w:rsidR="00881B68" w:rsidRPr="00185BC0">
        <w:rPr>
          <w:color w:val="000000"/>
          <w:sz w:val="28"/>
          <w:szCs w:val="28"/>
        </w:rPr>
        <w:t>. </w:t>
      </w:r>
      <w:r w:rsidR="00573E15" w:rsidRPr="00185BC0">
        <w:rPr>
          <w:color w:val="000000"/>
          <w:sz w:val="28"/>
          <w:szCs w:val="28"/>
        </w:rPr>
        <w:t xml:space="preserve">Отверстия и направления винтов в стандартных пластинах ориентированы перпендикулярно ножке эндопротеза, что не позволяет выполнить фиксацию с захватом второго кортикального слоя кости. В результате для повышения стабильности приходится использовать пластины большей длины, что приводит к росту размеров конструкции и необходимости расширения операционной раны. Это, в свою очередь, сопровождается удлинением продолжительности операции, повышением объёма кровопотери, большей травматизацией мягких тканей, возрастанием риска </w:t>
      </w:r>
      <w:proofErr w:type="spellStart"/>
      <w:r w:rsidR="00573E15" w:rsidRPr="00185BC0">
        <w:rPr>
          <w:color w:val="000000"/>
          <w:sz w:val="28"/>
          <w:szCs w:val="28"/>
        </w:rPr>
        <w:t>интраоперационных</w:t>
      </w:r>
      <w:proofErr w:type="spellEnd"/>
      <w:r w:rsidR="00573E15" w:rsidRPr="00185BC0">
        <w:rPr>
          <w:color w:val="000000"/>
          <w:sz w:val="28"/>
          <w:szCs w:val="28"/>
        </w:rPr>
        <w:t xml:space="preserve"> переломов и замедлением заживления послеоперационной раны.</w:t>
      </w:r>
    </w:p>
    <w:p w14:paraId="7E20DD32" w14:textId="0C8F3890" w:rsidR="00573E15" w:rsidRPr="00185BC0" w:rsidRDefault="00573E15" w:rsidP="00573E15">
      <w:pPr>
        <w:ind w:left="-45" w:firstLine="765"/>
        <w:jc w:val="both"/>
        <w:rPr>
          <w:color w:val="000000"/>
          <w:sz w:val="28"/>
          <w:szCs w:val="28"/>
        </w:rPr>
      </w:pPr>
      <w:r w:rsidRPr="00185BC0">
        <w:rPr>
          <w:color w:val="000000"/>
          <w:sz w:val="28"/>
          <w:szCs w:val="28"/>
        </w:rPr>
        <w:t xml:space="preserve">Несмотря на наличие зарубежных и отечественных публикаций, посвящённых тотальному эндопротезированию тазобедренного сустава при диспластическом коксартрозе IV типа по </w:t>
      </w:r>
      <w:proofErr w:type="spellStart"/>
      <w:r w:rsidRPr="00185BC0">
        <w:rPr>
          <w:color w:val="000000"/>
          <w:sz w:val="28"/>
          <w:szCs w:val="28"/>
        </w:rPr>
        <w:t>Crowe</w:t>
      </w:r>
      <w:proofErr w:type="spellEnd"/>
      <w:r w:rsidRPr="00185BC0">
        <w:rPr>
          <w:color w:val="000000"/>
          <w:sz w:val="28"/>
          <w:szCs w:val="28"/>
        </w:rPr>
        <w:t xml:space="preserve">, в Республике Казахстан до настоящего времени отсутствует единый стандартизированный алгоритм </w:t>
      </w:r>
      <w:r w:rsidRPr="00185BC0">
        <w:rPr>
          <w:color w:val="000000"/>
          <w:sz w:val="28"/>
          <w:szCs w:val="28"/>
        </w:rPr>
        <w:lastRenderedPageBreak/>
        <w:t xml:space="preserve">предоперационного планирования и выбора тактики коррекции деформации проксимального отдела бедренной кости с последующей фиксацией зоны </w:t>
      </w:r>
      <w:proofErr w:type="spellStart"/>
      <w:r w:rsidRPr="00185BC0">
        <w:rPr>
          <w:color w:val="000000"/>
          <w:sz w:val="28"/>
          <w:szCs w:val="28"/>
        </w:rPr>
        <w:t>подвертельной</w:t>
      </w:r>
      <w:proofErr w:type="spellEnd"/>
      <w:r w:rsidRPr="00185BC0">
        <w:rPr>
          <w:color w:val="000000"/>
          <w:sz w:val="28"/>
          <w:szCs w:val="28"/>
        </w:rPr>
        <w:t xml:space="preserve"> остеотомии. В клинической практике принятие хирургических решений, как правило, основывается на данных клинического обследования и обзорной рентгенографии таза, что не всегда позволяет объективно оценить пространственные и ротационные деформации бедренной кости.</w:t>
      </w:r>
    </w:p>
    <w:p w14:paraId="4DD2CF75" w14:textId="77777777" w:rsidR="00573E15" w:rsidRPr="00185BC0" w:rsidRDefault="00573E15" w:rsidP="00573E15">
      <w:pPr>
        <w:ind w:left="-45" w:firstLine="765"/>
        <w:jc w:val="both"/>
        <w:rPr>
          <w:color w:val="000000"/>
          <w:sz w:val="28"/>
          <w:szCs w:val="28"/>
        </w:rPr>
      </w:pPr>
      <w:r w:rsidRPr="00185BC0">
        <w:rPr>
          <w:color w:val="000000"/>
          <w:sz w:val="28"/>
          <w:szCs w:val="28"/>
        </w:rPr>
        <w:t xml:space="preserve">Отсутствие алгоритмизированного подхода в условиях отечественного здравоохранения приводит к вариабельности хирургической тактики, увеличению </w:t>
      </w:r>
      <w:proofErr w:type="spellStart"/>
      <w:r w:rsidRPr="00185BC0">
        <w:rPr>
          <w:color w:val="000000"/>
          <w:sz w:val="28"/>
          <w:szCs w:val="28"/>
        </w:rPr>
        <w:t>интраоперационных</w:t>
      </w:r>
      <w:proofErr w:type="spellEnd"/>
      <w:r w:rsidRPr="00185BC0">
        <w:rPr>
          <w:color w:val="000000"/>
          <w:sz w:val="28"/>
          <w:szCs w:val="28"/>
        </w:rPr>
        <w:t xml:space="preserve"> технических трудностей и риску развития осложнений, включая ротационную нестабильность и нарушение восстановления анатомо-биомеханической оси и длины нижней конечности, что обусловливает высокую актуальность совершенствования хирургической тактики и методов стабилизации при эндопротезировании у данной категории пациентов в Республике Казахстан.</w:t>
      </w:r>
    </w:p>
    <w:p w14:paraId="2B6DA4EE" w14:textId="77777777" w:rsidR="00573E15" w:rsidRPr="00185BC0" w:rsidRDefault="00573E15" w:rsidP="00573E15">
      <w:pPr>
        <w:ind w:left="-45" w:firstLine="765"/>
        <w:jc w:val="both"/>
        <w:rPr>
          <w:bCs/>
          <w:color w:val="000000"/>
          <w:sz w:val="28"/>
          <w:szCs w:val="28"/>
          <w:lang w:val="kk-KZ"/>
        </w:rPr>
      </w:pPr>
      <w:r w:rsidRPr="00185BC0">
        <w:rPr>
          <w:bCs/>
          <w:color w:val="000000"/>
          <w:sz w:val="28"/>
          <w:szCs w:val="28"/>
          <w:lang w:val="kk-KZ"/>
        </w:rPr>
        <w:t>Вышесказанное подтверждает актуальность данной темы и необходимость усовершенствования хирургического лечения диспластического коксартроза.</w:t>
      </w:r>
    </w:p>
    <w:p w14:paraId="6643A94F" w14:textId="5A72CCC1" w:rsidR="00881B68" w:rsidRPr="00185BC0" w:rsidRDefault="00881B68" w:rsidP="00881B68">
      <w:pPr>
        <w:ind w:left="-45" w:firstLine="612"/>
        <w:jc w:val="both"/>
        <w:rPr>
          <w:color w:val="000000"/>
          <w:sz w:val="28"/>
          <w:szCs w:val="28"/>
        </w:rPr>
      </w:pPr>
      <w:r w:rsidRPr="00185BC0">
        <w:rPr>
          <w:b/>
          <w:bCs/>
          <w:sz w:val="28"/>
          <w:szCs w:val="28"/>
        </w:rPr>
        <w:t>Цель исследования</w:t>
      </w:r>
    </w:p>
    <w:p w14:paraId="4CC33947" w14:textId="5A2143C3" w:rsidR="00881B68" w:rsidRPr="00185BC0" w:rsidRDefault="00573E15" w:rsidP="00881B68">
      <w:pPr>
        <w:ind w:firstLine="567"/>
        <w:jc w:val="both"/>
        <w:rPr>
          <w:sz w:val="28"/>
          <w:szCs w:val="28"/>
        </w:rPr>
      </w:pPr>
      <w:r w:rsidRPr="00185BC0">
        <w:rPr>
          <w:sz w:val="28"/>
          <w:szCs w:val="28"/>
        </w:rPr>
        <w:t xml:space="preserve">Усовершенствовать метод оперативного лечения пациентов с диспластическом коксартрозом IV типа по </w:t>
      </w:r>
      <w:proofErr w:type="spellStart"/>
      <w:r w:rsidRPr="00185BC0">
        <w:rPr>
          <w:sz w:val="28"/>
          <w:szCs w:val="28"/>
        </w:rPr>
        <w:t>Crowe</w:t>
      </w:r>
      <w:proofErr w:type="spellEnd"/>
      <w:r w:rsidRPr="00185BC0">
        <w:rPr>
          <w:sz w:val="28"/>
          <w:szCs w:val="28"/>
        </w:rPr>
        <w:t xml:space="preserve"> при тотальном эндопротезировании тазобедренного сустава путем разработки </w:t>
      </w:r>
      <w:proofErr w:type="spellStart"/>
      <w:r w:rsidRPr="00185BC0">
        <w:rPr>
          <w:sz w:val="28"/>
          <w:szCs w:val="28"/>
        </w:rPr>
        <w:t>деротационной</w:t>
      </w:r>
      <w:proofErr w:type="spellEnd"/>
      <w:r w:rsidRPr="00185BC0">
        <w:rPr>
          <w:sz w:val="28"/>
          <w:szCs w:val="28"/>
        </w:rPr>
        <w:t xml:space="preserve"> пластины оригинальной конструкции</w:t>
      </w:r>
      <w:r w:rsidR="007757D7" w:rsidRPr="00185BC0">
        <w:rPr>
          <w:sz w:val="28"/>
          <w:szCs w:val="28"/>
        </w:rPr>
        <w:t>.</w:t>
      </w:r>
    </w:p>
    <w:p w14:paraId="7879431D" w14:textId="77777777" w:rsidR="00881B68" w:rsidRPr="00185BC0" w:rsidRDefault="00881B68" w:rsidP="00881B68">
      <w:pPr>
        <w:ind w:firstLine="567"/>
        <w:jc w:val="both"/>
        <w:rPr>
          <w:b/>
          <w:bCs/>
          <w:sz w:val="28"/>
          <w:szCs w:val="28"/>
        </w:rPr>
      </w:pPr>
      <w:r w:rsidRPr="00185BC0">
        <w:rPr>
          <w:b/>
          <w:bCs/>
          <w:sz w:val="28"/>
          <w:szCs w:val="28"/>
        </w:rPr>
        <w:t>Задачи исследования</w:t>
      </w:r>
    </w:p>
    <w:p w14:paraId="6D463D8A" w14:textId="77777777" w:rsidR="00573E15" w:rsidRPr="00185BC0" w:rsidRDefault="00573E15" w:rsidP="00573E15">
      <w:pPr>
        <w:pStyle w:val="a6"/>
        <w:numPr>
          <w:ilvl w:val="0"/>
          <w:numId w:val="21"/>
        </w:numPr>
        <w:ind w:left="0" w:firstLine="567"/>
        <w:jc w:val="both"/>
        <w:rPr>
          <w:sz w:val="28"/>
          <w:szCs w:val="28"/>
        </w:rPr>
      </w:pPr>
      <w:r w:rsidRPr="00185BC0">
        <w:rPr>
          <w:sz w:val="28"/>
          <w:szCs w:val="28"/>
        </w:rPr>
        <w:t xml:space="preserve">Обосновать биомеханическую стабильность метода фиксации зоны остеотомии с применением разработанной </w:t>
      </w:r>
      <w:proofErr w:type="spellStart"/>
      <w:r w:rsidRPr="00185BC0">
        <w:rPr>
          <w:sz w:val="28"/>
          <w:szCs w:val="28"/>
        </w:rPr>
        <w:t>деротационной</w:t>
      </w:r>
      <w:proofErr w:type="spellEnd"/>
      <w:r w:rsidRPr="00185BC0">
        <w:rPr>
          <w:sz w:val="28"/>
          <w:szCs w:val="28"/>
        </w:rPr>
        <w:t xml:space="preserve"> пластины с угловой стабильностью при хирургическом лечении диспластического коксартроза IV типа.</w:t>
      </w:r>
    </w:p>
    <w:p w14:paraId="3AB3C9C6" w14:textId="77777777" w:rsidR="00573E15" w:rsidRPr="00185BC0" w:rsidRDefault="00573E15" w:rsidP="00573E15">
      <w:pPr>
        <w:pStyle w:val="a6"/>
        <w:numPr>
          <w:ilvl w:val="0"/>
          <w:numId w:val="21"/>
        </w:numPr>
        <w:ind w:left="0" w:firstLine="567"/>
        <w:jc w:val="both"/>
        <w:rPr>
          <w:sz w:val="28"/>
          <w:szCs w:val="28"/>
        </w:rPr>
      </w:pPr>
      <w:r w:rsidRPr="00185BC0">
        <w:rPr>
          <w:sz w:val="28"/>
          <w:szCs w:val="28"/>
        </w:rPr>
        <w:t xml:space="preserve">Разработать и научно обосновать алгоритм предоперационного планирования, включающий математический расчёт объёма </w:t>
      </w:r>
      <w:proofErr w:type="spellStart"/>
      <w:r w:rsidRPr="00185BC0">
        <w:rPr>
          <w:sz w:val="28"/>
          <w:szCs w:val="28"/>
        </w:rPr>
        <w:t>подвертельной</w:t>
      </w:r>
      <w:proofErr w:type="spellEnd"/>
      <w:r w:rsidRPr="00185BC0">
        <w:rPr>
          <w:sz w:val="28"/>
          <w:szCs w:val="28"/>
        </w:rPr>
        <w:t xml:space="preserve"> остеотомии бедренной кости при диспластическом коксартрозе IV типа по классификации </w:t>
      </w:r>
      <w:proofErr w:type="spellStart"/>
      <w:r w:rsidRPr="00185BC0">
        <w:rPr>
          <w:sz w:val="28"/>
          <w:szCs w:val="28"/>
        </w:rPr>
        <w:t>Crowe</w:t>
      </w:r>
      <w:proofErr w:type="spellEnd"/>
      <w:r w:rsidRPr="00185BC0">
        <w:rPr>
          <w:sz w:val="28"/>
          <w:szCs w:val="28"/>
        </w:rPr>
        <w:t>.</w:t>
      </w:r>
    </w:p>
    <w:p w14:paraId="1E508779" w14:textId="77777777" w:rsidR="00573E15" w:rsidRPr="00185BC0" w:rsidRDefault="00573E15" w:rsidP="00573E15">
      <w:pPr>
        <w:pStyle w:val="a6"/>
        <w:numPr>
          <w:ilvl w:val="0"/>
          <w:numId w:val="21"/>
        </w:numPr>
        <w:ind w:left="0" w:firstLine="567"/>
        <w:jc w:val="both"/>
        <w:rPr>
          <w:sz w:val="28"/>
          <w:szCs w:val="28"/>
        </w:rPr>
      </w:pPr>
      <w:r w:rsidRPr="00185BC0">
        <w:rPr>
          <w:sz w:val="28"/>
          <w:szCs w:val="28"/>
        </w:rPr>
        <w:t xml:space="preserve">Провести сравнительный клинико-функциональный анализ эффективности применения способа фиксации зоны остеотомии, разработанной и традиционной пластинами при тотальном эндопротезировании тазобедренного сустава при диспластическом коксартрозе IV типа по классификации </w:t>
      </w:r>
      <w:proofErr w:type="spellStart"/>
      <w:r w:rsidRPr="00185BC0">
        <w:rPr>
          <w:sz w:val="28"/>
          <w:szCs w:val="28"/>
        </w:rPr>
        <w:t>Crowe</w:t>
      </w:r>
      <w:proofErr w:type="spellEnd"/>
    </w:p>
    <w:p w14:paraId="6951A27C" w14:textId="1269FEEF" w:rsidR="000F1918" w:rsidRPr="00185BC0" w:rsidRDefault="00573E15" w:rsidP="00573E15">
      <w:pPr>
        <w:pStyle w:val="a6"/>
        <w:numPr>
          <w:ilvl w:val="0"/>
          <w:numId w:val="21"/>
        </w:numPr>
        <w:ind w:left="0" w:firstLine="567"/>
        <w:jc w:val="both"/>
        <w:rPr>
          <w:sz w:val="28"/>
          <w:szCs w:val="28"/>
        </w:rPr>
      </w:pPr>
      <w:r w:rsidRPr="00185BC0">
        <w:rPr>
          <w:sz w:val="28"/>
          <w:szCs w:val="28"/>
        </w:rPr>
        <w:t xml:space="preserve">Оценить рентгенологические признаки консолидации зоны </w:t>
      </w:r>
      <w:proofErr w:type="spellStart"/>
      <w:r w:rsidRPr="00185BC0">
        <w:rPr>
          <w:sz w:val="28"/>
          <w:szCs w:val="28"/>
        </w:rPr>
        <w:t>подвертельной</w:t>
      </w:r>
      <w:proofErr w:type="spellEnd"/>
      <w:r w:rsidRPr="00185BC0">
        <w:rPr>
          <w:sz w:val="28"/>
          <w:szCs w:val="28"/>
        </w:rPr>
        <w:t xml:space="preserve"> остеотомии бедренной кости при применении метода фиксации разработанной и традиционной пластинами</w:t>
      </w:r>
      <w:r w:rsidR="000F1918" w:rsidRPr="00185BC0">
        <w:rPr>
          <w:sz w:val="28"/>
          <w:szCs w:val="28"/>
        </w:rPr>
        <w:t>.</w:t>
      </w:r>
    </w:p>
    <w:p w14:paraId="22ABBBEB" w14:textId="7A507081" w:rsidR="00881B68" w:rsidRPr="00185BC0" w:rsidRDefault="00881B68" w:rsidP="00881B68">
      <w:pPr>
        <w:ind w:firstLine="567"/>
        <w:jc w:val="both"/>
        <w:rPr>
          <w:b/>
          <w:bCs/>
          <w:sz w:val="28"/>
          <w:szCs w:val="28"/>
          <w:lang w:val="kk-KZ"/>
        </w:rPr>
      </w:pPr>
      <w:r w:rsidRPr="00185BC0">
        <w:rPr>
          <w:b/>
          <w:bCs/>
          <w:sz w:val="28"/>
          <w:szCs w:val="28"/>
          <w:lang w:val="kk-KZ"/>
        </w:rPr>
        <w:t>Научная новизна исследования</w:t>
      </w:r>
    </w:p>
    <w:p w14:paraId="4D2A8A22" w14:textId="0125DC90" w:rsidR="00573E15" w:rsidRPr="00185BC0" w:rsidRDefault="00573E15" w:rsidP="00573E15">
      <w:pPr>
        <w:numPr>
          <w:ilvl w:val="0"/>
          <w:numId w:val="12"/>
        </w:numPr>
        <w:ind w:left="0" w:firstLine="567"/>
        <w:contextualSpacing/>
        <w:jc w:val="both"/>
        <w:rPr>
          <w:sz w:val="28"/>
          <w:szCs w:val="28"/>
          <w:lang w:val="kk-KZ"/>
        </w:rPr>
      </w:pPr>
      <w:r w:rsidRPr="00185BC0">
        <w:rPr>
          <w:sz w:val="28"/>
          <w:szCs w:val="28"/>
          <w:lang w:val="kk-KZ"/>
        </w:rPr>
        <w:t>Впервые разработан метод фиксации зоны остеотомии с применением деротационной пластины оригинальной конструкции с угловой стабильностью для фиксации зоны поперечной подвертельной остеотомии бедренной кости при диспластическом коксартрозе IV типа по классификации Crowe (Патент на полезную модель №</w:t>
      </w:r>
      <w:r w:rsidR="008924D7" w:rsidRPr="00185BC0">
        <w:rPr>
          <w:sz w:val="28"/>
          <w:szCs w:val="28"/>
          <w:lang w:val="kk-KZ"/>
        </w:rPr>
        <w:t xml:space="preserve"> </w:t>
      </w:r>
      <w:r w:rsidRPr="00185BC0">
        <w:rPr>
          <w:sz w:val="28"/>
          <w:szCs w:val="28"/>
          <w:lang w:val="kk-KZ"/>
        </w:rPr>
        <w:t>8955, Приложение А).</w:t>
      </w:r>
    </w:p>
    <w:p w14:paraId="740208A6" w14:textId="248B28A0" w:rsidR="00573E15" w:rsidRPr="00185BC0" w:rsidRDefault="00573E15" w:rsidP="00573E15">
      <w:pPr>
        <w:numPr>
          <w:ilvl w:val="0"/>
          <w:numId w:val="12"/>
        </w:numPr>
        <w:ind w:left="0" w:firstLine="567"/>
        <w:contextualSpacing/>
        <w:jc w:val="both"/>
        <w:rPr>
          <w:sz w:val="28"/>
          <w:szCs w:val="28"/>
          <w:lang w:val="kk-KZ"/>
        </w:rPr>
      </w:pPr>
      <w:r w:rsidRPr="00185BC0">
        <w:rPr>
          <w:sz w:val="28"/>
          <w:szCs w:val="28"/>
          <w:lang w:val="kk-KZ"/>
        </w:rPr>
        <w:t xml:space="preserve">Разработан алгоритм расчёта оптимального объёма укорачивающей подвертельной остеотомии бедренной кости при диспластическом коксартрозе </w:t>
      </w:r>
      <w:r w:rsidRPr="00185BC0">
        <w:rPr>
          <w:sz w:val="28"/>
          <w:szCs w:val="28"/>
          <w:lang w:val="kk-KZ"/>
        </w:rPr>
        <w:lastRenderedPageBreak/>
        <w:t xml:space="preserve">IV типа по классификации Crowe для повышения эффективности предоперационного планирования, минимизации риска неврологических осложнений и улучшения функциональных исходов </w:t>
      </w:r>
      <w:bookmarkStart w:id="8" w:name="_Hlk217489887"/>
      <w:r w:rsidRPr="00185BC0">
        <w:rPr>
          <w:sz w:val="28"/>
          <w:szCs w:val="28"/>
          <w:lang w:val="kk-KZ"/>
        </w:rPr>
        <w:t>(Приложение Б, авторское свидетельство РК №</w:t>
      </w:r>
      <w:r w:rsidR="008924D7" w:rsidRPr="00185BC0">
        <w:rPr>
          <w:sz w:val="28"/>
          <w:szCs w:val="28"/>
          <w:lang w:val="kk-KZ"/>
        </w:rPr>
        <w:t xml:space="preserve"> </w:t>
      </w:r>
      <w:r w:rsidRPr="00185BC0">
        <w:rPr>
          <w:sz w:val="28"/>
          <w:szCs w:val="28"/>
          <w:lang w:val="kk-KZ"/>
        </w:rPr>
        <w:t>63260 от 22.10.2025г.).</w:t>
      </w:r>
    </w:p>
    <w:bookmarkEnd w:id="8"/>
    <w:p w14:paraId="16D5504B" w14:textId="09A25154" w:rsidR="00881B68" w:rsidRPr="00185BC0" w:rsidRDefault="00573E15" w:rsidP="00573E15">
      <w:pPr>
        <w:numPr>
          <w:ilvl w:val="0"/>
          <w:numId w:val="12"/>
        </w:numPr>
        <w:ind w:left="0" w:firstLine="567"/>
        <w:contextualSpacing/>
        <w:jc w:val="both"/>
        <w:rPr>
          <w:sz w:val="28"/>
          <w:szCs w:val="28"/>
          <w:lang w:val="kk-KZ"/>
        </w:rPr>
      </w:pPr>
      <w:r w:rsidRPr="00185BC0">
        <w:rPr>
          <w:sz w:val="28"/>
          <w:szCs w:val="28"/>
          <w:lang w:val="kk-KZ"/>
        </w:rPr>
        <w:t>Впервые в исследовании подтверждена клинико-функциональная эффективность применения метода фиксации зоны остеотомии</w:t>
      </w:r>
      <w:r w:rsidR="008924D7" w:rsidRPr="00185BC0">
        <w:rPr>
          <w:sz w:val="28"/>
          <w:szCs w:val="28"/>
          <w:lang w:val="kk-KZ"/>
        </w:rPr>
        <w:t>,</w:t>
      </w:r>
      <w:r w:rsidRPr="00185BC0">
        <w:rPr>
          <w:sz w:val="28"/>
          <w:szCs w:val="28"/>
          <w:lang w:val="kk-KZ"/>
        </w:rPr>
        <w:t xml:space="preserve"> разработанной деротационной пластиной, а также получены данные рентгенологических признаков консолидации зоны подвертельной остеотомии бедренной кости при тотальном эндопротезирования тазобедренного сустава у пациентов с диспластическим коксартрозом IV типа по классификации Crowe</w:t>
      </w:r>
      <w:r w:rsidR="00881B68" w:rsidRPr="00185BC0">
        <w:rPr>
          <w:sz w:val="28"/>
          <w:szCs w:val="28"/>
          <w:lang w:val="kk-KZ"/>
        </w:rPr>
        <w:t>.</w:t>
      </w:r>
    </w:p>
    <w:p w14:paraId="3F870CB8" w14:textId="3316C245" w:rsidR="00573E15" w:rsidRPr="00185BC0" w:rsidRDefault="00573E15" w:rsidP="00573E15">
      <w:pPr>
        <w:ind w:left="142" w:firstLine="425"/>
        <w:contextualSpacing/>
        <w:jc w:val="both"/>
        <w:rPr>
          <w:b/>
          <w:bCs/>
          <w:sz w:val="28"/>
          <w:szCs w:val="28"/>
          <w:lang w:val="kk-KZ"/>
        </w:rPr>
      </w:pPr>
      <w:r w:rsidRPr="00185BC0">
        <w:rPr>
          <w:b/>
          <w:bCs/>
          <w:sz w:val="28"/>
          <w:szCs w:val="28"/>
          <w:lang w:val="kk-KZ"/>
        </w:rPr>
        <w:t xml:space="preserve">Основные положения, </w:t>
      </w:r>
      <w:r w:rsidR="008D0E58" w:rsidRPr="00185BC0">
        <w:rPr>
          <w:b/>
          <w:bCs/>
          <w:sz w:val="28"/>
          <w:szCs w:val="28"/>
          <w:lang w:val="kk-KZ"/>
        </w:rPr>
        <w:t xml:space="preserve">выносимые </w:t>
      </w:r>
      <w:r w:rsidRPr="00185BC0">
        <w:rPr>
          <w:b/>
          <w:bCs/>
          <w:sz w:val="28"/>
          <w:szCs w:val="28"/>
          <w:lang w:val="kk-KZ"/>
        </w:rPr>
        <w:t>на защиту</w:t>
      </w:r>
    </w:p>
    <w:p w14:paraId="3AFFBC78" w14:textId="1133187F" w:rsidR="00573E15" w:rsidRPr="00185BC0" w:rsidRDefault="00573E15" w:rsidP="00573E15">
      <w:pPr>
        <w:ind w:firstLine="567"/>
        <w:contextualSpacing/>
        <w:jc w:val="both"/>
        <w:rPr>
          <w:sz w:val="28"/>
          <w:szCs w:val="28"/>
          <w:lang w:val="kk-KZ"/>
        </w:rPr>
      </w:pPr>
      <w:r w:rsidRPr="00185BC0">
        <w:rPr>
          <w:sz w:val="28"/>
          <w:szCs w:val="28"/>
          <w:lang w:val="kk-KZ"/>
        </w:rPr>
        <w:t>1.</w:t>
      </w:r>
      <w:r w:rsidR="00F520DB" w:rsidRPr="00185BC0">
        <w:rPr>
          <w:sz w:val="28"/>
          <w:szCs w:val="28"/>
          <w:lang w:val="kk-KZ"/>
        </w:rPr>
        <w:tab/>
        <w:t>Применение деротационной пластины оригинальной конструкции для фиксации зоны остеотомии при хирургическом лечении диспластического коксартроза IV типа по классификации Crowe, по результатам конечно-элементного анализа, обеспечивает формирование напряженно-деформированного состояния, при котором максимальные эквивалентные напряжения не превышают 76 МПа, а коэффициент запаса прочности состовляет 3,63, что соответствует требованиям биомеханической прочности и жёсткости остеосинтезирующих конструкций</w:t>
      </w:r>
      <w:r w:rsidR="001D29A3" w:rsidRPr="00185BC0">
        <w:rPr>
          <w:sz w:val="28"/>
          <w:szCs w:val="28"/>
          <w:lang w:val="kk-KZ"/>
        </w:rPr>
        <w:t xml:space="preserve"> </w:t>
      </w:r>
      <w:bookmarkStart w:id="9" w:name="_Hlk217488924"/>
      <w:r w:rsidR="001D29A3" w:rsidRPr="00185BC0">
        <w:rPr>
          <w:sz w:val="28"/>
          <w:szCs w:val="28"/>
          <w:lang w:val="kk-KZ"/>
        </w:rPr>
        <w:t>(Приложение Б, авторское свидетельство РК № 65522 от 19.11.2025г.).</w:t>
      </w:r>
    </w:p>
    <w:bookmarkEnd w:id="9"/>
    <w:p w14:paraId="7FEE2853" w14:textId="7533278E" w:rsidR="00573E15" w:rsidRPr="00185BC0" w:rsidRDefault="00573E15" w:rsidP="00573E15">
      <w:pPr>
        <w:ind w:firstLine="567"/>
        <w:contextualSpacing/>
        <w:jc w:val="both"/>
        <w:rPr>
          <w:sz w:val="28"/>
          <w:szCs w:val="28"/>
          <w:lang w:val="kk-KZ"/>
        </w:rPr>
      </w:pPr>
      <w:r w:rsidRPr="00185BC0">
        <w:rPr>
          <w:sz w:val="28"/>
          <w:szCs w:val="28"/>
          <w:lang w:val="kk-KZ"/>
        </w:rPr>
        <w:t>2.</w:t>
      </w:r>
      <w:r w:rsidRPr="00185BC0">
        <w:rPr>
          <w:sz w:val="28"/>
          <w:szCs w:val="28"/>
          <w:lang w:val="kk-KZ"/>
        </w:rPr>
        <w:tab/>
      </w:r>
      <w:r w:rsidR="00F520DB" w:rsidRPr="00185BC0">
        <w:rPr>
          <w:sz w:val="28"/>
          <w:szCs w:val="28"/>
          <w:lang w:val="kk-KZ"/>
        </w:rPr>
        <w:t>Алгоритм предоперационного планирования, основанный на математическом расчёте величины укорачивающей подвертельной остеотомии бедренной кости при диспластическом коксартрозе IV типа по классификации Crowe, позволяет определить объём остеотомии на этапе предоперационного планирования и снизить необходимость интраоперационной коррекции</w:t>
      </w:r>
      <w:r w:rsidRPr="00185BC0">
        <w:rPr>
          <w:sz w:val="28"/>
          <w:szCs w:val="28"/>
          <w:lang w:val="kk-KZ"/>
        </w:rPr>
        <w:t>.</w:t>
      </w:r>
    </w:p>
    <w:p w14:paraId="55CD20E8" w14:textId="4E808527" w:rsidR="00573E15" w:rsidRPr="00185BC0" w:rsidRDefault="00573E15" w:rsidP="00573E15">
      <w:pPr>
        <w:ind w:firstLine="567"/>
        <w:contextualSpacing/>
        <w:jc w:val="both"/>
        <w:rPr>
          <w:sz w:val="28"/>
          <w:szCs w:val="28"/>
        </w:rPr>
      </w:pPr>
      <w:r w:rsidRPr="00185BC0">
        <w:rPr>
          <w:sz w:val="28"/>
          <w:szCs w:val="28"/>
          <w:lang w:val="kk-KZ"/>
        </w:rPr>
        <w:t>3.</w:t>
      </w:r>
      <w:r w:rsidRPr="00185BC0">
        <w:rPr>
          <w:sz w:val="28"/>
          <w:szCs w:val="28"/>
          <w:lang w:val="kk-KZ"/>
        </w:rPr>
        <w:tab/>
      </w:r>
      <w:r w:rsidR="00F520DB" w:rsidRPr="00185BC0">
        <w:rPr>
          <w:sz w:val="28"/>
          <w:szCs w:val="28"/>
          <w:lang w:val="kk-KZ"/>
        </w:rPr>
        <w:t>Применение метода фиксации зоны подвертельной остеотомии разработанной деротационной пластиной при тотальном эндопротезировании тазобедренного сустава при диспластическом коксартрозе IV типа по классификации Crowe в сравнении с традиционной фиксацией позволило сократить продолжительность операции на 13,1%, снизить объём интраоперационной кровопотери на 33,3%,  уменьшить длину кожного разреза  на 23,4%, при улучшении клинико-функциональных результатов по Oxford Hip Score  на 19,9 % и снижении интенсивности болевого синдрома по шкале VAS на 27,3 %</w:t>
      </w:r>
      <w:r w:rsidR="00F520DB" w:rsidRPr="00185BC0">
        <w:rPr>
          <w:sz w:val="28"/>
          <w:szCs w:val="28"/>
        </w:rPr>
        <w:t>.</w:t>
      </w:r>
    </w:p>
    <w:p w14:paraId="1075FE1A" w14:textId="7A7841A2" w:rsidR="00881B68" w:rsidRPr="00185BC0" w:rsidRDefault="00881B68" w:rsidP="00573E15">
      <w:pPr>
        <w:ind w:firstLine="567"/>
        <w:contextualSpacing/>
        <w:jc w:val="both"/>
        <w:rPr>
          <w:b/>
          <w:bCs/>
          <w:sz w:val="28"/>
          <w:szCs w:val="28"/>
          <w:lang w:val="kk-KZ"/>
        </w:rPr>
      </w:pPr>
      <w:r w:rsidRPr="00185BC0">
        <w:rPr>
          <w:b/>
          <w:bCs/>
          <w:sz w:val="28"/>
          <w:szCs w:val="28"/>
          <w:lang w:val="kk-KZ"/>
        </w:rPr>
        <w:t>Практическая значимость</w:t>
      </w:r>
      <w:r w:rsidR="008924D7" w:rsidRPr="00185BC0">
        <w:rPr>
          <w:b/>
          <w:bCs/>
          <w:sz w:val="28"/>
          <w:szCs w:val="28"/>
          <w:lang w:val="kk-KZ"/>
        </w:rPr>
        <w:t xml:space="preserve"> исследования</w:t>
      </w:r>
    </w:p>
    <w:p w14:paraId="3A989D76" w14:textId="77777777" w:rsidR="00573E15" w:rsidRPr="00185BC0" w:rsidRDefault="00573E15" w:rsidP="00573E15">
      <w:pPr>
        <w:numPr>
          <w:ilvl w:val="0"/>
          <w:numId w:val="1"/>
        </w:numPr>
        <w:ind w:left="0" w:firstLine="567"/>
        <w:contextualSpacing/>
        <w:jc w:val="both"/>
        <w:rPr>
          <w:sz w:val="28"/>
          <w:szCs w:val="28"/>
          <w:lang w:val="kk-KZ"/>
        </w:rPr>
      </w:pPr>
      <w:r w:rsidRPr="00185BC0">
        <w:rPr>
          <w:sz w:val="28"/>
          <w:szCs w:val="28"/>
          <w:lang w:val="kk-KZ"/>
        </w:rPr>
        <w:t>Внедрение в клиническую практику метода фиксации зоны остеотомии разработанной деротационной пластиной при хирургическом лечении диспластического коксартроза IV типа по классификации Crowe позволяет обеспечить надёжную стабилизацию костных отломков, повысить воспроизводимость хирургической техники и снизить частоту интраоперационных и послеоперационных осложнений.</w:t>
      </w:r>
    </w:p>
    <w:p w14:paraId="0BDD7D7B" w14:textId="77777777" w:rsidR="00573E15" w:rsidRPr="00185BC0" w:rsidRDefault="00573E15" w:rsidP="00573E15">
      <w:pPr>
        <w:numPr>
          <w:ilvl w:val="0"/>
          <w:numId w:val="1"/>
        </w:numPr>
        <w:ind w:left="0" w:firstLine="567"/>
        <w:contextualSpacing/>
        <w:jc w:val="both"/>
        <w:rPr>
          <w:sz w:val="28"/>
          <w:szCs w:val="28"/>
          <w:lang w:val="kk-KZ"/>
        </w:rPr>
      </w:pPr>
      <w:r w:rsidRPr="00185BC0">
        <w:rPr>
          <w:sz w:val="28"/>
          <w:szCs w:val="28"/>
          <w:lang w:val="kk-KZ"/>
        </w:rPr>
        <w:t xml:space="preserve"> Использование предложенной и апробированной формулы расчёта оптимальной длины укорачивания бедра при применении метода фиксации зоны остеотомии разработанной деротационной пластиной при хирургическом лечении диспластического коксартроза IV типа по классификации Crowe </w:t>
      </w:r>
      <w:r w:rsidRPr="00185BC0">
        <w:rPr>
          <w:sz w:val="28"/>
          <w:szCs w:val="28"/>
          <w:lang w:val="kk-KZ"/>
        </w:rPr>
        <w:lastRenderedPageBreak/>
        <w:t>позволяет объективно планировать объём остеотомии, оптимизировать восстановление длины нижней конечности и снизить риск неврологических осложнений.</w:t>
      </w:r>
    </w:p>
    <w:p w14:paraId="4B238158" w14:textId="77777777" w:rsidR="00573E15" w:rsidRPr="00185BC0" w:rsidRDefault="00573E15" w:rsidP="00573E15">
      <w:pPr>
        <w:numPr>
          <w:ilvl w:val="0"/>
          <w:numId w:val="1"/>
        </w:numPr>
        <w:ind w:left="0" w:firstLine="567"/>
        <w:contextualSpacing/>
        <w:jc w:val="both"/>
        <w:rPr>
          <w:sz w:val="28"/>
          <w:szCs w:val="28"/>
          <w:lang w:val="kk-KZ"/>
        </w:rPr>
      </w:pPr>
      <w:r w:rsidRPr="00185BC0">
        <w:rPr>
          <w:sz w:val="28"/>
          <w:szCs w:val="28"/>
          <w:lang w:val="kk-KZ"/>
        </w:rPr>
        <w:t xml:space="preserve"> Применение метода фиксации зоны остеотомии разработанной деротационной пластиной при хирургическом лечении диспластического коксартроза IV типа по классификации Crowe обеспечивает стабильную фиксацию костных отломков, способствует их консолидации и улучшению клинико-функциональных результатов после тотального эндопротезирования тазобедренного сустава.</w:t>
      </w:r>
    </w:p>
    <w:p w14:paraId="2C25E682" w14:textId="77777777" w:rsidR="00573E15" w:rsidRPr="00185BC0" w:rsidRDefault="00573E15" w:rsidP="00573E15">
      <w:pPr>
        <w:numPr>
          <w:ilvl w:val="0"/>
          <w:numId w:val="1"/>
        </w:numPr>
        <w:ind w:left="0" w:firstLine="567"/>
        <w:contextualSpacing/>
        <w:jc w:val="both"/>
        <w:rPr>
          <w:sz w:val="28"/>
          <w:szCs w:val="28"/>
          <w:lang w:val="kk-KZ"/>
        </w:rPr>
      </w:pPr>
      <w:r w:rsidRPr="00185BC0">
        <w:rPr>
          <w:sz w:val="28"/>
          <w:szCs w:val="28"/>
          <w:lang w:val="kk-KZ"/>
        </w:rPr>
        <w:t xml:space="preserve"> Разработка и внедрение метода фиксации зоны остеотомии разработанной деротационной пластиной при хирургическом лечении диспластического коксартроза IV типа по классификации Crowe позволяет сократить затраты на использование импортных металлоконструкций, повысить доступность высокотехнологичной ортопедической помощи и способствует развитию отечественного производства травматолого-ортопедических изделий.</w:t>
      </w:r>
    </w:p>
    <w:p w14:paraId="4508E563" w14:textId="57DC85B3" w:rsidR="00573E15" w:rsidRPr="00185BC0" w:rsidRDefault="00573E15" w:rsidP="00573E15">
      <w:pPr>
        <w:numPr>
          <w:ilvl w:val="0"/>
          <w:numId w:val="1"/>
        </w:numPr>
        <w:ind w:left="0" w:firstLine="567"/>
        <w:contextualSpacing/>
        <w:jc w:val="both"/>
        <w:rPr>
          <w:sz w:val="28"/>
          <w:szCs w:val="28"/>
          <w:lang w:val="kk-KZ"/>
        </w:rPr>
      </w:pPr>
      <w:r w:rsidRPr="00185BC0">
        <w:rPr>
          <w:sz w:val="28"/>
          <w:szCs w:val="28"/>
          <w:lang w:val="kk-KZ"/>
        </w:rPr>
        <w:t xml:space="preserve"> Полученные в ходе исследования данные, основанные на применении метода фиксации зоны остеотомии разработанной деротационной пластиной при хирургическом лечении диспластического коксартроза IV типа по классификации Crowe, могут быть использованы в практической деятельности </w:t>
      </w:r>
      <w:r w:rsidR="008924D7" w:rsidRPr="00185BC0">
        <w:rPr>
          <w:sz w:val="28"/>
          <w:szCs w:val="28"/>
          <w:lang w:val="kk-KZ"/>
        </w:rPr>
        <w:t xml:space="preserve">сспециалистами </w:t>
      </w:r>
      <w:r w:rsidRPr="00185BC0">
        <w:rPr>
          <w:sz w:val="28"/>
          <w:szCs w:val="28"/>
          <w:lang w:val="kk-KZ"/>
        </w:rPr>
        <w:t>травматолого-ортопедических отделений для совершенствования хирургической тактики и повышения эффективности лечения данной категории пациентов.</w:t>
      </w:r>
    </w:p>
    <w:p w14:paraId="53E8366B" w14:textId="138D051A" w:rsidR="00881B68" w:rsidRPr="00185BC0" w:rsidRDefault="00573E15" w:rsidP="00573E15">
      <w:pPr>
        <w:ind w:firstLine="567"/>
        <w:contextualSpacing/>
        <w:jc w:val="both"/>
        <w:rPr>
          <w:b/>
          <w:bCs/>
          <w:sz w:val="28"/>
          <w:szCs w:val="28"/>
          <w:lang w:val="kk-KZ"/>
        </w:rPr>
      </w:pPr>
      <w:r w:rsidRPr="00185BC0">
        <w:rPr>
          <w:b/>
          <w:bCs/>
          <w:sz w:val="28"/>
          <w:szCs w:val="28"/>
          <w:lang w:val="kk-KZ"/>
        </w:rPr>
        <w:t>Внедрение в практику</w:t>
      </w:r>
    </w:p>
    <w:p w14:paraId="228C5223" w14:textId="70F42953" w:rsidR="00573E15" w:rsidRPr="00185BC0" w:rsidRDefault="00573E15" w:rsidP="00573E15">
      <w:pPr>
        <w:ind w:firstLine="567"/>
        <w:contextualSpacing/>
        <w:jc w:val="both"/>
        <w:rPr>
          <w:sz w:val="28"/>
          <w:szCs w:val="28"/>
          <w:lang w:val="kk-KZ"/>
        </w:rPr>
      </w:pPr>
      <w:r w:rsidRPr="00185BC0">
        <w:rPr>
          <w:sz w:val="28"/>
          <w:szCs w:val="28"/>
        </w:rPr>
        <w:t xml:space="preserve">Результаты работы внедрены на базе РГП на ПХВ «Национальный научный центр травматологии и ортопедии имени академика Н.Д. </w:t>
      </w:r>
      <w:proofErr w:type="spellStart"/>
      <w:r w:rsidRPr="00185BC0">
        <w:rPr>
          <w:sz w:val="28"/>
          <w:szCs w:val="28"/>
        </w:rPr>
        <w:t>Батпенова</w:t>
      </w:r>
      <w:proofErr w:type="spellEnd"/>
      <w:r w:rsidRPr="00185BC0">
        <w:rPr>
          <w:sz w:val="28"/>
          <w:szCs w:val="28"/>
        </w:rPr>
        <w:t>» Министерства здравоохранения Республики Казахстан.  Акт внедрения:</w:t>
      </w:r>
      <w:r w:rsidR="008924D7" w:rsidRPr="00185BC0">
        <w:rPr>
          <w:sz w:val="28"/>
          <w:szCs w:val="28"/>
          <w:lang w:val="kk-KZ"/>
        </w:rPr>
        <w:t xml:space="preserve"> </w:t>
      </w:r>
      <w:r w:rsidR="008924D7" w:rsidRPr="00185BC0">
        <w:rPr>
          <w:sz w:val="28"/>
          <w:szCs w:val="28"/>
        </w:rPr>
        <w:t>К.Д.</w:t>
      </w:r>
      <w:r w:rsidR="008924D7" w:rsidRPr="00185BC0">
        <w:rPr>
          <w:sz w:val="28"/>
          <w:szCs w:val="28"/>
          <w:lang w:val="kk-KZ"/>
        </w:rPr>
        <w:t xml:space="preserve">  </w:t>
      </w:r>
      <w:proofErr w:type="spellStart"/>
      <w:r w:rsidRPr="00185BC0">
        <w:rPr>
          <w:sz w:val="28"/>
          <w:szCs w:val="28"/>
        </w:rPr>
        <w:t>Ашимов</w:t>
      </w:r>
      <w:proofErr w:type="spellEnd"/>
      <w:r w:rsidRPr="00185BC0">
        <w:rPr>
          <w:sz w:val="28"/>
          <w:szCs w:val="28"/>
        </w:rPr>
        <w:t xml:space="preserve">, </w:t>
      </w:r>
      <w:r w:rsidR="008924D7" w:rsidRPr="00185BC0">
        <w:rPr>
          <w:sz w:val="28"/>
          <w:szCs w:val="28"/>
        </w:rPr>
        <w:t>Б.Т.</w:t>
      </w:r>
      <w:r w:rsidR="008924D7" w:rsidRPr="00185BC0">
        <w:rPr>
          <w:sz w:val="28"/>
          <w:szCs w:val="28"/>
          <w:lang w:val="kk-KZ"/>
        </w:rPr>
        <w:t xml:space="preserve"> </w:t>
      </w:r>
      <w:r w:rsidRPr="00185BC0">
        <w:rPr>
          <w:sz w:val="28"/>
          <w:szCs w:val="28"/>
        </w:rPr>
        <w:t xml:space="preserve">Сулейменов, </w:t>
      </w:r>
      <w:r w:rsidR="008924D7" w:rsidRPr="00185BC0">
        <w:rPr>
          <w:sz w:val="28"/>
          <w:szCs w:val="28"/>
        </w:rPr>
        <w:t>А.И.</w:t>
      </w:r>
      <w:r w:rsidR="008924D7" w:rsidRPr="00185BC0">
        <w:rPr>
          <w:sz w:val="28"/>
          <w:szCs w:val="28"/>
          <w:lang w:val="kk-KZ"/>
        </w:rPr>
        <w:t xml:space="preserve"> </w:t>
      </w:r>
      <w:r w:rsidRPr="00185BC0">
        <w:rPr>
          <w:sz w:val="28"/>
          <w:szCs w:val="28"/>
        </w:rPr>
        <w:t xml:space="preserve">Бекназаров, </w:t>
      </w:r>
      <w:r w:rsidR="008924D7" w:rsidRPr="00185BC0">
        <w:rPr>
          <w:sz w:val="28"/>
          <w:szCs w:val="28"/>
        </w:rPr>
        <w:t>Е.К.</w:t>
      </w:r>
      <w:r w:rsidR="008924D7" w:rsidRPr="00185BC0">
        <w:rPr>
          <w:sz w:val="28"/>
          <w:szCs w:val="28"/>
          <w:lang w:val="kk-KZ"/>
        </w:rPr>
        <w:t xml:space="preserve"> </w:t>
      </w:r>
      <w:r w:rsidRPr="00185BC0">
        <w:rPr>
          <w:sz w:val="28"/>
          <w:szCs w:val="28"/>
        </w:rPr>
        <w:t xml:space="preserve">Агабеков, </w:t>
      </w:r>
      <w:r w:rsidR="008924D7" w:rsidRPr="00185BC0">
        <w:rPr>
          <w:sz w:val="28"/>
          <w:szCs w:val="28"/>
        </w:rPr>
        <w:t>Д.Г</w:t>
      </w:r>
      <w:r w:rsidR="008924D7" w:rsidRPr="00185BC0">
        <w:rPr>
          <w:sz w:val="28"/>
          <w:szCs w:val="28"/>
          <w:lang w:val="kk-KZ"/>
        </w:rPr>
        <w:t>.</w:t>
      </w:r>
      <w:r w:rsidR="008924D7" w:rsidRPr="00185BC0">
        <w:rPr>
          <w:sz w:val="28"/>
          <w:szCs w:val="28"/>
        </w:rPr>
        <w:t xml:space="preserve"> </w:t>
      </w:r>
      <w:r w:rsidRPr="00185BC0">
        <w:rPr>
          <w:sz w:val="28"/>
          <w:szCs w:val="28"/>
        </w:rPr>
        <w:t>Октяброва</w:t>
      </w:r>
      <w:r w:rsidR="008924D7" w:rsidRPr="00185BC0">
        <w:rPr>
          <w:sz w:val="28"/>
          <w:szCs w:val="28"/>
          <w:lang w:val="kk-KZ"/>
        </w:rPr>
        <w:t xml:space="preserve">. </w:t>
      </w:r>
      <w:proofErr w:type="spellStart"/>
      <w:r w:rsidRPr="00185BC0">
        <w:rPr>
          <w:sz w:val="28"/>
          <w:szCs w:val="28"/>
        </w:rPr>
        <w:t>Деротационная</w:t>
      </w:r>
      <w:proofErr w:type="spellEnd"/>
      <w:r w:rsidRPr="00185BC0">
        <w:rPr>
          <w:sz w:val="28"/>
          <w:szCs w:val="28"/>
        </w:rPr>
        <w:t xml:space="preserve"> пластина с угловой стабильностью для фиксации зоны </w:t>
      </w:r>
      <w:proofErr w:type="spellStart"/>
      <w:r w:rsidRPr="00185BC0">
        <w:rPr>
          <w:sz w:val="28"/>
          <w:szCs w:val="28"/>
        </w:rPr>
        <w:t>подвертельной</w:t>
      </w:r>
      <w:proofErr w:type="spellEnd"/>
      <w:r w:rsidRPr="00185BC0">
        <w:rPr>
          <w:sz w:val="28"/>
          <w:szCs w:val="28"/>
        </w:rPr>
        <w:t xml:space="preserve"> остеотомии при диспластическом коксартрозе IV типа по </w:t>
      </w:r>
      <w:proofErr w:type="spellStart"/>
      <w:r w:rsidRPr="00185BC0">
        <w:rPr>
          <w:sz w:val="28"/>
          <w:szCs w:val="28"/>
        </w:rPr>
        <w:t>Crowe</w:t>
      </w:r>
      <w:proofErr w:type="spellEnd"/>
      <w:r w:rsidRPr="00185BC0">
        <w:rPr>
          <w:sz w:val="28"/>
          <w:szCs w:val="28"/>
        </w:rPr>
        <w:t>. Июнь 2024 года</w:t>
      </w:r>
      <w:r w:rsidRPr="00185BC0">
        <w:rPr>
          <w:sz w:val="28"/>
          <w:szCs w:val="28"/>
          <w:lang w:val="kk-KZ"/>
        </w:rPr>
        <w:t>.</w:t>
      </w:r>
    </w:p>
    <w:p w14:paraId="138673B9" w14:textId="77777777" w:rsidR="008D0E58" w:rsidRPr="00185BC0" w:rsidRDefault="008D0E58" w:rsidP="008D0E58">
      <w:pPr>
        <w:ind w:firstLine="567"/>
        <w:contextualSpacing/>
        <w:jc w:val="both"/>
        <w:rPr>
          <w:b/>
          <w:bCs/>
          <w:sz w:val="28"/>
          <w:szCs w:val="28"/>
          <w:lang w:val="kk-KZ"/>
        </w:rPr>
      </w:pPr>
      <w:r w:rsidRPr="00185BC0">
        <w:rPr>
          <w:b/>
          <w:bCs/>
          <w:sz w:val="28"/>
          <w:szCs w:val="28"/>
          <w:lang w:val="kk-KZ"/>
        </w:rPr>
        <w:t>Связь темы диссертационной работы с научно-исследовательской программой</w:t>
      </w:r>
    </w:p>
    <w:p w14:paraId="281242F8" w14:textId="77777777" w:rsidR="008D0E58" w:rsidRPr="00185BC0" w:rsidRDefault="008D0E58" w:rsidP="008D0E58">
      <w:pPr>
        <w:ind w:firstLine="567"/>
        <w:contextualSpacing/>
        <w:jc w:val="both"/>
        <w:rPr>
          <w:sz w:val="28"/>
          <w:szCs w:val="28"/>
          <w:lang w:val="kk-KZ"/>
        </w:rPr>
      </w:pPr>
      <w:r w:rsidRPr="00185BC0">
        <w:rPr>
          <w:sz w:val="28"/>
          <w:szCs w:val="28"/>
          <w:lang w:val="kk-KZ"/>
        </w:rPr>
        <w:t>Диссертационная работа проведена в рамках грантового финансирования по научным и (или) научно-техническим проектам АР19678825 «Совершенствование хирургического лечения диспластического коксартроза с помощью нового деротационного устройства» на 2023-2025 годы.</w:t>
      </w:r>
    </w:p>
    <w:p w14:paraId="5F9FF7DD" w14:textId="77777777" w:rsidR="008D0E58" w:rsidRPr="00185BC0" w:rsidRDefault="008D0E58" w:rsidP="008D0E58">
      <w:pPr>
        <w:ind w:firstLine="567"/>
        <w:contextualSpacing/>
        <w:jc w:val="both"/>
        <w:rPr>
          <w:b/>
          <w:bCs/>
          <w:sz w:val="28"/>
          <w:szCs w:val="28"/>
          <w:lang w:val="kk-KZ"/>
        </w:rPr>
      </w:pPr>
      <w:r w:rsidRPr="00185BC0">
        <w:rPr>
          <w:b/>
          <w:bCs/>
          <w:sz w:val="28"/>
          <w:szCs w:val="28"/>
          <w:lang w:val="kk-KZ"/>
        </w:rPr>
        <w:t>Личный вклад автора</w:t>
      </w:r>
    </w:p>
    <w:p w14:paraId="16F4B5F9" w14:textId="77777777" w:rsidR="008D0E58" w:rsidRPr="00185BC0" w:rsidRDefault="008D0E58" w:rsidP="008D0E58">
      <w:pPr>
        <w:ind w:firstLine="567"/>
        <w:contextualSpacing/>
        <w:jc w:val="both"/>
        <w:rPr>
          <w:sz w:val="28"/>
          <w:szCs w:val="28"/>
          <w:lang w:val="kk-KZ"/>
        </w:rPr>
      </w:pPr>
      <w:r w:rsidRPr="00185BC0">
        <w:rPr>
          <w:sz w:val="28"/>
          <w:szCs w:val="28"/>
          <w:lang w:val="kk-KZ"/>
        </w:rPr>
        <w:t>Диссертантом совместно с научными консультантами и коллективом разработана отечественная конструкция деротационной пластины с угловой стабильностью для фиксации зоны подвертельной остеотомии при диспластическом коксартрозе IV типа по Crowe. Автор принимала активное участие в проектировании изделия, проведении математического моделирования методом конечных элементов и анализе биомеханических характеристик конструкции.</w:t>
      </w:r>
    </w:p>
    <w:p w14:paraId="44F5DF62" w14:textId="77777777" w:rsidR="008D0E58" w:rsidRPr="00185BC0" w:rsidRDefault="008D0E58" w:rsidP="008D0E58">
      <w:pPr>
        <w:ind w:firstLine="567"/>
        <w:contextualSpacing/>
        <w:jc w:val="both"/>
        <w:rPr>
          <w:sz w:val="28"/>
          <w:szCs w:val="28"/>
          <w:lang w:val="kk-KZ"/>
        </w:rPr>
      </w:pPr>
      <w:r w:rsidRPr="00185BC0">
        <w:rPr>
          <w:sz w:val="28"/>
          <w:szCs w:val="28"/>
          <w:lang w:val="kk-KZ"/>
        </w:rPr>
        <w:t xml:space="preserve">На клиническом этапе диссертант самостоятельно осуществляла отбор </w:t>
      </w:r>
      <w:r w:rsidRPr="00185BC0">
        <w:rPr>
          <w:sz w:val="28"/>
          <w:szCs w:val="28"/>
          <w:lang w:val="kk-KZ"/>
        </w:rPr>
        <w:lastRenderedPageBreak/>
        <w:t>пациентов, предоперационную подготовку, участие в хирургических вмешательствах, анализ интра- и послеоперационных показателей, оценку функциональных результатов по шкалам VAS, HHS и OHS, а также рентгенологический контроль стабильности фиксации.</w:t>
      </w:r>
    </w:p>
    <w:p w14:paraId="2FBA9410" w14:textId="7E2C8661" w:rsidR="008D0E58" w:rsidRPr="00185BC0" w:rsidRDefault="008D0E58" w:rsidP="008D0E58">
      <w:pPr>
        <w:ind w:firstLine="567"/>
        <w:contextualSpacing/>
        <w:jc w:val="both"/>
        <w:rPr>
          <w:sz w:val="28"/>
          <w:szCs w:val="28"/>
          <w:lang w:val="kk-KZ"/>
        </w:rPr>
      </w:pPr>
      <w:r w:rsidRPr="00185BC0">
        <w:rPr>
          <w:sz w:val="28"/>
          <w:szCs w:val="28"/>
          <w:lang w:val="kk-KZ"/>
        </w:rPr>
        <w:tab/>
        <w:t xml:space="preserve">Результаты исследования были систематизированы, проанализированы и изложены в диссертационной работе лично автором. </w:t>
      </w:r>
      <w:r w:rsidR="009E5F5D" w:rsidRPr="00185BC0">
        <w:rPr>
          <w:sz w:val="28"/>
          <w:szCs w:val="28"/>
          <w:lang w:val="kk-KZ"/>
        </w:rPr>
        <w:t>Диссертантом подготовлены заявки на патент и изобретение, оформлен акт внедрения, опубликованы научные статьи, а также представлены материалы в виде докладов на международных научных форумах</w:t>
      </w:r>
      <w:r w:rsidRPr="00185BC0">
        <w:rPr>
          <w:sz w:val="28"/>
          <w:szCs w:val="28"/>
          <w:lang w:val="kk-KZ"/>
        </w:rPr>
        <w:t>.</w:t>
      </w:r>
    </w:p>
    <w:p w14:paraId="6BA0C6A7" w14:textId="0D2C265C" w:rsidR="00881B68" w:rsidRPr="00185BC0" w:rsidRDefault="00881B68" w:rsidP="00881B68">
      <w:pPr>
        <w:ind w:firstLine="567"/>
        <w:jc w:val="both"/>
        <w:rPr>
          <w:b/>
          <w:bCs/>
          <w:sz w:val="28"/>
          <w:szCs w:val="28"/>
        </w:rPr>
      </w:pPr>
      <w:r w:rsidRPr="00185BC0">
        <w:rPr>
          <w:b/>
          <w:bCs/>
          <w:sz w:val="28"/>
          <w:szCs w:val="28"/>
        </w:rPr>
        <w:t>Апробация результатов диссертации</w:t>
      </w:r>
    </w:p>
    <w:p w14:paraId="11F1E7FC" w14:textId="77777777" w:rsidR="00881B68" w:rsidRPr="00185BC0" w:rsidRDefault="00881B68" w:rsidP="00881B68">
      <w:pPr>
        <w:ind w:firstLine="567"/>
        <w:jc w:val="both"/>
        <w:rPr>
          <w:sz w:val="28"/>
          <w:szCs w:val="28"/>
        </w:rPr>
      </w:pPr>
      <w:r w:rsidRPr="00185BC0">
        <w:rPr>
          <w:sz w:val="28"/>
          <w:szCs w:val="28"/>
        </w:rPr>
        <w:t xml:space="preserve">Основные положения и результаты диссертационной работы были доложены и обсуждены на международных и республиканских научных конгрессах, что свидетельствует о высокой степени научной значимости и практической ценности проведённого исследования. Диссертантом представлены устные и </w:t>
      </w:r>
      <w:proofErr w:type="spellStart"/>
      <w:r w:rsidRPr="00185BC0">
        <w:rPr>
          <w:sz w:val="28"/>
          <w:szCs w:val="28"/>
        </w:rPr>
        <w:t>постерные</w:t>
      </w:r>
      <w:proofErr w:type="spellEnd"/>
      <w:r w:rsidRPr="00185BC0">
        <w:rPr>
          <w:sz w:val="28"/>
          <w:szCs w:val="28"/>
        </w:rPr>
        <w:t xml:space="preserve"> доклады на следующих мероприятиях:</w:t>
      </w:r>
    </w:p>
    <w:p w14:paraId="085D7702" w14:textId="312C0DB8" w:rsidR="00881B68" w:rsidRPr="00185BC0" w:rsidRDefault="00881B68" w:rsidP="00D47CC4">
      <w:pPr>
        <w:numPr>
          <w:ilvl w:val="0"/>
          <w:numId w:val="14"/>
        </w:numPr>
        <w:ind w:left="0" w:firstLine="567"/>
        <w:contextualSpacing/>
        <w:jc w:val="both"/>
        <w:rPr>
          <w:sz w:val="28"/>
          <w:szCs w:val="28"/>
        </w:rPr>
      </w:pPr>
      <w:proofErr w:type="spellStart"/>
      <w:r w:rsidRPr="00185BC0">
        <w:rPr>
          <w:sz w:val="28"/>
          <w:szCs w:val="28"/>
        </w:rPr>
        <w:t>Crowe</w:t>
      </w:r>
      <w:proofErr w:type="spellEnd"/>
      <w:r w:rsidRPr="00185BC0">
        <w:rPr>
          <w:sz w:val="28"/>
          <w:szCs w:val="28"/>
        </w:rPr>
        <w:t xml:space="preserve"> </w:t>
      </w:r>
      <w:proofErr w:type="spellStart"/>
      <w:r w:rsidRPr="00185BC0">
        <w:rPr>
          <w:sz w:val="28"/>
          <w:szCs w:val="28"/>
        </w:rPr>
        <w:t>tip</w:t>
      </w:r>
      <w:proofErr w:type="spellEnd"/>
      <w:r w:rsidRPr="00185BC0">
        <w:rPr>
          <w:sz w:val="28"/>
          <w:szCs w:val="28"/>
        </w:rPr>
        <w:t xml:space="preserve"> IV </w:t>
      </w:r>
      <w:proofErr w:type="spellStart"/>
      <w:r w:rsidRPr="00185BC0">
        <w:rPr>
          <w:sz w:val="28"/>
          <w:szCs w:val="28"/>
        </w:rPr>
        <w:t>displastik</w:t>
      </w:r>
      <w:proofErr w:type="spellEnd"/>
      <w:r w:rsidRPr="00185BC0">
        <w:rPr>
          <w:sz w:val="28"/>
          <w:szCs w:val="28"/>
        </w:rPr>
        <w:t xml:space="preserve"> </w:t>
      </w:r>
      <w:proofErr w:type="spellStart"/>
      <w:r w:rsidRPr="00185BC0">
        <w:rPr>
          <w:sz w:val="28"/>
          <w:szCs w:val="28"/>
        </w:rPr>
        <w:t>koksartroz</w:t>
      </w:r>
      <w:proofErr w:type="spellEnd"/>
      <w:r w:rsidRPr="00185BC0">
        <w:rPr>
          <w:sz w:val="28"/>
          <w:szCs w:val="28"/>
        </w:rPr>
        <w:t xml:space="preserve"> </w:t>
      </w:r>
      <w:proofErr w:type="spellStart"/>
      <w:r w:rsidRPr="00185BC0">
        <w:rPr>
          <w:sz w:val="28"/>
          <w:szCs w:val="28"/>
        </w:rPr>
        <w:t>kompleks</w:t>
      </w:r>
      <w:proofErr w:type="spellEnd"/>
      <w:r w:rsidRPr="00185BC0">
        <w:rPr>
          <w:sz w:val="28"/>
          <w:szCs w:val="28"/>
        </w:rPr>
        <w:t xml:space="preserve"> </w:t>
      </w:r>
      <w:proofErr w:type="spellStart"/>
      <w:r w:rsidRPr="00185BC0">
        <w:rPr>
          <w:sz w:val="28"/>
          <w:szCs w:val="28"/>
        </w:rPr>
        <w:t>artroplastisi</w:t>
      </w:r>
      <w:proofErr w:type="spellEnd"/>
      <w:r w:rsidR="008924D7" w:rsidRPr="00185BC0">
        <w:rPr>
          <w:sz w:val="28"/>
          <w:szCs w:val="28"/>
          <w:lang w:val="kk-KZ"/>
        </w:rPr>
        <w:t xml:space="preserve"> // </w:t>
      </w:r>
      <w:r w:rsidRPr="00185BC0">
        <w:rPr>
          <w:sz w:val="28"/>
          <w:szCs w:val="28"/>
        </w:rPr>
        <w:t>32-й Национальный конгресс Турецкой ассоциации травматологов-ортопедов (</w:t>
      </w:r>
      <w:proofErr w:type="spellStart"/>
      <w:r w:rsidRPr="00185BC0">
        <w:rPr>
          <w:sz w:val="28"/>
          <w:szCs w:val="28"/>
        </w:rPr>
        <w:t>Ulusal</w:t>
      </w:r>
      <w:proofErr w:type="spellEnd"/>
      <w:r w:rsidRPr="00185BC0">
        <w:rPr>
          <w:sz w:val="28"/>
          <w:szCs w:val="28"/>
        </w:rPr>
        <w:t xml:space="preserve"> </w:t>
      </w:r>
      <w:proofErr w:type="spellStart"/>
      <w:r w:rsidRPr="00185BC0">
        <w:rPr>
          <w:sz w:val="28"/>
          <w:szCs w:val="28"/>
        </w:rPr>
        <w:t>Türk</w:t>
      </w:r>
      <w:proofErr w:type="spellEnd"/>
      <w:r w:rsidRPr="00185BC0">
        <w:rPr>
          <w:sz w:val="28"/>
          <w:szCs w:val="28"/>
        </w:rPr>
        <w:t xml:space="preserve"> </w:t>
      </w:r>
      <w:proofErr w:type="spellStart"/>
      <w:r w:rsidRPr="00185BC0">
        <w:rPr>
          <w:sz w:val="28"/>
          <w:szCs w:val="28"/>
        </w:rPr>
        <w:t>Ortopedi</w:t>
      </w:r>
      <w:proofErr w:type="spellEnd"/>
      <w:r w:rsidRPr="00185BC0">
        <w:rPr>
          <w:sz w:val="28"/>
          <w:szCs w:val="28"/>
        </w:rPr>
        <w:t xml:space="preserve"> </w:t>
      </w:r>
      <w:proofErr w:type="spellStart"/>
      <w:r w:rsidRPr="00185BC0">
        <w:rPr>
          <w:sz w:val="28"/>
          <w:szCs w:val="28"/>
        </w:rPr>
        <w:t>ve</w:t>
      </w:r>
      <w:proofErr w:type="spellEnd"/>
      <w:r w:rsidRPr="00185BC0">
        <w:rPr>
          <w:sz w:val="28"/>
          <w:szCs w:val="28"/>
        </w:rPr>
        <w:t xml:space="preserve"> </w:t>
      </w:r>
      <w:proofErr w:type="spellStart"/>
      <w:r w:rsidRPr="00185BC0">
        <w:rPr>
          <w:sz w:val="28"/>
          <w:szCs w:val="28"/>
        </w:rPr>
        <w:t>Travmatoloji</w:t>
      </w:r>
      <w:proofErr w:type="spellEnd"/>
      <w:r w:rsidRPr="00185BC0">
        <w:rPr>
          <w:sz w:val="28"/>
          <w:szCs w:val="28"/>
        </w:rPr>
        <w:t xml:space="preserve"> </w:t>
      </w:r>
      <w:proofErr w:type="spellStart"/>
      <w:r w:rsidRPr="00185BC0">
        <w:rPr>
          <w:sz w:val="28"/>
          <w:szCs w:val="28"/>
        </w:rPr>
        <w:t>Kongresi</w:t>
      </w:r>
      <w:proofErr w:type="spellEnd"/>
      <w:r w:rsidRPr="00185BC0">
        <w:rPr>
          <w:sz w:val="28"/>
          <w:szCs w:val="28"/>
        </w:rPr>
        <w:t>), г. Анталья, Турция, 31 октября – 5 ноября 2023 г.</w:t>
      </w:r>
    </w:p>
    <w:p w14:paraId="04AB2DA5" w14:textId="247F947D" w:rsidR="00881B68" w:rsidRPr="00185BC0" w:rsidRDefault="00881B68" w:rsidP="00D47CC4">
      <w:pPr>
        <w:numPr>
          <w:ilvl w:val="0"/>
          <w:numId w:val="14"/>
        </w:numPr>
        <w:ind w:left="0" w:firstLine="567"/>
        <w:contextualSpacing/>
        <w:jc w:val="both"/>
        <w:rPr>
          <w:sz w:val="28"/>
          <w:szCs w:val="28"/>
        </w:rPr>
      </w:pPr>
      <w:proofErr w:type="spellStart"/>
      <w:r w:rsidRPr="00185BC0">
        <w:rPr>
          <w:sz w:val="28"/>
          <w:szCs w:val="28"/>
        </w:rPr>
        <w:t>Crowe</w:t>
      </w:r>
      <w:proofErr w:type="spellEnd"/>
      <w:r w:rsidRPr="00185BC0">
        <w:rPr>
          <w:sz w:val="28"/>
          <w:szCs w:val="28"/>
        </w:rPr>
        <w:t xml:space="preserve"> </w:t>
      </w:r>
      <w:proofErr w:type="spellStart"/>
      <w:r w:rsidRPr="00185BC0">
        <w:rPr>
          <w:sz w:val="28"/>
          <w:szCs w:val="28"/>
        </w:rPr>
        <w:t>tip</w:t>
      </w:r>
      <w:proofErr w:type="spellEnd"/>
      <w:r w:rsidRPr="00185BC0">
        <w:rPr>
          <w:sz w:val="28"/>
          <w:szCs w:val="28"/>
        </w:rPr>
        <w:t xml:space="preserve"> IV </w:t>
      </w:r>
      <w:proofErr w:type="spellStart"/>
      <w:r w:rsidRPr="00185BC0">
        <w:rPr>
          <w:sz w:val="28"/>
          <w:szCs w:val="28"/>
        </w:rPr>
        <w:t>kalça</w:t>
      </w:r>
      <w:proofErr w:type="spellEnd"/>
      <w:r w:rsidRPr="00185BC0">
        <w:rPr>
          <w:sz w:val="28"/>
          <w:szCs w:val="28"/>
        </w:rPr>
        <w:t xml:space="preserve"> </w:t>
      </w:r>
      <w:proofErr w:type="spellStart"/>
      <w:r w:rsidRPr="00185BC0">
        <w:rPr>
          <w:sz w:val="28"/>
          <w:szCs w:val="28"/>
        </w:rPr>
        <w:t>displazisinde</w:t>
      </w:r>
      <w:proofErr w:type="spellEnd"/>
      <w:r w:rsidRPr="00185BC0">
        <w:rPr>
          <w:sz w:val="28"/>
          <w:szCs w:val="28"/>
        </w:rPr>
        <w:t xml:space="preserve"> </w:t>
      </w:r>
      <w:proofErr w:type="spellStart"/>
      <w:r w:rsidRPr="00185BC0">
        <w:rPr>
          <w:sz w:val="28"/>
          <w:szCs w:val="28"/>
        </w:rPr>
        <w:t>derotasyon</w:t>
      </w:r>
      <w:proofErr w:type="spellEnd"/>
      <w:r w:rsidRPr="00185BC0">
        <w:rPr>
          <w:sz w:val="28"/>
          <w:szCs w:val="28"/>
        </w:rPr>
        <w:t xml:space="preserve"> </w:t>
      </w:r>
      <w:proofErr w:type="spellStart"/>
      <w:r w:rsidRPr="00185BC0">
        <w:rPr>
          <w:sz w:val="28"/>
          <w:szCs w:val="28"/>
        </w:rPr>
        <w:t>plaği</w:t>
      </w:r>
      <w:proofErr w:type="spellEnd"/>
      <w:r w:rsidRPr="00185BC0">
        <w:rPr>
          <w:sz w:val="28"/>
          <w:szCs w:val="28"/>
        </w:rPr>
        <w:t xml:space="preserve"> </w:t>
      </w:r>
      <w:proofErr w:type="spellStart"/>
      <w:r w:rsidRPr="00185BC0">
        <w:rPr>
          <w:sz w:val="28"/>
          <w:szCs w:val="28"/>
        </w:rPr>
        <w:t>kullanımı</w:t>
      </w:r>
      <w:proofErr w:type="spellEnd"/>
      <w:r w:rsidR="008924D7" w:rsidRPr="00185BC0">
        <w:rPr>
          <w:sz w:val="28"/>
          <w:szCs w:val="28"/>
          <w:lang w:val="kk-KZ"/>
        </w:rPr>
        <w:t xml:space="preserve"> // </w:t>
      </w:r>
      <w:r w:rsidRPr="00185BC0">
        <w:rPr>
          <w:sz w:val="28"/>
          <w:szCs w:val="28"/>
        </w:rPr>
        <w:t>Конгресс травматологов и ортопедов тюркоязычных стран, г. Самарканд, Узбекистан, 17–18 апреля 2024 г.</w:t>
      </w:r>
    </w:p>
    <w:p w14:paraId="3602C2F9" w14:textId="2AA03CED" w:rsidR="00881B68" w:rsidRPr="00185BC0" w:rsidRDefault="00881B68" w:rsidP="00D47CC4">
      <w:pPr>
        <w:numPr>
          <w:ilvl w:val="0"/>
          <w:numId w:val="14"/>
        </w:numPr>
        <w:ind w:left="0" w:firstLine="567"/>
        <w:contextualSpacing/>
        <w:jc w:val="both"/>
        <w:rPr>
          <w:sz w:val="28"/>
          <w:szCs w:val="28"/>
        </w:rPr>
      </w:pPr>
      <w:proofErr w:type="spellStart"/>
      <w:r w:rsidRPr="00185BC0">
        <w:rPr>
          <w:sz w:val="28"/>
          <w:szCs w:val="28"/>
        </w:rPr>
        <w:t>Crowe</w:t>
      </w:r>
      <w:proofErr w:type="spellEnd"/>
      <w:r w:rsidRPr="00185BC0">
        <w:rPr>
          <w:sz w:val="28"/>
          <w:szCs w:val="28"/>
        </w:rPr>
        <w:t xml:space="preserve"> </w:t>
      </w:r>
      <w:proofErr w:type="spellStart"/>
      <w:r w:rsidRPr="00185BC0">
        <w:rPr>
          <w:sz w:val="28"/>
          <w:szCs w:val="28"/>
        </w:rPr>
        <w:t>tip</w:t>
      </w:r>
      <w:proofErr w:type="spellEnd"/>
      <w:r w:rsidRPr="00185BC0">
        <w:rPr>
          <w:sz w:val="28"/>
          <w:szCs w:val="28"/>
        </w:rPr>
        <w:t xml:space="preserve"> IV </w:t>
      </w:r>
      <w:proofErr w:type="spellStart"/>
      <w:r w:rsidRPr="00185BC0">
        <w:rPr>
          <w:sz w:val="28"/>
          <w:szCs w:val="28"/>
        </w:rPr>
        <w:t>displazili</w:t>
      </w:r>
      <w:proofErr w:type="spellEnd"/>
      <w:r w:rsidRPr="00185BC0">
        <w:rPr>
          <w:sz w:val="28"/>
          <w:szCs w:val="28"/>
        </w:rPr>
        <w:t xml:space="preserve"> </w:t>
      </w:r>
      <w:proofErr w:type="spellStart"/>
      <w:r w:rsidRPr="00185BC0">
        <w:rPr>
          <w:sz w:val="28"/>
          <w:szCs w:val="28"/>
        </w:rPr>
        <w:t>hastalarda</w:t>
      </w:r>
      <w:proofErr w:type="spellEnd"/>
      <w:r w:rsidRPr="00185BC0">
        <w:rPr>
          <w:sz w:val="28"/>
          <w:szCs w:val="28"/>
        </w:rPr>
        <w:t xml:space="preserve"> </w:t>
      </w:r>
      <w:proofErr w:type="spellStart"/>
      <w:r w:rsidRPr="00185BC0">
        <w:rPr>
          <w:sz w:val="28"/>
          <w:szCs w:val="28"/>
        </w:rPr>
        <w:t>artroplastide</w:t>
      </w:r>
      <w:proofErr w:type="spellEnd"/>
      <w:r w:rsidRPr="00185BC0">
        <w:rPr>
          <w:sz w:val="28"/>
          <w:szCs w:val="28"/>
        </w:rPr>
        <w:t xml:space="preserve"> </w:t>
      </w:r>
      <w:proofErr w:type="spellStart"/>
      <w:r w:rsidRPr="00185BC0">
        <w:rPr>
          <w:sz w:val="28"/>
          <w:szCs w:val="28"/>
        </w:rPr>
        <w:t>derotasyon</w:t>
      </w:r>
      <w:proofErr w:type="spellEnd"/>
      <w:r w:rsidRPr="00185BC0">
        <w:rPr>
          <w:sz w:val="28"/>
          <w:szCs w:val="28"/>
        </w:rPr>
        <w:t xml:space="preserve"> </w:t>
      </w:r>
      <w:proofErr w:type="spellStart"/>
      <w:r w:rsidRPr="00185BC0">
        <w:rPr>
          <w:sz w:val="28"/>
          <w:szCs w:val="28"/>
        </w:rPr>
        <w:t>plaği</w:t>
      </w:r>
      <w:proofErr w:type="spellEnd"/>
      <w:r w:rsidRPr="00185BC0">
        <w:rPr>
          <w:sz w:val="28"/>
          <w:szCs w:val="28"/>
        </w:rPr>
        <w:t xml:space="preserve"> </w:t>
      </w:r>
      <w:proofErr w:type="spellStart"/>
      <w:r w:rsidRPr="00185BC0">
        <w:rPr>
          <w:sz w:val="28"/>
          <w:szCs w:val="28"/>
        </w:rPr>
        <w:t>kullanımı</w:t>
      </w:r>
      <w:proofErr w:type="spellEnd"/>
      <w:r w:rsidRPr="00185BC0">
        <w:rPr>
          <w:sz w:val="28"/>
          <w:szCs w:val="28"/>
        </w:rPr>
        <w:t xml:space="preserve">: </w:t>
      </w:r>
      <w:proofErr w:type="spellStart"/>
      <w:r w:rsidRPr="00185BC0">
        <w:rPr>
          <w:sz w:val="28"/>
          <w:szCs w:val="28"/>
        </w:rPr>
        <w:t>erken</w:t>
      </w:r>
      <w:proofErr w:type="spellEnd"/>
      <w:r w:rsidRPr="00185BC0">
        <w:rPr>
          <w:sz w:val="28"/>
          <w:szCs w:val="28"/>
        </w:rPr>
        <w:t xml:space="preserve"> </w:t>
      </w:r>
      <w:proofErr w:type="spellStart"/>
      <w:r w:rsidRPr="00185BC0">
        <w:rPr>
          <w:sz w:val="28"/>
          <w:szCs w:val="28"/>
        </w:rPr>
        <w:t>klinik</w:t>
      </w:r>
      <w:proofErr w:type="spellEnd"/>
      <w:r w:rsidRPr="00185BC0">
        <w:rPr>
          <w:sz w:val="28"/>
          <w:szCs w:val="28"/>
        </w:rPr>
        <w:t xml:space="preserve"> </w:t>
      </w:r>
      <w:proofErr w:type="spellStart"/>
      <w:r w:rsidRPr="00185BC0">
        <w:rPr>
          <w:sz w:val="28"/>
          <w:szCs w:val="28"/>
        </w:rPr>
        <w:t>sonuçlar</w:t>
      </w:r>
      <w:proofErr w:type="spellEnd"/>
      <w:r w:rsidR="008924D7" w:rsidRPr="00185BC0">
        <w:rPr>
          <w:sz w:val="28"/>
          <w:szCs w:val="28"/>
          <w:lang w:val="kk-KZ"/>
        </w:rPr>
        <w:t xml:space="preserve"> // </w:t>
      </w:r>
      <w:r w:rsidRPr="00185BC0">
        <w:rPr>
          <w:sz w:val="28"/>
          <w:szCs w:val="28"/>
        </w:rPr>
        <w:t>33-й Национальный конгресс Турецкой ассоциации травматологов-ортопедов, г. Анталья, Турция, 5–11 ноября 2024 г.</w:t>
      </w:r>
    </w:p>
    <w:p w14:paraId="22FE8E7E" w14:textId="0FE66BBB" w:rsidR="00881B68" w:rsidRPr="00185BC0" w:rsidRDefault="00881B68" w:rsidP="00D47CC4">
      <w:pPr>
        <w:numPr>
          <w:ilvl w:val="0"/>
          <w:numId w:val="14"/>
        </w:numPr>
        <w:ind w:left="0" w:firstLine="567"/>
        <w:contextualSpacing/>
        <w:jc w:val="both"/>
        <w:rPr>
          <w:sz w:val="28"/>
          <w:szCs w:val="28"/>
        </w:rPr>
      </w:pPr>
      <w:r w:rsidRPr="00185BC0">
        <w:rPr>
          <w:sz w:val="28"/>
          <w:szCs w:val="28"/>
        </w:rPr>
        <w:t>Ошибки и осложнения при эндопротезировании тазобедренного сустава</w:t>
      </w:r>
      <w:r w:rsidR="008924D7" w:rsidRPr="00185BC0">
        <w:rPr>
          <w:sz w:val="28"/>
          <w:szCs w:val="28"/>
          <w:lang w:val="kk-KZ"/>
        </w:rPr>
        <w:t xml:space="preserve"> // </w:t>
      </w:r>
      <w:r w:rsidRPr="00185BC0">
        <w:rPr>
          <w:sz w:val="28"/>
          <w:szCs w:val="28"/>
        </w:rPr>
        <w:t xml:space="preserve">IV Съезд травматологов-ортопедов Республики Казахстан и III Съезд Казахстанской ассоциации травматологов-ортопедов, </w:t>
      </w:r>
      <w:proofErr w:type="spellStart"/>
      <w:r w:rsidRPr="00185BC0">
        <w:rPr>
          <w:sz w:val="28"/>
          <w:szCs w:val="28"/>
        </w:rPr>
        <w:t>посвящённы</w:t>
      </w:r>
      <w:proofErr w:type="spellEnd"/>
      <w:r w:rsidR="008924D7" w:rsidRPr="00185BC0">
        <w:rPr>
          <w:sz w:val="28"/>
          <w:szCs w:val="28"/>
          <w:lang w:val="kk-KZ"/>
        </w:rPr>
        <w:t>й</w:t>
      </w:r>
      <w:r w:rsidRPr="00185BC0">
        <w:rPr>
          <w:sz w:val="28"/>
          <w:szCs w:val="28"/>
        </w:rPr>
        <w:t xml:space="preserve"> 75-летию академика Н.Д. </w:t>
      </w:r>
      <w:proofErr w:type="spellStart"/>
      <w:r w:rsidRPr="00185BC0">
        <w:rPr>
          <w:sz w:val="28"/>
          <w:szCs w:val="28"/>
        </w:rPr>
        <w:t>Батпенова</w:t>
      </w:r>
      <w:proofErr w:type="spellEnd"/>
      <w:r w:rsidRPr="00185BC0">
        <w:rPr>
          <w:sz w:val="28"/>
          <w:szCs w:val="28"/>
        </w:rPr>
        <w:t xml:space="preserve">, г. Астана, </w:t>
      </w:r>
      <w:r w:rsidR="008924D7" w:rsidRPr="00185BC0">
        <w:rPr>
          <w:sz w:val="28"/>
          <w:szCs w:val="28"/>
          <w:lang w:val="kk-KZ"/>
        </w:rPr>
        <w:t xml:space="preserve">Казахстан, </w:t>
      </w:r>
      <w:r w:rsidRPr="00185BC0">
        <w:rPr>
          <w:sz w:val="28"/>
          <w:szCs w:val="28"/>
        </w:rPr>
        <w:t>28–29 августа 2024 г.</w:t>
      </w:r>
    </w:p>
    <w:p w14:paraId="1AAD4EEB" w14:textId="3D34CA6E" w:rsidR="00881B68" w:rsidRPr="00185BC0" w:rsidRDefault="00881B68" w:rsidP="00D47CC4">
      <w:pPr>
        <w:numPr>
          <w:ilvl w:val="0"/>
          <w:numId w:val="14"/>
        </w:numPr>
        <w:ind w:left="0" w:firstLine="567"/>
        <w:contextualSpacing/>
        <w:jc w:val="both"/>
        <w:rPr>
          <w:sz w:val="28"/>
          <w:szCs w:val="28"/>
          <w:lang w:val="en-US"/>
        </w:rPr>
      </w:pPr>
      <w:r w:rsidRPr="00185BC0">
        <w:rPr>
          <w:sz w:val="28"/>
          <w:szCs w:val="28"/>
          <w:lang w:val="en-US"/>
        </w:rPr>
        <w:t xml:space="preserve">Application of Total Hip Arthroplasty </w:t>
      </w:r>
      <w:proofErr w:type="gramStart"/>
      <w:r w:rsidRPr="00185BC0">
        <w:rPr>
          <w:sz w:val="28"/>
          <w:szCs w:val="28"/>
          <w:lang w:val="en-US"/>
        </w:rPr>
        <w:t>With</w:t>
      </w:r>
      <w:proofErr w:type="gramEnd"/>
      <w:r w:rsidRPr="00185BC0">
        <w:rPr>
          <w:sz w:val="28"/>
          <w:szCs w:val="28"/>
          <w:lang w:val="en-US"/>
        </w:rPr>
        <w:t xml:space="preserve"> a </w:t>
      </w:r>
      <w:proofErr w:type="spellStart"/>
      <w:r w:rsidRPr="00185BC0">
        <w:rPr>
          <w:sz w:val="28"/>
          <w:szCs w:val="28"/>
          <w:lang w:val="en-US"/>
        </w:rPr>
        <w:t>Derotation</w:t>
      </w:r>
      <w:proofErr w:type="spellEnd"/>
      <w:r w:rsidRPr="00185BC0">
        <w:rPr>
          <w:sz w:val="28"/>
          <w:szCs w:val="28"/>
          <w:lang w:val="en-US"/>
        </w:rPr>
        <w:t xml:space="preserve"> Plate in Complex Hip Dysplasia</w:t>
      </w:r>
      <w:r w:rsidR="002D4095" w:rsidRPr="00185BC0">
        <w:rPr>
          <w:sz w:val="28"/>
          <w:szCs w:val="28"/>
          <w:lang w:val="kk-KZ"/>
        </w:rPr>
        <w:t xml:space="preserve"> //</w:t>
      </w:r>
      <w:r w:rsidRPr="00185BC0">
        <w:rPr>
          <w:sz w:val="28"/>
          <w:szCs w:val="28"/>
          <w:lang w:val="en-US"/>
        </w:rPr>
        <w:t xml:space="preserve"> </w:t>
      </w:r>
      <w:r w:rsidR="002D4095" w:rsidRPr="00185BC0">
        <w:rPr>
          <w:sz w:val="28"/>
          <w:szCs w:val="28"/>
          <w:lang w:val="en-US"/>
        </w:rPr>
        <w:t xml:space="preserve">45-й </w:t>
      </w:r>
      <w:proofErr w:type="spellStart"/>
      <w:r w:rsidR="002D4095" w:rsidRPr="00185BC0">
        <w:rPr>
          <w:sz w:val="28"/>
          <w:szCs w:val="28"/>
          <w:lang w:val="en-US"/>
        </w:rPr>
        <w:t>Всемирный</w:t>
      </w:r>
      <w:proofErr w:type="spellEnd"/>
      <w:r w:rsidR="002D4095" w:rsidRPr="00185BC0">
        <w:rPr>
          <w:sz w:val="28"/>
          <w:szCs w:val="28"/>
          <w:lang w:val="en-US"/>
        </w:rPr>
        <w:t xml:space="preserve"> </w:t>
      </w:r>
      <w:proofErr w:type="spellStart"/>
      <w:r w:rsidR="002D4095" w:rsidRPr="00185BC0">
        <w:rPr>
          <w:sz w:val="28"/>
          <w:szCs w:val="28"/>
          <w:lang w:val="en-US"/>
        </w:rPr>
        <w:t>ортопедический</w:t>
      </w:r>
      <w:proofErr w:type="spellEnd"/>
      <w:r w:rsidR="002D4095" w:rsidRPr="00185BC0">
        <w:rPr>
          <w:sz w:val="28"/>
          <w:szCs w:val="28"/>
          <w:lang w:val="en-US"/>
        </w:rPr>
        <w:t xml:space="preserve"> </w:t>
      </w:r>
      <w:proofErr w:type="spellStart"/>
      <w:r w:rsidR="002D4095" w:rsidRPr="00185BC0">
        <w:rPr>
          <w:sz w:val="28"/>
          <w:szCs w:val="28"/>
          <w:lang w:val="en-US"/>
        </w:rPr>
        <w:t>конгресс</w:t>
      </w:r>
      <w:proofErr w:type="spellEnd"/>
      <w:r w:rsidR="002D4095" w:rsidRPr="00185BC0">
        <w:rPr>
          <w:sz w:val="28"/>
          <w:szCs w:val="28"/>
          <w:lang w:val="en-US"/>
        </w:rPr>
        <w:t xml:space="preserve"> SICOT</w:t>
      </w:r>
      <w:r w:rsidR="002D4095" w:rsidRPr="00185BC0">
        <w:rPr>
          <w:sz w:val="28"/>
          <w:szCs w:val="28"/>
          <w:lang w:val="kk-KZ"/>
        </w:rPr>
        <w:t xml:space="preserve"> (</w:t>
      </w:r>
      <w:r w:rsidR="002D4095" w:rsidRPr="00185BC0">
        <w:rPr>
          <w:sz w:val="28"/>
          <w:szCs w:val="28"/>
          <w:lang w:val="en-US"/>
        </w:rPr>
        <w:t xml:space="preserve">Société </w:t>
      </w:r>
      <w:proofErr w:type="spellStart"/>
      <w:r w:rsidR="002D4095" w:rsidRPr="00185BC0">
        <w:rPr>
          <w:sz w:val="28"/>
          <w:szCs w:val="28"/>
          <w:lang w:val="en-US"/>
        </w:rPr>
        <w:t>Internationale</w:t>
      </w:r>
      <w:proofErr w:type="spellEnd"/>
      <w:r w:rsidR="002D4095" w:rsidRPr="00185BC0">
        <w:rPr>
          <w:sz w:val="28"/>
          <w:szCs w:val="28"/>
          <w:lang w:val="en-US"/>
        </w:rPr>
        <w:t xml:space="preserve"> de </w:t>
      </w:r>
      <w:proofErr w:type="spellStart"/>
      <w:r w:rsidR="002D4095" w:rsidRPr="00185BC0">
        <w:rPr>
          <w:sz w:val="28"/>
          <w:szCs w:val="28"/>
          <w:lang w:val="en-US"/>
        </w:rPr>
        <w:t>Chirurgie</w:t>
      </w:r>
      <w:proofErr w:type="spellEnd"/>
      <w:r w:rsidR="002D4095" w:rsidRPr="00185BC0">
        <w:rPr>
          <w:sz w:val="28"/>
          <w:szCs w:val="28"/>
          <w:lang w:val="en-US"/>
        </w:rPr>
        <w:t xml:space="preserve"> </w:t>
      </w:r>
      <w:proofErr w:type="spellStart"/>
      <w:r w:rsidR="002D4095" w:rsidRPr="00185BC0">
        <w:rPr>
          <w:sz w:val="28"/>
          <w:szCs w:val="28"/>
          <w:lang w:val="en-US"/>
        </w:rPr>
        <w:t>Orthopédique</w:t>
      </w:r>
      <w:proofErr w:type="spellEnd"/>
      <w:r w:rsidR="002D4095" w:rsidRPr="00185BC0">
        <w:rPr>
          <w:sz w:val="28"/>
          <w:szCs w:val="28"/>
          <w:lang w:val="en-US"/>
        </w:rPr>
        <w:t xml:space="preserve"> et de </w:t>
      </w:r>
      <w:proofErr w:type="spellStart"/>
      <w:r w:rsidR="002D4095" w:rsidRPr="00185BC0">
        <w:rPr>
          <w:sz w:val="28"/>
          <w:szCs w:val="28"/>
          <w:lang w:val="en-US"/>
        </w:rPr>
        <w:t>Traumatologie</w:t>
      </w:r>
      <w:proofErr w:type="spellEnd"/>
      <w:r w:rsidR="002D4095" w:rsidRPr="00185BC0">
        <w:rPr>
          <w:sz w:val="28"/>
          <w:szCs w:val="28"/>
          <w:lang w:val="kk-KZ"/>
        </w:rPr>
        <w:t xml:space="preserve">) </w:t>
      </w:r>
      <w:r w:rsidR="002D4095" w:rsidRPr="00185BC0">
        <w:rPr>
          <w:sz w:val="28"/>
          <w:szCs w:val="28"/>
          <w:lang w:val="en-US"/>
        </w:rPr>
        <w:t xml:space="preserve">/ </w:t>
      </w:r>
      <w:r w:rsidR="009E5F5D" w:rsidRPr="00185BC0">
        <w:rPr>
          <w:sz w:val="28"/>
          <w:szCs w:val="28"/>
          <w:lang w:val="kk-KZ"/>
        </w:rPr>
        <w:t xml:space="preserve">г. </w:t>
      </w:r>
      <w:proofErr w:type="spellStart"/>
      <w:r w:rsidR="002D4095" w:rsidRPr="00185BC0">
        <w:rPr>
          <w:sz w:val="28"/>
          <w:szCs w:val="28"/>
          <w:lang w:val="en-US"/>
        </w:rPr>
        <w:t>Мадрид</w:t>
      </w:r>
      <w:proofErr w:type="spellEnd"/>
      <w:r w:rsidR="009E5F5D" w:rsidRPr="00185BC0">
        <w:rPr>
          <w:sz w:val="28"/>
          <w:szCs w:val="28"/>
          <w:lang w:val="kk-KZ"/>
        </w:rPr>
        <w:t xml:space="preserve">, </w:t>
      </w:r>
      <w:proofErr w:type="spellStart"/>
      <w:r w:rsidR="002D4095" w:rsidRPr="00185BC0">
        <w:rPr>
          <w:sz w:val="28"/>
          <w:szCs w:val="28"/>
          <w:lang w:val="en-US"/>
        </w:rPr>
        <w:t>Испания</w:t>
      </w:r>
      <w:proofErr w:type="spellEnd"/>
      <w:r w:rsidR="002D4095" w:rsidRPr="00185BC0">
        <w:rPr>
          <w:sz w:val="28"/>
          <w:szCs w:val="28"/>
          <w:lang w:val="en-US"/>
        </w:rPr>
        <w:t xml:space="preserve">, 3 – 5 </w:t>
      </w:r>
      <w:proofErr w:type="spellStart"/>
      <w:r w:rsidR="002D4095" w:rsidRPr="00185BC0">
        <w:rPr>
          <w:sz w:val="28"/>
          <w:szCs w:val="28"/>
          <w:lang w:val="en-US"/>
        </w:rPr>
        <w:t>сентября</w:t>
      </w:r>
      <w:proofErr w:type="spellEnd"/>
      <w:r w:rsidR="002D4095" w:rsidRPr="00185BC0">
        <w:rPr>
          <w:sz w:val="28"/>
          <w:szCs w:val="28"/>
          <w:lang w:val="en-US"/>
        </w:rPr>
        <w:t>, 2025</w:t>
      </w:r>
      <w:r w:rsidRPr="00185BC0">
        <w:rPr>
          <w:sz w:val="28"/>
          <w:szCs w:val="28"/>
          <w:lang w:val="en-US"/>
        </w:rPr>
        <w:t>.</w:t>
      </w:r>
    </w:p>
    <w:p w14:paraId="3066A615" w14:textId="194CE20D" w:rsidR="00881B68" w:rsidRPr="00185BC0" w:rsidRDefault="00881B68" w:rsidP="00D47CC4">
      <w:pPr>
        <w:numPr>
          <w:ilvl w:val="0"/>
          <w:numId w:val="14"/>
        </w:numPr>
        <w:ind w:left="0" w:firstLine="567"/>
        <w:contextualSpacing/>
        <w:jc w:val="both"/>
        <w:rPr>
          <w:sz w:val="28"/>
          <w:szCs w:val="28"/>
          <w:lang w:val="kk-KZ"/>
        </w:rPr>
      </w:pPr>
      <w:r w:rsidRPr="00185BC0">
        <w:rPr>
          <w:sz w:val="28"/>
          <w:szCs w:val="28"/>
        </w:rPr>
        <w:t>Модифицированный подход к фиксации зоны остеотомии при тяжёлой дисплазии тазобедренного сустава: клинические и рентгенологические исходы</w:t>
      </w:r>
      <w:r w:rsidR="009E5F5D" w:rsidRPr="00185BC0">
        <w:rPr>
          <w:sz w:val="28"/>
          <w:szCs w:val="28"/>
          <w:lang w:val="kk-KZ"/>
        </w:rPr>
        <w:t xml:space="preserve"> //</w:t>
      </w:r>
      <w:r w:rsidRPr="00185BC0">
        <w:rPr>
          <w:sz w:val="28"/>
          <w:szCs w:val="28"/>
        </w:rPr>
        <w:t xml:space="preserve"> </w:t>
      </w:r>
      <w:r w:rsidR="00F80850" w:rsidRPr="00185BC0">
        <w:rPr>
          <w:sz w:val="28"/>
          <w:szCs w:val="28"/>
        </w:rPr>
        <w:t>С</w:t>
      </w:r>
      <w:r w:rsidRPr="00185BC0">
        <w:rPr>
          <w:sz w:val="28"/>
          <w:szCs w:val="28"/>
        </w:rPr>
        <w:t xml:space="preserve">овременные подходы в травматологии, ортопедии и реабилитации: инновации и практическое применение, посвященная 110-летию со дня рождения профессора Х.Ж. </w:t>
      </w:r>
      <w:r w:rsidRPr="00185BC0">
        <w:rPr>
          <w:sz w:val="28"/>
          <w:szCs w:val="28"/>
          <w:lang w:val="kk-KZ"/>
        </w:rPr>
        <w:t>М</w:t>
      </w:r>
      <w:proofErr w:type="spellStart"/>
      <w:r w:rsidRPr="00185BC0">
        <w:rPr>
          <w:sz w:val="28"/>
          <w:szCs w:val="28"/>
        </w:rPr>
        <w:t>акажанова</w:t>
      </w:r>
      <w:proofErr w:type="spellEnd"/>
      <w:r w:rsidRPr="00185BC0">
        <w:rPr>
          <w:sz w:val="28"/>
          <w:szCs w:val="28"/>
          <w:lang w:val="kk-KZ"/>
        </w:rPr>
        <w:t>, г. Караганда</w:t>
      </w:r>
      <w:r w:rsidR="009E5F5D" w:rsidRPr="00185BC0">
        <w:rPr>
          <w:sz w:val="28"/>
          <w:szCs w:val="28"/>
          <w:lang w:val="kk-KZ"/>
        </w:rPr>
        <w:t>, Казахстан,</w:t>
      </w:r>
      <w:r w:rsidRPr="00185BC0">
        <w:rPr>
          <w:sz w:val="28"/>
          <w:szCs w:val="28"/>
        </w:rPr>
        <w:t xml:space="preserve"> 9-10 </w:t>
      </w:r>
      <w:r w:rsidRPr="00185BC0">
        <w:rPr>
          <w:sz w:val="28"/>
          <w:szCs w:val="28"/>
          <w:lang w:val="kk-KZ"/>
        </w:rPr>
        <w:t xml:space="preserve">октября </w:t>
      </w:r>
      <w:r w:rsidRPr="00185BC0">
        <w:rPr>
          <w:sz w:val="28"/>
          <w:szCs w:val="28"/>
        </w:rPr>
        <w:t>2025</w:t>
      </w:r>
      <w:r w:rsidRPr="00185BC0">
        <w:rPr>
          <w:sz w:val="28"/>
          <w:szCs w:val="28"/>
          <w:lang w:val="kk-KZ"/>
        </w:rPr>
        <w:t xml:space="preserve"> г.</w:t>
      </w:r>
      <w:r w:rsidRPr="00185BC0">
        <w:rPr>
          <w:sz w:val="28"/>
          <w:szCs w:val="28"/>
          <w:lang w:val="tr-TR"/>
        </w:rPr>
        <w:t xml:space="preserve"> </w:t>
      </w:r>
    </w:p>
    <w:p w14:paraId="04E90DCF" w14:textId="0FDF2667" w:rsidR="00841239" w:rsidRPr="00185BC0" w:rsidRDefault="00841239" w:rsidP="00D47CC4">
      <w:pPr>
        <w:numPr>
          <w:ilvl w:val="0"/>
          <w:numId w:val="14"/>
        </w:numPr>
        <w:ind w:left="0" w:firstLine="567"/>
        <w:contextualSpacing/>
        <w:jc w:val="both"/>
        <w:rPr>
          <w:sz w:val="28"/>
          <w:szCs w:val="28"/>
          <w:lang w:val="kk-KZ"/>
        </w:rPr>
      </w:pPr>
      <w:r w:rsidRPr="00185BC0">
        <w:rPr>
          <w:sz w:val="28"/>
          <w:szCs w:val="28"/>
          <w:lang w:val="kk-KZ"/>
        </w:rPr>
        <w:t xml:space="preserve">Crowe Tip IV Kalça Displazisinde Derotasyon Plakası ile Sabitlenen Subtrokanterik Osteotomi: 30 Hastalık Klinik Sonuçlar ve Cerrahi Etkinlik </w:t>
      </w:r>
      <w:r w:rsidR="009E5F5D" w:rsidRPr="00185BC0">
        <w:rPr>
          <w:sz w:val="28"/>
          <w:szCs w:val="28"/>
          <w:lang w:val="kk-KZ"/>
        </w:rPr>
        <w:t>//</w:t>
      </w:r>
      <w:r w:rsidRPr="00185BC0">
        <w:rPr>
          <w:sz w:val="28"/>
          <w:szCs w:val="28"/>
          <w:lang w:val="kk-KZ"/>
        </w:rPr>
        <w:t xml:space="preserve"> 34-й Национальный конгресс Турецкой ассоциации травматологов-ортопедов (Ulusal Türk Ortopedi ve Travmatoloji Kongresi), г. Анталья, Турция, 4–9 ноября 2025 г. </w:t>
      </w:r>
    </w:p>
    <w:p w14:paraId="6CFE345D" w14:textId="77777777" w:rsidR="00881B68" w:rsidRPr="00185BC0" w:rsidRDefault="00881B68" w:rsidP="00881B68">
      <w:pPr>
        <w:ind w:firstLine="567"/>
        <w:jc w:val="both"/>
        <w:rPr>
          <w:b/>
          <w:bCs/>
          <w:sz w:val="28"/>
          <w:szCs w:val="28"/>
        </w:rPr>
      </w:pPr>
      <w:r w:rsidRPr="00185BC0">
        <w:rPr>
          <w:b/>
          <w:bCs/>
          <w:sz w:val="28"/>
          <w:szCs w:val="28"/>
        </w:rPr>
        <w:t>Публикации по теме диссертации</w:t>
      </w:r>
    </w:p>
    <w:p w14:paraId="6F2BD196" w14:textId="326B3F35" w:rsidR="00881B68" w:rsidRPr="00185BC0" w:rsidRDefault="00881B68" w:rsidP="00881B68">
      <w:pPr>
        <w:ind w:firstLine="567"/>
        <w:jc w:val="both"/>
        <w:rPr>
          <w:sz w:val="28"/>
          <w:szCs w:val="28"/>
        </w:rPr>
      </w:pPr>
      <w:r w:rsidRPr="00185BC0">
        <w:rPr>
          <w:sz w:val="28"/>
          <w:szCs w:val="28"/>
        </w:rPr>
        <w:t>По материалам диссертационного исследования опубликован</w:t>
      </w:r>
      <w:r w:rsidR="009E5F5D" w:rsidRPr="00185BC0">
        <w:rPr>
          <w:sz w:val="28"/>
          <w:szCs w:val="28"/>
          <w:lang w:val="kk-KZ"/>
        </w:rPr>
        <w:t>ы</w:t>
      </w:r>
      <w:r w:rsidRPr="00185BC0">
        <w:rPr>
          <w:sz w:val="28"/>
          <w:szCs w:val="28"/>
        </w:rPr>
        <w:t xml:space="preserve"> </w:t>
      </w:r>
      <w:r w:rsidR="008D6824" w:rsidRPr="00185BC0">
        <w:rPr>
          <w:sz w:val="28"/>
          <w:szCs w:val="28"/>
        </w:rPr>
        <w:t>4</w:t>
      </w:r>
      <w:r w:rsidRPr="00185BC0">
        <w:rPr>
          <w:sz w:val="28"/>
          <w:szCs w:val="28"/>
        </w:rPr>
        <w:t xml:space="preserve"> научные </w:t>
      </w:r>
      <w:r w:rsidRPr="00185BC0">
        <w:rPr>
          <w:sz w:val="28"/>
          <w:szCs w:val="28"/>
        </w:rPr>
        <w:lastRenderedPageBreak/>
        <w:t xml:space="preserve">работы, в том числе: </w:t>
      </w:r>
    </w:p>
    <w:p w14:paraId="7F1466CB" w14:textId="4A8936A2" w:rsidR="00881B68" w:rsidRPr="00185BC0" w:rsidRDefault="008D6824" w:rsidP="00881B68">
      <w:pPr>
        <w:ind w:firstLine="567"/>
        <w:jc w:val="both"/>
        <w:rPr>
          <w:sz w:val="28"/>
          <w:szCs w:val="28"/>
        </w:rPr>
      </w:pPr>
      <w:r w:rsidRPr="00185BC0">
        <w:rPr>
          <w:sz w:val="28"/>
          <w:szCs w:val="28"/>
          <w:lang w:val="kk-KZ"/>
        </w:rPr>
        <w:t>2</w:t>
      </w:r>
      <w:r w:rsidR="00881B68" w:rsidRPr="00185BC0">
        <w:rPr>
          <w:sz w:val="28"/>
          <w:szCs w:val="28"/>
        </w:rPr>
        <w:t xml:space="preserve"> </w:t>
      </w:r>
      <w:proofErr w:type="spellStart"/>
      <w:r w:rsidR="00881B68" w:rsidRPr="00185BC0">
        <w:rPr>
          <w:sz w:val="28"/>
          <w:szCs w:val="28"/>
        </w:rPr>
        <w:t>публикаци</w:t>
      </w:r>
      <w:proofErr w:type="spellEnd"/>
      <w:r w:rsidR="009E5F5D" w:rsidRPr="00185BC0">
        <w:rPr>
          <w:sz w:val="28"/>
          <w:szCs w:val="28"/>
          <w:lang w:val="kk-KZ"/>
        </w:rPr>
        <w:t>и</w:t>
      </w:r>
      <w:r w:rsidR="00881B68" w:rsidRPr="00185BC0">
        <w:rPr>
          <w:sz w:val="28"/>
          <w:szCs w:val="28"/>
        </w:rPr>
        <w:t xml:space="preserve"> в международном рецензируемом научном издании, индексируемом в Science </w:t>
      </w:r>
      <w:proofErr w:type="spellStart"/>
      <w:r w:rsidR="00881B68" w:rsidRPr="00185BC0">
        <w:rPr>
          <w:sz w:val="28"/>
          <w:szCs w:val="28"/>
        </w:rPr>
        <w:t>Citation</w:t>
      </w:r>
      <w:proofErr w:type="spellEnd"/>
      <w:r w:rsidR="00881B68" w:rsidRPr="00185BC0">
        <w:rPr>
          <w:sz w:val="28"/>
          <w:szCs w:val="28"/>
        </w:rPr>
        <w:t xml:space="preserve"> Index </w:t>
      </w:r>
      <w:proofErr w:type="spellStart"/>
      <w:r w:rsidR="00881B68" w:rsidRPr="00185BC0">
        <w:rPr>
          <w:sz w:val="28"/>
          <w:szCs w:val="28"/>
        </w:rPr>
        <w:t>Expanded</w:t>
      </w:r>
      <w:proofErr w:type="spellEnd"/>
      <w:r w:rsidR="00881B68" w:rsidRPr="00185BC0">
        <w:rPr>
          <w:sz w:val="28"/>
          <w:szCs w:val="28"/>
        </w:rPr>
        <w:t xml:space="preserve"> базы данных Web </w:t>
      </w:r>
      <w:proofErr w:type="spellStart"/>
      <w:r w:rsidR="00881B68" w:rsidRPr="00185BC0">
        <w:rPr>
          <w:sz w:val="28"/>
          <w:szCs w:val="28"/>
        </w:rPr>
        <w:t>of</w:t>
      </w:r>
      <w:proofErr w:type="spellEnd"/>
      <w:r w:rsidR="00881B68" w:rsidRPr="00185BC0">
        <w:rPr>
          <w:sz w:val="28"/>
          <w:szCs w:val="28"/>
        </w:rPr>
        <w:t xml:space="preserve"> Science, и имеющем </w:t>
      </w:r>
      <w:proofErr w:type="spellStart"/>
      <w:r w:rsidR="00881B68" w:rsidRPr="00185BC0">
        <w:rPr>
          <w:sz w:val="28"/>
          <w:szCs w:val="28"/>
        </w:rPr>
        <w:t>процентиль</w:t>
      </w:r>
      <w:proofErr w:type="spellEnd"/>
      <w:r w:rsidR="00881B68" w:rsidRPr="00185BC0">
        <w:rPr>
          <w:sz w:val="28"/>
          <w:szCs w:val="28"/>
        </w:rPr>
        <w:t xml:space="preserve"> по </w:t>
      </w:r>
      <w:proofErr w:type="spellStart"/>
      <w:r w:rsidR="00881B68" w:rsidRPr="00185BC0">
        <w:rPr>
          <w:sz w:val="28"/>
          <w:szCs w:val="28"/>
        </w:rPr>
        <w:t>CiteScore</w:t>
      </w:r>
      <w:proofErr w:type="spellEnd"/>
      <w:r w:rsidR="00881B68" w:rsidRPr="00185BC0">
        <w:rPr>
          <w:sz w:val="28"/>
          <w:szCs w:val="28"/>
        </w:rPr>
        <w:t xml:space="preserve"> в базе </w:t>
      </w:r>
      <w:proofErr w:type="spellStart"/>
      <w:r w:rsidR="00881B68" w:rsidRPr="00185BC0">
        <w:rPr>
          <w:sz w:val="28"/>
          <w:szCs w:val="28"/>
        </w:rPr>
        <w:t>Scopus</w:t>
      </w:r>
      <w:proofErr w:type="spellEnd"/>
      <w:r w:rsidR="00881B68" w:rsidRPr="00185BC0">
        <w:rPr>
          <w:sz w:val="28"/>
          <w:szCs w:val="28"/>
        </w:rPr>
        <w:t>:</w:t>
      </w:r>
    </w:p>
    <w:p w14:paraId="355F9320" w14:textId="51DD4F32" w:rsidR="00024A35" w:rsidRPr="00185BC0" w:rsidRDefault="00881B68" w:rsidP="00024A35">
      <w:pPr>
        <w:pStyle w:val="a6"/>
        <w:numPr>
          <w:ilvl w:val="0"/>
          <w:numId w:val="17"/>
        </w:numPr>
        <w:ind w:left="0" w:firstLine="567"/>
        <w:jc w:val="both"/>
        <w:rPr>
          <w:sz w:val="28"/>
          <w:szCs w:val="28"/>
          <w:lang w:val="en-US"/>
        </w:rPr>
      </w:pPr>
      <w:r w:rsidRPr="00185BC0">
        <w:rPr>
          <w:sz w:val="28"/>
          <w:szCs w:val="28"/>
          <w:lang w:val="en-US"/>
        </w:rPr>
        <w:t xml:space="preserve">Oktyabrova D., </w:t>
      </w:r>
      <w:proofErr w:type="spellStart"/>
      <w:r w:rsidRPr="00185BC0">
        <w:rPr>
          <w:sz w:val="28"/>
          <w:szCs w:val="28"/>
          <w:lang w:val="en-US"/>
        </w:rPr>
        <w:t>Ashimov</w:t>
      </w:r>
      <w:proofErr w:type="spellEnd"/>
      <w:r w:rsidRPr="00185BC0">
        <w:rPr>
          <w:sz w:val="28"/>
          <w:szCs w:val="28"/>
          <w:lang w:val="en-US"/>
        </w:rPr>
        <w:t xml:space="preserve"> K., </w:t>
      </w:r>
      <w:proofErr w:type="spellStart"/>
      <w:r w:rsidRPr="00185BC0">
        <w:rPr>
          <w:sz w:val="28"/>
          <w:szCs w:val="28"/>
          <w:lang w:val="en-US"/>
        </w:rPr>
        <w:t>Guclu</w:t>
      </w:r>
      <w:proofErr w:type="spellEnd"/>
      <w:r w:rsidRPr="00185BC0">
        <w:rPr>
          <w:sz w:val="28"/>
          <w:szCs w:val="28"/>
          <w:lang w:val="en-US"/>
        </w:rPr>
        <w:t xml:space="preserve"> B., </w:t>
      </w:r>
      <w:proofErr w:type="spellStart"/>
      <w:r w:rsidRPr="00185BC0">
        <w:rPr>
          <w:sz w:val="28"/>
          <w:szCs w:val="28"/>
          <w:lang w:val="en-US"/>
        </w:rPr>
        <w:t>Abilmazhinov</w:t>
      </w:r>
      <w:proofErr w:type="spellEnd"/>
      <w:r w:rsidRPr="00185BC0">
        <w:rPr>
          <w:sz w:val="28"/>
          <w:szCs w:val="28"/>
          <w:lang w:val="en-US"/>
        </w:rPr>
        <w:t xml:space="preserve"> M., </w:t>
      </w:r>
      <w:proofErr w:type="spellStart"/>
      <w:r w:rsidRPr="00185BC0">
        <w:rPr>
          <w:sz w:val="28"/>
          <w:szCs w:val="28"/>
          <w:lang w:val="en-US"/>
        </w:rPr>
        <w:t>Gorbunov</w:t>
      </w:r>
      <w:proofErr w:type="spellEnd"/>
      <w:r w:rsidRPr="00185BC0">
        <w:rPr>
          <w:sz w:val="28"/>
          <w:szCs w:val="28"/>
          <w:lang w:val="en-US"/>
        </w:rPr>
        <w:t xml:space="preserve"> B., </w:t>
      </w:r>
      <w:proofErr w:type="spellStart"/>
      <w:r w:rsidRPr="00185BC0">
        <w:rPr>
          <w:sz w:val="28"/>
          <w:szCs w:val="28"/>
          <w:lang w:val="en-US"/>
        </w:rPr>
        <w:t>Zhanatay</w:t>
      </w:r>
      <w:proofErr w:type="spellEnd"/>
      <w:r w:rsidRPr="00185BC0">
        <w:rPr>
          <w:sz w:val="28"/>
          <w:szCs w:val="28"/>
          <w:lang w:val="en-US"/>
        </w:rPr>
        <w:t xml:space="preserve"> R., </w:t>
      </w:r>
      <w:proofErr w:type="spellStart"/>
      <w:r w:rsidRPr="00185BC0">
        <w:rPr>
          <w:sz w:val="28"/>
          <w:szCs w:val="28"/>
          <w:lang w:val="en-US"/>
        </w:rPr>
        <w:t>Baidalin</w:t>
      </w:r>
      <w:proofErr w:type="spellEnd"/>
      <w:r w:rsidRPr="00185BC0">
        <w:rPr>
          <w:sz w:val="28"/>
          <w:szCs w:val="28"/>
          <w:lang w:val="en-US"/>
        </w:rPr>
        <w:t xml:space="preserve"> T., </w:t>
      </w:r>
      <w:proofErr w:type="spellStart"/>
      <w:r w:rsidRPr="00185BC0">
        <w:rPr>
          <w:sz w:val="28"/>
          <w:szCs w:val="28"/>
          <w:lang w:val="en-US"/>
        </w:rPr>
        <w:t>Suleimenov</w:t>
      </w:r>
      <w:proofErr w:type="spellEnd"/>
      <w:r w:rsidRPr="00185BC0">
        <w:rPr>
          <w:sz w:val="28"/>
          <w:szCs w:val="28"/>
          <w:lang w:val="en-US"/>
        </w:rPr>
        <w:t xml:space="preserve"> B., </w:t>
      </w:r>
      <w:proofErr w:type="spellStart"/>
      <w:r w:rsidRPr="00185BC0">
        <w:rPr>
          <w:sz w:val="28"/>
          <w:szCs w:val="28"/>
          <w:lang w:val="en-US"/>
        </w:rPr>
        <w:t>Beknazarov</w:t>
      </w:r>
      <w:proofErr w:type="spellEnd"/>
      <w:r w:rsidRPr="00185BC0">
        <w:rPr>
          <w:sz w:val="28"/>
          <w:szCs w:val="28"/>
          <w:lang w:val="en-US"/>
        </w:rPr>
        <w:t xml:space="preserve"> A., </w:t>
      </w:r>
      <w:proofErr w:type="spellStart"/>
      <w:r w:rsidRPr="00185BC0">
        <w:rPr>
          <w:sz w:val="28"/>
          <w:szCs w:val="28"/>
          <w:lang w:val="en-US"/>
        </w:rPr>
        <w:t>Azamatov</w:t>
      </w:r>
      <w:proofErr w:type="spellEnd"/>
      <w:r w:rsidRPr="00185BC0">
        <w:rPr>
          <w:sz w:val="28"/>
          <w:szCs w:val="28"/>
          <w:lang w:val="en-US"/>
        </w:rPr>
        <w:t xml:space="preserve"> B., </w:t>
      </w:r>
      <w:proofErr w:type="spellStart"/>
      <w:r w:rsidRPr="00185BC0">
        <w:rPr>
          <w:sz w:val="28"/>
          <w:szCs w:val="28"/>
          <w:lang w:val="en-US"/>
        </w:rPr>
        <w:t>Beisekenov</w:t>
      </w:r>
      <w:proofErr w:type="spellEnd"/>
      <w:r w:rsidRPr="00185BC0">
        <w:rPr>
          <w:sz w:val="28"/>
          <w:szCs w:val="28"/>
          <w:lang w:val="en-US"/>
        </w:rPr>
        <w:t xml:space="preserve"> N. Mathematical modeling and biomechanical analysis of a </w:t>
      </w:r>
      <w:proofErr w:type="spellStart"/>
      <w:r w:rsidRPr="00185BC0">
        <w:rPr>
          <w:sz w:val="28"/>
          <w:szCs w:val="28"/>
          <w:lang w:val="en-US"/>
        </w:rPr>
        <w:t>derotation</w:t>
      </w:r>
      <w:proofErr w:type="spellEnd"/>
      <w:r w:rsidRPr="00185BC0">
        <w:rPr>
          <w:sz w:val="28"/>
          <w:szCs w:val="28"/>
          <w:lang w:val="en-US"/>
        </w:rPr>
        <w:t xml:space="preserve"> plate for treating complex hip dysplasia // Applied Sciences</w:t>
      </w:r>
      <w:r w:rsidR="006B6FF2" w:rsidRPr="00185BC0">
        <w:rPr>
          <w:sz w:val="28"/>
          <w:szCs w:val="28"/>
          <w:lang w:val="en-US"/>
        </w:rPr>
        <w:t xml:space="preserve"> (Switzerland)</w:t>
      </w:r>
      <w:r w:rsidRPr="00185BC0">
        <w:rPr>
          <w:sz w:val="28"/>
          <w:szCs w:val="28"/>
          <w:lang w:val="en-US"/>
        </w:rPr>
        <w:t xml:space="preserve">. </w:t>
      </w:r>
      <w:r w:rsidR="00DA5A93" w:rsidRPr="00185BC0">
        <w:rPr>
          <w:sz w:val="28"/>
          <w:szCs w:val="28"/>
          <w:lang w:val="en-US"/>
        </w:rPr>
        <w:t>–</w:t>
      </w:r>
      <w:r w:rsidRPr="00185BC0">
        <w:rPr>
          <w:sz w:val="28"/>
          <w:szCs w:val="28"/>
          <w:lang w:val="en-US"/>
        </w:rPr>
        <w:t xml:space="preserve"> 2025. </w:t>
      </w:r>
      <w:r w:rsidR="00DA5A93" w:rsidRPr="00185BC0">
        <w:rPr>
          <w:sz w:val="28"/>
          <w:szCs w:val="28"/>
          <w:lang w:val="en-US"/>
        </w:rPr>
        <w:t>–</w:t>
      </w:r>
      <w:r w:rsidRPr="00185BC0">
        <w:rPr>
          <w:sz w:val="28"/>
          <w:szCs w:val="28"/>
          <w:lang w:val="en-US"/>
        </w:rPr>
        <w:t xml:space="preserve"> Vol. 15, No. 6. </w:t>
      </w:r>
      <w:r w:rsidR="00DA5A93" w:rsidRPr="00185BC0">
        <w:rPr>
          <w:sz w:val="28"/>
          <w:szCs w:val="28"/>
          <w:lang w:val="en-US"/>
        </w:rPr>
        <w:t>–</w:t>
      </w:r>
      <w:r w:rsidRPr="00185BC0">
        <w:rPr>
          <w:sz w:val="28"/>
          <w:szCs w:val="28"/>
          <w:lang w:val="en-US"/>
        </w:rPr>
        <w:t xml:space="preserve"> P.</w:t>
      </w:r>
    </w:p>
    <w:p w14:paraId="17614303" w14:textId="209E8EF7" w:rsidR="008D6824" w:rsidRPr="00185BC0" w:rsidRDefault="00556BA8" w:rsidP="00907AE6">
      <w:pPr>
        <w:pStyle w:val="a6"/>
        <w:numPr>
          <w:ilvl w:val="0"/>
          <w:numId w:val="17"/>
        </w:numPr>
        <w:ind w:left="0" w:firstLine="567"/>
        <w:jc w:val="both"/>
        <w:rPr>
          <w:sz w:val="28"/>
          <w:szCs w:val="28"/>
          <w:lang w:val="en-US"/>
        </w:rPr>
      </w:pPr>
      <w:proofErr w:type="spellStart"/>
      <w:r w:rsidRPr="00185BC0">
        <w:rPr>
          <w:sz w:val="28"/>
          <w:szCs w:val="28"/>
          <w:lang w:val="en-US"/>
        </w:rPr>
        <w:t>Ramazanov</w:t>
      </w:r>
      <w:proofErr w:type="spellEnd"/>
      <w:r w:rsidRPr="00185BC0">
        <w:rPr>
          <w:sz w:val="28"/>
          <w:szCs w:val="28"/>
          <w:lang w:val="en-US"/>
        </w:rPr>
        <w:t xml:space="preserve"> </w:t>
      </w:r>
      <w:proofErr w:type="spellStart"/>
      <w:r w:rsidRPr="00185BC0">
        <w:rPr>
          <w:sz w:val="28"/>
          <w:szCs w:val="28"/>
          <w:lang w:val="en-US"/>
        </w:rPr>
        <w:t>Zh</w:t>
      </w:r>
      <w:proofErr w:type="spellEnd"/>
      <w:r w:rsidRPr="00185BC0">
        <w:rPr>
          <w:sz w:val="28"/>
          <w:szCs w:val="28"/>
          <w:lang w:val="en-US"/>
        </w:rPr>
        <w:t xml:space="preserve">., </w:t>
      </w:r>
      <w:proofErr w:type="spellStart"/>
      <w:r w:rsidRPr="00185BC0">
        <w:rPr>
          <w:sz w:val="28"/>
          <w:szCs w:val="28"/>
          <w:lang w:val="en-US"/>
        </w:rPr>
        <w:t>Ashimov</w:t>
      </w:r>
      <w:proofErr w:type="spellEnd"/>
      <w:r w:rsidRPr="00185BC0">
        <w:rPr>
          <w:sz w:val="28"/>
          <w:szCs w:val="28"/>
          <w:lang w:val="en-US"/>
        </w:rPr>
        <w:t xml:space="preserve"> K., Oktyabrova D., </w:t>
      </w:r>
      <w:proofErr w:type="spellStart"/>
      <w:r w:rsidRPr="00185BC0">
        <w:rPr>
          <w:sz w:val="28"/>
          <w:szCs w:val="28"/>
          <w:lang w:val="en-US"/>
        </w:rPr>
        <w:t>Guclu</w:t>
      </w:r>
      <w:proofErr w:type="spellEnd"/>
      <w:r w:rsidRPr="00185BC0">
        <w:rPr>
          <w:sz w:val="28"/>
          <w:szCs w:val="28"/>
          <w:lang w:val="en-US"/>
        </w:rPr>
        <w:t xml:space="preserve"> B., </w:t>
      </w:r>
      <w:proofErr w:type="spellStart"/>
      <w:r w:rsidRPr="00185BC0">
        <w:rPr>
          <w:sz w:val="28"/>
          <w:szCs w:val="28"/>
          <w:lang w:val="en-US"/>
        </w:rPr>
        <w:t>Iskakov</w:t>
      </w:r>
      <w:proofErr w:type="spellEnd"/>
      <w:r w:rsidRPr="00185BC0">
        <w:rPr>
          <w:sz w:val="28"/>
          <w:szCs w:val="28"/>
          <w:lang w:val="en-US"/>
        </w:rPr>
        <w:t xml:space="preserve"> Y., </w:t>
      </w:r>
      <w:proofErr w:type="spellStart"/>
      <w:r w:rsidRPr="00185BC0">
        <w:rPr>
          <w:sz w:val="28"/>
          <w:szCs w:val="28"/>
          <w:lang w:val="en-US"/>
        </w:rPr>
        <w:t>Baidalin</w:t>
      </w:r>
      <w:proofErr w:type="spellEnd"/>
      <w:r w:rsidRPr="00185BC0">
        <w:rPr>
          <w:sz w:val="28"/>
          <w:szCs w:val="28"/>
          <w:lang w:val="en-US"/>
        </w:rPr>
        <w:t xml:space="preserve"> T., </w:t>
      </w:r>
      <w:proofErr w:type="spellStart"/>
      <w:r w:rsidRPr="00185BC0">
        <w:rPr>
          <w:sz w:val="28"/>
          <w:szCs w:val="28"/>
          <w:lang w:val="en-US"/>
        </w:rPr>
        <w:t>Suleimenov</w:t>
      </w:r>
      <w:proofErr w:type="spellEnd"/>
      <w:r w:rsidRPr="00185BC0">
        <w:rPr>
          <w:sz w:val="28"/>
          <w:szCs w:val="28"/>
          <w:lang w:val="en-US"/>
        </w:rPr>
        <w:t xml:space="preserve"> B., </w:t>
      </w:r>
      <w:proofErr w:type="spellStart"/>
      <w:r w:rsidRPr="00185BC0">
        <w:rPr>
          <w:sz w:val="28"/>
          <w:szCs w:val="28"/>
          <w:lang w:val="en-US"/>
        </w:rPr>
        <w:t>Yestay</w:t>
      </w:r>
      <w:proofErr w:type="spellEnd"/>
      <w:r w:rsidRPr="00185BC0">
        <w:rPr>
          <w:sz w:val="28"/>
          <w:szCs w:val="28"/>
          <w:lang w:val="en-US"/>
        </w:rPr>
        <w:t xml:space="preserve"> D., </w:t>
      </w:r>
      <w:proofErr w:type="spellStart"/>
      <w:r w:rsidRPr="00185BC0">
        <w:rPr>
          <w:sz w:val="28"/>
          <w:szCs w:val="28"/>
          <w:lang w:val="en-US"/>
        </w:rPr>
        <w:t>Beknazarov</w:t>
      </w:r>
      <w:proofErr w:type="spellEnd"/>
      <w:r w:rsidRPr="00185BC0">
        <w:rPr>
          <w:sz w:val="28"/>
          <w:szCs w:val="28"/>
          <w:lang w:val="en-US"/>
        </w:rPr>
        <w:t xml:space="preserve"> A. Early Functional and Radiographic Outcomes of Stable Fixation with a </w:t>
      </w:r>
      <w:proofErr w:type="spellStart"/>
      <w:r w:rsidRPr="00185BC0">
        <w:rPr>
          <w:sz w:val="28"/>
          <w:szCs w:val="28"/>
          <w:lang w:val="en-US"/>
        </w:rPr>
        <w:t>Derotational</w:t>
      </w:r>
      <w:proofErr w:type="spellEnd"/>
      <w:r w:rsidRPr="00185BC0">
        <w:rPr>
          <w:sz w:val="28"/>
          <w:szCs w:val="28"/>
          <w:lang w:val="en-US"/>
        </w:rPr>
        <w:t xml:space="preserve"> Plate in Subtrochanteric Osteotomy for Crowe IV Developmental Dysplasia of the Hip</w:t>
      </w:r>
      <w:r w:rsidR="008D6824" w:rsidRPr="00185BC0">
        <w:rPr>
          <w:sz w:val="28"/>
          <w:szCs w:val="28"/>
          <w:lang w:val="en-US"/>
        </w:rPr>
        <w:t xml:space="preserve"> //</w:t>
      </w:r>
      <w:r w:rsidRPr="00185BC0">
        <w:rPr>
          <w:sz w:val="28"/>
          <w:szCs w:val="28"/>
          <w:lang w:val="en-US"/>
        </w:rPr>
        <w:t xml:space="preserve"> Orthopedic Reviews</w:t>
      </w:r>
      <w:r w:rsidR="008D6824" w:rsidRPr="00185BC0">
        <w:rPr>
          <w:sz w:val="28"/>
          <w:szCs w:val="28"/>
          <w:lang w:val="en-US"/>
        </w:rPr>
        <w:t>. – 2025. – Vol. 17. doi:10.52965/001c.150316.</w:t>
      </w:r>
    </w:p>
    <w:p w14:paraId="59EC4AE3" w14:textId="6CA948ED" w:rsidR="00881B68" w:rsidRPr="00185BC0" w:rsidRDefault="00881B68" w:rsidP="00024A35">
      <w:pPr>
        <w:ind w:firstLine="567"/>
        <w:jc w:val="both"/>
        <w:rPr>
          <w:sz w:val="28"/>
          <w:szCs w:val="28"/>
        </w:rPr>
      </w:pPr>
      <w:r w:rsidRPr="00185BC0">
        <w:rPr>
          <w:sz w:val="28"/>
          <w:szCs w:val="28"/>
        </w:rPr>
        <w:t>2 публикации в научных изданиях, рекомендованных Комитетом по обеспечению качества в сфере науки и высшего образования МНВО РК:</w:t>
      </w:r>
    </w:p>
    <w:p w14:paraId="5901D967" w14:textId="6CFCCEFC" w:rsidR="00881B68" w:rsidRPr="00185BC0" w:rsidRDefault="00881B68" w:rsidP="00881B68">
      <w:pPr>
        <w:ind w:firstLine="567"/>
        <w:jc w:val="both"/>
        <w:rPr>
          <w:sz w:val="28"/>
          <w:szCs w:val="28"/>
          <w:lang w:val="en-US"/>
        </w:rPr>
      </w:pPr>
      <w:r w:rsidRPr="00185BC0">
        <w:rPr>
          <w:sz w:val="28"/>
          <w:szCs w:val="28"/>
          <w:lang w:val="en-US"/>
        </w:rPr>
        <w:t>1.</w:t>
      </w:r>
      <w:r w:rsidRPr="00185BC0">
        <w:rPr>
          <w:sz w:val="28"/>
          <w:szCs w:val="28"/>
          <w:lang w:val="en-US"/>
        </w:rPr>
        <w:tab/>
        <w:t xml:space="preserve">Oktyabrova D., </w:t>
      </w:r>
      <w:proofErr w:type="spellStart"/>
      <w:r w:rsidRPr="00185BC0">
        <w:rPr>
          <w:sz w:val="28"/>
          <w:szCs w:val="28"/>
          <w:lang w:val="en-US"/>
        </w:rPr>
        <w:t>Ashimov</w:t>
      </w:r>
      <w:proofErr w:type="spellEnd"/>
      <w:r w:rsidRPr="00185BC0">
        <w:rPr>
          <w:sz w:val="28"/>
          <w:szCs w:val="28"/>
          <w:lang w:val="en-US"/>
        </w:rPr>
        <w:t xml:space="preserve"> K., </w:t>
      </w:r>
      <w:proofErr w:type="spellStart"/>
      <w:r w:rsidRPr="00185BC0">
        <w:rPr>
          <w:sz w:val="28"/>
          <w:szCs w:val="28"/>
          <w:lang w:val="en-US"/>
        </w:rPr>
        <w:t>Guclu</w:t>
      </w:r>
      <w:proofErr w:type="spellEnd"/>
      <w:r w:rsidRPr="00185BC0">
        <w:rPr>
          <w:sz w:val="28"/>
          <w:szCs w:val="28"/>
          <w:lang w:val="en-US"/>
        </w:rPr>
        <w:t xml:space="preserve"> B., </w:t>
      </w:r>
      <w:proofErr w:type="spellStart"/>
      <w:r w:rsidRPr="00185BC0">
        <w:rPr>
          <w:sz w:val="28"/>
          <w:szCs w:val="28"/>
          <w:lang w:val="en-US"/>
        </w:rPr>
        <w:t>Abilmazhinov</w:t>
      </w:r>
      <w:proofErr w:type="spellEnd"/>
      <w:r w:rsidRPr="00185BC0">
        <w:rPr>
          <w:sz w:val="28"/>
          <w:szCs w:val="28"/>
          <w:lang w:val="en-US"/>
        </w:rPr>
        <w:t xml:space="preserve"> M., </w:t>
      </w:r>
      <w:proofErr w:type="spellStart"/>
      <w:r w:rsidRPr="00185BC0">
        <w:rPr>
          <w:sz w:val="28"/>
          <w:szCs w:val="28"/>
          <w:lang w:val="en-US"/>
        </w:rPr>
        <w:t>Suleimenov</w:t>
      </w:r>
      <w:proofErr w:type="spellEnd"/>
      <w:r w:rsidRPr="00185BC0">
        <w:rPr>
          <w:sz w:val="28"/>
          <w:szCs w:val="28"/>
          <w:lang w:val="en-US"/>
        </w:rPr>
        <w:t xml:space="preserve"> B., </w:t>
      </w:r>
      <w:proofErr w:type="spellStart"/>
      <w:r w:rsidRPr="00185BC0">
        <w:rPr>
          <w:sz w:val="28"/>
          <w:szCs w:val="28"/>
          <w:lang w:val="en-US"/>
        </w:rPr>
        <w:t>Baidalin</w:t>
      </w:r>
      <w:proofErr w:type="spellEnd"/>
      <w:r w:rsidRPr="00185BC0">
        <w:rPr>
          <w:sz w:val="28"/>
          <w:szCs w:val="28"/>
          <w:lang w:val="en-US"/>
        </w:rPr>
        <w:t xml:space="preserve"> T., </w:t>
      </w:r>
      <w:proofErr w:type="spellStart"/>
      <w:r w:rsidRPr="00185BC0">
        <w:rPr>
          <w:sz w:val="28"/>
          <w:szCs w:val="28"/>
          <w:lang w:val="en-US"/>
        </w:rPr>
        <w:t>Beknazarov</w:t>
      </w:r>
      <w:proofErr w:type="spellEnd"/>
      <w:r w:rsidRPr="00185BC0">
        <w:rPr>
          <w:sz w:val="28"/>
          <w:szCs w:val="28"/>
          <w:lang w:val="en-US"/>
        </w:rPr>
        <w:t xml:space="preserve"> A., </w:t>
      </w:r>
      <w:proofErr w:type="spellStart"/>
      <w:r w:rsidRPr="00185BC0">
        <w:rPr>
          <w:sz w:val="28"/>
          <w:szCs w:val="28"/>
          <w:lang w:val="en-US"/>
        </w:rPr>
        <w:t>Agabekov</w:t>
      </w:r>
      <w:proofErr w:type="spellEnd"/>
      <w:r w:rsidRPr="00185BC0">
        <w:rPr>
          <w:sz w:val="28"/>
          <w:szCs w:val="28"/>
          <w:lang w:val="en-US"/>
        </w:rPr>
        <w:t xml:space="preserve"> E. Total hip arthroplasty with subtrochanteric shortening osteotomy using </w:t>
      </w:r>
      <w:proofErr w:type="spellStart"/>
      <w:r w:rsidRPr="00185BC0">
        <w:rPr>
          <w:sz w:val="28"/>
          <w:szCs w:val="28"/>
          <w:lang w:val="en-US"/>
        </w:rPr>
        <w:t>derotational</w:t>
      </w:r>
      <w:proofErr w:type="spellEnd"/>
      <w:r w:rsidRPr="00185BC0">
        <w:rPr>
          <w:sz w:val="28"/>
          <w:szCs w:val="28"/>
          <w:lang w:val="en-US"/>
        </w:rPr>
        <w:t xml:space="preserve"> plate: a clinical case // Traumatology and </w:t>
      </w:r>
      <w:proofErr w:type="spellStart"/>
      <w:r w:rsidRPr="00185BC0">
        <w:rPr>
          <w:sz w:val="28"/>
          <w:szCs w:val="28"/>
          <w:lang w:val="en-US"/>
        </w:rPr>
        <w:t>Orthopaedics</w:t>
      </w:r>
      <w:proofErr w:type="spellEnd"/>
      <w:r w:rsidRPr="00185BC0">
        <w:rPr>
          <w:sz w:val="28"/>
          <w:szCs w:val="28"/>
          <w:lang w:val="en-US"/>
        </w:rPr>
        <w:t xml:space="preserve"> of Kazakhstan. </w:t>
      </w:r>
      <w:r w:rsidR="00DA5A93" w:rsidRPr="00185BC0">
        <w:rPr>
          <w:sz w:val="28"/>
          <w:szCs w:val="28"/>
          <w:lang w:val="en-US"/>
        </w:rPr>
        <w:t>–</w:t>
      </w:r>
      <w:r w:rsidRPr="00185BC0">
        <w:rPr>
          <w:sz w:val="28"/>
          <w:szCs w:val="28"/>
          <w:lang w:val="en-US"/>
        </w:rPr>
        <w:t xml:space="preserve"> Astana, 2024. </w:t>
      </w:r>
      <w:r w:rsidR="00DA5A93" w:rsidRPr="00185BC0">
        <w:rPr>
          <w:sz w:val="28"/>
          <w:szCs w:val="28"/>
          <w:lang w:val="en-US"/>
        </w:rPr>
        <w:t>–</w:t>
      </w:r>
      <w:r w:rsidRPr="00185BC0">
        <w:rPr>
          <w:sz w:val="28"/>
          <w:szCs w:val="28"/>
          <w:lang w:val="en-US"/>
        </w:rPr>
        <w:t xml:space="preserve"> Vol. 4, No. 75. </w:t>
      </w:r>
      <w:r w:rsidR="00DA5A93" w:rsidRPr="00185BC0">
        <w:rPr>
          <w:sz w:val="28"/>
          <w:szCs w:val="28"/>
          <w:lang w:val="en-US"/>
        </w:rPr>
        <w:t>–</w:t>
      </w:r>
      <w:r w:rsidRPr="00185BC0">
        <w:rPr>
          <w:sz w:val="28"/>
          <w:szCs w:val="28"/>
          <w:lang w:val="en-US"/>
        </w:rPr>
        <w:t xml:space="preserve"> P. 51–57.DOI: 10.52889/1684-9280-2024-4-75-51-57</w:t>
      </w:r>
    </w:p>
    <w:p w14:paraId="36FE36AF" w14:textId="1991C8B7" w:rsidR="00881B68" w:rsidRPr="00185BC0" w:rsidRDefault="00881B68" w:rsidP="00881B68">
      <w:pPr>
        <w:ind w:firstLine="567"/>
        <w:jc w:val="both"/>
        <w:rPr>
          <w:sz w:val="28"/>
          <w:szCs w:val="28"/>
        </w:rPr>
      </w:pPr>
      <w:r w:rsidRPr="00185BC0">
        <w:rPr>
          <w:sz w:val="28"/>
          <w:szCs w:val="28"/>
          <w:lang w:val="en-US"/>
        </w:rPr>
        <w:t>2.</w:t>
      </w:r>
      <w:r w:rsidRPr="00185BC0">
        <w:rPr>
          <w:sz w:val="28"/>
          <w:szCs w:val="28"/>
          <w:lang w:val="en-US"/>
        </w:rPr>
        <w:tab/>
      </w:r>
      <w:proofErr w:type="spellStart"/>
      <w:r w:rsidRPr="00185BC0">
        <w:rPr>
          <w:sz w:val="28"/>
          <w:szCs w:val="28"/>
          <w:lang w:val="en-US"/>
        </w:rPr>
        <w:t>Beknazarov</w:t>
      </w:r>
      <w:proofErr w:type="spellEnd"/>
      <w:r w:rsidRPr="00185BC0">
        <w:rPr>
          <w:sz w:val="28"/>
          <w:szCs w:val="28"/>
          <w:lang w:val="en-US"/>
        </w:rPr>
        <w:t xml:space="preserve"> A., </w:t>
      </w:r>
      <w:proofErr w:type="spellStart"/>
      <w:r w:rsidRPr="00185BC0">
        <w:rPr>
          <w:sz w:val="28"/>
          <w:szCs w:val="28"/>
          <w:lang w:val="en-US"/>
        </w:rPr>
        <w:t>Ashimov</w:t>
      </w:r>
      <w:proofErr w:type="spellEnd"/>
      <w:r w:rsidRPr="00185BC0">
        <w:rPr>
          <w:sz w:val="28"/>
          <w:szCs w:val="28"/>
          <w:lang w:val="en-US"/>
        </w:rPr>
        <w:t xml:space="preserve"> K., </w:t>
      </w:r>
      <w:proofErr w:type="spellStart"/>
      <w:r w:rsidRPr="00185BC0">
        <w:rPr>
          <w:sz w:val="28"/>
          <w:szCs w:val="28"/>
          <w:lang w:val="en-US"/>
        </w:rPr>
        <w:t>Guclu</w:t>
      </w:r>
      <w:proofErr w:type="spellEnd"/>
      <w:r w:rsidRPr="00185BC0">
        <w:rPr>
          <w:sz w:val="28"/>
          <w:szCs w:val="28"/>
          <w:lang w:val="en-US"/>
        </w:rPr>
        <w:t xml:space="preserve"> B., Oktyabrova D., </w:t>
      </w:r>
      <w:proofErr w:type="spellStart"/>
      <w:r w:rsidRPr="00185BC0">
        <w:rPr>
          <w:sz w:val="28"/>
          <w:szCs w:val="28"/>
          <w:lang w:val="en-US"/>
        </w:rPr>
        <w:t>Baidalin</w:t>
      </w:r>
      <w:proofErr w:type="spellEnd"/>
      <w:r w:rsidRPr="00185BC0">
        <w:rPr>
          <w:sz w:val="28"/>
          <w:szCs w:val="28"/>
          <w:lang w:val="en-US"/>
        </w:rPr>
        <w:t xml:space="preserve"> T., </w:t>
      </w:r>
      <w:proofErr w:type="spellStart"/>
      <w:r w:rsidRPr="00185BC0">
        <w:rPr>
          <w:sz w:val="28"/>
          <w:szCs w:val="28"/>
          <w:lang w:val="en-US"/>
        </w:rPr>
        <w:t>Suleimenov</w:t>
      </w:r>
      <w:proofErr w:type="spellEnd"/>
      <w:r w:rsidRPr="00185BC0">
        <w:rPr>
          <w:sz w:val="28"/>
          <w:szCs w:val="28"/>
          <w:lang w:val="en-US"/>
        </w:rPr>
        <w:t xml:space="preserve"> B., </w:t>
      </w:r>
      <w:proofErr w:type="spellStart"/>
      <w:r w:rsidRPr="00185BC0">
        <w:rPr>
          <w:sz w:val="28"/>
          <w:szCs w:val="28"/>
          <w:lang w:val="en-US"/>
        </w:rPr>
        <w:t>Agabekov</w:t>
      </w:r>
      <w:proofErr w:type="spellEnd"/>
      <w:r w:rsidRPr="00185BC0">
        <w:rPr>
          <w:sz w:val="28"/>
          <w:szCs w:val="28"/>
          <w:lang w:val="en-US"/>
        </w:rPr>
        <w:t xml:space="preserve"> E. </w:t>
      </w:r>
      <w:proofErr w:type="spellStart"/>
      <w:r w:rsidRPr="00185BC0">
        <w:rPr>
          <w:sz w:val="28"/>
          <w:szCs w:val="28"/>
        </w:rPr>
        <w:t>Несращение</w:t>
      </w:r>
      <w:proofErr w:type="spellEnd"/>
      <w:r w:rsidRPr="00185BC0">
        <w:rPr>
          <w:sz w:val="28"/>
          <w:szCs w:val="28"/>
          <w:lang w:val="en-US"/>
        </w:rPr>
        <w:t xml:space="preserve"> </w:t>
      </w:r>
      <w:r w:rsidRPr="00185BC0">
        <w:rPr>
          <w:sz w:val="28"/>
          <w:szCs w:val="28"/>
        </w:rPr>
        <w:t>места</w:t>
      </w:r>
      <w:r w:rsidRPr="00185BC0">
        <w:rPr>
          <w:sz w:val="28"/>
          <w:szCs w:val="28"/>
          <w:lang w:val="en-US"/>
        </w:rPr>
        <w:t xml:space="preserve"> </w:t>
      </w:r>
      <w:r w:rsidRPr="00185BC0">
        <w:rPr>
          <w:sz w:val="28"/>
          <w:szCs w:val="28"/>
        </w:rPr>
        <w:t>остеотомии</w:t>
      </w:r>
      <w:r w:rsidRPr="00185BC0">
        <w:rPr>
          <w:sz w:val="28"/>
          <w:szCs w:val="28"/>
          <w:lang w:val="en-US"/>
        </w:rPr>
        <w:t xml:space="preserve"> </w:t>
      </w:r>
      <w:r w:rsidRPr="00185BC0">
        <w:rPr>
          <w:sz w:val="28"/>
          <w:szCs w:val="28"/>
        </w:rPr>
        <w:t>при</w:t>
      </w:r>
      <w:r w:rsidRPr="00185BC0">
        <w:rPr>
          <w:sz w:val="28"/>
          <w:szCs w:val="28"/>
          <w:lang w:val="en-US"/>
        </w:rPr>
        <w:t xml:space="preserve"> </w:t>
      </w:r>
      <w:r w:rsidRPr="00185BC0">
        <w:rPr>
          <w:sz w:val="28"/>
          <w:szCs w:val="28"/>
        </w:rPr>
        <w:t>поперечной</w:t>
      </w:r>
      <w:r w:rsidRPr="00185BC0">
        <w:rPr>
          <w:sz w:val="28"/>
          <w:szCs w:val="28"/>
          <w:lang w:val="en-US"/>
        </w:rPr>
        <w:t xml:space="preserve"> </w:t>
      </w:r>
      <w:r w:rsidRPr="00185BC0">
        <w:rPr>
          <w:sz w:val="28"/>
          <w:szCs w:val="28"/>
        </w:rPr>
        <w:t>укорачивающей</w:t>
      </w:r>
      <w:r w:rsidRPr="00185BC0">
        <w:rPr>
          <w:sz w:val="28"/>
          <w:szCs w:val="28"/>
          <w:lang w:val="en-US"/>
        </w:rPr>
        <w:t xml:space="preserve"> </w:t>
      </w:r>
      <w:r w:rsidRPr="00185BC0">
        <w:rPr>
          <w:sz w:val="28"/>
          <w:szCs w:val="28"/>
        </w:rPr>
        <w:t>остеотомии</w:t>
      </w:r>
      <w:r w:rsidRPr="00185BC0">
        <w:rPr>
          <w:sz w:val="28"/>
          <w:szCs w:val="28"/>
          <w:lang w:val="en-US"/>
        </w:rPr>
        <w:t xml:space="preserve"> </w:t>
      </w:r>
      <w:r w:rsidRPr="00185BC0">
        <w:rPr>
          <w:sz w:val="28"/>
          <w:szCs w:val="28"/>
        </w:rPr>
        <w:t>бедренной</w:t>
      </w:r>
      <w:r w:rsidRPr="00185BC0">
        <w:rPr>
          <w:sz w:val="28"/>
          <w:szCs w:val="28"/>
          <w:lang w:val="en-US"/>
        </w:rPr>
        <w:t xml:space="preserve"> </w:t>
      </w:r>
      <w:r w:rsidRPr="00185BC0">
        <w:rPr>
          <w:sz w:val="28"/>
          <w:szCs w:val="28"/>
        </w:rPr>
        <w:t>кости</w:t>
      </w:r>
      <w:r w:rsidRPr="00185BC0">
        <w:rPr>
          <w:sz w:val="28"/>
          <w:szCs w:val="28"/>
          <w:lang w:val="en-US"/>
        </w:rPr>
        <w:t xml:space="preserve"> </w:t>
      </w:r>
      <w:r w:rsidRPr="00185BC0">
        <w:rPr>
          <w:sz w:val="28"/>
          <w:szCs w:val="28"/>
        </w:rPr>
        <w:t>в</w:t>
      </w:r>
      <w:r w:rsidRPr="00185BC0">
        <w:rPr>
          <w:sz w:val="28"/>
          <w:szCs w:val="28"/>
          <w:lang w:val="en-US"/>
        </w:rPr>
        <w:t xml:space="preserve"> </w:t>
      </w:r>
      <w:r w:rsidRPr="00185BC0">
        <w:rPr>
          <w:sz w:val="28"/>
          <w:szCs w:val="28"/>
        </w:rPr>
        <w:t>сочетании</w:t>
      </w:r>
      <w:r w:rsidRPr="00185BC0">
        <w:rPr>
          <w:sz w:val="28"/>
          <w:szCs w:val="28"/>
          <w:lang w:val="en-US"/>
        </w:rPr>
        <w:t xml:space="preserve"> </w:t>
      </w:r>
      <w:r w:rsidRPr="00185BC0">
        <w:rPr>
          <w:sz w:val="28"/>
          <w:szCs w:val="28"/>
        </w:rPr>
        <w:t>с</w:t>
      </w:r>
      <w:r w:rsidRPr="00185BC0">
        <w:rPr>
          <w:sz w:val="28"/>
          <w:szCs w:val="28"/>
          <w:lang w:val="en-US"/>
        </w:rPr>
        <w:t xml:space="preserve"> </w:t>
      </w:r>
      <w:r w:rsidRPr="00185BC0">
        <w:rPr>
          <w:sz w:val="28"/>
          <w:szCs w:val="28"/>
        </w:rPr>
        <w:t>ТЭТС</w:t>
      </w:r>
      <w:r w:rsidRPr="00185BC0">
        <w:rPr>
          <w:sz w:val="28"/>
          <w:szCs w:val="28"/>
          <w:lang w:val="en-US"/>
        </w:rPr>
        <w:t xml:space="preserve">: </w:t>
      </w:r>
      <w:r w:rsidRPr="00185BC0">
        <w:rPr>
          <w:sz w:val="28"/>
          <w:szCs w:val="28"/>
        </w:rPr>
        <w:t>клинический</w:t>
      </w:r>
      <w:r w:rsidRPr="00185BC0">
        <w:rPr>
          <w:sz w:val="28"/>
          <w:szCs w:val="28"/>
          <w:lang w:val="en-US"/>
        </w:rPr>
        <w:t xml:space="preserve"> </w:t>
      </w:r>
      <w:r w:rsidRPr="00185BC0">
        <w:rPr>
          <w:sz w:val="28"/>
          <w:szCs w:val="28"/>
        </w:rPr>
        <w:t>случай</w:t>
      </w:r>
      <w:r w:rsidRPr="00185BC0">
        <w:rPr>
          <w:sz w:val="28"/>
          <w:szCs w:val="28"/>
          <w:lang w:val="en-US"/>
        </w:rPr>
        <w:t xml:space="preserve"> // Astana </w:t>
      </w:r>
      <w:proofErr w:type="spellStart"/>
      <w:r w:rsidRPr="00185BC0">
        <w:rPr>
          <w:sz w:val="28"/>
          <w:szCs w:val="28"/>
          <w:lang w:val="en-US"/>
        </w:rPr>
        <w:t>Medicinalyk</w:t>
      </w:r>
      <w:proofErr w:type="spellEnd"/>
      <w:r w:rsidRPr="00185BC0">
        <w:rPr>
          <w:sz w:val="28"/>
          <w:szCs w:val="28"/>
          <w:lang w:val="en-US"/>
        </w:rPr>
        <w:t xml:space="preserve"> </w:t>
      </w:r>
      <w:proofErr w:type="spellStart"/>
      <w:r w:rsidRPr="00185BC0">
        <w:rPr>
          <w:sz w:val="28"/>
          <w:szCs w:val="28"/>
          <w:lang w:val="en-US"/>
        </w:rPr>
        <w:t>Zhurnaly</w:t>
      </w:r>
      <w:proofErr w:type="spellEnd"/>
      <w:r w:rsidRPr="00185BC0">
        <w:rPr>
          <w:sz w:val="28"/>
          <w:szCs w:val="28"/>
          <w:lang w:val="en-US"/>
        </w:rPr>
        <w:t xml:space="preserve">. </w:t>
      </w:r>
      <w:r w:rsidR="00DA5A93" w:rsidRPr="00185BC0">
        <w:rPr>
          <w:sz w:val="28"/>
          <w:szCs w:val="28"/>
          <w:lang w:val="en-US"/>
        </w:rPr>
        <w:t>–</w:t>
      </w:r>
      <w:r w:rsidRPr="00185BC0">
        <w:rPr>
          <w:sz w:val="28"/>
          <w:szCs w:val="28"/>
          <w:lang w:val="en-US"/>
        </w:rPr>
        <w:t xml:space="preserve"> 2024. </w:t>
      </w:r>
      <w:r w:rsidR="00DA5A93" w:rsidRPr="00185BC0">
        <w:rPr>
          <w:sz w:val="28"/>
          <w:szCs w:val="28"/>
          <w:lang w:val="en-US"/>
        </w:rPr>
        <w:t>–</w:t>
      </w:r>
      <w:r w:rsidRPr="00185BC0">
        <w:rPr>
          <w:sz w:val="28"/>
          <w:szCs w:val="28"/>
          <w:lang w:val="en-US"/>
        </w:rPr>
        <w:t xml:space="preserve"> </w:t>
      </w:r>
      <w:r w:rsidRPr="00185BC0">
        <w:rPr>
          <w:sz w:val="28"/>
          <w:szCs w:val="28"/>
        </w:rPr>
        <w:t>Т</w:t>
      </w:r>
      <w:r w:rsidRPr="00185BC0">
        <w:rPr>
          <w:sz w:val="28"/>
          <w:szCs w:val="28"/>
          <w:lang w:val="en-US"/>
        </w:rPr>
        <w:t xml:space="preserve">. 3, № 122. </w:t>
      </w:r>
      <w:r w:rsidR="00DA5A93" w:rsidRPr="00185BC0">
        <w:rPr>
          <w:sz w:val="28"/>
          <w:szCs w:val="28"/>
          <w:lang w:val="en-US"/>
        </w:rPr>
        <w:t>–</w:t>
      </w:r>
      <w:r w:rsidRPr="00185BC0">
        <w:rPr>
          <w:sz w:val="28"/>
          <w:szCs w:val="28"/>
          <w:lang w:val="en-US"/>
        </w:rPr>
        <w:t xml:space="preserve"> </w:t>
      </w:r>
      <w:r w:rsidRPr="00185BC0">
        <w:rPr>
          <w:sz w:val="28"/>
          <w:szCs w:val="28"/>
        </w:rPr>
        <w:t>С</w:t>
      </w:r>
      <w:r w:rsidRPr="00185BC0">
        <w:rPr>
          <w:sz w:val="28"/>
          <w:szCs w:val="28"/>
          <w:lang w:val="en-US"/>
        </w:rPr>
        <w:t xml:space="preserve">. 51–56. </w:t>
      </w:r>
      <w:r w:rsidRPr="00185BC0">
        <w:rPr>
          <w:sz w:val="28"/>
          <w:szCs w:val="28"/>
        </w:rPr>
        <w:t>DOI: 10.54500/2790-1203-2024-3-122-51-56</w:t>
      </w:r>
    </w:p>
    <w:p w14:paraId="5184B17D" w14:textId="71C85948" w:rsidR="00881B68" w:rsidRPr="00185BC0" w:rsidRDefault="00881B68" w:rsidP="00881B68">
      <w:pPr>
        <w:ind w:firstLine="567"/>
        <w:jc w:val="both"/>
        <w:rPr>
          <w:b/>
          <w:bCs/>
          <w:sz w:val="28"/>
          <w:szCs w:val="28"/>
        </w:rPr>
      </w:pPr>
      <w:r w:rsidRPr="00185BC0">
        <w:rPr>
          <w:b/>
          <w:bCs/>
          <w:sz w:val="28"/>
          <w:szCs w:val="28"/>
        </w:rPr>
        <w:tab/>
        <w:t>По теме диссертационной работы зарегистрированы следующие объекты интеллектуальной собственности</w:t>
      </w:r>
    </w:p>
    <w:p w14:paraId="6A99E10C" w14:textId="05B4EEA2" w:rsidR="00881B68" w:rsidRPr="00185BC0" w:rsidRDefault="00881B68" w:rsidP="00D47CC4">
      <w:pPr>
        <w:pStyle w:val="a6"/>
        <w:numPr>
          <w:ilvl w:val="0"/>
          <w:numId w:val="18"/>
        </w:numPr>
        <w:ind w:left="0" w:firstLine="567"/>
        <w:jc w:val="both"/>
        <w:rPr>
          <w:sz w:val="28"/>
          <w:szCs w:val="28"/>
        </w:rPr>
      </w:pPr>
      <w:bookmarkStart w:id="10" w:name="_Hlk217487924"/>
      <w:r w:rsidRPr="00185BC0">
        <w:rPr>
          <w:sz w:val="28"/>
          <w:szCs w:val="28"/>
        </w:rPr>
        <w:t xml:space="preserve">Патент на полезную модель: </w:t>
      </w:r>
      <w:proofErr w:type="spellStart"/>
      <w:r w:rsidRPr="00185BC0">
        <w:rPr>
          <w:sz w:val="28"/>
          <w:szCs w:val="28"/>
        </w:rPr>
        <w:t>Деротационная</w:t>
      </w:r>
      <w:proofErr w:type="spellEnd"/>
      <w:r w:rsidRPr="00185BC0">
        <w:rPr>
          <w:sz w:val="28"/>
          <w:szCs w:val="28"/>
        </w:rPr>
        <w:t xml:space="preserve"> пластина с угловой стабильностью для фиксации зоны </w:t>
      </w:r>
      <w:proofErr w:type="spellStart"/>
      <w:r w:rsidRPr="00185BC0">
        <w:rPr>
          <w:sz w:val="28"/>
          <w:szCs w:val="28"/>
        </w:rPr>
        <w:t>подвертельной</w:t>
      </w:r>
      <w:proofErr w:type="spellEnd"/>
      <w:r w:rsidRPr="00185BC0">
        <w:rPr>
          <w:sz w:val="28"/>
          <w:szCs w:val="28"/>
        </w:rPr>
        <w:t xml:space="preserve"> остеотомии при диспластическом коксартрозе. Авторы: </w:t>
      </w:r>
      <w:proofErr w:type="spellStart"/>
      <w:r w:rsidRPr="00185BC0">
        <w:rPr>
          <w:sz w:val="28"/>
          <w:szCs w:val="28"/>
        </w:rPr>
        <w:t>Ашимов</w:t>
      </w:r>
      <w:proofErr w:type="spellEnd"/>
      <w:r w:rsidRPr="00185BC0">
        <w:rPr>
          <w:sz w:val="28"/>
          <w:szCs w:val="28"/>
        </w:rPr>
        <w:t xml:space="preserve"> К.Д., Сулейменов Б.Т., Бекназаров А.И., Агабеков Е.К., Октяброва Д.Г. № 8955, зарегистрирован в РГП «НИИС», 2024 г.</w:t>
      </w:r>
    </w:p>
    <w:p w14:paraId="2C5B84FE" w14:textId="3DF5012D" w:rsidR="00881B68" w:rsidRPr="00185BC0" w:rsidRDefault="00881B68" w:rsidP="00D47CC4">
      <w:pPr>
        <w:pStyle w:val="a6"/>
        <w:numPr>
          <w:ilvl w:val="0"/>
          <w:numId w:val="18"/>
        </w:numPr>
        <w:ind w:left="0" w:firstLine="709"/>
        <w:jc w:val="both"/>
        <w:rPr>
          <w:sz w:val="28"/>
          <w:szCs w:val="28"/>
        </w:rPr>
      </w:pPr>
      <w:bookmarkStart w:id="11" w:name="_Hlk217487509"/>
      <w:bookmarkEnd w:id="10"/>
      <w:r w:rsidRPr="00185BC0">
        <w:rPr>
          <w:sz w:val="28"/>
          <w:szCs w:val="28"/>
        </w:rPr>
        <w:t xml:space="preserve">Авторское свидетельство: Комплексная база данных пациентов с диспластическим коксартрозом. Авторы: </w:t>
      </w:r>
      <w:proofErr w:type="spellStart"/>
      <w:r w:rsidRPr="00185BC0">
        <w:rPr>
          <w:sz w:val="28"/>
          <w:szCs w:val="28"/>
        </w:rPr>
        <w:t>Байдалин</w:t>
      </w:r>
      <w:proofErr w:type="spellEnd"/>
      <w:r w:rsidRPr="00185BC0">
        <w:rPr>
          <w:sz w:val="28"/>
          <w:szCs w:val="28"/>
        </w:rPr>
        <w:t xml:space="preserve"> Т.Т., </w:t>
      </w:r>
      <w:proofErr w:type="spellStart"/>
      <w:r w:rsidRPr="00185BC0">
        <w:rPr>
          <w:sz w:val="28"/>
          <w:szCs w:val="28"/>
        </w:rPr>
        <w:t>Ашимов</w:t>
      </w:r>
      <w:proofErr w:type="spellEnd"/>
      <w:r w:rsidRPr="00185BC0">
        <w:rPr>
          <w:sz w:val="28"/>
          <w:szCs w:val="28"/>
        </w:rPr>
        <w:t xml:space="preserve"> К.Д., Бекназаров А.Н., </w:t>
      </w:r>
      <w:proofErr w:type="spellStart"/>
      <w:r w:rsidRPr="00185BC0">
        <w:rPr>
          <w:sz w:val="28"/>
          <w:szCs w:val="28"/>
        </w:rPr>
        <w:t>Естай</w:t>
      </w:r>
      <w:proofErr w:type="spellEnd"/>
      <w:r w:rsidRPr="00185BC0">
        <w:rPr>
          <w:sz w:val="28"/>
          <w:szCs w:val="28"/>
        </w:rPr>
        <w:t xml:space="preserve"> Д.Ж., </w:t>
      </w:r>
      <w:proofErr w:type="spellStart"/>
      <w:r w:rsidRPr="00185BC0">
        <w:rPr>
          <w:sz w:val="28"/>
          <w:szCs w:val="28"/>
        </w:rPr>
        <w:t>Октяброва</w:t>
      </w:r>
      <w:proofErr w:type="spellEnd"/>
      <w:r w:rsidRPr="00185BC0">
        <w:rPr>
          <w:sz w:val="28"/>
          <w:szCs w:val="28"/>
        </w:rPr>
        <w:t xml:space="preserve"> Д.Г. Свидетельство о регистрации № 34631, 202</w:t>
      </w:r>
      <w:r w:rsidR="00483103" w:rsidRPr="00185BC0">
        <w:rPr>
          <w:sz w:val="28"/>
          <w:szCs w:val="28"/>
        </w:rPr>
        <w:t>3</w:t>
      </w:r>
      <w:r w:rsidRPr="00185BC0">
        <w:rPr>
          <w:sz w:val="28"/>
          <w:szCs w:val="28"/>
        </w:rPr>
        <w:t xml:space="preserve"> г.</w:t>
      </w:r>
    </w:p>
    <w:p w14:paraId="06E36956" w14:textId="19A97F32" w:rsidR="00266E7A" w:rsidRPr="00185BC0" w:rsidRDefault="00266E7A" w:rsidP="00D47CC4">
      <w:pPr>
        <w:pStyle w:val="a6"/>
        <w:numPr>
          <w:ilvl w:val="0"/>
          <w:numId w:val="18"/>
        </w:numPr>
        <w:ind w:left="0" w:firstLine="709"/>
        <w:jc w:val="both"/>
        <w:rPr>
          <w:sz w:val="28"/>
          <w:szCs w:val="28"/>
        </w:rPr>
      </w:pPr>
      <w:bookmarkStart w:id="12" w:name="_Hlk217487627"/>
      <w:bookmarkEnd w:id="11"/>
      <w:r w:rsidRPr="00185BC0">
        <w:rPr>
          <w:sz w:val="28"/>
          <w:szCs w:val="28"/>
        </w:rPr>
        <w:t xml:space="preserve">Авторское свидетельство: </w:t>
      </w:r>
      <w:r w:rsidR="009E5F5D" w:rsidRPr="00185BC0">
        <w:rPr>
          <w:sz w:val="28"/>
          <w:szCs w:val="28"/>
          <w:lang w:val="kk-KZ"/>
        </w:rPr>
        <w:t>А</w:t>
      </w:r>
      <w:proofErr w:type="spellStart"/>
      <w:r w:rsidRPr="00185BC0">
        <w:rPr>
          <w:sz w:val="28"/>
          <w:szCs w:val="28"/>
        </w:rPr>
        <w:t>лгоритм</w:t>
      </w:r>
      <w:proofErr w:type="spellEnd"/>
      <w:r w:rsidRPr="00185BC0">
        <w:rPr>
          <w:sz w:val="28"/>
          <w:szCs w:val="28"/>
        </w:rPr>
        <w:t xml:space="preserve"> предоперационного планирования </w:t>
      </w:r>
      <w:proofErr w:type="spellStart"/>
      <w:r w:rsidRPr="00185BC0">
        <w:rPr>
          <w:sz w:val="28"/>
          <w:szCs w:val="28"/>
        </w:rPr>
        <w:t>укорочающей</w:t>
      </w:r>
      <w:proofErr w:type="spellEnd"/>
      <w:r w:rsidRPr="00185BC0">
        <w:rPr>
          <w:sz w:val="28"/>
          <w:szCs w:val="28"/>
        </w:rPr>
        <w:t xml:space="preserve"> остеотомии бедренной кости при тотальном эндопротезировании тазобедренного сустава у пациентов с дисплазией </w:t>
      </w:r>
      <w:proofErr w:type="spellStart"/>
      <w:r w:rsidRPr="00185BC0">
        <w:rPr>
          <w:sz w:val="28"/>
          <w:szCs w:val="28"/>
        </w:rPr>
        <w:t>Crowe</w:t>
      </w:r>
      <w:proofErr w:type="spellEnd"/>
      <w:r w:rsidRPr="00185BC0">
        <w:rPr>
          <w:sz w:val="28"/>
          <w:szCs w:val="28"/>
        </w:rPr>
        <w:t xml:space="preserve"> IV. Авторы: </w:t>
      </w:r>
      <w:proofErr w:type="spellStart"/>
      <w:r w:rsidRPr="00185BC0">
        <w:rPr>
          <w:sz w:val="28"/>
          <w:szCs w:val="28"/>
        </w:rPr>
        <w:t>Ашимов</w:t>
      </w:r>
      <w:proofErr w:type="spellEnd"/>
      <w:r w:rsidRPr="00185BC0">
        <w:rPr>
          <w:sz w:val="28"/>
          <w:szCs w:val="28"/>
        </w:rPr>
        <w:t xml:space="preserve"> К.Д., </w:t>
      </w:r>
      <w:proofErr w:type="spellStart"/>
      <w:r w:rsidRPr="00185BC0">
        <w:rPr>
          <w:sz w:val="28"/>
          <w:szCs w:val="28"/>
        </w:rPr>
        <w:t>Октяброва</w:t>
      </w:r>
      <w:proofErr w:type="spellEnd"/>
      <w:r w:rsidRPr="00185BC0">
        <w:rPr>
          <w:sz w:val="28"/>
          <w:szCs w:val="28"/>
        </w:rPr>
        <w:t xml:space="preserve"> Д.Г., Сулейменов Б.Т., Агабеков Е.К., Рамазанов Ж.К., </w:t>
      </w:r>
      <w:proofErr w:type="spellStart"/>
      <w:r w:rsidRPr="00185BC0">
        <w:rPr>
          <w:sz w:val="28"/>
          <w:szCs w:val="28"/>
        </w:rPr>
        <w:t>Абильма</w:t>
      </w:r>
      <w:proofErr w:type="spellEnd"/>
      <w:r w:rsidR="00976085" w:rsidRPr="00185BC0">
        <w:rPr>
          <w:sz w:val="28"/>
          <w:szCs w:val="28"/>
          <w:lang w:val="kk-KZ"/>
        </w:rPr>
        <w:t>жино</w:t>
      </w:r>
      <w:r w:rsidRPr="00185BC0">
        <w:rPr>
          <w:sz w:val="28"/>
          <w:szCs w:val="28"/>
        </w:rPr>
        <w:t xml:space="preserve">в М.Т., </w:t>
      </w:r>
      <w:proofErr w:type="spellStart"/>
      <w:r w:rsidRPr="00185BC0">
        <w:rPr>
          <w:sz w:val="28"/>
          <w:szCs w:val="28"/>
        </w:rPr>
        <w:t>Байдалин</w:t>
      </w:r>
      <w:proofErr w:type="spellEnd"/>
      <w:r w:rsidRPr="00185BC0">
        <w:rPr>
          <w:sz w:val="28"/>
          <w:szCs w:val="28"/>
        </w:rPr>
        <w:t xml:space="preserve"> Т.Т., Бекназаров А.И., </w:t>
      </w:r>
      <w:proofErr w:type="spellStart"/>
      <w:r w:rsidRPr="00185BC0">
        <w:rPr>
          <w:sz w:val="28"/>
          <w:szCs w:val="28"/>
        </w:rPr>
        <w:t>Естай</w:t>
      </w:r>
      <w:proofErr w:type="spellEnd"/>
      <w:r w:rsidRPr="00185BC0">
        <w:rPr>
          <w:sz w:val="28"/>
          <w:szCs w:val="28"/>
        </w:rPr>
        <w:t xml:space="preserve"> Д.Ж. Свидетельство о регистрации № 63260, 2025 г</w:t>
      </w:r>
      <w:bookmarkEnd w:id="12"/>
      <w:r w:rsidRPr="00185BC0">
        <w:rPr>
          <w:sz w:val="28"/>
          <w:szCs w:val="28"/>
        </w:rPr>
        <w:t>.</w:t>
      </w:r>
    </w:p>
    <w:p w14:paraId="670ADD30" w14:textId="1A627DD4" w:rsidR="008D0E58" w:rsidRPr="00185BC0" w:rsidRDefault="008D0E58" w:rsidP="00A3214A">
      <w:pPr>
        <w:pStyle w:val="a6"/>
        <w:numPr>
          <w:ilvl w:val="0"/>
          <w:numId w:val="18"/>
        </w:numPr>
        <w:ind w:left="0" w:firstLine="567"/>
        <w:jc w:val="both"/>
        <w:rPr>
          <w:sz w:val="28"/>
          <w:szCs w:val="28"/>
        </w:rPr>
      </w:pPr>
      <w:bookmarkStart w:id="13" w:name="_Hlk217487883"/>
      <w:bookmarkStart w:id="14" w:name="_Hlk216993751"/>
      <w:r w:rsidRPr="00185BC0">
        <w:rPr>
          <w:sz w:val="28"/>
          <w:szCs w:val="28"/>
        </w:rPr>
        <w:t xml:space="preserve">Авторское свидетельство: </w:t>
      </w:r>
      <w:bookmarkStart w:id="15" w:name="_Hlk217487798"/>
      <w:r w:rsidR="00A3214A" w:rsidRPr="00185BC0">
        <w:rPr>
          <w:sz w:val="28"/>
          <w:szCs w:val="28"/>
        </w:rPr>
        <w:t xml:space="preserve">Математическое моделирование </w:t>
      </w:r>
      <w:proofErr w:type="spellStart"/>
      <w:r w:rsidR="00A3214A" w:rsidRPr="00185BC0">
        <w:rPr>
          <w:sz w:val="28"/>
          <w:szCs w:val="28"/>
        </w:rPr>
        <w:t>деротационной</w:t>
      </w:r>
      <w:proofErr w:type="spellEnd"/>
      <w:r w:rsidR="00A3214A" w:rsidRPr="00185BC0">
        <w:rPr>
          <w:sz w:val="28"/>
          <w:szCs w:val="28"/>
        </w:rPr>
        <w:t xml:space="preserve"> пластины при эндопротезировании диспластического </w:t>
      </w:r>
      <w:r w:rsidR="00A3214A" w:rsidRPr="00185BC0">
        <w:rPr>
          <w:sz w:val="28"/>
          <w:szCs w:val="28"/>
        </w:rPr>
        <w:lastRenderedPageBreak/>
        <w:t xml:space="preserve">коксартроза IV типа по </w:t>
      </w:r>
      <w:proofErr w:type="spellStart"/>
      <w:r w:rsidR="00A3214A" w:rsidRPr="00185BC0">
        <w:rPr>
          <w:sz w:val="28"/>
          <w:szCs w:val="28"/>
        </w:rPr>
        <w:t>Crowe</w:t>
      </w:r>
      <w:bookmarkEnd w:id="15"/>
      <w:proofErr w:type="spellEnd"/>
      <w:r w:rsidRPr="00185BC0">
        <w:rPr>
          <w:sz w:val="28"/>
          <w:szCs w:val="28"/>
        </w:rPr>
        <w:t xml:space="preserve">. Авторы: </w:t>
      </w:r>
      <w:proofErr w:type="spellStart"/>
      <w:r w:rsidR="00A3214A" w:rsidRPr="00185BC0">
        <w:rPr>
          <w:sz w:val="28"/>
          <w:szCs w:val="28"/>
        </w:rPr>
        <w:t>Октяброва</w:t>
      </w:r>
      <w:proofErr w:type="spellEnd"/>
      <w:r w:rsidR="00A3214A" w:rsidRPr="00185BC0">
        <w:rPr>
          <w:sz w:val="28"/>
          <w:szCs w:val="28"/>
        </w:rPr>
        <w:t xml:space="preserve"> Д.Г.</w:t>
      </w:r>
      <w:r w:rsidR="00A3214A" w:rsidRPr="00185BC0">
        <w:rPr>
          <w:sz w:val="28"/>
          <w:szCs w:val="28"/>
          <w:lang w:val="kk-KZ"/>
        </w:rPr>
        <w:t xml:space="preserve">, </w:t>
      </w:r>
      <w:proofErr w:type="spellStart"/>
      <w:r w:rsidR="00A3214A" w:rsidRPr="00185BC0">
        <w:rPr>
          <w:sz w:val="28"/>
          <w:szCs w:val="28"/>
        </w:rPr>
        <w:t>Ашимов</w:t>
      </w:r>
      <w:proofErr w:type="spellEnd"/>
      <w:r w:rsidR="00A3214A" w:rsidRPr="00185BC0">
        <w:rPr>
          <w:sz w:val="28"/>
          <w:szCs w:val="28"/>
        </w:rPr>
        <w:t xml:space="preserve"> К.Д.</w:t>
      </w:r>
      <w:r w:rsidR="00A3214A" w:rsidRPr="00185BC0">
        <w:rPr>
          <w:sz w:val="28"/>
          <w:szCs w:val="28"/>
          <w:lang w:val="kk-KZ"/>
        </w:rPr>
        <w:t xml:space="preserve">, Б.Н. Горбунов, </w:t>
      </w:r>
      <w:proofErr w:type="spellStart"/>
      <w:r w:rsidR="00A3214A" w:rsidRPr="00185BC0">
        <w:rPr>
          <w:sz w:val="28"/>
          <w:szCs w:val="28"/>
        </w:rPr>
        <w:t>Абильмажинов</w:t>
      </w:r>
      <w:proofErr w:type="spellEnd"/>
      <w:r w:rsidR="00A3214A" w:rsidRPr="00185BC0">
        <w:rPr>
          <w:sz w:val="28"/>
          <w:szCs w:val="28"/>
        </w:rPr>
        <w:t xml:space="preserve"> М.Т.</w:t>
      </w:r>
      <w:r w:rsidRPr="00185BC0">
        <w:rPr>
          <w:sz w:val="28"/>
          <w:szCs w:val="28"/>
        </w:rPr>
        <w:t>,</w:t>
      </w:r>
      <w:r w:rsidR="00A3214A" w:rsidRPr="00185BC0">
        <w:rPr>
          <w:sz w:val="28"/>
          <w:szCs w:val="28"/>
          <w:lang w:val="kk-KZ"/>
        </w:rPr>
        <w:t xml:space="preserve"> </w:t>
      </w:r>
      <w:proofErr w:type="spellStart"/>
      <w:r w:rsidR="00A3214A" w:rsidRPr="00185BC0">
        <w:rPr>
          <w:sz w:val="28"/>
          <w:szCs w:val="28"/>
        </w:rPr>
        <w:t>Байдалин</w:t>
      </w:r>
      <w:proofErr w:type="spellEnd"/>
      <w:r w:rsidR="00A3214A" w:rsidRPr="00185BC0">
        <w:rPr>
          <w:sz w:val="28"/>
          <w:szCs w:val="28"/>
        </w:rPr>
        <w:t xml:space="preserve"> Т.Т., Сулейменов Б.Т., </w:t>
      </w:r>
      <w:r w:rsidRPr="00185BC0">
        <w:rPr>
          <w:sz w:val="28"/>
          <w:szCs w:val="28"/>
        </w:rPr>
        <w:t xml:space="preserve">Бекназаров А.Н., </w:t>
      </w:r>
      <w:r w:rsidR="00A3214A" w:rsidRPr="00185BC0">
        <w:rPr>
          <w:sz w:val="28"/>
          <w:szCs w:val="28"/>
        </w:rPr>
        <w:t>Агабеков Е.К.</w:t>
      </w:r>
      <w:r w:rsidR="00A3214A" w:rsidRPr="00185BC0">
        <w:rPr>
          <w:sz w:val="28"/>
          <w:szCs w:val="28"/>
          <w:lang w:val="kk-KZ"/>
        </w:rPr>
        <w:t xml:space="preserve"> </w:t>
      </w:r>
      <w:r w:rsidRPr="00185BC0">
        <w:rPr>
          <w:sz w:val="28"/>
          <w:szCs w:val="28"/>
        </w:rPr>
        <w:t>Свидетельство о регистрации № </w:t>
      </w:r>
      <w:r w:rsidR="00A3214A" w:rsidRPr="00185BC0">
        <w:rPr>
          <w:sz w:val="28"/>
          <w:szCs w:val="28"/>
          <w:lang w:val="kk-KZ"/>
        </w:rPr>
        <w:t>65522</w:t>
      </w:r>
      <w:r w:rsidRPr="00185BC0">
        <w:rPr>
          <w:sz w:val="28"/>
          <w:szCs w:val="28"/>
        </w:rPr>
        <w:t>, 202</w:t>
      </w:r>
      <w:r w:rsidR="00A3214A" w:rsidRPr="00185BC0">
        <w:rPr>
          <w:sz w:val="28"/>
          <w:szCs w:val="28"/>
          <w:lang w:val="kk-KZ"/>
        </w:rPr>
        <w:t>5</w:t>
      </w:r>
      <w:r w:rsidRPr="00185BC0">
        <w:rPr>
          <w:sz w:val="28"/>
          <w:szCs w:val="28"/>
        </w:rPr>
        <w:t xml:space="preserve"> г.</w:t>
      </w:r>
    </w:p>
    <w:bookmarkEnd w:id="13"/>
    <w:p w14:paraId="0B173BB8" w14:textId="2AAF20F5" w:rsidR="00D71FE8" w:rsidRPr="00185BC0" w:rsidRDefault="00D71FE8" w:rsidP="00D71FE8">
      <w:pPr>
        <w:pStyle w:val="a6"/>
        <w:numPr>
          <w:ilvl w:val="0"/>
          <w:numId w:val="18"/>
        </w:numPr>
        <w:ind w:left="0" w:firstLine="567"/>
        <w:jc w:val="both"/>
        <w:rPr>
          <w:sz w:val="28"/>
          <w:szCs w:val="28"/>
        </w:rPr>
      </w:pPr>
      <w:r w:rsidRPr="00185BC0">
        <w:rPr>
          <w:sz w:val="28"/>
          <w:szCs w:val="28"/>
        </w:rPr>
        <w:t xml:space="preserve">Заявка на изобретение: Способ малоинвазивной укорачивающей </w:t>
      </w:r>
      <w:proofErr w:type="spellStart"/>
      <w:r w:rsidRPr="00185BC0">
        <w:rPr>
          <w:sz w:val="28"/>
          <w:szCs w:val="28"/>
        </w:rPr>
        <w:t>подвертельной</w:t>
      </w:r>
      <w:proofErr w:type="spellEnd"/>
      <w:r w:rsidRPr="00185BC0">
        <w:rPr>
          <w:sz w:val="28"/>
          <w:szCs w:val="28"/>
        </w:rPr>
        <w:t xml:space="preserve"> остеотомии бедренной кости при тяжёлом диспластическом коксартрозе. № 2024/0948.1 от 08.11.2024 г. Прошла формальную экспертизу, получено положительное заключение.</w:t>
      </w:r>
    </w:p>
    <w:p w14:paraId="19006CD1" w14:textId="368483BE" w:rsidR="008D6824" w:rsidRPr="00185BC0" w:rsidRDefault="008D6824" w:rsidP="008D6824">
      <w:pPr>
        <w:ind w:firstLine="567"/>
        <w:jc w:val="both"/>
        <w:rPr>
          <w:b/>
          <w:bCs/>
          <w:sz w:val="28"/>
          <w:szCs w:val="28"/>
          <w:lang w:val="kk-KZ"/>
        </w:rPr>
      </w:pPr>
      <w:r w:rsidRPr="00185BC0">
        <w:rPr>
          <w:b/>
          <w:bCs/>
          <w:sz w:val="28"/>
          <w:szCs w:val="28"/>
          <w:lang w:val="kk-KZ"/>
        </w:rPr>
        <w:t>Методические рекомендации</w:t>
      </w:r>
    </w:p>
    <w:p w14:paraId="405B491F" w14:textId="77777777" w:rsidR="008D6824" w:rsidRPr="00185BC0" w:rsidRDefault="008D6824" w:rsidP="008D6824">
      <w:pPr>
        <w:ind w:firstLine="567"/>
        <w:jc w:val="both"/>
        <w:rPr>
          <w:b/>
          <w:bCs/>
          <w:sz w:val="28"/>
          <w:szCs w:val="28"/>
        </w:rPr>
      </w:pPr>
      <w:r w:rsidRPr="00185BC0">
        <w:rPr>
          <w:sz w:val="28"/>
          <w:szCs w:val="28"/>
          <w:lang w:val="kk-KZ"/>
        </w:rPr>
        <w:t>Методика фиксации зоны подвертельной укорачивающей остеотомии при ТЭТС дисплазии тазобедренного сустава отечественными пластинами», подготовленное коллективом авторов: Ашимов К.Д., Белокобылов А.А., Рамазанов Ж.К., Байдалин Т.Т., Сулейменов Б.Т., Бекназаров А.И., Октяброва Д.Г. Протокол №5 от 03.10.2025 г. ISBN 978-601-82252-2-2.</w:t>
      </w:r>
    </w:p>
    <w:bookmarkEnd w:id="14"/>
    <w:p w14:paraId="4A4E46FD" w14:textId="77777777" w:rsidR="00881B68" w:rsidRPr="00185BC0" w:rsidRDefault="00881B68" w:rsidP="00841239">
      <w:pPr>
        <w:ind w:firstLine="567"/>
        <w:jc w:val="both"/>
        <w:rPr>
          <w:b/>
          <w:bCs/>
          <w:sz w:val="28"/>
          <w:szCs w:val="28"/>
          <w:lang w:val="kk-KZ"/>
        </w:rPr>
      </w:pPr>
      <w:r w:rsidRPr="00185BC0">
        <w:rPr>
          <w:b/>
          <w:bCs/>
          <w:sz w:val="28"/>
          <w:szCs w:val="28"/>
          <w:lang w:val="kk-KZ"/>
        </w:rPr>
        <w:t>Объем и структура работы</w:t>
      </w:r>
    </w:p>
    <w:p w14:paraId="5D4D3AC8" w14:textId="102AF733" w:rsidR="00881B68" w:rsidRPr="00185BC0" w:rsidRDefault="00495A8E" w:rsidP="00EF46F0">
      <w:pPr>
        <w:ind w:firstLine="567"/>
        <w:jc w:val="both"/>
        <w:rPr>
          <w:sz w:val="28"/>
          <w:szCs w:val="28"/>
          <w:lang w:val="kk-KZ"/>
        </w:rPr>
      </w:pPr>
      <w:r w:rsidRPr="00185BC0">
        <w:rPr>
          <w:sz w:val="28"/>
          <w:szCs w:val="28"/>
          <w:lang w:val="kk-KZ"/>
        </w:rPr>
        <w:t>Диссертационная работа изложена на 1</w:t>
      </w:r>
      <w:r w:rsidR="009E5F5D" w:rsidRPr="00185BC0">
        <w:rPr>
          <w:sz w:val="28"/>
          <w:szCs w:val="28"/>
          <w:lang w:val="kk-KZ"/>
        </w:rPr>
        <w:t>29</w:t>
      </w:r>
      <w:r w:rsidRPr="00185BC0">
        <w:rPr>
          <w:sz w:val="28"/>
          <w:szCs w:val="28"/>
          <w:lang w:val="kk-KZ"/>
        </w:rPr>
        <w:t xml:space="preserve"> страницах машинописного текста и включает введение, обзор литературы, главу материалы и методы исследования, раздел с изложением результатов, заключение, выводы, список использованных источников, практические рекомендации и приложения. Иллюстративный материал представлен 12 таблицами и 3</w:t>
      </w:r>
      <w:r w:rsidR="00EF196D" w:rsidRPr="00185BC0">
        <w:rPr>
          <w:sz w:val="28"/>
          <w:szCs w:val="28"/>
          <w:lang w:val="kk-KZ"/>
        </w:rPr>
        <w:t>9</w:t>
      </w:r>
      <w:r w:rsidRPr="00185BC0">
        <w:rPr>
          <w:sz w:val="28"/>
          <w:szCs w:val="28"/>
          <w:lang w:val="kk-KZ"/>
        </w:rPr>
        <w:t xml:space="preserve"> рисунками. Библиографический указатель содержит 1</w:t>
      </w:r>
      <w:r w:rsidR="00B5677F" w:rsidRPr="00185BC0">
        <w:rPr>
          <w:sz w:val="28"/>
          <w:szCs w:val="28"/>
          <w:lang w:val="kk-KZ"/>
        </w:rPr>
        <w:t>30</w:t>
      </w:r>
      <w:r w:rsidRPr="00185BC0">
        <w:rPr>
          <w:sz w:val="28"/>
          <w:szCs w:val="28"/>
          <w:lang w:val="kk-KZ"/>
        </w:rPr>
        <w:t xml:space="preserve"> литературных источника.</w:t>
      </w:r>
    </w:p>
    <w:bookmarkEnd w:id="0"/>
    <w:p w14:paraId="405CB41C" w14:textId="3F7667C5" w:rsidR="00881B68" w:rsidRPr="00185BC0" w:rsidRDefault="00881B68" w:rsidP="00881B68">
      <w:pPr>
        <w:jc w:val="both"/>
        <w:rPr>
          <w:sz w:val="28"/>
          <w:szCs w:val="28"/>
          <w:lang w:val="kk-KZ"/>
        </w:rPr>
      </w:pPr>
    </w:p>
    <w:p w14:paraId="3C77C2FD" w14:textId="70E24D48" w:rsidR="00881B68" w:rsidRPr="00185BC0" w:rsidRDefault="00881B68" w:rsidP="00881B68">
      <w:pPr>
        <w:jc w:val="both"/>
        <w:rPr>
          <w:sz w:val="28"/>
          <w:szCs w:val="28"/>
          <w:lang w:val="kk-KZ"/>
        </w:rPr>
      </w:pPr>
    </w:p>
    <w:p w14:paraId="34BBAC95" w14:textId="1ED8997C" w:rsidR="00193CB4" w:rsidRPr="00185BC0" w:rsidRDefault="00193CB4" w:rsidP="00881B68">
      <w:pPr>
        <w:jc w:val="both"/>
        <w:rPr>
          <w:sz w:val="28"/>
          <w:szCs w:val="28"/>
          <w:lang w:val="kk-KZ"/>
        </w:rPr>
      </w:pPr>
    </w:p>
    <w:p w14:paraId="7684FD37" w14:textId="66F318A5" w:rsidR="00193CB4" w:rsidRPr="00185BC0" w:rsidRDefault="00193CB4" w:rsidP="00881B68">
      <w:pPr>
        <w:jc w:val="both"/>
        <w:rPr>
          <w:sz w:val="28"/>
          <w:szCs w:val="28"/>
          <w:lang w:val="kk-KZ"/>
        </w:rPr>
      </w:pPr>
    </w:p>
    <w:p w14:paraId="170560EA" w14:textId="4463A4DC" w:rsidR="00193CB4" w:rsidRPr="00185BC0" w:rsidRDefault="00193CB4" w:rsidP="00881B68">
      <w:pPr>
        <w:jc w:val="both"/>
        <w:rPr>
          <w:sz w:val="28"/>
          <w:szCs w:val="28"/>
          <w:lang w:val="kk-KZ"/>
        </w:rPr>
      </w:pPr>
    </w:p>
    <w:p w14:paraId="3DB85A13" w14:textId="64644FAF" w:rsidR="00193CB4" w:rsidRPr="00185BC0" w:rsidRDefault="00193CB4" w:rsidP="00881B68">
      <w:pPr>
        <w:jc w:val="both"/>
        <w:rPr>
          <w:sz w:val="28"/>
          <w:szCs w:val="28"/>
          <w:lang w:val="kk-KZ"/>
        </w:rPr>
      </w:pPr>
    </w:p>
    <w:p w14:paraId="7751E308" w14:textId="1B7FB0C8" w:rsidR="00193CB4" w:rsidRPr="00185BC0" w:rsidRDefault="00193CB4" w:rsidP="00881B68">
      <w:pPr>
        <w:jc w:val="both"/>
        <w:rPr>
          <w:sz w:val="28"/>
          <w:szCs w:val="28"/>
          <w:lang w:val="kk-KZ"/>
        </w:rPr>
      </w:pPr>
    </w:p>
    <w:p w14:paraId="0CAD9A56" w14:textId="7B069920" w:rsidR="00193CB4" w:rsidRPr="00185BC0" w:rsidRDefault="00193CB4" w:rsidP="00881B68">
      <w:pPr>
        <w:jc w:val="both"/>
        <w:rPr>
          <w:sz w:val="28"/>
          <w:szCs w:val="28"/>
          <w:lang w:val="kk-KZ"/>
        </w:rPr>
      </w:pPr>
    </w:p>
    <w:p w14:paraId="472D5031" w14:textId="306A5379" w:rsidR="00193CB4" w:rsidRPr="00185BC0" w:rsidRDefault="00193CB4" w:rsidP="00881B68">
      <w:pPr>
        <w:jc w:val="both"/>
        <w:rPr>
          <w:sz w:val="28"/>
          <w:szCs w:val="28"/>
          <w:lang w:val="kk-KZ"/>
        </w:rPr>
      </w:pPr>
    </w:p>
    <w:p w14:paraId="7A112378" w14:textId="7E8A9C9D" w:rsidR="00193CB4" w:rsidRPr="00185BC0" w:rsidRDefault="00193CB4" w:rsidP="00881B68">
      <w:pPr>
        <w:jc w:val="both"/>
        <w:rPr>
          <w:sz w:val="28"/>
          <w:szCs w:val="28"/>
          <w:lang w:val="kk-KZ"/>
        </w:rPr>
      </w:pPr>
    </w:p>
    <w:p w14:paraId="26A73423" w14:textId="7787FB5A" w:rsidR="00193CB4" w:rsidRPr="00185BC0" w:rsidRDefault="00193CB4" w:rsidP="00881B68">
      <w:pPr>
        <w:jc w:val="both"/>
        <w:rPr>
          <w:sz w:val="28"/>
          <w:szCs w:val="28"/>
          <w:lang w:val="kk-KZ"/>
        </w:rPr>
      </w:pPr>
    </w:p>
    <w:p w14:paraId="36C2A754" w14:textId="649A1043" w:rsidR="00193CB4" w:rsidRPr="00185BC0" w:rsidRDefault="00193CB4" w:rsidP="00881B68">
      <w:pPr>
        <w:jc w:val="both"/>
        <w:rPr>
          <w:sz w:val="28"/>
          <w:szCs w:val="28"/>
          <w:lang w:val="kk-KZ"/>
        </w:rPr>
      </w:pPr>
    </w:p>
    <w:p w14:paraId="056ED6E0" w14:textId="0835FE82" w:rsidR="00193CB4" w:rsidRPr="00185BC0" w:rsidRDefault="00193CB4" w:rsidP="00881B68">
      <w:pPr>
        <w:jc w:val="both"/>
        <w:rPr>
          <w:sz w:val="28"/>
          <w:szCs w:val="28"/>
          <w:lang w:val="kk-KZ"/>
        </w:rPr>
      </w:pPr>
    </w:p>
    <w:p w14:paraId="1A717E5F" w14:textId="0F09BE62" w:rsidR="00193CB4" w:rsidRPr="00185BC0" w:rsidRDefault="00193CB4" w:rsidP="00881B68">
      <w:pPr>
        <w:jc w:val="both"/>
        <w:rPr>
          <w:sz w:val="28"/>
          <w:szCs w:val="28"/>
        </w:rPr>
      </w:pPr>
    </w:p>
    <w:p w14:paraId="03D96E1A" w14:textId="47618D46" w:rsidR="00193CB4" w:rsidRPr="00185BC0" w:rsidRDefault="00193CB4" w:rsidP="00881B68">
      <w:pPr>
        <w:jc w:val="both"/>
        <w:rPr>
          <w:sz w:val="28"/>
          <w:szCs w:val="28"/>
          <w:lang w:val="kk-KZ"/>
        </w:rPr>
      </w:pPr>
    </w:p>
    <w:p w14:paraId="04758841" w14:textId="2BF8E694" w:rsidR="00193CB4" w:rsidRPr="00185BC0" w:rsidRDefault="00193CB4" w:rsidP="00881B68">
      <w:pPr>
        <w:jc w:val="both"/>
        <w:rPr>
          <w:sz w:val="28"/>
          <w:szCs w:val="28"/>
          <w:lang w:val="kk-KZ"/>
        </w:rPr>
      </w:pPr>
    </w:p>
    <w:p w14:paraId="06B281C1" w14:textId="09286F41" w:rsidR="00193CB4" w:rsidRPr="00185BC0" w:rsidRDefault="00193CB4" w:rsidP="00881B68">
      <w:pPr>
        <w:jc w:val="both"/>
        <w:rPr>
          <w:sz w:val="28"/>
          <w:szCs w:val="28"/>
          <w:lang w:val="kk-KZ"/>
        </w:rPr>
      </w:pPr>
    </w:p>
    <w:p w14:paraId="6F40D58B" w14:textId="254D39E5" w:rsidR="00193CB4" w:rsidRPr="00185BC0" w:rsidRDefault="00193CB4" w:rsidP="00881B68">
      <w:pPr>
        <w:jc w:val="both"/>
        <w:rPr>
          <w:sz w:val="28"/>
          <w:szCs w:val="28"/>
          <w:lang w:val="kk-KZ"/>
        </w:rPr>
      </w:pPr>
    </w:p>
    <w:p w14:paraId="1EB2DE89" w14:textId="4F0FE72A" w:rsidR="00193CB4" w:rsidRPr="00185BC0" w:rsidRDefault="00193CB4" w:rsidP="00881B68">
      <w:pPr>
        <w:jc w:val="both"/>
        <w:rPr>
          <w:sz w:val="28"/>
          <w:szCs w:val="28"/>
          <w:lang w:val="kk-KZ"/>
        </w:rPr>
      </w:pPr>
    </w:p>
    <w:p w14:paraId="30241558" w14:textId="735397B3" w:rsidR="00193CB4" w:rsidRPr="00185BC0" w:rsidRDefault="00193CB4" w:rsidP="00881B68">
      <w:pPr>
        <w:jc w:val="both"/>
        <w:rPr>
          <w:sz w:val="28"/>
          <w:szCs w:val="28"/>
          <w:lang w:val="kk-KZ"/>
        </w:rPr>
      </w:pPr>
    </w:p>
    <w:p w14:paraId="68EF99D9" w14:textId="4AEE025B" w:rsidR="00193CB4" w:rsidRPr="00185BC0" w:rsidRDefault="00193CB4" w:rsidP="00881B68">
      <w:pPr>
        <w:jc w:val="both"/>
        <w:rPr>
          <w:sz w:val="28"/>
          <w:szCs w:val="28"/>
          <w:lang w:val="kk-KZ"/>
        </w:rPr>
      </w:pPr>
    </w:p>
    <w:p w14:paraId="27DD45CF" w14:textId="6ECBED7D" w:rsidR="00193CB4" w:rsidRPr="00185BC0" w:rsidRDefault="00193CB4" w:rsidP="00881B68">
      <w:pPr>
        <w:jc w:val="both"/>
        <w:rPr>
          <w:sz w:val="28"/>
          <w:szCs w:val="28"/>
          <w:lang w:val="kk-KZ"/>
        </w:rPr>
      </w:pPr>
    </w:p>
    <w:p w14:paraId="2062C5B4" w14:textId="08475672" w:rsidR="00193CB4" w:rsidRPr="00185BC0" w:rsidRDefault="00193CB4" w:rsidP="00881B68">
      <w:pPr>
        <w:jc w:val="both"/>
        <w:rPr>
          <w:sz w:val="28"/>
          <w:szCs w:val="28"/>
          <w:lang w:val="kk-KZ"/>
        </w:rPr>
      </w:pPr>
    </w:p>
    <w:p w14:paraId="33CC14E7" w14:textId="374AB251" w:rsidR="00193CB4" w:rsidRPr="00185BC0" w:rsidRDefault="00193CB4" w:rsidP="00881B68">
      <w:pPr>
        <w:jc w:val="both"/>
        <w:rPr>
          <w:sz w:val="28"/>
          <w:szCs w:val="28"/>
          <w:lang w:val="kk-KZ"/>
        </w:rPr>
      </w:pPr>
    </w:p>
    <w:p w14:paraId="47A7A371" w14:textId="053613F9" w:rsidR="00193CB4" w:rsidRPr="00185BC0" w:rsidRDefault="00193CB4" w:rsidP="00881B68">
      <w:pPr>
        <w:jc w:val="both"/>
        <w:rPr>
          <w:sz w:val="28"/>
          <w:szCs w:val="28"/>
          <w:lang w:val="kk-KZ"/>
        </w:rPr>
      </w:pPr>
    </w:p>
    <w:p w14:paraId="422F758B" w14:textId="5541D8D9" w:rsidR="00881B68" w:rsidRPr="00185BC0" w:rsidRDefault="00881B68" w:rsidP="00D47CC4">
      <w:pPr>
        <w:pStyle w:val="1"/>
        <w:numPr>
          <w:ilvl w:val="0"/>
          <w:numId w:val="16"/>
        </w:numPr>
        <w:jc w:val="both"/>
        <w:rPr>
          <w:lang w:val="kk-KZ"/>
        </w:rPr>
      </w:pPr>
      <w:bookmarkStart w:id="16" w:name="_Toc217561924"/>
      <w:r w:rsidRPr="00185BC0">
        <w:rPr>
          <w:lang w:val="kk-KZ"/>
        </w:rPr>
        <w:lastRenderedPageBreak/>
        <w:t>ОБЗОР ЛИТЕРАТУРЫ</w:t>
      </w:r>
      <w:bookmarkEnd w:id="16"/>
    </w:p>
    <w:p w14:paraId="5A2B96B7" w14:textId="77777777" w:rsidR="00881B68" w:rsidRPr="00185BC0" w:rsidRDefault="00881B68" w:rsidP="00BB1D05">
      <w:pPr>
        <w:jc w:val="both"/>
        <w:rPr>
          <w:sz w:val="28"/>
          <w:szCs w:val="28"/>
          <w:lang w:val="kk-KZ"/>
        </w:rPr>
      </w:pPr>
    </w:p>
    <w:p w14:paraId="25F17CEB" w14:textId="76872535" w:rsidR="00881B68" w:rsidRPr="00185BC0" w:rsidRDefault="00881B68" w:rsidP="00A91874">
      <w:pPr>
        <w:pStyle w:val="1"/>
        <w:ind w:left="0" w:firstLine="679"/>
        <w:jc w:val="both"/>
        <w:rPr>
          <w:lang w:val="kk-KZ"/>
        </w:rPr>
      </w:pPr>
      <w:bookmarkStart w:id="17" w:name="_Toc217561925"/>
      <w:r w:rsidRPr="00185BC0">
        <w:rPr>
          <w:lang w:val="kk-KZ"/>
        </w:rPr>
        <w:t>1.1</w:t>
      </w:r>
      <w:r w:rsidRPr="00185BC0">
        <w:rPr>
          <w:lang w:val="kk-KZ"/>
        </w:rPr>
        <w:tab/>
      </w:r>
      <w:r w:rsidR="00A91874" w:rsidRPr="00185BC0">
        <w:rPr>
          <w:lang w:val="kk-KZ"/>
        </w:rPr>
        <w:t>Медико-социальные аспекты, распространённость и этиопатогенетические факторы диспластического коксартроза IV типа по Crowe</w:t>
      </w:r>
      <w:bookmarkEnd w:id="17"/>
    </w:p>
    <w:p w14:paraId="42C29970" w14:textId="155700B5" w:rsidR="00881B68" w:rsidRPr="00185BC0" w:rsidRDefault="00881B68" w:rsidP="00BB1D05">
      <w:pPr>
        <w:ind w:firstLine="567"/>
        <w:jc w:val="both"/>
        <w:rPr>
          <w:sz w:val="28"/>
          <w:szCs w:val="28"/>
        </w:rPr>
      </w:pPr>
      <w:r w:rsidRPr="00185BC0">
        <w:rPr>
          <w:sz w:val="28"/>
          <w:szCs w:val="28"/>
        </w:rPr>
        <w:t>Диспластический коксартроз (ДК) у взрослой части населения развивается при наличии врожденной патологии тазобедренного сустава и приводит к снижению трудоспособности, качества жизни и социальной уязвимости пациента</w:t>
      </w:r>
      <w:r w:rsidR="00A36028" w:rsidRPr="00185BC0">
        <w:rPr>
          <w:sz w:val="28"/>
          <w:szCs w:val="28"/>
        </w:rPr>
        <w:t xml:space="preserve"> </w:t>
      </w:r>
      <w:r w:rsidR="00A36028" w:rsidRPr="00185BC0">
        <w:rPr>
          <w:sz w:val="28"/>
          <w:szCs w:val="28"/>
          <w:lang w:val="kk-KZ"/>
        </w:rPr>
        <w:fldChar w:fldCharType="begin" w:fldLock="1"/>
      </w:r>
      <w:r w:rsidR="002F5076" w:rsidRPr="00185BC0">
        <w:rPr>
          <w:sz w:val="28"/>
          <w:szCs w:val="28"/>
          <w:lang w:val="kk-KZ"/>
        </w:rPr>
        <w:instrText>ADDIN CSL_CITATION {"citationItems":[{"id":"ITEM-1","itemData":{"DOI":"10.1016/j.anpede.2020.07.024","ISSN":"23412879","abstract":"INTRODUCTION Developmental dysplasia of the hip is a common cause of disability among children. Early detection leads to better prognosis. There are some risk factors that increase the possibility of developing a dysplasia. But not every child with developmental dysplasia has them. This means that physical examination is still very useful to detect them. However, based on clinical findings, the amount of requested ultrasound seems higher than it would be necessary. METHODS Retrospective cohort study of infants born in a single tertiary care centre. Babies in which hip ultrasound was performed were included. During the period of study, patients with diagnosis of developmental hip dysplasia were also included, as well as the amount of ultrasounds requested during this period, and their efficiency. RESULTS Out of the 456 newborns included, 530 hip ultrasounds were performed. Just 3 of the total 12 dysplasias had risk factors. The others were diagnosed through clinical examination. CONCLUSIONS Screening protocols are useful to detect hip dysplasia but clinical examination is very important to detect those cases without risk factors. However, the number of tests is higher than expected according to the diagnosed dysplasias.","author":[{"dropping-particle":"","family":"Escribano García","given":"Carla","non-dropping-particle":"","parse-names":false,"suffix":""},{"dropping-particle":"","family":"Bachiller Carnicero","given":"Luis","non-dropping-particle":"","parse-names":false,"suffix":""},{"dropping-particle":"","family":"Marín Urueña","given":"Sara Isabel","non-dropping-particle":"","parse-names":false,"suffix":""},{"dropping-particle":"","family":"Mar Montejo Vicente","given":"María","non-dropping-particle":"del","parse-names":false,"suffix":""},{"dropping-particle":"","family":"Izquierdo Caballero","given":"Raquel","non-dropping-particle":"","parse-names":false,"suffix":""},{"dropping-particle":"","family":"Morales Luengo","given":"Félix","non-dropping-particle":"","parse-names":false,"suffix":""},{"dropping-particle":"","family":"Caserío Carbonero","given":"Sonia","non-dropping-particle":"","parse-names":false,"suffix":""}],"container-title":"Anales de Pediatría (English Edition)","id":"ITEM-1","issue":"4","issued":{"date-parts":[["2021"]]},"title":"Developmental dysplasia of the hip: Beyond the screening. Physical exam is our pending subject","type":"article-journal","volume":"95"},"uris":["http://www.mendeley.com/documents/?uuid=0f56d173-7586-36f4-a78d-acd0f552dac0"]}],"mendeley":{"formattedCitation":"[20]","plainTextFormattedCitation":"[20]","previouslyFormattedCitation":"[20]"},"properties":{"noteIndex":0},"schema":"https://github.com/citation-style-language/schema/raw/master/csl-citation.json"}</w:instrText>
      </w:r>
      <w:r w:rsidR="00A36028" w:rsidRPr="00185BC0">
        <w:rPr>
          <w:sz w:val="28"/>
          <w:szCs w:val="28"/>
          <w:lang w:val="kk-KZ"/>
        </w:rPr>
        <w:fldChar w:fldCharType="separate"/>
      </w:r>
      <w:r w:rsidR="00371B3B" w:rsidRPr="00185BC0">
        <w:rPr>
          <w:noProof/>
          <w:sz w:val="28"/>
          <w:szCs w:val="28"/>
          <w:lang w:val="kk-KZ"/>
        </w:rPr>
        <w:t>[20]</w:t>
      </w:r>
      <w:r w:rsidR="00A36028" w:rsidRPr="00185BC0">
        <w:rPr>
          <w:sz w:val="28"/>
          <w:szCs w:val="28"/>
          <w:lang w:val="kk-KZ"/>
        </w:rPr>
        <w:fldChar w:fldCharType="end"/>
      </w:r>
      <w:r w:rsidRPr="00185BC0">
        <w:rPr>
          <w:sz w:val="28"/>
          <w:szCs w:val="28"/>
        </w:rPr>
        <w:t>.</w:t>
      </w:r>
    </w:p>
    <w:p w14:paraId="3E8527B8" w14:textId="1BB54F70" w:rsidR="00881B68" w:rsidRPr="00185BC0" w:rsidRDefault="00881B68" w:rsidP="00BB1D05">
      <w:pPr>
        <w:ind w:firstLine="567"/>
        <w:jc w:val="both"/>
        <w:rPr>
          <w:sz w:val="28"/>
          <w:szCs w:val="28"/>
        </w:rPr>
      </w:pPr>
      <w:r w:rsidRPr="00185BC0">
        <w:rPr>
          <w:sz w:val="28"/>
          <w:szCs w:val="28"/>
        </w:rPr>
        <w:t xml:space="preserve">По данным литературы, </w:t>
      </w:r>
      <w:r w:rsidR="0043499E" w:rsidRPr="00185BC0">
        <w:rPr>
          <w:sz w:val="28"/>
          <w:szCs w:val="28"/>
          <w:lang w:val="kk-KZ"/>
        </w:rPr>
        <w:t xml:space="preserve">ДК </w:t>
      </w:r>
      <w:r w:rsidRPr="00185BC0">
        <w:rPr>
          <w:sz w:val="28"/>
          <w:szCs w:val="28"/>
        </w:rPr>
        <w:t xml:space="preserve">развивается как </w:t>
      </w:r>
      <w:proofErr w:type="spellStart"/>
      <w:r w:rsidRPr="00185BC0">
        <w:rPr>
          <w:sz w:val="28"/>
          <w:szCs w:val="28"/>
        </w:rPr>
        <w:t>полиэтиологическое</w:t>
      </w:r>
      <w:proofErr w:type="spellEnd"/>
      <w:r w:rsidRPr="00185BC0">
        <w:rPr>
          <w:sz w:val="28"/>
          <w:szCs w:val="28"/>
        </w:rPr>
        <w:t xml:space="preserve"> состояние, преимущественно вследствие несвоевременного или неэффективного лечения дисплазии тазобедренного сустава. </w:t>
      </w:r>
    </w:p>
    <w:p w14:paraId="34C47777" w14:textId="65A23B0D" w:rsidR="00881B68" w:rsidRPr="00185BC0" w:rsidRDefault="00881B68" w:rsidP="00BB1D05">
      <w:pPr>
        <w:ind w:firstLine="567"/>
        <w:jc w:val="both"/>
        <w:rPr>
          <w:sz w:val="28"/>
          <w:szCs w:val="28"/>
        </w:rPr>
      </w:pPr>
      <w:r w:rsidRPr="00185BC0">
        <w:rPr>
          <w:sz w:val="28"/>
          <w:szCs w:val="28"/>
        </w:rPr>
        <w:t>Дисплазия тазобедренных суставов считается одной из тяжел</w:t>
      </w:r>
      <w:r w:rsidR="0043499E" w:rsidRPr="00185BC0">
        <w:rPr>
          <w:sz w:val="28"/>
          <w:szCs w:val="28"/>
          <w:lang w:val="kk-KZ"/>
        </w:rPr>
        <w:t>ых</w:t>
      </w:r>
      <w:r w:rsidRPr="00185BC0">
        <w:rPr>
          <w:sz w:val="28"/>
          <w:szCs w:val="28"/>
        </w:rPr>
        <w:t xml:space="preserve"> и широко </w:t>
      </w:r>
      <w:proofErr w:type="spellStart"/>
      <w:r w:rsidRPr="00185BC0">
        <w:rPr>
          <w:sz w:val="28"/>
          <w:szCs w:val="28"/>
        </w:rPr>
        <w:t>распространённ</w:t>
      </w:r>
      <w:proofErr w:type="spellEnd"/>
      <w:r w:rsidR="0043499E" w:rsidRPr="00185BC0">
        <w:rPr>
          <w:sz w:val="28"/>
          <w:szCs w:val="28"/>
          <w:lang w:val="kk-KZ"/>
        </w:rPr>
        <w:t>ых</w:t>
      </w:r>
      <w:r w:rsidRPr="00185BC0">
        <w:rPr>
          <w:sz w:val="28"/>
          <w:szCs w:val="28"/>
        </w:rPr>
        <w:t xml:space="preserve"> проблем в современной ортопедии</w:t>
      </w:r>
      <w:r w:rsidR="00A36028" w:rsidRPr="00185BC0">
        <w:rPr>
          <w:sz w:val="28"/>
          <w:szCs w:val="28"/>
        </w:rPr>
        <w:t xml:space="preserve"> </w:t>
      </w:r>
      <w:r w:rsidR="00A36028" w:rsidRPr="00185BC0">
        <w:rPr>
          <w:sz w:val="28"/>
          <w:szCs w:val="28"/>
          <w:lang w:val="kk-KZ"/>
        </w:rPr>
        <w:fldChar w:fldCharType="begin" w:fldLock="1"/>
      </w:r>
      <w:r w:rsidR="002F5076" w:rsidRPr="00185BC0">
        <w:rPr>
          <w:sz w:val="28"/>
          <w:szCs w:val="28"/>
          <w:lang w:val="kk-KZ"/>
        </w:rPr>
        <w:instrText>ADDIN CSL_CITATION {"citationItems":[{"id":"ITEM-1","itemData":{"DOI":"10.5152/J.AOTT.2020.01.7","ISSN":"25891294","abstract":"Objective: This study aimed to evaluate whether a history of a pelvic osteotomy or proximal femoral osteotomy compromises the outcomes of total hip arthroplasty in patients with dysplastic coxarthrosis. Methods: The results of total hip arthroplasty in 240 hips of 172 patients without previous pelvic osteotomy or proximal femoral oste-otomy were compared to 118 hips of 88 patients with a previous pelvic osteotomy or proximal femoral osteotomy (osteotomy group). Technical difficulties and rates of complications during surgery, operative time, estimated blood loss, rates of postoperative compli-cations, and pre-and postoperative Harris Hip Scores and visual analog scale pain scores were compared between the two groups. Results: In the osteotomy, the rate of complications was higher and the operative time was longer. The estimated blood loss was also higher, and the latest follow-up Harris Hip Scores and visual analog scale pain scores were worse in this group. Total hip arthroplasty was more demanding and the revision rate was higher in the osteotomy group (six vs four revisions). Conclusion: Our data showed that a previous history of pelvic osteotomy or proximal femoral osteotomy compromised the clinical outcomes of subsequent total hip arthroplasty and is related to an increased rate of complications, prolonged operative time, and increased amount of blood loss. Level of Evidence: Level III, Therapeutic Study.","author":[{"dropping-particle":"","family":"Erdoğan","given":"Fahri","non-dropping-particle":"","parse-names":false,"suffix":""},{"dropping-particle":"","family":"Can","given":"Ata","non-dropping-particle":"","parse-names":false,"suffix":""}],"container-title":"Acta Orthopaedica et Traumatologica Turcica","id":"ITEM-1","issue":"1","issued":{"date-parts":[["2020"]]},"title":"The effect of previous pelvic or proximal femoral osteotomy on the outcomes of total hip arthroplasty in patients with dysplastic coxarthrosis","type":"article-journal","volume":"54"},"uris":["http://www.mendeley.com/documents/?uuid=bb1a7974-e4ba-39df-990d-0031123c665a"]},{"id":"ITEM-2","itemData":{"DOI":"10.1016/j.arth.2020.01.049","ISSN":"15328406","abstract":"Background: Sexual health, aside from reproduction, plays an important role in physical, intellectual, emotional and social facets of life. Developmental dysplasia of the hip (DDH) is a chronic orthopedic disease that has negative physical, social, and mental/spiritual effects, and lowers quality of life. However, no studies exist in the literature that focus on sexual function and health in patients with DDH. Methods: The preoperative and postoperative 6th month and 1st year sexual functions of women who underwent surgical treatment (total hip arthroplasty) for DDH (Crowe 1–4) (n:50) and their spouses (n:30) were evaluated with Arizona Sexual Experience scale (ASEX) questionnaire which evaluates sexual function in 5 categories such as desire, arousal, erection/lubrication, orgasm, and satisfaction. Results: The ASEX scores were 22.3 ± 3.5 preoperatively, 17.8 ± 2 at the 6th postoperative month, and 14.8 ± 1.3 at the 1st postoperative year. The decrease in the average score showed that sexual dysfunction existed in the preoperative period and sexual function was positively affected in the postoperative period over time. The ASEX scores of the patients younger than 35 in the postoperative 6th month had higher scores (P = .29). The sexual life of the husbands was not affected by the wives’ surgery, even though their spouses had a chronic condition causing functional difficulties. Conclusion: This study showed that the sexual life of women with DDH, who had been treated with total hip arthroplasty, was positively affected, whereas their husbands were unaffected. Further studies focusing on the effect of physiological and emotional factors, in addition to the surgical treatment, on sexual function are needed.","author":[{"dropping-particle":"","family":"Guclu","given":"Berk","non-dropping-particle":"","parse-names":false,"suffix":""},{"dropping-particle":"","family":"Koken","given":"Murat","non-dropping-particle":"","parse-names":false,"suffix":""}],"container-title":"Journal of Arthroplasty","id":"ITEM-2","issue":"6","issued":{"date-parts":[["2020"]]},"title":"Does THA Affect Sexual Dysfunction in Female Patients With DDH?","type":"article-journal","volume":"35"},"uris":["http://www.mendeley.com/documents/?uuid=6d8db091-b67d-35f1-afca-a73d34e95c6c"]}],"mendeley":{"formattedCitation":"[21, 22]","plainTextFormattedCitation":"[21, 22]","previouslyFormattedCitation":"[21, 22]"},"properties":{"noteIndex":0},"schema":"https://github.com/citation-style-language/schema/raw/master/csl-citation.json"}</w:instrText>
      </w:r>
      <w:r w:rsidR="00A36028" w:rsidRPr="00185BC0">
        <w:rPr>
          <w:sz w:val="28"/>
          <w:szCs w:val="28"/>
          <w:lang w:val="kk-KZ"/>
        </w:rPr>
        <w:fldChar w:fldCharType="separate"/>
      </w:r>
      <w:r w:rsidR="00371B3B" w:rsidRPr="00185BC0">
        <w:rPr>
          <w:noProof/>
          <w:sz w:val="28"/>
          <w:szCs w:val="28"/>
          <w:lang w:val="kk-KZ"/>
        </w:rPr>
        <w:t>[21, 22]</w:t>
      </w:r>
      <w:r w:rsidR="00A36028" w:rsidRPr="00185BC0">
        <w:rPr>
          <w:sz w:val="28"/>
          <w:szCs w:val="28"/>
          <w:lang w:val="kk-KZ"/>
        </w:rPr>
        <w:fldChar w:fldCharType="end"/>
      </w:r>
      <w:r w:rsidRPr="00185BC0">
        <w:rPr>
          <w:sz w:val="28"/>
          <w:szCs w:val="28"/>
        </w:rPr>
        <w:t xml:space="preserve">. Данное заболевание тазобедренного сустава можно отнести к одному из сложных видов патологии опорно-двигательного аппарата, которая требует тщательной диагностики и определенных усилий для решения проблем. </w:t>
      </w:r>
      <w:proofErr w:type="spellStart"/>
      <w:r w:rsidRPr="00185BC0">
        <w:rPr>
          <w:sz w:val="28"/>
          <w:szCs w:val="28"/>
        </w:rPr>
        <w:t>Дисплази</w:t>
      </w:r>
      <w:proofErr w:type="spellEnd"/>
      <w:r w:rsidR="0043499E" w:rsidRPr="00185BC0">
        <w:rPr>
          <w:sz w:val="28"/>
          <w:szCs w:val="28"/>
          <w:lang w:val="kk-KZ"/>
        </w:rPr>
        <w:t>я</w:t>
      </w:r>
      <w:r w:rsidRPr="00185BC0">
        <w:rPr>
          <w:sz w:val="28"/>
          <w:szCs w:val="28"/>
        </w:rPr>
        <w:t xml:space="preserve"> охватывают широкий диапазон изменений в тазобедренном суставе таких</w:t>
      </w:r>
      <w:r w:rsidR="0043499E" w:rsidRPr="00185BC0">
        <w:rPr>
          <w:sz w:val="28"/>
          <w:szCs w:val="28"/>
          <w:lang w:val="kk-KZ"/>
        </w:rPr>
        <w:t>,</w:t>
      </w:r>
      <w:r w:rsidRPr="00185BC0">
        <w:rPr>
          <w:sz w:val="28"/>
          <w:szCs w:val="28"/>
        </w:rPr>
        <w:t xml:space="preserve"> как аномалии суставной и околосуставной поверхности, нарушен</w:t>
      </w:r>
      <w:r w:rsidR="0043499E" w:rsidRPr="00185BC0">
        <w:rPr>
          <w:sz w:val="28"/>
          <w:szCs w:val="28"/>
          <w:lang w:val="kk-KZ"/>
        </w:rPr>
        <w:t>ие</w:t>
      </w:r>
      <w:r w:rsidRPr="00185BC0">
        <w:rPr>
          <w:sz w:val="28"/>
          <w:szCs w:val="28"/>
        </w:rPr>
        <w:t xml:space="preserve"> биомеханики, нестабильности бедра, слабости капсулы и недоразвития вертлужной впадины</w:t>
      </w:r>
      <w:r w:rsidR="007A7DC6" w:rsidRPr="00185BC0">
        <w:rPr>
          <w:sz w:val="28"/>
          <w:szCs w:val="28"/>
          <w:lang w:val="kk-KZ"/>
        </w:rPr>
        <w:t xml:space="preserve"> </w:t>
      </w:r>
      <w:r w:rsidR="00A36028" w:rsidRPr="00185BC0">
        <w:rPr>
          <w:sz w:val="28"/>
          <w:szCs w:val="28"/>
          <w:lang w:val="kk-KZ"/>
        </w:rPr>
        <w:fldChar w:fldCharType="begin" w:fldLock="1"/>
      </w:r>
      <w:r w:rsidR="002F5076" w:rsidRPr="00185BC0">
        <w:rPr>
          <w:sz w:val="28"/>
          <w:szCs w:val="28"/>
          <w:lang w:val="kk-KZ"/>
        </w:rPr>
        <w:instrText>ADDIN CSL_CITATION {"citationItems":[{"id":"ITEM-1","itemData":{"DOI":"10.1016/j.jor.2022.05.014","ISSN":"0972978X","abstract":"Introduction: The study aimed to determine the proportions of infants with developmental dysplasia of the hip (DDH) and hip dislocation in infants referred for combined pediatric orthopedic and radiologic assessment, and to describe the association between DDH and different reasons of referral. Methods: A prospective study of all infants aged 0-6 months referred for a combined examination of the hips 2013-2019. The proportion of DDH and unstable hip(s) stratified by different reasons of referral were calculated. Acetabular index &gt; 30° in radiography or Graf Type 2b or worse in ultrasonography was considered diagnostic of DDH. Results: Of the 1,989 infants included, 17% had stable dysplastic hip(s), and 4.7% had unstable dysplastic hip(s). The proportions of infants with DDH among infants with a single reason of referral were 36% for breech position, 25% for familial disposition, 14% for hip click, 8% for asymmetry, and 3% for twins. The proportions of infants with unstable hip(s) were 14% for familial disposition, 12% for breech position, 3% for hip click, 3% for twins, and 1% for asymmetry. Conclusion: The study demonstrates that a considerable proportion of infants referred for the combined examination have radiological signs of DDH and that DDH were regularly diagnosed in infants referred due to hip click or asymmetry.","author":[{"dropping-particle":"","family":"Norlén","given":"Simon","non-dropping-particle":"","parse-names":false,"suffix":""},{"dropping-particle":"","family":"Faergemann","given":"Christian","non-dropping-particle":"","parse-names":false,"suffix":""}],"container-title":"Journal of Orthopaedics","id":"ITEM-1","issued":{"date-parts":[["2022"]]},"title":"Developmental dysplasia of the hip in infants referred for a combined pediatric orthopedic and radiologic examination. A prospective cohort study","type":"article-journal","volume":"32"},"uris":["http://www.mendeley.com/documents/?uuid=a4821e2a-20c6-38a9-b6e6-75483ddbe828"]},{"id":"ITEM-2","itemData":{"DOI":"10.3390/children9020247","ISSN":"22279067","abstract":"(1) Background: The objective of this study was to assess the prevalence of Developmental Dysplasia of the Hip (DDH) as a primary or secondary diagnosis during physiotherapy practice. No other studies have investigated the prevalence and associations of DDH within the practice of pediatric rehabilitation. (2) Methods: This retrospective review was performed on 12,225 physiotherapy referrals to the King Abdullah Specialized Children’s Hospital (KASCH), Riyadh, Kingdom of Saudi Arabia, from May 2016 to October 2021. Only DDH referrals for conservative treatment were included in the study. The plan for brace treatment was carried out by the pediatric orthopedics clinic in KASCH. The diagnostic methods were either a pelvic radiograph or ultrasound, depending on the participant’s age. DDH is considered one of the most common secondary complications for children with other medical diagnoses. (3) Results: The most common indication for referral was neurological diagnosis (44%), followed by orthopedic (28%), genetic (19%), cardiac (5%), ophthalmologic (3%), dermatologic (1%) and rheumatologic (0.5%) diagnoses. (4) Conclusion: The prevalence of DDH among all referrals in this study was 6%. In physiotherapy practice, neurologic, genetic, and orthopedic primary or secondary diagnoses were the most prevalent when DDH referrals were investigated. A relatively high prevalence of DDH in the pediatric rehabilitation clinic at KASCH in Riyadh was reported in this study.","author":[{"dropping-particle":"","family":"Vasilcova","given":"Veronika","non-dropping-particle":"","parse-names":false,"suffix":""},{"dropping-particle":"","family":"Alharthi","given":"Moqfa","non-dropping-particle":"","parse-names":false,"suffix":""},{"dropping-particle":"","family":"Alamri","given":"Nadrah","non-dropping-particle":"","parse-names":false,"suffix":""},{"dropping-particle":"","family":"Sagat","given":"Peter","non-dropping-particle":"","parse-names":false,"suffix":""},{"dropping-particle":"","family":"Bartik","given":"Peter","non-dropping-particle":"","parse-names":false,"suffix":""},{"dropping-particle":"","family":"Jawadi","given":"Ayman H.","non-dropping-particle":"","parse-names":false,"suffix":""},{"dropping-particle":"","family":"Zvonar","given":"Martin","non-dropping-particle":"","parse-names":false,"suffix":""}],"container-title":"Children","id":"ITEM-2","issue":"2","issued":{"date-parts":[["2022"]]},"title":"Developmental Dysplasia of the Hip: Prevalence and Correlation with Other Diagnoses in Physiotherapy Practice—A 5-Year Retrospective Review","type":"article-journal","volume":"9"},"uris":["http://www.mendeley.com/documents/?uuid=36480195-9d2b-344c-bb19-96d21c7aad2e"]}],"mendeley":{"formattedCitation":"[23, 24]","plainTextFormattedCitation":"[23, 24]","previouslyFormattedCitation":"[23, 24]"},"properties":{"noteIndex":0},"schema":"https://github.com/citation-style-language/schema/raw/master/csl-citation.json"}</w:instrText>
      </w:r>
      <w:r w:rsidR="00A36028" w:rsidRPr="00185BC0">
        <w:rPr>
          <w:sz w:val="28"/>
          <w:szCs w:val="28"/>
          <w:lang w:val="kk-KZ"/>
        </w:rPr>
        <w:fldChar w:fldCharType="separate"/>
      </w:r>
      <w:r w:rsidR="00371B3B" w:rsidRPr="00185BC0">
        <w:rPr>
          <w:noProof/>
          <w:sz w:val="28"/>
          <w:szCs w:val="28"/>
          <w:lang w:val="kk-KZ"/>
        </w:rPr>
        <w:t>[23, 24]</w:t>
      </w:r>
      <w:r w:rsidR="00A36028" w:rsidRPr="00185BC0">
        <w:rPr>
          <w:sz w:val="28"/>
          <w:szCs w:val="28"/>
          <w:lang w:val="kk-KZ"/>
        </w:rPr>
        <w:fldChar w:fldCharType="end"/>
      </w:r>
      <w:r w:rsidR="00DF1A02" w:rsidRPr="00185BC0">
        <w:rPr>
          <w:sz w:val="28"/>
          <w:szCs w:val="28"/>
        </w:rPr>
        <w:t xml:space="preserve"> </w:t>
      </w:r>
      <w:r w:rsidRPr="00185BC0">
        <w:rPr>
          <w:sz w:val="28"/>
          <w:szCs w:val="28"/>
        </w:rPr>
        <w:t>(рисунок 1).</w:t>
      </w:r>
    </w:p>
    <w:p w14:paraId="3F1F5DAE" w14:textId="77777777" w:rsidR="00BB1D05" w:rsidRPr="00185BC0" w:rsidRDefault="00BB1D05" w:rsidP="00BB1D05">
      <w:pPr>
        <w:pStyle w:val="a3"/>
        <w:rPr>
          <w:b/>
          <w:sz w:val="28"/>
          <w:szCs w:val="28"/>
          <w:lang w:val="kk-KZ"/>
        </w:rPr>
      </w:pPr>
    </w:p>
    <w:p w14:paraId="3159B60D" w14:textId="77777777" w:rsidR="00BB1D05" w:rsidRPr="00185BC0" w:rsidRDefault="00BB1D05" w:rsidP="00BB1D05">
      <w:pPr>
        <w:pStyle w:val="a3"/>
        <w:jc w:val="center"/>
        <w:rPr>
          <w:b/>
          <w:sz w:val="28"/>
          <w:szCs w:val="28"/>
          <w:lang w:val="kk-KZ"/>
        </w:rPr>
      </w:pPr>
      <w:r w:rsidRPr="00185BC0">
        <w:rPr>
          <w:b/>
          <w:noProof/>
          <w:sz w:val="28"/>
          <w:szCs w:val="28"/>
          <w:lang w:val="kk-KZ"/>
        </w:rPr>
        <w:drawing>
          <wp:inline distT="0" distB="0" distL="0" distR="0" wp14:anchorId="0BDEF1DC" wp14:editId="10D14ACB">
            <wp:extent cx="2982036" cy="2424763"/>
            <wp:effectExtent l="0" t="0" r="889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6649" t="6230" r="6150" b="8322"/>
                    <a:stretch/>
                  </pic:blipFill>
                  <pic:spPr bwMode="auto">
                    <a:xfrm>
                      <a:off x="0" y="0"/>
                      <a:ext cx="3045500" cy="2476367"/>
                    </a:xfrm>
                    <a:prstGeom prst="rect">
                      <a:avLst/>
                    </a:prstGeom>
                    <a:noFill/>
                    <a:ln>
                      <a:noFill/>
                    </a:ln>
                    <a:extLst>
                      <a:ext uri="{53640926-AAD7-44D8-BBD7-CCE9431645EC}">
                        <a14:shadowObscured xmlns:a14="http://schemas.microsoft.com/office/drawing/2010/main"/>
                      </a:ext>
                    </a:extLst>
                  </pic:spPr>
                </pic:pic>
              </a:graphicData>
            </a:graphic>
          </wp:inline>
        </w:drawing>
      </w:r>
    </w:p>
    <w:p w14:paraId="59A9E265" w14:textId="77777777" w:rsidR="00BB1D05" w:rsidRPr="00185BC0" w:rsidRDefault="00BB1D05" w:rsidP="00BB1D05">
      <w:pPr>
        <w:pStyle w:val="a3"/>
        <w:jc w:val="both"/>
        <w:rPr>
          <w:b/>
          <w:sz w:val="28"/>
          <w:szCs w:val="28"/>
          <w:lang w:val="kk-KZ"/>
        </w:rPr>
      </w:pPr>
    </w:p>
    <w:p w14:paraId="655F1614" w14:textId="01FE2AC2" w:rsidR="00BB1D05" w:rsidRPr="00185BC0" w:rsidRDefault="00E51952" w:rsidP="00BB1D05">
      <w:pPr>
        <w:pStyle w:val="a3"/>
        <w:jc w:val="center"/>
        <w:rPr>
          <w:bCs/>
          <w:sz w:val="28"/>
          <w:szCs w:val="28"/>
          <w:lang w:val="kk-KZ"/>
        </w:rPr>
      </w:pPr>
      <w:r w:rsidRPr="00185BC0">
        <w:rPr>
          <w:bCs/>
          <w:sz w:val="28"/>
          <w:szCs w:val="28"/>
          <w:lang w:val="kk-KZ"/>
        </w:rPr>
        <w:t xml:space="preserve">Рисунок 1 – </w:t>
      </w:r>
      <w:r w:rsidR="00BB1D05" w:rsidRPr="00185BC0">
        <w:rPr>
          <w:bCs/>
          <w:sz w:val="28"/>
          <w:szCs w:val="28"/>
          <w:lang w:val="kk-KZ"/>
        </w:rPr>
        <w:t>Дисплазия тазобедренных суставов IV типа по Crowe</w:t>
      </w:r>
    </w:p>
    <w:p w14:paraId="12458C51" w14:textId="77777777" w:rsidR="00A11C57" w:rsidRPr="00185BC0" w:rsidRDefault="00A11C57" w:rsidP="00BB1D05">
      <w:pPr>
        <w:pStyle w:val="a3"/>
        <w:jc w:val="center"/>
        <w:rPr>
          <w:bCs/>
          <w:i/>
          <w:iCs/>
          <w:sz w:val="28"/>
          <w:szCs w:val="28"/>
          <w:lang w:val="kk-KZ"/>
        </w:rPr>
      </w:pPr>
    </w:p>
    <w:p w14:paraId="7A5E7E50" w14:textId="33709A1E" w:rsidR="00BB1D05" w:rsidRPr="00185BC0" w:rsidRDefault="00BB1D05" w:rsidP="00BB1D05">
      <w:pPr>
        <w:ind w:firstLine="567"/>
        <w:jc w:val="both"/>
        <w:rPr>
          <w:sz w:val="28"/>
          <w:szCs w:val="28"/>
          <w:lang w:val="kk-KZ"/>
        </w:rPr>
      </w:pPr>
      <w:r w:rsidRPr="00185BC0">
        <w:rPr>
          <w:sz w:val="28"/>
          <w:szCs w:val="28"/>
          <w:lang w:val="kk-KZ"/>
        </w:rPr>
        <w:t>В зависимости от географического положения в каждой расовой группе наблюдаются значительные различия в распространенности заболеваемости. По литературным данным распространенность дисплазии тазобедренного сустава в США колеблется от 0,1% взрослого населения</w:t>
      </w:r>
      <w:r w:rsidR="0069288D" w:rsidRPr="00185BC0">
        <w:rPr>
          <w:sz w:val="28"/>
          <w:szCs w:val="28"/>
          <w:lang w:val="kk-KZ"/>
        </w:rPr>
        <w:t xml:space="preserve"> </w:t>
      </w:r>
      <w:r w:rsidR="00A36028" w:rsidRPr="00185BC0">
        <w:rPr>
          <w:sz w:val="28"/>
          <w:szCs w:val="28"/>
          <w:lang w:val="kk-KZ"/>
        </w:rPr>
        <w:fldChar w:fldCharType="begin" w:fldLock="1"/>
      </w:r>
      <w:r w:rsidR="002F5076" w:rsidRPr="00185BC0">
        <w:rPr>
          <w:sz w:val="28"/>
          <w:szCs w:val="28"/>
          <w:lang w:val="kk-KZ"/>
        </w:rPr>
        <w:instrText>ADDIN CSL_CITATION {"citationItems":[{"id":"ITEM-1","itemData":{"DOI":"10.2106/jbjs.o.00109","ISSN":"0021-9355","abstract":"ä Hip dysplasia is a leading precursor of osteoarthritis and is seen in 20% to 40% of patients with osteoarthritis of the hip. ä An increase in mechanical stress on the cartilage matrix with failure of the acetabular labrum represents the major pathomechanism of degeneration. ä Because the prevalence of associated femoral deformities is high (&gt;50%), the structural anatomy of the dysplastic hip must be assessed in multiple planes using radiographs and, if needed, advanced imaging modalities. ä Acetabular osteotomy (periacetabular and/or rotational) is the most commonly used procedure for the treatment of the majority of dysplastic hips in adults. ä Modern total hip replacement remains an excellent option for the more arthritic joints. Difficulties can arise from anatomical abnormalities and previous operations. Descriptive Epidemiology Refinements in understanding the etiology of secondary osteo-arthritis have highlighted developmental dysplasia of the hip (DDH) and femoroacetabular impingement as leading pre-cursors 1,2 . According to some estimates, DDH is involved in 20% to 40% of patients with osteoarthritis of the hip 3-5 . Despite the widespread screening for hip dysplasia at birth and during infancy, a substantial number of cases are not diagnosed until adulthood, with an estimated prevalence of 0.1% of the U.S. adult population 6,7 . Female sex, primiparity, breech position, and family history are known risk factors for hip dysplasia 8-10 . The lack of early intervention resulting from delayed diagnosis can lead to early onset of hip osteoarthritis and subsequent total hip replacement, although mild acetabular dysplasia has a variable and mostly benign natural history 11-14 . According to a study of 3620 subjects conducted by Gosvig et al. 15 , the prevalence of dysplasia was 4.3% (fifty-eight of 1332) in men and 3.6% (eighty-two of 2288) in women. Jacobsen and Sonne-Holm 16 , in a cross-sectional survey of 2232 women and 1336 men, found a prevalence that ranged from 5.4% to 12.8%, depending on the radiographic index applied. In both of these studies, the patients were asymptomatic. It is generally acknowledged that if DDH is recognized early, surgical correction of the abnormal anatomy diminishes the risk of osteoarthritis 12,13","author":[{"dropping-particle":"","family":"Gala","given":"Luca","non-dropping-particle":"","parse-names":false,"suffix":""},{"dropping-particle":"","family":"Clohisy","given":"John C.","non-dropping-particle":"","parse-names":false,"suffix":""},{"dropping-particle":"","family":"Beaulé","given":"Paul E.","non-dropping-particle":"","parse-names":false,"suffix":""}],"container-title":"The Journal of Bone and Joint Surgery","id":"ITEM-1","issue":"1","issued":{"date-parts":[["2016"]]},"title":"Hip Dysplasia in the Young Adult","type":"article-journal","volume":"98"},"uris":["http://www.mendeley.com/documents/?uuid=6fb4ba57-1376-3120-8a14-fd56bc6c0b58"]}],"mendeley":{"formattedCitation":"[25]","plainTextFormattedCitation":"[25]","previouslyFormattedCitation":"[25]"},"properties":{"noteIndex":0},"schema":"https://github.com/citation-style-language/schema/raw/master/csl-citation.json"}</w:instrText>
      </w:r>
      <w:r w:rsidR="00A36028" w:rsidRPr="00185BC0">
        <w:rPr>
          <w:sz w:val="28"/>
          <w:szCs w:val="28"/>
          <w:lang w:val="kk-KZ"/>
        </w:rPr>
        <w:fldChar w:fldCharType="separate"/>
      </w:r>
      <w:r w:rsidR="00371B3B" w:rsidRPr="00185BC0">
        <w:rPr>
          <w:noProof/>
          <w:sz w:val="28"/>
          <w:szCs w:val="28"/>
          <w:lang w:val="kk-KZ"/>
        </w:rPr>
        <w:t>[25]</w:t>
      </w:r>
      <w:r w:rsidR="00A36028" w:rsidRPr="00185BC0">
        <w:rPr>
          <w:sz w:val="28"/>
          <w:szCs w:val="28"/>
          <w:lang w:val="kk-KZ"/>
        </w:rPr>
        <w:fldChar w:fldCharType="end"/>
      </w:r>
      <w:r w:rsidRPr="00185BC0">
        <w:rPr>
          <w:sz w:val="28"/>
          <w:szCs w:val="28"/>
          <w:lang w:val="kk-KZ"/>
        </w:rPr>
        <w:t>, от 5,4 до 12,8% среди датчан, 1,8% среди корейцев, 2,4% среди турок и 7,3% среди сингапурцев</w:t>
      </w:r>
      <w:r w:rsidR="0069288D" w:rsidRPr="00185BC0">
        <w:rPr>
          <w:sz w:val="28"/>
          <w:szCs w:val="28"/>
          <w:lang w:val="kk-KZ"/>
        </w:rPr>
        <w:t xml:space="preserve"> </w:t>
      </w:r>
      <w:r w:rsidR="00A36028" w:rsidRPr="00185BC0">
        <w:rPr>
          <w:sz w:val="28"/>
          <w:szCs w:val="28"/>
          <w:lang w:val="kk-KZ"/>
        </w:rPr>
        <w:fldChar w:fldCharType="begin" w:fldLock="1"/>
      </w:r>
      <w:r w:rsidR="002F5076" w:rsidRPr="00185BC0">
        <w:rPr>
          <w:sz w:val="28"/>
          <w:szCs w:val="28"/>
          <w:lang w:val="kk-KZ"/>
        </w:rPr>
        <w:instrText>ADDIN CSL_CITATION {"citationItems":[{"id":"ITEM-1","itemData":{"DOI":"10.5312/wjo.v5.i4.412","ISSN":"22185836","abstract":"Adult patients with developmental dysplasia of the hip develop secondary osteoarthritis and eventually end up with total hip arthroplasty (THA) at younger age. Because of altered anatomy of dysplastic hips, THA in these patients represents technically demanding procedure. Distorted anatomy of the acetabulum and proximal femur together with conjoined leg length discrepancy present major challenges during performing THA in patients with developmental dysplasia of the hip. In addition, most patients are at younger age, therefore, soft tissue balance is of great importance (especially the need to preserve the continuity of abductors) to maximise postoperative functional result. In this paper we present a variety of surgical techniques available for THA in dysplastic hips, their advantages and disadvantages. For acetabular reconstruction following techniques are described: Standard metal augments (prefabricated), Custom made acetabular augments (3D printing), Roof reconstruction with vascularized fibula, Roof reconstruction with pedicled iliac graft, Roof reconstruction with autologous bone graft, Roof reconstruction with homologous bone graft, Roof reconstruction with auto/homologous spongious bone, Reinforcement ring with the hook in combination with autologous graft augmentation, Cranial positioning of the acetabulum, Medial protrusion technique (cotyloplasty) with chisel, Medial protrusion technique (cotyloplasty) with reaming, Cotyloplasty without spongioplasty. For femoral reconstruction following techniques were described: Distraction with external fixator, Femoral shortening through a modified lateral approach, Transtrochanteric osteotomies, Paavilainen osteotomy, Lesser trochanter osteotomy, Double-chevron osteotomy, Subtrochanteric osteotomies, Diaphyseal osteotomies, Distal femoral osteotomies. At the end we present author's treatment method of choice: for acetabulum we perform cotyloplasty leaving only paper-thin medial wall, which we break during acetabular cup impacting. For femoral side first we peel of all rotators and posterior part of gluteus medius and vastus lateralis from greater trochanter on the very thin flake of bone. This method allows us to adequately shorten proximal femoral stump, with possibility of additional resection of proximal femur. Furthermore, several advantages and disadvantages of this procedure are also discussed. © 2014 Baishideng Publishing Group Inc.","author":[{"dropping-particle":"","family":"Bicanic","given":"Goran","non-dropping-particle":"","parse-names":false,"suffix":""},{"dropping-particle":"","family":"Barbaric","given":"Katarina","non-dropping-particle":"","parse-names":false,"suffix":""},{"dropping-particle":"","family":"Bohacek","given":"Ivan","non-dropping-particle":"","parse-names":false,"suffix":""},{"dropping-particle":"","family":"Aljinovic","given":"Ana","non-dropping-particle":"","parse-names":false,"suffix":""},{"dropping-particle":"","family":"Delimar","given":"Domagoj","non-dropping-particle":"","parse-names":false,"suffix":""}],"container-title":"World Journal of Orthopedics","id":"ITEM-1","issue":"4","issued":{"date-parts":[["2014"]]},"title":"Current concept in dysplastic hip arthroplasty: Techniques for acetabular and femoral reconstruction","type":"article-journal","volume":"5"},"uris":["http://www.mendeley.com/documents/?uuid=6cd30f9c-d597-3ace-af99-bb908df2c340"]},{"id":"ITEM-2","itemData":{"DOI":"10.4055/cios.2014.6.2.127","ISSN":"20054408","abstract":"Curved periacetabular osteotomy (CPO) was developed for the treatment of dysplastic hips in 1995. In CPO, the exposure of osteotomy sites and osteotomy of the ischium are made in the same manner as Bernese periacetabular osteotomy, and iliac and pubic osteotomies are performed in the same manner as rotational acetabular osteotomy. We studied the dynamic instabilities of 25 dysplastic hips before and after CPO using triaxial accelerometry. Overall magnitude of acceleration was significantly decreased from 2.30 ± 0.57 m/sec2 preoperatively to 1.55 ± 0.31 m/sec2 postoperatively. Pain relief and improvement of acetabular coverage resulting from acetabular reorientation seem to be related with reduction of dynamic instabilities of dysplastic hips. Isokinetic muscle strengths of 24 hips in 22 patients were measured preoperatively and after CPO. At 12 months postoperatively, the mean muscle strength exceeded the preoperative values. These results seem to be obtained due to no dissection of abductor muscles in CPO. The preoperative presence of acetabular cysts did not influence the results of CPO. An adequate rotation of the acetabular fragment induced cyst remodeling. Satisfactory results were obtained clinically and radiographically after CPO in patients aged 50 years or older. CPO alone for the treatment of severe dysplastic hips classified as subluxated hips of Severin group IV-b with preoperative CE angles of up to -20° could restore the acetabular coverage, weight-bearing area and medialization of the hip joint. CPO without any other combined procedure, as a treatment for 17 hips in 16 patients with Perthes-like deformities, produced good mid-term clinical and radiographic results. We have been performing CPO in conjunction with osteochondroplasty for the treatment of acatabular dysplasia associated with femoroacetabular impingement since 2006. The combined procedure has been providing effective correction of both acetabular dysplasia and associated femoral head-neck deformities without any increased complication rate. We have encountered an obturator artery injury in one case and two intraoperative comminuted fractures. Although serious complications such as motor nerve palsy, deep infection, necrosis of the femoral head or acetabulum, and delayed union or nonunion of the ilium were reported, such complications have never occurred in our 700 cases so far. © 2014 by The Korean Orthopaedic Association.","author":[{"dropping-particle":"","family":"Naito","given":"Masatoshi","non-dropping-particle":"","parse-names":false,"suffix":""},{"dropping-particle":"","family":"Nakamura","given":"Yoshinari","non-dropping-particle":"","parse-names":false,"suffix":""}],"container-title":"Clinics in Orthopedic Surgery","id":"ITEM-2","issue":"2","issued":{"date-parts":[["2014"]]},"title":"Curved periacetabular osteotomy for the treatment of dysplastic hips","type":"article-journal","volume":"6"},"uris":["http://www.mendeley.com/documents/?uuid=e670f0e9-707d-3b24-a515-16ae36b66573"]}],"mendeley":{"formattedCitation":"[26, 27]","plainTextFormattedCitation":"[26, 27]","previouslyFormattedCitation":"[26, 27]"},"properties":{"noteIndex":0},"schema":"https://github.com/citation-style-language/schema/raw/master/csl-citation.json"}</w:instrText>
      </w:r>
      <w:r w:rsidR="00A36028" w:rsidRPr="00185BC0">
        <w:rPr>
          <w:sz w:val="28"/>
          <w:szCs w:val="28"/>
          <w:lang w:val="kk-KZ"/>
        </w:rPr>
        <w:fldChar w:fldCharType="separate"/>
      </w:r>
      <w:r w:rsidR="00371B3B" w:rsidRPr="00185BC0">
        <w:rPr>
          <w:noProof/>
          <w:sz w:val="28"/>
          <w:szCs w:val="28"/>
          <w:lang w:val="kk-KZ"/>
        </w:rPr>
        <w:t>[26, 27]</w:t>
      </w:r>
      <w:r w:rsidR="00A36028" w:rsidRPr="00185BC0">
        <w:rPr>
          <w:sz w:val="28"/>
          <w:szCs w:val="28"/>
          <w:lang w:val="kk-KZ"/>
        </w:rPr>
        <w:fldChar w:fldCharType="end"/>
      </w:r>
      <w:r w:rsidRPr="00185BC0">
        <w:rPr>
          <w:sz w:val="28"/>
          <w:szCs w:val="28"/>
          <w:lang w:val="kk-KZ"/>
        </w:rPr>
        <w:t xml:space="preserve">. Зарегестрированые случаи в странах Африки к югу от Сахары 0,06 на 1000 живорожденных, у коренных индейцев Америки 76,1 на 1000 живорожденных , в Великобритании 5-30 на 1000 живорожденных, в Японии 4 на 10 000 </w:t>
      </w:r>
      <w:r w:rsidRPr="00185BC0">
        <w:rPr>
          <w:sz w:val="28"/>
          <w:szCs w:val="28"/>
          <w:lang w:val="kk-KZ"/>
        </w:rPr>
        <w:lastRenderedPageBreak/>
        <w:t>живорожденных , в Америке 11,5 на 1000 живорожденных</w:t>
      </w:r>
      <w:r w:rsidR="00A36028" w:rsidRPr="00185BC0">
        <w:rPr>
          <w:sz w:val="28"/>
          <w:szCs w:val="28"/>
        </w:rPr>
        <w:t xml:space="preserve"> </w:t>
      </w:r>
      <w:r w:rsidR="00A36028" w:rsidRPr="00185BC0">
        <w:rPr>
          <w:sz w:val="28"/>
          <w:szCs w:val="28"/>
        </w:rPr>
        <w:fldChar w:fldCharType="begin" w:fldLock="1"/>
      </w:r>
      <w:r w:rsidR="002F5076" w:rsidRPr="00185BC0">
        <w:rPr>
          <w:sz w:val="28"/>
          <w:szCs w:val="28"/>
        </w:rPr>
        <w:instrText>ADDIN CSL_CITATION {"citationItems":[{"id":"ITEM-1","itemData":{"DOI":"10.1590/1413-785220202801215936","ISSN":"14137852","abstract":"Deveopmental Dysplasia of the Hip (DDH) is one of the most common orthopedic hip diseases of the pediatric population. There is a predominance in females and patients with known risk factors. Objective: To evaluate the characteristics of DDH in a reference center and compare them with the literature. Methods: This is a cross-sectional observational study based on the review of medical records and radiographs from which epidemiological data such as laterality, age at diagnosis, acetabular index, radiographic classification and others were collected. Results: A total of 297 medical records were found between May 1974 and June 2009. Of those, 147 patients (216 affected hips) were eligible for the survey. Most of the patients came from the state of São Paulo (91.1%), were born in autumn/winter (66.7%), reported as Caucasians (76.9%), with bilateral involvement (46.9%) and mean age at diagnosis of 22.8 months. Conclusion: The most frequent type of DDH was high dislocation (28.7%), and the acetabular index progressively increased with the age. The International Hip Dysplasia Institute classification was found to be more reproducible than Tönnis classification. Delayed diagnosis was associated with the absence of risk factors and with bilaterality. Level of Evidence III, Retrospective comparative study.","author":[{"dropping-particle":"","family":"Goiano","given":"Ellen de Oliveira","non-dropping-particle":"","parse-names":false,"suffix":""},{"dropping-particle":"","family":"Akkari","given":"Miguel","non-dropping-particle":"","parse-names":false,"suffix":""},{"dropping-particle":"","family":"Pupin","given":"Juliana Pietrobom","non-dropping-particle":"","parse-names":false,"suffix":""},{"dropping-particle":"","family":"Santili","given":"Claudio","non-dropping-particle":"","parse-names":false,"suffix":""}],"container-title":"Acta Ortopedica Brasileira","id":"ITEM-1","issue":"1","issued":{"date-parts":[["2020"]]},"title":"The epidemiology of developmental dysplasia of the hip in males","type":"article-journal","volume":"28"},"uris":["http://www.mendeley.com/documents/?uuid=8ea9724d-e73c-3854-a9cc-5e03f7f37c61"]},{"id":"ITEM-2","itemData":{"DOI":"10.22038/abjs.2017.20925.1562","ISSN":"2345461X","abstract":"Background: Although the developmental dysplasia of the hip (DDH) is well known to pediatric orthopedists, its etiology has still remained unknown and despite dedication of a vast majority of research, the results are still inadequate and confusing. The exact incidence of DDH and its relationship with known risk factors in Iran is still unknown. Here we represent the results of one year study on the incidence and related conditions of DDH. Methods: Sonography was performed on the hip joints of 1073 full term healthy newborns at Imam Khomeini Hospital from March 2013 to March 2014. The results were classified according to Graf's classification. Pathologic hips were cross checked by the known risk factors for DDH. Results: A significant correlation was found between DDH and breech presentation (P=0.000), torticollis (P=0.004), metatarsus adductus (P=0.024). Conclusion: The incidence of DDH is significantly high in the studied group of neonates, suggesting reevaluation of current approach to DDH. The screening protocols need to be improved with the help of trained pediatricians and other health professions.","author":[{"dropping-particle":"","family":"Vafaee","given":"Amir R.","non-dropping-particle":"","parse-names":false,"suffix":""},{"dropping-particle":"","family":"Baghdadi","given":"Taghi","non-dropping-particle":"","parse-names":false,"suffix":""},{"dropping-particle":"","family":"Baghdadi","given":"Azarakhsh","non-dropping-particle":"","parse-names":false,"suffix":""},{"dropping-particle":"","family":"Jamnani","given":"Reza Khalili","non-dropping-particle":"","parse-names":false,"suffix":""}],"container-title":"Archives of Bone and Joint Surgery","id":"ITEM-2","issue":"6","issued":{"date-parts":[["2017"]]},"title":"DDH epidemiology revisited: Do we need new strategies?","type":"article-journal","volume":"5"},"uris":["http://www.mendeley.com/documents/?uuid=83461153-072f-3d82-bd47-60d2ebde867b"]},{"id":"ITEM-3","itemData":{"DOI":"10.1007/s43465-021-00470-x","ISSN":"19983727","abstract":"Background: Little was known about developmental dysplasia of the hip (DDH) in the early historical era. Symptoms such as limping were caused by a variety of disease processes, many of which were life threatening. It was not until the discovery of X-ray in 1896 that clear understanding of childhood hip conditions, including DDH, could evolve. Methods: We reviewed available literature and distilled it into this summary of the history of our understanding of DDH. Results: The development of non-operative methods relied on plaster of Paris cast reductions and later splints and harness systems leading to the Pavlik harness (1950’s). The development of ultrasound as a diagnostic technique made early diagnosis and treatment possible. Surgical approaches to DDH treatment required several key discoveries: invention of general anesthesia (1840s); development of sterilization techniques (1860–1880); discovery of X-ray (1890s); development of stainless steel (1920s); and the discovery of antibiotics (1930s). These surgical advances allowed the development of a remarkable variety of operations to treat DDH including open reduction techniques, and osteotomies of the acetabulum and proximal femur. Conclusion: The path to accurate diagnosis and predictable treatment of DDH parallels the many advances that application of the scientific method has allowed in the specialty of orthopedic surgery. The development of academic centers that focus on research and education in childhood hip disorders, as well as a growing number of centers that focus on hip problems in adolescents and young adults, assure a continuous and changing “history” of this common childhood hip condition.","author":[{"dropping-particle":"","family":"Wenger","given":"Dennis R.","non-dropping-particle":"","parse-names":false,"suffix":""},{"dropping-particle":"","family":"Bomar","given":"James D.","non-dropping-particle":"","parse-names":false,"suffix":""}],"container-title":"Indian Journal of Orthopaedics","id":"ITEM-3","issue":"6","issued":{"date-parts":[["2020"]]},"title":"Historical Aspects of DDH","type":"article-journal","volume":"55"},"uris":["http://www.mendeley.com/documents/?uuid=599287ab-6633-34a3-ad0b-bbf9e37ad2c7"]},{"id":"ITEM-4","itemData":{"DOI":"10.1007/s11832-016-0798-5","ISSN":"18632548","abstract":"Purpose: The epidemiology and risk factors for developmental dysplasia of the hip (DDH) are still being refined. We investigated the local epidemiology of DDH in order to define incidence, identify risk factors, and refine our policy on selective ultrasound screening. Methods: With a cohort study design, data were prospectively recorded on all live births in our region from January 1998 to December 2008. We compared data on babies treated for DDH with data for all other children. Crude odds ratios (ORs) were calculated to identify potential risk factors. Logistic regression was then used to control for interactions between variables. Results: There were 182 children born with DDH (with a total of 245 dysplastic hips) and 37,051 without. The incidence was 4.9 per 1000 live births. Female sex (adjusted OR 7.2, 95% confidence interval [CI] 4.6–11.2), breech presentation (adjusted OR 24.3, 95% CI 13.1–44.9), positive family history (adjusted OR 15.9, 95% CI 11.0–22.9) and first or second pregnancy (adjusted OR 1.8, 95% CI 1.5–2.3) were confirmed as risk factors (p &lt; 0.001). In addition, there was an increased risk with vaginal delivery (adjusted OR 2.7, 1.6–4.5, p &lt; 0.001) and post-maturity (OR 1.7, 1.2–2.4, p &lt; 0.002). Conclusions: One in 200 children born within our region requires treatment for DDH. Using both established and novel risk factors, we can potentially calculate an individual child’s risk. Our findings may contribute to the debate regarding selective versus universal ultrasound screening. Level of Evidence: Prognostic Study: Level 1.","author":[{"dropping-particle":"","family":"Woodacre","given":"Timothy","non-dropping-particle":"","parse-names":false,"suffix":""},{"dropping-particle":"","family":"Ball","given":"Thomas","non-dropping-particle":"","parse-names":false,"suffix":""},{"dropping-particle":"","family":"Cox","given":"Peter","non-dropping-particle":"","parse-names":false,"suffix":""}],"container-title":"Journal of Children's Orthopaedics","id":"ITEM-4","issue":"6","issued":{"date-parts":[["2016"]]},"title":"Epidemiology of developmental dysplasia of the hip within the UK: refining the risk factors","type":"article-journal","volume":"10"},"uris":["http://www.mendeley.com/documents/?uuid=7abc3a4e-0085-3d43-a716-8303a9868caa"]}],"mendeley":{"formattedCitation":"[28–31]","plainTextFormattedCitation":"[28–31]","previouslyFormattedCitation":"[28–31]"},"properties":{"noteIndex":0},"schema":"https://github.com/citation-style-language/schema/raw/master/csl-citation.json"}</w:instrText>
      </w:r>
      <w:r w:rsidR="00A36028" w:rsidRPr="00185BC0">
        <w:rPr>
          <w:sz w:val="28"/>
          <w:szCs w:val="28"/>
        </w:rPr>
        <w:fldChar w:fldCharType="separate"/>
      </w:r>
      <w:r w:rsidR="00371B3B" w:rsidRPr="00185BC0">
        <w:rPr>
          <w:noProof/>
          <w:sz w:val="28"/>
          <w:szCs w:val="28"/>
        </w:rPr>
        <w:t>[28–31]</w:t>
      </w:r>
      <w:r w:rsidR="00A36028" w:rsidRPr="00185BC0">
        <w:rPr>
          <w:sz w:val="28"/>
          <w:szCs w:val="28"/>
        </w:rPr>
        <w:fldChar w:fldCharType="end"/>
      </w:r>
      <w:r w:rsidRPr="00185BC0">
        <w:rPr>
          <w:sz w:val="28"/>
          <w:szCs w:val="28"/>
          <w:lang w:val="kk-KZ"/>
        </w:rPr>
        <w:t>.</w:t>
      </w:r>
    </w:p>
    <w:p w14:paraId="1620C37E" w14:textId="72AC5ACA" w:rsidR="00BB1D05" w:rsidRPr="00185BC0" w:rsidRDefault="00BB1D05" w:rsidP="00BB1D05">
      <w:pPr>
        <w:ind w:firstLine="567"/>
        <w:jc w:val="both"/>
        <w:rPr>
          <w:sz w:val="28"/>
          <w:szCs w:val="28"/>
          <w:lang w:val="kk-KZ"/>
        </w:rPr>
      </w:pPr>
      <w:r w:rsidRPr="00185BC0">
        <w:rPr>
          <w:sz w:val="28"/>
          <w:szCs w:val="28"/>
          <w:lang w:val="kk-KZ"/>
        </w:rPr>
        <w:t>Одной из главных причин бесцементного ТЭТС среди молодого возраста является диспластический коксартроз, он варьируется от 21% до 29%, и основная доля приходится на женский пол</w:t>
      </w:r>
      <w:r w:rsidR="007E60CC"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{"citationItems":[{"id":"ITEM-1","itemData":{"DOI":"10.1186/s12893-020-00941-2","ISSN":"14712482","abstract":"Background: Total hip arthroplasty for Crowe type IV developmental dysplasia of the hip (DDH) is a complex procedure. Crowe type IV DDH combined with intertrochanteric frature is very rare. Case presentation: A 75-year-old patient suffering from left hip pain after a fall was sent to our hospital. Plain radiographs and computed tomography scans were used to diagnose this patient with DDH combined with an intertrochanteric fracture. We conducted a total hip arthroplasty using an S-rom prosthesis following subtrochanteric shortening osteotomy in this patient, after which steel wires were used to fix the intertrochanteric fracture. The patient did not suffer any significant intraoperative or postoperative complications, and treatment was sufficient to overcome lower leg abnormalities. The patient was encouraged to resume walking with support at 3 days post-surgery, and at 6-month postoperatively he had regained the majority of his original range of motion. At 10-month postoperatively, the intertrochanteric fracture and subtrochanteric osteotomy of left femur had healed effectively,and the patient’s VAS and mHSS scores had improved significantly. Conclusions: Total hip arthroplasty is an effective approach to treat patients suffering from Crowe type IV DDH combined with an intertrochanteric fracture, and can achieve satisfactory clinical outcomes.","author":[{"dropping-particle":"","family":"Chen","given":"Wei","non-dropping-particle":"","parse-names":false,"suffix":""},{"dropping-particle":"","family":"Ma","given":"Yong","non-dropping-particle":"","parse-names":false,"suffix":""},{"dropping-particle":"","family":"Ma","given":"Hui","non-dropping-particle":"","parse-names":false,"suffix":""},{"dropping-particle":"","family":"Nie","given":"Mao","non-dropping-particle":"","parse-names":false,"suffix":""}],"container-title":"BMC Surgery","id":"ITEM-1","issue":"1","issued":{"date-parts":[["2020"]]},"title":"Total hip arthroplasty for Crowe type IV developmental dysplasia of the hip combined with intertrochanteric fracture: a case report and literature review","type":"article-journal","volume":"20"},"uris":["http://www.mendeley.com/documents/?uuid=8f936dab-9cad-3ec5-8124-cccad4bdb205"]}],"mendeley":{"formattedCitation":"[32]","plainTextFormattedCitation":"[32]","previouslyFormattedCitation":"[32]"},"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[32]</w:t>
      </w:r>
      <w:r w:rsidR="008A45E3" w:rsidRPr="00185BC0">
        <w:rPr>
          <w:sz w:val="28"/>
          <w:szCs w:val="28"/>
          <w:lang w:val="kk-KZ"/>
        </w:rPr>
        <w:fldChar w:fldCharType="end"/>
      </w:r>
      <w:r w:rsidRPr="00185BC0">
        <w:rPr>
          <w:sz w:val="28"/>
          <w:szCs w:val="28"/>
          <w:lang w:val="kk-KZ"/>
        </w:rPr>
        <w:t>. Представленная проблема является актуальной и для Республики Казахстан, так как  Казахстан</w:t>
      </w:r>
      <w:r w:rsidR="0043499E" w:rsidRPr="00185BC0">
        <w:rPr>
          <w:sz w:val="28"/>
          <w:szCs w:val="28"/>
          <w:lang w:val="kk-KZ"/>
        </w:rPr>
        <w:t>,</w:t>
      </w:r>
      <w:r w:rsidRPr="00185BC0">
        <w:rPr>
          <w:sz w:val="28"/>
          <w:szCs w:val="28"/>
          <w:lang w:val="kk-KZ"/>
        </w:rPr>
        <w:t xml:space="preserve"> не</w:t>
      </w:r>
      <w:r w:rsidR="0043499E" w:rsidRPr="00185BC0">
        <w:rPr>
          <w:sz w:val="28"/>
          <w:szCs w:val="28"/>
          <w:lang w:val="kk-KZ"/>
        </w:rPr>
        <w:t xml:space="preserve"> </w:t>
      </w:r>
      <w:r w:rsidRPr="00185BC0">
        <w:rPr>
          <w:sz w:val="28"/>
          <w:szCs w:val="28"/>
          <w:lang w:val="kk-KZ"/>
        </w:rPr>
        <w:t>смотря на ранний скрининг и профилактические мероприятия находится в эндемической зоне по врожденной дисплазии и диспластическому коксоартрозу. По нашим данным за 10 летний период в Республике Казахстан прооперирован</w:t>
      </w:r>
      <w:r w:rsidR="0043499E" w:rsidRPr="00185BC0">
        <w:rPr>
          <w:sz w:val="28"/>
          <w:szCs w:val="28"/>
          <w:lang w:val="kk-KZ"/>
        </w:rPr>
        <w:t>о</w:t>
      </w:r>
      <w:r w:rsidRPr="00185BC0">
        <w:rPr>
          <w:sz w:val="28"/>
          <w:szCs w:val="28"/>
          <w:lang w:val="kk-KZ"/>
        </w:rPr>
        <w:t xml:space="preserve"> 48010 тазобедренных суставов, из них 4834 (около 10%) по поводу дисплазии</w:t>
      </w:r>
      <w:r w:rsidR="00082812"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{"citationItems":[{"id":"ITEM-1","itemData":{"id":"ITEM-1","issued":{"date-parts":[["0"]]},"title":"Report from SPA (Single Point of Access. ERSB.)/ https://reports.eisz.kz/Account/Login.aspx","type":"article"},"uris":["http://www.mendeley.com/documents/?uuid=ea514fab-74fd-4fc7-aebe-c4f7b2038a6e"]}],"mendeley":{"formattedCitation":"[33]","plainTextFormattedCitation":"[33]","previouslyFormattedCitation":"[33]"},"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[33]</w:t>
      </w:r>
      <w:r w:rsidR="008A45E3" w:rsidRPr="00185BC0">
        <w:rPr>
          <w:sz w:val="28"/>
          <w:szCs w:val="28"/>
          <w:lang w:val="kk-KZ"/>
        </w:rPr>
        <w:fldChar w:fldCharType="end"/>
      </w:r>
      <w:r w:rsidRPr="00185BC0">
        <w:rPr>
          <w:sz w:val="28"/>
          <w:szCs w:val="28"/>
          <w:lang w:val="kk-KZ"/>
        </w:rPr>
        <w:t>.</w:t>
      </w:r>
    </w:p>
    <w:p w14:paraId="344C0EAE" w14:textId="77777777" w:rsidR="00BB1D05" w:rsidRPr="00185BC0" w:rsidRDefault="00BB1D05" w:rsidP="00BB1D05">
      <w:pPr>
        <w:ind w:firstLine="567"/>
        <w:jc w:val="both"/>
        <w:rPr>
          <w:sz w:val="28"/>
          <w:szCs w:val="28"/>
          <w:lang w:val="kk-KZ"/>
        </w:rPr>
      </w:pPr>
      <w:r w:rsidRPr="00185BC0">
        <w:rPr>
          <w:sz w:val="28"/>
          <w:szCs w:val="28"/>
          <w:lang w:val="kk-KZ"/>
        </w:rPr>
        <w:t xml:space="preserve">Несмотря на длительную историю данного заболевания и усилия многих специалистов в этой области, все еще мало известно о точной причине развития ДК. </w:t>
      </w:r>
    </w:p>
    <w:p w14:paraId="64DBF051" w14:textId="3432C6B6" w:rsidR="00BB1D05" w:rsidRPr="00185BC0" w:rsidRDefault="00BB1D05" w:rsidP="00BB1D05">
      <w:pPr>
        <w:ind w:firstLine="567"/>
        <w:jc w:val="both"/>
        <w:rPr>
          <w:sz w:val="28"/>
          <w:szCs w:val="28"/>
          <w:lang w:val="kk-KZ"/>
        </w:rPr>
      </w:pPr>
      <w:r w:rsidRPr="00185BC0">
        <w:rPr>
          <w:sz w:val="28"/>
          <w:szCs w:val="28"/>
          <w:lang w:val="kk-KZ"/>
        </w:rPr>
        <w:t>Предполагается, что прогрессу данной патологии способствуют некоторые внутренние факторы, в том числе генетические (короткая и тонкая форма тела)</w:t>
      </w:r>
      <w:r w:rsidR="007E60CC"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{"citationItems":[{"id":"ITEM-1","itemData":{"DOI":"10.1002/mgg3.887","ISSN":"23249269","abstract":"Introduction &amp; Objective: Developmental Dysplasia of the Hip (DDH) is one of the most common congenital skeletal anomalies. Body of evidence suggests that genetic variations in GDF5 are associated with susceptibility to DDH. DDH is a multifactorial disease and its etiology has not been entirely determined. Epigenetic changes such as DNA methylation could be linked to DDH. In this scheme, we hypothesized that changes in GDF5 DNA methylation could predispose a susceptible individual to DDH. Methods: This study consisted of 45 DDH patients and 45 controls with healthy femoral neck cartilage, who underwent hemi-, or total arthroplasty for the femoral neck fracture. A cartilage sample of 1 cm in diameter and 1 mm in the thickness was obtained for DNA extraction. DNA was extracted and DNA methylation of GDF5 was evaluated by metabisulfite method. Results: Methylation analysis showed that the promoter of GDF5 in cartilage samples from DDH patients was hypermethylated in comparison to healthy controls (p =.001). Conclusion: Our study showed that the methylation status of the GDF5 in patients with DDH is dysregulated. This dysregulation indicates that adjustment in the methylation might modify the expression of this gene. Since this gene plays an essential role in cartilage and bone development, thus reducing its expression can contribute to the pathogenesis of DDH. Further studies are needed to elucidate the role of GDF5 in this disease.","author":[{"dropping-particle":"","family":"Baghdadi","given":"Taghi","non-dropping-particle":"","parse-names":false,"suffix":""},{"dropping-particle":"","family":"Nejadhosseinian","given":"Mohammad","non-dropping-particle":"","parse-names":false,"suffix":""},{"dropping-particle":"","family":"Shirkoohi","given":"Reza","non-dropping-particle":"","parse-names":false,"suffix":""},{"dropping-particle":"","family":"Mostafavi Tabatabaee","given":"Reza","non-dropping-particle":"","parse-names":false,"suffix":""},{"dropping-particle":"","family":"Tamehri","given":"Seyed S.","non-dropping-particle":"","parse-names":false,"suffix":""},{"dropping-particle":"","family":"Saffari","given":"Mojtaba","non-dropping-particle":"","parse-names":false,"suffix":""},{"dropping-particle":"","family":"Mortazavi","given":"S. M.Javad","non-dropping-particle":"","parse-names":false,"suffix":""}],"container-title":"Molecular Genetics and Genomic Medicine","id":"ITEM-1","issue":"9","issued":{"date-parts":[["2019"]]},"title":"DNA hypermethylation of GDF5 in developmental dysplasia of the hip (DDH)","type":"article-journal","volume":"7"},"uris":["http://www.mendeley.com/documents/?uuid=a12cffb3-4765-3173-b69b-624d351590ee"]},{"id":"ITEM-2","itemData":{"DOI":"10.12996/gmj.2022.58","ISSN":"21472092","abstract":"Background: Developmental dysplasia of the hip (DDH) is a sophisticated skeletal disease ranging from subluxation to entire dislocation of the hip as a result of missing growth of the acetabulum and femur. DDH clearly has a multifactorial biological etiology. No doubt, one of them is genetic changes. MicroRNAs (miRNAs) are 21-23 nucleotides RNAs that show biological regulatory functions on a variety of basic physiological or pathological processes including bone formation. Although there have been many studies examining the relationship between bone metabolism and miRNAs, including miR-96, none of these studies, have been directed to the etiology of DDH. Methods: In our study, we aimed to investigate the relationship between miR-96 expression level and DDH. In this study, peripheral blood samples of 50 DDH and 80 DDH-free individuals under one-year-old were analyzed to investigate the relationship between miR-96 expression level and DDH. Gene ontology (GO) and KEGG pathways enrichment analyses of miR-96 targeting genes were performed using available databases and R environment. Results: We found that miR-96 level in DDH patients was approximately 3 times lower in comparison to healthy individuals. Gene ontology enrichments of hsamir-96 targeting genes underline the involvement of this miRNA in many biological processes including the bone homeostasis. Obtained results indicate that the expression level of miR-96 in the DDH group significantly decreased compared to the control group and this may be linked to the etiology of DDH. Conclusion: Our work is the first study which aims to correlate the miR-96 level with DDH by investigating the miRNA level in plasma of patients and healthy individuals. In addition to our experimental data and enrichment analyses results for mir-96, considering the previous papers on miR-96 and osteogenesis, here we suggest that miR-96 may a role in the etiology of DDH.","author":[{"dropping-particle":"","family":"Gumus","given":"Evren","non-dropping-particle":"","parse-names":false,"suffix":""},{"dropping-particle":"","family":"Temiz","given":"Ebru","non-dropping-particle":"","parse-names":false,"suffix":""},{"dropping-particle":"","family":"Demircan","given":"Turan","non-dropping-particle":"","parse-names":false,"suffix":""},{"dropping-particle":"","family":"Sarikaya","given":"Baran","non-dropping-particle":"","parse-names":false,"suffix":""},{"dropping-particle":"","family":"Yuksekdag","given":"Ozgur","non-dropping-particle":"","parse-names":false,"suffix":""},{"dropping-particle":"","family":"Bozkurt","given":"Celal","non-dropping-particle":"","parse-names":false,"suffix":""},{"dropping-particle":"","family":"Koyuncu","given":"Ismail","non-dropping-particle":"","parse-names":false,"suffix":""},{"dropping-particle":"","family":"Oz","given":"Ozlem","non-dropping-particle":"","parse-names":false,"suffix":""}],"container-title":"Gazi Medical Journal","id":"ITEM-2","issue":"3","issued":{"date-parts":[["2022"]]},"title":"The Link between miR-96 Levels and the Developmental Dysplasia of the Hip","type":"article-journal","volume":"33"},"uris":["http://www.mendeley.com/documents/?uuid=897133c2-b194-32f6-9287-72fbe2a5019e"]},{"id":"ITEM-3","itemData":{"DOI":"10.1186/ar3252","ISSN":"14786354","abstract":"Introduction: Developmental dysplasia of the hip (DDH) is a common skeletal disease, which is characterized by abnormal seating of the femoral head in the acetabulum. Genetic factors play a considerable role in the etiology of DDH. Asporin (ASPN) is an ECM protein which can bind to TGF-β1 and sequentially inhibit TGF-β/Smad signaling. A functional aspartic acid (D) repeat polymorphism of ASPN was first described as an osteoarthritis-associated polymorphism. As TGF-β is well known as an important regulator in the development of skeletal components, ASPN may also be involved in the etiology of DDH. Our objective is to evaluate whether the D repeat polymorphism of ASPN is associated with DDH in Han Chinese.Methods: The D repeat polymorphism was genotyped in 370 DDH patients and 445 control subjects, and the allelic association of the D repeat was examined.Results: From D11 to D18, eight alleles were identified. D13 allele is the most common allele both in control and DDH groups, the frequencies are 67.3% and 58.1% respectively. In the DDH group, a significantly higher frequency of the D14 allele and significantly lower frequency of D13 was observed. The association of D14 and D13 was found in both females and males after stratification by gender. There was no significant difference in any other alleles we examined.Conclusions: Our results show an obvious association between the D repeat polymorphism of ASPN and DDH. It indicates that ASPN is an important regulator in the etiology of DDH. © 2011 Shi et al.; licensee BioMed Central Ltd.","author":[{"dropping-particle":"","family":"Shi","given":"Dongquan","non-dropping-particle":"","parse-names":false,"suffix":""},{"dropping-particle":"","family":"Dai","given":"Jin","non-dropping-particle":"","parse-names":false,"suffix":""},{"dropping-particle":"","family":"Zhu","given":"Pengsheng","non-dropping-particle":"","parse-names":false,"suffix":""},{"dropping-particle":"","family":"Qin","given":"Jianghui","non-dropping-particle":"","parse-names":false,"suffix":""},{"dropping-particle":"","family":"Zhu","given":"Lunqing","non-dropping-particle":"","parse-names":false,"suffix":""},{"dropping-particle":"","family":"Zhu","given":"Hongtao","non-dropping-particle":"","parse-names":false,"suffix":""},{"dropping-particle":"","family":"Zhao","given":"Baocheng","non-dropping-particle":"","parse-names":false,"suffix":""},{"dropping-particle":"","family":"Qiu","given":"Xusheng","non-dropping-particle":"","parse-names":false,"suffix":""},{"dropping-particle":"","family":"Xu","given":"Zhihong","non-dropping-particle":"","parse-names":false,"suffix":""},{"dropping-particle":"","family":"Chen","given":"Dongyang","non-dropping-particle":"","parse-names":false,"suffix":""},{"dropping-particle":"","family":"Yi","given":"Long","non-dropping-particle":"","parse-names":false,"suffix":""},{"dropping-particle":"","family":"Ikegawa","given":"Shiro","non-dropping-particle":"","parse-names":false,"suffix":""},{"dropping-particle":"","family":"Jiang","given":"Qing","non-dropping-particle":"","parse-names":false,"suffix":""}],"container-title":"Arthritis Research and Therapy","id":"ITEM-3","issue":"1","issued":{"date-parts":[["2011"]]},"title":"Association of the D repeat polymorphism in the ASPN gene with developmental dysplasia of the hip: A case-control study in Han Chinese","type":"article-journal","volume":"13"},"uris":["http://www.mendeley.com/documents/?uuid=c70aa2bf-313b-3f19-ad52-0ec096ae5a2d"]},{"id":"ITEM-4","itemData":{"DOI":"10.1073/pnas.2203557119","ISSN":"10916490","abstract":"Developmental dysplasia of the hip (DDH) is one of the most common congenital skeletal malformations; however, its etiology remains unclear. Here, we conducted whole-exome sequencing in eight DDH families followed by targeted sequencing of 68 sporadic DDH patients. We identified likely pathogenic variants in the LRP1 (low-density lipoprotein receptor-related protein 1) gene in two families and seven unrelated patients. All patients harboring the LRP1 variants presented a typical DDH phenotype. The heterozygous Lrp1 knockout (KO) mouse (Lrp1+/-) showed phenotypes recapitulating the human DDH phenotypes, indicating Lrp1 loss of function causes DDH. Lrp1 knockin mice with a missense variant corresponding to a human variant identified in DDH (Lrp1R1783W) also presented DDH phenotypes, which were milder in hetero-zygotes and severer in homozygotes than those of the Lrp1 KO mouse. The timing of triradiate cartilage development was brought forward 1 or 2 wk earlier in the LRP-deficient mice, which leads to malformation of the acetabulum and femoral head. Furthermore, Lrp1 deficiency caused a significant decrease of chondrogenic ability in vitro. During the chondrogenic induction of mice bone marrow stem cells and ATDC5 (an inducible chondrogenic cell line), Lrp1 deficiency caused decreased autophagy levels with significant β-catenin up-regulation and suppression of chondrocyte marker genes. The expression of chondrocyte markers was rescued by PNU-74654 (a β-catenin antagonist) in an shRNA-Lrp1–expressed ATDC5 cell. Our study reveals a critical role of LRP1 in the etiology and pathogenesis of DDH, opening an avenue for its treatment.","author":[{"dropping-particle":"","family":"Yan","given":"Wenjin","non-dropping-particle":"","parse-names":false,"suffix":""},{"dropping-particle":"","family":"Zheng","given":"Liming","non-dropping-particle":"","parse-names":false,"suffix":""},{"dropping-particle":"","family":"Xu","given":"Xingquan","non-dropping-particle":"","parse-names":false,"suffix":""},{"dropping-particle":"","family":"Hao","given":"Zheng","non-dropping-particle":"","parse-names":false,"suffix":""},{"dropping-particle":"","family":"Zhang","given":"Yibo","non-dropping-particle":"","parse-names":false,"suffix":""},{"dropping-particle":"","family":"Lu","given":"Jun","non-dropping-particle":"","parse-names":false,"suffix":""},{"dropping-particle":"","family":"Sun","given":"Ziying","non-dropping-particle":"","parse-names":false,"suffix":""},{"dropping-particle":"","family":"Dai","given":"Jin","non-dropping-particle":"","parse-names":false,"suffix":""},{"dropping-particle":"","family":"Shi","given":"Dongquan","non-dropping-particle":"","parse-names":false,"suffix":""},{"dropping-particle":"","family":"Guo","given":"Baosheng","non-dropping-particle":"","parse-names":false,"suffix":""},{"dropping-particle":"","family":"Jiang","given":"Qing","non-dropping-particle":"","parse-names":false,"suffix":""}],"container-title":"Proceedings of the National Academy of Sciences of the United States of America","id":"ITEM-4","issue":"37","issued":{"date-parts":[["2022"]]},"title":"Heterozygous LRP1 deficiency causes developmental dysplasia of the hip by impairing triradiate chondrocytes differentiation due to inhibition of autophagy","type":"article-journal","volume":"119"},"uris":["http://www.mendeley.com/documents/?uuid=6eea3b4f-3ce4-30bd-82e6-b8a11d2a3316"]}],"mendeley":{"formattedCitation":"[34–37]","plainTextFormattedCitation":"[34–37]","previouslyFormattedCitation":"[34–37]"},"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[34–37]</w:t>
      </w:r>
      <w:r w:rsidR="008A45E3" w:rsidRPr="00185BC0">
        <w:rPr>
          <w:sz w:val="28"/>
          <w:szCs w:val="28"/>
          <w:lang w:val="kk-KZ"/>
        </w:rPr>
        <w:fldChar w:fldCharType="end"/>
      </w:r>
      <w:r w:rsidR="007E60CC" w:rsidRPr="00185BC0">
        <w:rPr>
          <w:sz w:val="28"/>
          <w:szCs w:val="28"/>
          <w:lang w:val="kk-KZ"/>
        </w:rPr>
        <w:t>,</w:t>
      </w:r>
      <w:r w:rsidRPr="00185BC0">
        <w:rPr>
          <w:sz w:val="28"/>
          <w:szCs w:val="28"/>
          <w:lang w:val="kk-KZ"/>
        </w:rPr>
        <w:t xml:space="preserve"> механические</w:t>
      </w:r>
      <w:r w:rsidR="007E60CC"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{"citationItems":[{"id":"ITEM-1","itemData":{"DOI":"10.1016/j.joca.2016.10.023","ISSN":"15229653","abstract":"Developmental dysplasia of the hip (DDH) is a common condition predisposing to osteoarthritis (OA). Especially since DDH is best identified and treated in infancy before bones ossify, there is surprisingly a near-complete absence of literature examining mechanical behavior of infant dysplastic hips. We sought to identify current practice in finite element modeling (FEM) of DDH, to inform future modeling of infant dysplastic hips. We performed multi-database systematic review using PRISMA criteria. Abstracts (n = 126) fulfilling inclusion criteria were screened for methodological quality, and results were analyzed and summarized for eligible articles (n = 12). The majority of the studies modeled human adult dysplastic hips. Two studies focused on etiology of DDH through simulating mechanobiological growth of prenatal hips; we found no FEM-based studies in infants or children. Finite element models used either patient-specific geometry or idealized average geometry. Diversities in choice of material properties, boundary conditions, and loading scenarios were found in the finite-element models. FEM of adult dysplastic hips demonstrated generally smaller cartilage contact area in dysplastic hips than in normal joints. Contact pressure (CP) may be higher or lower in dysplastic hips depending on joint geometry and mechanical contribution of labrum (Lb). FEM of mechanobiological growth of prenatal hip joints revealed evidence for effects of the joint mechanical environment on formation of coxa valga, asymmetrically shallow acetabulum and malformed femoral head associated with DDH. Future modeling informed by the results of this review may yield valuable insights into optimal treatment of DDH, and into how and why OA develops early in DDH.","author":[{"dropping-particle":"","family":"Vafaeian","given":"B.","non-dropping-particle":"","parse-names":false,"suffix":""},{"dropping-particle":"","family":"Zonoobi","given":"D.","non-dropping-particle":"","parse-names":false,"suffix":""},{"dropping-particle":"","family":"Mabee","given":"M.","non-dropping-particle":"","parse-names":false,"suffix":""},{"dropping-particle":"","family":"Hareendranathan","given":"A. R.","non-dropping-particle":"","parse-names":false,"suffix":""},{"dropping-particle":"","family":"El-Rich","given":"M.","non-dropping-particle":"","parse-names":false,"suffix":""},{"dropping-particle":"","family":"Adeeb","given":"S.","non-dropping-particle":"","parse-names":false,"suffix":""},{"dropping-particle":"","family":"Jaremko","given":"J. L.","non-dropping-particle":"","parse-names":false,"suffix":""}],"container-title":"Osteoarthritis and Cartilage","id":"ITEM-1","issue":"4","issued":{"date-parts":[["2017"]]},"title":"Finite element analysis of mechanical behavior of human dysplastic hip joints: a systematic review","type":"article","volume":"25"},"uris":["http://www.mendeley.com/documents/?uuid=5b8e7d64-4bd5-3e96-b21d-c5741faf8b8b"]}],"mendeley":{"formattedCitation":"[38]","plainTextFormattedCitation":"[38]","previouslyFormattedCitation":"[38]"},"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[38]</w:t>
      </w:r>
      <w:r w:rsidR="008A45E3" w:rsidRPr="00185BC0">
        <w:rPr>
          <w:sz w:val="28"/>
          <w:szCs w:val="28"/>
          <w:lang w:val="kk-KZ"/>
        </w:rPr>
        <w:fldChar w:fldCharType="end"/>
      </w:r>
      <w:r w:rsidRPr="00185BC0">
        <w:rPr>
          <w:sz w:val="28"/>
          <w:szCs w:val="28"/>
          <w:lang w:val="kk-KZ"/>
        </w:rPr>
        <w:t>, национальные (тугое пеленание), географические (степи, горная местность), климато-экологические (меньше солнечного света, высокая температура окружающей среды и высокая влажность)</w:t>
      </w:r>
      <w:r w:rsidR="007E60CC"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{"citationItems":[{"id":"ITEM-1","itemData":{"DOI":"10.1016/j.ejmg.2020.103990","ISSN":"18780849","abstract":"In the last decade, the advances in the molecular analyses and sequencing techniques allowed researchers to study developmental dysplasia of the hip (DDH) more thoroughly. Certain chromosomes, genes, loci and polymorphisms are being associated with variable severity of this disorder. The wide range of signs and symptoms is dependent either on isolated or systemic manifestation. Phenotypes of isolated cases range from only a mild ligamental laxity, through subluxation, to a complete dislocation of the femoral head. Systemic manifestation is connected to various forms of skeletal dysplasia and other malformations characterized by significant genetic aberrations. To reveal the background of DDH heredity, multiple studies focused on large sample sizes with an emphasis on the correlation between genotype, phenotype and continuous clinical examination. Etiological risk factors that have been observed and documented in patients include genetic, environmental, and mechanical factors, which significantly contribute to the familial or nonfamilial occurrence and phenotypic variability of this disorder. Still, the multifactorial etiology and pathogenesis of DDH are not yet sufficiently clarified, explained, or understood. Formation of connective tissue, osteogenesis, chondrogenesis, and all other affected pathways and variations in the function of their individual elements contribute to the creation of the pathology in a developing human body. This review article presents an up-to-date list of known DDH associated genes, their products, and functional characteristics.","author":[{"dropping-particle":"","family":"Harsanyi","given":"Stefan","non-dropping-particle":"","parse-names":false,"suffix":""},{"dropping-particle":"","family":"Zamborsky","given":"Radoslav","non-dropping-particle":"","parse-names":false,"suffix":""},{"dropping-particle":"","family":"Kokavec","given":"Milan","non-dropping-particle":"","parse-names":false,"suffix":""},{"dropping-particle":"","family":"Danisovic","given":"Lubos","non-dropping-particle":"","parse-names":false,"suffix":""}],"container-title":"European Journal of Medical Genetics","id":"ITEM-1","issue":"9","issued":{"date-parts":[["2020"]]},"title":"Genetics of developmental dysplasia of the hip","type":"article","volume":"63"},"uris":["http://www.mendeley.com/documents/?uuid=4aefd0f7-59e0-3877-a4e8-1e8491a87f14"]},{"id":"ITEM-2","itemData":{"DOI":"10.1111/os.12713","ISSN":"17577853","abstract":"Objectives: To summarize our pioneering surgical practice and clinical outcome of Crowe type III-IV developmental dysplasia of the hip (DDH) with a direct anterior approach total hip arthroplasty in a single teaching hospital in Southwest China. Methods: Fourteen patients (15 hips) diagnosed with Crowe type III-IV developmental dysplasia of the hip were involved in this single-center retrospective study between 2016 and 2018. A comprehensive surgical procedure, including preoperative planning and algorithms for leg length equalization, intraoperative stepwise soft tissue release, bone defect reconstruction, and an innovative subtrochanteric osteotomy, was described. Furthermore, advancements in intraoperative CT guidance, computer navigation, and nerve monitoring were available for specific demands. The short-term clinical outcome was evaluated at the endpoint of follow-up by three patient-reported functional scales (Harris, WOMAC, and SF-12 scores), and objective data collected at the clinic, including functional recovery (muscle strength of hip flexor and abductor, correction of the pelvic tilt, leg length discrepancy, and limp), radiographic analysis, and complication occurrence. Results: The intraoperative variables were carefully recorded. The mean operating times in Crowe type III and IV groups were 115.8 min and 156.2 min, and the median blood loss volumes were 520.5 mL and 810.2 mL, respectively. The general changes in the Harris, SF-12, and WOMAC scores of the two groups were 46.2, 8.7 and 134.3, respectively, at a mean follow-up of 25.4 months. Enhanced recovery of hip abductor muscle strength was identified in 85.7% of the population at the third postoperative month. The equalization of leg length and correction of the pelvic tile were observed at the sixth postoperative month, with a 36-mm decrease in leg length discrepancy. No radiographic evidence of the loosening or migration of the components was observed. A self-innovated subtrochanteric shortening osteotomy was performed in five patients, and they healed after 6 months. Specific complications included two cases of distal femoral cracks and one case of a periprosthetic fracture needing internal fixation. Two patients received a late iliotibial band release at the 3rd month postoperatively due to progressive genu valgum. No records of infection, dislocation, nerve palsy, bone non-union, or revision surgery were identified. Discussion: The direct anterior approach total hip arthroplasty s…","author":[{"dropping-particle":"","family":"Liu","given":"Zai yang","non-dropping-particle":"","parse-names":false,"suffix":""},{"dropping-particle":"","family":"Zhang","given":"Jun","non-dropping-particle":"","parse-names":false,"suffix":""},{"dropping-particle":"","family":"Wu","given":"Song tao","non-dropping-particle":"","parse-names":false,"suffix":""},{"dropping-particle":"","family":"Li","given":"Zi qiang","non-dropping-particle":"","parse-names":false,"suffix":""},{"dropping-particle":"","family":"Xu","given":"Zhong hua","non-dropping-particle":"","parse-names":false,"suffix":""},{"dropping-particle":"","family":"Zhang","given":"Xia","non-dropping-particle":"","parse-names":false,"suffix":""},{"dropping-particle":"","family":"Zhou","given":"Yue","non-dropping-particle":"","parse-names":false,"suffix":""},{"dropping-particle":"","family":"Zhang","given":"Yuan","non-dropping-particle":"","parse-names":false,"suffix":""}],"container-title":"Orthopaedic Surgery","id":"ITEM-2","issue":"4","issued":{"date-parts":[["2020"]]},"title":"Direct Anterior Approach in Crowe Type III-IV Developmental Dysplasia of the Hip: Surgical Technique and 2 years Follow-up from Southwest China","type":"article-journal","volume":"12"},"uris":["http://www.mendeley.com/documents/?uuid=216858ec-25dc-381d-88d3-4e57431e8641"]}],"mendeley":{"formattedCitation":"[3, 39]","plainTextFormattedCitation":"[3, 39]","previouslyFormattedCitation":"[3, 39]"},"properties":{"noteIndex":0},"schema":"https://github.com/citation-style-language/schema/raw/master/csl-citation.json"}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[3, 39]</w:t>
      </w:r>
      <w:r w:rsidR="008A45E3" w:rsidRPr="00185BC0">
        <w:rPr>
          <w:sz w:val="28"/>
          <w:szCs w:val="28"/>
          <w:lang w:val="kk-KZ"/>
        </w:rPr>
        <w:fldChar w:fldCharType="end"/>
      </w:r>
      <w:r w:rsidRPr="00185BC0">
        <w:rPr>
          <w:sz w:val="28"/>
          <w:szCs w:val="28"/>
          <w:lang w:val="kk-KZ"/>
        </w:rPr>
        <w:t xml:space="preserve">. </w:t>
      </w:r>
      <w:r w:rsidR="0043499E" w:rsidRPr="00185BC0">
        <w:rPr>
          <w:sz w:val="28"/>
          <w:szCs w:val="28"/>
          <w:lang w:val="kk-KZ"/>
        </w:rPr>
        <w:t>По данным авторов, развитие ДК у взрослого населения в основном обусловлено погрешностями обследования новорождённых и неадекватно проведённым лечением дисплазии тазобедренных суставов</w:t>
      </w:r>
      <w:r w:rsidRPr="00185BC0">
        <w:rPr>
          <w:sz w:val="28"/>
          <w:szCs w:val="28"/>
        </w:rPr>
        <w:t xml:space="preserve"> </w:t>
      </w:r>
      <w:r w:rsidR="007E60CC"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{"citationItems":[{"id":"ITEM-1","itemData":{"DOI":"10.1111/os.12665","ISSN":"17577853","abstract":"Objective: To investigate whether the risk of dislocation after total hip arthroplasty (THA) in patients with Crowe type IV developmental dysplasia of the hip (DDH) is high and to further identify the risk factors for postoperative dislocation in these patients. Methods: This retrospective cohort study reviewed Crowe type IV DDH patients undergoing THA between January 2009 and December 2017 in our institution. Each Crowe type IV DDH patient was matched with three Crowe type I, II, or III DDH patients according to gender, side and date of operation. The primary outcome of this study was postoperative dislocation after THA. Occurrence, rate, classification, treatment and outcome of dislocation were documented in detail for all patients. The dislocation rates were compared between Crowe type IV DDH patients and Crowe type I, II, or III DDH patients. Demographic data, implant factors, and surgical factors were compared between the dislocation and no dislocation groups. Multiple logistic regression analysis was used to determine the independent risk factors for dislocation in Crowe type IV hips. Results: A total of 131 Crowe type IV hips were followed up for a mean of 76.5 ± 28.1 months. Three hundred and ninety-three Crowe type I, II and III hips, including 261 type I hips, 94 type II hips, and 38 type III hips, were identified as controls and followed up for a mean of 76.4 ± 28.2 months. No significant difference was observed in follow-up time between two groups (P = 0.804). One or more dislocations occurred in 22 of the 524 dysplasia hips (4.20%). Of the 22 dislocated hips, 20 hips (90.9%) were successfully managed with non-operative treatment. Two patients (9.1%, one Crowe type I and one Crowe type IV) experienced recurrent dislocation and required revision surgery. Crowe type IV hips had a significantly higher postoperative dislocation rate than type I, II, and III hips (11.45% vs 1.78%, P &lt; 0.001). The use of a 22-mm femoral head (odds ratio [OR] = 23.55, 95% confidence interval [CI] = 1.901–291.788, P = 0.014), older age (OR = 1.128, 95% CI = 1.037–1.275, P = 0.031), and absence of false acetabulum (OR = 12.425, 95% CI = 1.982–77.879, P = 0.007) were identified as independent risk factors for dislocation in Crowe type IV hips. Conclusions: Crowe type IV DDH patients were at a high risk of dislocation after THA, and using large femoral heads and improving abductor muscle strength may help decrease the rate of postoperative dislocation in such patients.","author":[{"dropping-particle":"","family":"Ding","given":"Zi chuan","non-dropping-particle":"","parse-names":false,"suffix":""},{"dropping-particle":"","family":"Zeng","given":"Wei nan","non-dropping-particle":"","parse-names":false,"suffix":""},{"dropping-particle":"","family":"Mou","given":"Ping","non-dropping-particle":"","parse-names":false,"suffix":""},{"dropping-particle":"","family":"Liang","given":"Zhi min","non-dropping-particle":"","parse-names":false,"suffix":""},{"dropping-particle":"","family":"Wang","given":"Duan","non-dropping-particle":"","parse-names":false,"suffix":""},{"dropping-particle":"","family":"Zhou","given":"Zong ke","non-dropping-particle":"","parse-names":false,"suffix":""}],"container-title":"Orthopaedic Surgery","id":"ITEM-1","issued":{"date-parts":[["2020"]]},"title":"Risk of Dislocation After Total Hip Arthroplasty in Patients with Crowe Type IV Developmental Dysplasia of the Hip","type":"article-journal"},"uris":["http://www.mendeley.com/documents/?uuid=6c63f73f-77cd-31f0-b918-bc3e554afecf"]}],"mendeley":{"formattedCitation":"[40]","plainTextFormattedCitation":"[40]","previouslyFormattedCitation":"[40]"},"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[40]</w:t>
      </w:r>
      <w:r w:rsidR="008A45E3" w:rsidRPr="00185BC0">
        <w:rPr>
          <w:sz w:val="28"/>
          <w:szCs w:val="28"/>
          <w:lang w:val="kk-KZ"/>
        </w:rPr>
        <w:fldChar w:fldCharType="end"/>
      </w:r>
      <w:r w:rsidRPr="00185BC0">
        <w:rPr>
          <w:sz w:val="28"/>
          <w:szCs w:val="28"/>
          <w:lang w:val="kk-KZ"/>
        </w:rPr>
        <w:t>.</w:t>
      </w:r>
    </w:p>
    <w:p w14:paraId="649F52BA" w14:textId="0003EEDB" w:rsidR="00BB1D05" w:rsidRPr="00185BC0" w:rsidRDefault="00BB1D05" w:rsidP="00BB1D05">
      <w:pPr>
        <w:ind w:firstLine="567"/>
        <w:jc w:val="both"/>
        <w:rPr>
          <w:sz w:val="28"/>
          <w:szCs w:val="28"/>
          <w:lang w:val="kk-KZ"/>
        </w:rPr>
      </w:pPr>
      <w:r w:rsidRPr="00185BC0">
        <w:rPr>
          <w:sz w:val="28"/>
          <w:szCs w:val="28"/>
          <w:lang w:val="kk-KZ"/>
        </w:rPr>
        <w:t>На сегодняшний день основными факторами риска развития дисплазии тазобедренного сустава считается женский пол, первородство, ягодичное предлежание, многоплодная беременность и особенности ведения новорожденных</w:t>
      </w:r>
      <w:r w:rsidR="007E60CC" w:rsidRPr="00185BC0">
        <w:rPr>
          <w:sz w:val="28"/>
          <w:szCs w:val="28"/>
          <w:lang w:val="kk-KZ"/>
        </w:rPr>
        <w:t xml:space="preserve"> </w:t>
      </w:r>
      <w:r w:rsidR="008A45E3" w:rsidRPr="00185BC0">
        <w:rPr>
          <w:sz w:val="28"/>
          <w:szCs w:val="28"/>
          <w:lang w:val="kk-KZ"/>
        </w:rPr>
        <w:fldChar w:fldCharType="begin" w:fldLock="1"/>
      </w:r>
      <w:r w:rsidR="002F5076" w:rsidRPr="00185BC0">
        <w:rPr>
          <w:sz w:val="28"/>
          <w:szCs w:val="28"/>
          <w:lang w:val="kk-KZ"/>
        </w:rPr>
        <w:instrText>ADDIN CSL_CITATION {"citationItems":[{"id":"ITEM-1","itemData":{"DOI":"10.1302/0301-620X.95B1.29927","ISSN":"0301620X","abstract":"Twins are often considered to be at an increased risk of developmental dysplasia of the hip (DDH); we therefore investigated whether multiple births have a higher incidence of DDH, and if selective ultrasound scanning should be considered for these infants. We reviewed our records of all live births between 1 January 2004 and 31 December 2008 and included 25 246 single and 990 multiple births. Multiple births did not have a significantly higher incidence of DDH compared with single births (0.0030 vs 0.0023, p = 0.8939). Of the 990 multiple births, 267 had neonatal ultrasound scans and one case of DDH was diagnosed and treated successfully with a Pavlik harness. There were two late-presenting cases at eight and 14 months of age, neither of whom had risk factors for DDH and consequently had not had a neonatal scan. Whereas selective ultrasound scanning of multiple births would have led to earlier detection and treatment of the late-presenting cases, they did not have a significantly higher incidence of DDH compared with single births. We conclude that being a twin or triplet in itself is not a risk factor for DDH and that selective ultrasound scanning is not indicated for this population. © 2013 British Editorial Society of Bone &amp; Joint Surgery.","author":[{"dropping-particle":"V.","family":"Barr","given":"L.","non-dropping-particle":"","parse-names":false,"suffix":""},{"dropping-particle":"","family":"Rehm","given":"A.","non-dropping-particle":"","parse-names":false,"suffix":""}],"container-title":"Journal of Bone and Joint Surgery - Series B","id":"ITEM-1","issue":"1","issued":{"date-parts":[["2013"]]},"title":"Should all twins and multiple births undergo ultrasound examination for developmental dysplasia of the hip?: A retrospective study of 990 multiple births","type":"article-journal","volume":"95 B"},"uris":["http://www.mendeley.com/documents/?uuid=1d3082f3-6b71-3cd1-9db0-d7a6a0283f07"]},{"id":"ITEM-2","itemData":{"DOI":"10.12659/MSM.916456","ISSN":"16433750","abstract":"Background: Developmental dysplasia of the hip (DDH), also known as congenital hip dislocation or congenital hip dysplasia is usually diagnosed at birth. Studies on DDH at high-altitude are rare. Tibetans live mainly at altitudes above 3,500 m, and the prevalence of DDH in this population is not currently known. This cross-sectional epidemiological study aimed to identify the prevalence and associated risk factors for DDH in Tibet. Material/Methods: Between 1st June 2015 and 30 June 2016, infants in Tibet aged between 0–6 months and from ten districts at different altitudes in Shigatse, Tibet were referred to our hospital for the assessment of DDH. All the infants underwent clinical evaluation for DDH and ultrasound testing using the Graf method. Results: There were 606 infants who met the study inclusion criteria, including 253 female infants and 353 male infants, of which 106 infants had DDH. The prevalence of DDH in Shigatse, Tibet was approximately 174.9/1000 infants (106/606). Altitude was strongly associated with increased risk of DDH in Tibet (r=0.82, P=0.004). Conclusions: This is the first epidemiological study of DDH in the Tibetan population. The results showed that DDH is prevalent among native Tibetan people in Shigatse, and there was a significant correlation between altitude and the prevalence of DDH. Further studies are needed to investigate the mechanism of the association between altitude and the increased incidence of DDH in infants.","author":[{"dropping-particle":"","family":"Zhao","given":"Lihua","non-dropping-particle":"","parse-names":false,"suffix":""},{"dropping-particle":"","family":"Ma","given":"Qichao","non-dropping-particle":"","parse-names":false,"suffix":""},{"dropping-particle":"","family":"Feng","given":"Xiang","non-dropping-particle":"","parse-names":false,"suffix":""},{"dropping-particle":"","family":"Fan","given":"Lingyan","non-dropping-particle":"","parse-names":false,"suffix":""},{"dropping-particle":"","family":"Jiao","given":"Qin","non-dropping-particle":"","parse-names":false,"suffix":""},{"dropping-particle":"","family":"Wang","given":"Sun","non-dropping-particle":"","parse-names":false,"suffix":""},{"dropping-particle":"","family":"Ying","given":"Hao","non-dropping-particle":"","parse-names":false,"suffix":""},{"dropping-particle":"","family":"Yang","given":"Xiaodong","non-dropping-particle":"","parse-names":false,"suffix":""}],"container-title":"Medical Science Monitor","id":"ITEM-2","issued":{"date-parts":[["2019"]]},"title":"Screening for developmental dysplasia of the hip in infants in tibet identifies increased prevalence associated with altitude","type":"article-journal","volume":"25"},"uris":["http://www.mendeley.com/documents/?uuid=2bdadae1-ab58-3c49-9827-13d821d4ffe4"]}],"mendeley":{"formattedCitation":"[41, 42]","plainTextFormattedCitation":"[41, 42]","previouslyFormattedCitation":"[41, 42]"},"properties":{"noteIndex":0},"schema":"https://github.com/citation-style-language/schema/raw/master/csl-citation.json"}</w:instrText>
      </w:r>
      <w:r w:rsidR="008A45E3" w:rsidRPr="00185BC0">
        <w:rPr>
          <w:sz w:val="28"/>
          <w:szCs w:val="28"/>
          <w:lang w:val="kk-KZ"/>
        </w:rPr>
        <w:fldChar w:fldCharType="separate"/>
      </w:r>
      <w:r w:rsidR="00371B3B" w:rsidRPr="00185BC0">
        <w:rPr>
          <w:noProof/>
          <w:sz w:val="28"/>
          <w:szCs w:val="28"/>
          <w:lang w:val="kk-KZ"/>
        </w:rPr>
        <w:t>[41, 42]</w:t>
      </w:r>
      <w:r w:rsidR="008A45E3" w:rsidRPr="00185BC0">
        <w:rPr>
          <w:sz w:val="28"/>
          <w:szCs w:val="28"/>
          <w:lang w:val="kk-KZ"/>
        </w:rPr>
        <w:fldChar w:fldCharType="end"/>
      </w:r>
      <w:r w:rsidRPr="00185BC0">
        <w:rPr>
          <w:sz w:val="28"/>
          <w:szCs w:val="28"/>
          <w:lang w:val="kk-KZ"/>
        </w:rPr>
        <w:t>.</w:t>
      </w:r>
    </w:p>
    <w:p w14:paraId="4F359AB6" w14:textId="30C6231B" w:rsidR="00BB1D05" w:rsidRPr="00185BC0" w:rsidRDefault="00BB1D05" w:rsidP="00BB1D05">
      <w:pPr>
        <w:ind w:firstLine="567"/>
        <w:jc w:val="both"/>
        <w:rPr>
          <w:sz w:val="28"/>
          <w:szCs w:val="28"/>
          <w:lang w:val="kk-KZ"/>
        </w:rPr>
      </w:pPr>
      <w:r w:rsidRPr="00185BC0">
        <w:rPr>
          <w:sz w:val="28"/>
          <w:szCs w:val="28"/>
          <w:lang w:val="kk-KZ"/>
        </w:rPr>
        <w:t>По данным авторов</w:t>
      </w:r>
      <w:r w:rsidR="0043499E" w:rsidRPr="00185BC0">
        <w:rPr>
          <w:sz w:val="28"/>
          <w:szCs w:val="28"/>
          <w:lang w:val="kk-KZ"/>
        </w:rPr>
        <w:t>,</w:t>
      </w:r>
      <w:r w:rsidRPr="00185BC0">
        <w:rPr>
          <w:sz w:val="28"/>
          <w:szCs w:val="28"/>
          <w:lang w:val="kk-KZ"/>
        </w:rPr>
        <w:t xml:space="preserve"> женский пол находится в группе риска и, соответственно, заболеваемость встречается чаще, чем у мужчин. Связь с первородством и дисплазией тазобедренного сустава обясняется тем</w:t>
      </w:r>
      <w:r w:rsidR="0043499E" w:rsidRPr="00185BC0">
        <w:rPr>
          <w:sz w:val="28"/>
          <w:szCs w:val="28"/>
          <w:lang w:val="kk-KZ"/>
        </w:rPr>
        <w:t>,</w:t>
      </w:r>
      <w:r w:rsidRPr="00185BC0">
        <w:rPr>
          <w:sz w:val="28"/>
          <w:szCs w:val="28"/>
          <w:lang w:val="kk-KZ"/>
        </w:rPr>
        <w:t xml:space="preserve"> что во время первой беременности тонус мыщц матки может быть выше, чем в последующие роды</w:t>
      </w:r>
      <w:r w:rsidR="007E60CC" w:rsidRPr="00185BC0">
        <w:rPr>
          <w:sz w:val="28"/>
          <w:szCs w:val="28"/>
          <w:lang w:val="kk-KZ"/>
        </w:rPr>
        <w:t xml:space="preserve"> </w:t>
      </w:r>
      <w:r w:rsidR="00872FD3" w:rsidRPr="00185BC0">
        <w:rPr>
          <w:sz w:val="28"/>
          <w:szCs w:val="28"/>
          <w:lang w:val="kk-KZ"/>
        </w:rPr>
        <w:fldChar w:fldCharType="begin" w:fldLock="1"/>
      </w:r>
      <w:r w:rsidR="002F5076" w:rsidRPr="00185BC0">
        <w:rPr>
          <w:sz w:val="28"/>
          <w:szCs w:val="28"/>
          <w:lang w:val="kk-KZ"/>
        </w:rPr>
        <w:instrText>ADDIN CSL_CITATION {"citationItems":[{"id":"ITEM-1","itemData":{"DOI":"10.1016/j.jbiomech.2018.07.016","ISSN":"18732380","abstract":"Fetal kicking and movements generate biomechanical stimulation in the fetal skeleton, which is important for prenatal musculoskeletal development, particularly joint shape. Developmental dysplasia of the hip (DDH) is the most common joint shape abnormality at birth, with many risk factors for the condition being associated with restricted fetal movement. In this study, we investigate the biomechanics of fetal movements in such situations, namely fetal breech position, oligohydramnios and primiparity (firstborn pregnancy). We also investigate twin pregnancies, which are not at greater risk of DDH incidence, despite the more restricted intra-uterine environment. We track fetal movements for each of these situations using cine-MRI technology, quantify the kick and muscle forces, and characterise the resulting stress and strain in the hip joint, testing the hypothesis that altered biomechanical stimuli may explain the link between certain intra-uterine conditions and risk of DDH. Kick force, stress and strain were found to be significantly lower in cases of breech position and oligohydramnios. Similarly, firstborn fetuses were found to generate significantly lower kick forces than non-firstborns. Interestingly, no significant difference was observed in twins compared to singletons. This research represents the first evidence of a link between the biomechanics of fetal movements and the risk of DDH, potentially informing the development of future preventative measures and enhanced diagnosis. Our results emphasise the importance of ultrasound screening for breech position and oligohydramnios, particularly later in pregnancy, and suggest that earlier intervention to correct breech position through external cephalic version could reduce the risk of hip dysplasia.","author":[{"dropping-particle":"","family":"Verbruggen","given":"Stefaan W.","non-dropping-particle":"","parse-names":false,"suffix":""},{"dropping-particle":"","family":"Kainz","given":"Bernhard","non-dropping-particle":"","parse-names":false,"suffix":""},{"dropping-particle":"","family":"Shelmerdine","given":"Susan C.","non-dropping-particle":"","parse-names":false,"suffix":""},{"dropping-particle":"","family":"Arthurs","given":"Owen J.","non-dropping-particle":"","parse-names":false,"suffix":""},{"dropping-particle":"V.","family":"Hajnal","given":"Joseph","non-dropping-particle":"","parse-names":false,"suffix":""},{"dropping-particle":"","family":"Rutherford","given":"Mary A.","non-dropping-particle":"","parse-names":false,"suffix":""},{"dropping-particle":"","family":"Phillips","given":"Andrew T.M.","non-dropping-particle":"","parse-names":false,"suffix":""},{"dropping-particle":"","family":"Nowlan","given":"Niamh C.","non-dropping-particle":"","parse-names":false,"suffix":""}],"container-title":"Journal of Biomechanics","id":"ITEM-1","issued":{"date-parts":[["2018"]]},"title":"Altered biomechanical stimulation of the developing hip joint in presence of hip dysplasia risk factors","type":"article-journal","volume":"78"},"uris":["http://www.mendeley.com/documents/?uuid=50c054ea-7a72-355c-ad6c-12b72ed5560d"]}],"mendeley":{"formattedCitation":"[43]","plainTextFormattedCitation":"[43]","previouslyFormattedCitation":"[43]"},"properties":{"noteIndex":0},"schema":"https://github.com/citation-style-language/schema/raw/master/csl-citation.json"}</w:instrText>
      </w:r>
      <w:r w:rsidR="00872FD3" w:rsidRPr="00185BC0">
        <w:rPr>
          <w:sz w:val="28"/>
          <w:szCs w:val="28"/>
          <w:lang w:val="kk-KZ"/>
        </w:rPr>
        <w:fldChar w:fldCharType="separate"/>
      </w:r>
      <w:r w:rsidR="00371B3B" w:rsidRPr="00185BC0">
        <w:rPr>
          <w:noProof/>
          <w:sz w:val="28"/>
          <w:szCs w:val="28"/>
          <w:lang w:val="kk-KZ"/>
        </w:rPr>
        <w:t>[43]</w:t>
      </w:r>
      <w:r w:rsidR="00872FD3" w:rsidRPr="00185BC0">
        <w:rPr>
          <w:sz w:val="28"/>
          <w:szCs w:val="28"/>
          <w:lang w:val="kk-KZ"/>
        </w:rPr>
        <w:fldChar w:fldCharType="end"/>
      </w:r>
      <w:r w:rsidRPr="00185BC0">
        <w:rPr>
          <w:sz w:val="28"/>
          <w:szCs w:val="28"/>
          <w:lang w:val="kk-KZ"/>
        </w:rPr>
        <w:t>. В последние годы</w:t>
      </w:r>
      <w:r w:rsidR="0043499E" w:rsidRPr="00185BC0">
        <w:rPr>
          <w:sz w:val="28"/>
          <w:szCs w:val="28"/>
          <w:lang w:val="kk-KZ"/>
        </w:rPr>
        <w:t xml:space="preserve"> </w:t>
      </w:r>
      <w:r w:rsidRPr="00185BC0">
        <w:rPr>
          <w:sz w:val="28"/>
          <w:szCs w:val="28"/>
          <w:lang w:val="kk-KZ"/>
        </w:rPr>
        <w:t xml:space="preserve">на фоне широкого распространения экстракорпорального оплодотворения, наблюдается увеличение числа многоплодных беременностей. В исследовании Oh E. J. </w:t>
      </w:r>
      <w:r w:rsidR="008907FD" w:rsidRPr="00185BC0">
        <w:rPr>
          <w:sz w:val="28"/>
          <w:szCs w:val="28"/>
          <w:lang w:val="kk-KZ"/>
        </w:rPr>
        <w:t>и соавт.</w:t>
      </w:r>
      <w:r w:rsidRPr="00185BC0">
        <w:rPr>
          <w:sz w:val="28"/>
          <w:szCs w:val="28"/>
          <w:lang w:val="kk-KZ"/>
        </w:rPr>
        <w:t xml:space="preserve">  отмечено, что при беременности двойней, тройней и более внутриутробное пространство становится ограниченным, что может способствовать развитию дисплазии тазобедренного сустава </w:t>
      </w:r>
      <w:r w:rsidR="007E60CC" w:rsidRPr="00185BC0">
        <w:rPr>
          <w:sz w:val="28"/>
          <w:szCs w:val="28"/>
          <w:lang w:val="kk-KZ"/>
        </w:rPr>
        <w:t xml:space="preserve"> </w:t>
      </w:r>
      <w:r w:rsidR="00872FD3" w:rsidRPr="00185BC0">
        <w:rPr>
          <w:sz w:val="28"/>
          <w:szCs w:val="28"/>
          <w:lang w:val="kk-KZ"/>
        </w:rPr>
        <w:fldChar w:fldCharType="begin" w:fldLock="1"/>
      </w:r>
      <w:r w:rsidR="002F5076" w:rsidRPr="00185BC0">
        <w:rPr>
          <w:sz w:val="28"/>
          <w:szCs w:val="28"/>
          <w:lang w:val="kk-KZ"/>
        </w:rPr>
        <w:instrText>ADDIN CSL_CITATION {"citationItems":[{"id":"ITEM-1","itemData":{"DOI":"10.1097/BPO.0000000000001982","ISSN":"15392570","abstract":"Introduction: Identifying risk factors associated with developmental dysplasia of the hip (DDH) is essential for early diagnosis and treatment. Breech presentation is a major DDH risk factor, possibly because of crowding of the fetus within the uterus. In multifetal pregnancy, fetuses are generally smaller than singletons, which may obscure the effect of breech presentation on fetal hips. Only a few studies have investigated the occurrence of DDH in multifetal pregnancies. In this study, we aimed to evaluate whether the breech presentation is a major risk factor of DDH in twin pregnancies. Methods: This retrospective study included 491 consecutive live births (after 23+0 weeks gestation) delivered through cesarean section with at least 1 baby with noncephalic presentation in single or twin pregnancies from April 2013 to October 2018. We analyzed the incidence of DDH and its associated factors, including sex, breech, and multifetal pregnancy, with a generalized linear mixed model. Results: The incidence of DDH was 12.5% in singleton with breech presentation, 9.8% in twin-breech presentation, and 0.7% in twin-cephalic presentation. Multivariate analysis showed that singleton-breech presentation (P=0.003), twin-breech presentation (P=0.003), and female sex (P=0.008) were independent risk factors for DDH. Conclusion: Breech presentation is an independent risk factor for DDH in twin pregnancies, although twin pregnancy itself is not an independent risk factor for DDH.","author":[{"dropping-particle":"","family":"Oh","given":"Eun Ji","non-dropping-particle":"","parse-names":false,"suffix":""},{"dropping-particle":"","family":"Min","given":"Jae Jung","non-dropping-particle":"","parse-names":false,"suffix":""},{"dropping-particle":"","family":"Kwon","given":"Soon Sun","non-dropping-particle":"","parse-names":false,"suffix":""},{"dropping-particle":"","family":"Kim","given":"Seong Been","non-dropping-particle":"","parse-names":false,"suffix":""},{"dropping-particle":"","family":"Choi","given":"Chang Won","non-dropping-particle":"","parse-names":false,"suffix":""},{"dropping-particle":"","family":"Jung","given":"Young Hwa","non-dropping-particle":"","parse-names":false,"suffix":""},{"dropping-particle":"","family":"Oh","given":"Kyung Joon","non-dropping-particle":"","parse-names":false,"suffix":""},{"dropping-particle":"","family":"Park","given":"Jee Yoon","non-dropping-particle":"","parse-names":false,"suffix":""},{"dropping-particle":"","family":"Park","given":"Moon Seok","non-dropping-particle":"","parse-names":false,"suffix":""}],"container-title":"Journal of Pediatric Orthopaedics","id":"ITEM-1","issue":"1","issued":{"date-parts":[["2022"]]},"title":"Breech Presentation in Twins as a Risk Factor for Developmental Dysplasia of the Hip","type":"article-journal","volume":"42"},"uris":["http://www.mendeley.com/documents/?uuid=c9491a7d-d316-3417-9829-d4f74979c39d"]}],"mendeley":{"formattedCitation":"[44]","plainTextFormattedCitation":"[44]","previouslyFormattedCitation":"[44]"},"properties":{"noteIndex":0},"schema":"https://github.com/citation-style-language/schema/raw/master/csl-citation.json"}</w:instrText>
      </w:r>
      <w:r w:rsidR="00872FD3" w:rsidRPr="00185BC0">
        <w:rPr>
          <w:sz w:val="28"/>
          <w:szCs w:val="28"/>
          <w:lang w:val="kk-KZ"/>
        </w:rPr>
        <w:fldChar w:fldCharType="separate"/>
      </w:r>
      <w:r w:rsidR="00371B3B" w:rsidRPr="00185BC0">
        <w:rPr>
          <w:noProof/>
          <w:sz w:val="28"/>
          <w:szCs w:val="28"/>
          <w:lang w:val="kk-KZ"/>
        </w:rPr>
        <w:t>[44]</w:t>
      </w:r>
      <w:r w:rsidR="00872FD3" w:rsidRPr="00185BC0">
        <w:rPr>
          <w:sz w:val="28"/>
          <w:szCs w:val="28"/>
          <w:lang w:val="kk-KZ"/>
        </w:rPr>
        <w:fldChar w:fldCharType="end"/>
      </w:r>
      <w:r w:rsidRPr="00185BC0">
        <w:rPr>
          <w:sz w:val="28"/>
          <w:szCs w:val="28"/>
          <w:lang w:val="kk-KZ"/>
        </w:rPr>
        <w:t>. С другой стороны, авторы выдвигают гипотезу, что при многоплодной беременности уменьшенный размер плода может снижать риск возникновения данной патологии. В то же время результаты систематического обзора показывают, что кесарево сечение, первородство, низкий вес при рождении, многоплодная беременность и преждевременные роды не связаны с повышенным риском развития дисплазии тазобедренного сустава</w:t>
      </w:r>
      <w:r w:rsidR="007E60CC" w:rsidRPr="00185BC0">
        <w:rPr>
          <w:sz w:val="28"/>
          <w:szCs w:val="28"/>
          <w:lang w:val="kk-KZ"/>
        </w:rPr>
        <w:t xml:space="preserve"> </w:t>
      </w:r>
      <w:r w:rsidR="00872FD3" w:rsidRPr="00185BC0">
        <w:rPr>
          <w:sz w:val="28"/>
          <w:szCs w:val="28"/>
          <w:lang w:val="kk-KZ"/>
        </w:rPr>
        <w:fldChar w:fldCharType="begin" w:fldLock="1"/>
      </w:r>
      <w:r w:rsidR="002F5076" w:rsidRPr="00185BC0">
        <w:rPr>
          <w:sz w:val="28"/>
          <w:szCs w:val="28"/>
          <w:lang w:val="kk-KZ"/>
        </w:rPr>
        <w:instrText>ADDIN CSL_CITATION {"citationItems":[{"id":"ITEM-1","itemData":{"DOI":"10.1001/jamanetworkopen.2024.56153","ISSN":"2574-3805","PMID":"39853978","abstract":"IMPORTANCE Two meta-analyses published in 2012 found breech presentation, family history of developmental dysplasia of the hip (DDH), female sex, and primiparity to increase the risk of DDH. However, the DDH definition, reference tests, and the age of the examined children varied considerably, complicating the translation of those findings to current screening guidelines. OBJECTIVE To evaluate the association of previously proposed risk factors with the risk of sonography-verified DDH. DATA SOURCES A literature search strategy used MeSH (Medical Subject Heading) terms and text words associated with DDH and prognostic studies or risk factors. PubMed, Embase, and the Cochrane Library were searched on November 23, 2023, to identify the cohort. STUDY SELECTION Criteria included articles that were in English and published from January 1, 1980, to November 23, 2023. Eligible studies included randomized clinical trials and cohort, case-control, and cross-sectional studies that involved participants younger than 3 months in whom a diagnosis of DDH was made by hip ultrasonography using the criterion standard Graf method, reported information on 1 or more of the proposed risk factors, and reported the final diagnosis. DATA EXTRACTION AND SYNTHESIS Collected variables included an evaluated risk factor, the number of infants with a risk factor, the number of infants without risk factors, and the number of infants with and without DDH in the at-risk group and in the no-risk group. This study followed the Preferred Reporting Items for Systematic Reviews and Meta-Analyses (PRISMA) and Meta-Analysis of Observational Studies in Epidemiology (MOOSE) reporting guidelines. MAIN OUTCOMES AND MEASURES The main outcome measures were risk of DDH (using odds ratios [ORs]) for each of the risk factors. RESULTS Of 5363 studies screened, 20 studies comprising 64 543 infants were included. Breech presentation (OR, 4.15 [95% CI, 2.62-6.57]), family history of DDH (OR, 3.83 [95% CI, 2.05-7.15]), female sex (OR, 2.50 [95% CI, 1.74-3.59]), oligohydramnios (OR, 3.76 [95% CI, 1.66-8.53]), and high birth weight (OR, 2.00 [95% CI, 1.60-2.49]) were associated with a significant increased risk of DDH. Cesarean delivery, primiparity, multiple births, low birth weight, and prematurity were not associated with DDH risk. Heterogeneity was high (I2 &gt; 70.00%) in all of the tested factors except high birth weight (I2 = 0%). The subgroup analysis was performed to investigate these heterogeneities. C…","author":[{"dropping-particle":"","family":"Tirta","given":"Maria","non-dropping-particle":"","parse-names":false,"suffix":""},{"dropping-particle":"","family":"Rahbek","given":"Ole","non-dropping-particle":"","parse-names":false,"suffix":""},{"dropping-particle":"","family":"Kold","given":"Søren","non-dropping-particle":"","parse-names":false,"suffix":""},{"dropping-particle":"","family":"Husum","given":"Hans-Christen","non-dropping-particle":"","parse-names":false,"suffix":""}],"container-title":"JAMA network open","id":"ITEM-1","issue":"1","issued":{"date-parts":[["2025"]]},"page":"e2456153","title":"Risk Factors for Developmental Dysplasia of the Hip Before 3 Months of Age: A Meta-Analysis.","type":"article-journal","volume":"8"},"uris":["http://www.mendeley.com/documents/?uuid=e1df4fef-a2fa-438b-8d94-8139aa844e01"]}],"mendeley":{"formattedCitation":"[45]","plainTextFormattedCitation":"[45]","previouslyFormattedCitation":"[45]"},"properties":{"noteIndex":0},"schema":"https://github.com/citation-style-language/schema/raw/master/csl-citation.json"}</w:instrText>
      </w:r>
      <w:r w:rsidR="00872FD3" w:rsidRPr="00185BC0">
        <w:rPr>
          <w:sz w:val="28"/>
          <w:szCs w:val="28"/>
          <w:lang w:val="kk-KZ"/>
        </w:rPr>
        <w:fldChar w:fldCharType="separate"/>
      </w:r>
      <w:r w:rsidR="00371B3B" w:rsidRPr="00185BC0">
        <w:rPr>
          <w:noProof/>
          <w:sz w:val="28"/>
          <w:szCs w:val="28"/>
          <w:lang w:val="kk-KZ"/>
        </w:rPr>
        <w:t>[45]</w:t>
      </w:r>
      <w:r w:rsidR="00872FD3" w:rsidRPr="00185BC0">
        <w:rPr>
          <w:sz w:val="28"/>
          <w:szCs w:val="28"/>
          <w:lang w:val="kk-KZ"/>
        </w:rPr>
        <w:fldChar w:fldCharType="end"/>
      </w:r>
      <w:r w:rsidRPr="00185BC0">
        <w:rPr>
          <w:sz w:val="28"/>
          <w:szCs w:val="28"/>
          <w:lang w:val="kk-KZ"/>
        </w:rPr>
        <w:t>.</w:t>
      </w:r>
    </w:p>
    <w:p w14:paraId="567D1C98" w14:textId="318FD911" w:rsidR="00BB1D05" w:rsidRPr="00185BC0" w:rsidRDefault="00BB1D05" w:rsidP="00BB1D05">
      <w:pPr>
        <w:ind w:firstLine="567"/>
        <w:jc w:val="both"/>
        <w:rPr>
          <w:sz w:val="28"/>
          <w:szCs w:val="28"/>
          <w:lang w:val="kk-KZ"/>
        </w:rPr>
      </w:pPr>
      <w:r w:rsidRPr="00185BC0">
        <w:rPr>
          <w:sz w:val="28"/>
          <w:szCs w:val="28"/>
          <w:lang w:val="kk-KZ"/>
        </w:rPr>
        <w:t>Таким образом, главными предпосылками развивающейся дисплазии тазобедренного сустава считается ряд морфологических изменений таких</w:t>
      </w:r>
      <w:r w:rsidR="0043499E" w:rsidRPr="00185BC0">
        <w:rPr>
          <w:sz w:val="28"/>
          <w:szCs w:val="28"/>
          <w:lang w:val="kk-KZ"/>
        </w:rPr>
        <w:t>,</w:t>
      </w:r>
      <w:r w:rsidRPr="00185BC0">
        <w:rPr>
          <w:sz w:val="28"/>
          <w:szCs w:val="28"/>
          <w:lang w:val="kk-KZ"/>
        </w:rPr>
        <w:t xml:space="preserve"> как: дисплазия шейки бедренной кости и вертлужной впадины и проксимальное смещение головки бедренной кости. Морфологические изменения в зависимости от вида дисплазии проявляются в следующих видах: недоразвитие и </w:t>
      </w:r>
      <w:r w:rsidRPr="00185BC0">
        <w:rPr>
          <w:sz w:val="28"/>
          <w:szCs w:val="28"/>
          <w:lang w:val="kk-KZ"/>
        </w:rPr>
        <w:lastRenderedPageBreak/>
        <w:t>скошенность вертлужной впадины, дефект костной ткани, изменение центра ротации, изменение шеечно-диафизарного угла, выраженной антеверсии, узким костно-мозговым каналом бедренной кости,  проксимальным смещением бедренной кости и слабостью связок.</w:t>
      </w:r>
    </w:p>
    <w:p w14:paraId="18BEE350" w14:textId="05B92D0B" w:rsidR="00BB1D05" w:rsidRPr="00185BC0" w:rsidRDefault="00BB1D05" w:rsidP="00A91874">
      <w:pPr>
        <w:pStyle w:val="1"/>
        <w:jc w:val="both"/>
        <w:rPr>
          <w:lang w:val="kk-KZ"/>
        </w:rPr>
      </w:pPr>
      <w:bookmarkStart w:id="18" w:name="_Toc217561926"/>
      <w:r w:rsidRPr="00185BC0">
        <w:rPr>
          <w:lang w:val="kk-KZ"/>
        </w:rPr>
        <w:t>1.</w:t>
      </w:r>
      <w:r w:rsidR="00A91874" w:rsidRPr="00185BC0">
        <w:rPr>
          <w:lang w:val="kk-KZ"/>
        </w:rPr>
        <w:t xml:space="preserve">2 </w:t>
      </w:r>
      <w:r w:rsidRPr="00185BC0">
        <w:rPr>
          <w:lang w:val="kk-KZ"/>
        </w:rPr>
        <w:t xml:space="preserve"> Классификация дисплазии тазобедренного сустава</w:t>
      </w:r>
      <w:bookmarkEnd w:id="18"/>
    </w:p>
    <w:p w14:paraId="6E2343B5" w14:textId="6C0A47EA" w:rsidR="00BB1D05" w:rsidRPr="00185BC0" w:rsidRDefault="00BB1D05" w:rsidP="00BB1D05">
      <w:pPr>
        <w:ind w:firstLine="567"/>
        <w:jc w:val="both"/>
        <w:rPr>
          <w:sz w:val="28"/>
          <w:szCs w:val="28"/>
          <w:lang w:val="kk-KZ"/>
        </w:rPr>
      </w:pPr>
      <w:r w:rsidRPr="00185BC0">
        <w:rPr>
          <w:sz w:val="28"/>
          <w:szCs w:val="28"/>
          <w:lang w:val="kk-KZ"/>
        </w:rPr>
        <w:t>В мировой практике применяется несколько классификаций дисплазии тазобедренного сустава такие</w:t>
      </w:r>
      <w:r w:rsidR="0043499E" w:rsidRPr="00185BC0">
        <w:rPr>
          <w:sz w:val="28"/>
          <w:szCs w:val="28"/>
          <w:lang w:val="kk-KZ"/>
        </w:rPr>
        <w:t>,</w:t>
      </w:r>
      <w:r w:rsidRPr="00185BC0">
        <w:rPr>
          <w:sz w:val="28"/>
          <w:szCs w:val="28"/>
          <w:lang w:val="kk-KZ"/>
        </w:rPr>
        <w:t xml:space="preserve"> как Crowe, Hartofilakidis  и Eftekhar</w:t>
      </w:r>
      <w:r w:rsidR="007E60CC" w:rsidRPr="00185BC0">
        <w:rPr>
          <w:sz w:val="28"/>
          <w:szCs w:val="28"/>
          <w:lang w:val="kk-KZ"/>
        </w:rPr>
        <w:t xml:space="preserve"> </w:t>
      </w:r>
      <w:r w:rsidR="00872FD3" w:rsidRPr="00185BC0">
        <w:rPr>
          <w:sz w:val="28"/>
          <w:szCs w:val="28"/>
          <w:lang w:val="kk-KZ"/>
        </w:rPr>
        <w:fldChar w:fldCharType="begin" w:fldLock="1"/>
      </w:r>
      <w:r w:rsidR="002F5076" w:rsidRPr="00185BC0">
        <w:rPr>
          <w:sz w:val="28"/>
          <w:szCs w:val="28"/>
          <w:lang w:val="kk-KZ"/>
        </w:rPr>
        <w:instrText>ADDIN CSL_CITATION {"citationItems":[{"id":"ITEM-1","itemData":{"DOI":"10.33140/ijor.05.02.02","abstract":"Background and Aim: There are several anatomical problems with the hip joint that are associated with developmental dysplasia (DDH), such as the femoral head being out of place in relation to the acetabulum. First-born status, female sex, a positive family history, breech presentation, and oligohydramnios are all risk factors for preterm labor and birth. DDH severity has been graded using a variety of classification systems, including the Crowe classification, the Hartofilakidis classification, and the Eftekhar and Kerboul classification. The purpose of this study was to determine whether there is a difference in femur length between patients with neglected developmental dysplasia of the hip (DDH) and the normal femur. Materials And Methods: This is a case series study of 14 patients with Unilateral DDH who did not have surgery. Between January 2017 and December 2020, data were retrieved and obtained from our hospital’s picture archiving and communication system (P.A.C.S). A Pelvis x-ray and a Full-Length Femur x-ray were taken for those patients. As a radiological landmark, a fulllength film from the tip of the greater trochanter to the intercondylar space was used in this study. The following were the inclusion criteria: 1. The patient must be an adult who is at least 18 years old. 2. The deformity should only occur on one side (Unilateral DDH). 3. They had never had surgery before. 4. Crowe types III and IV Results: The mean age of the patients was 34 (SD 12.4) years, with females outnumbering males (71.4 % vs 28.6 %). Additionally, the mean length of the affected femur was 41.6 (SD 3.88) and the mean length of the normal femur was 42.2. (SD 4.08). When we compared the baseline characteristics of patients by age group (35 years vs 35 years), we discovered that the BMI of the older age group (35 years) was statistically significantly higher than the younger age group (35 years) (P-value =0.028) Conclusion: As a result of our study, we found an approximately 1 to 2 cm difference in femur length between patients with unilateral DDH and normal hip, which was correlated with age and body mass index (BMI). Preoperative considerations for unilateral DDH include taking a long film of both femurs to determine their relative length differences. This will assist in determining the amount of subtrochanteric femoral osteotomy to perform.","author":[{"dropping-particle":"","family":"Trauma","given":"Orthop","non-dropping-particle":"","parse-names":false,"suffix":""},{"dropping-particle":"","family":"Rel","given":"Surg","non-dropping-particle":"","parse-names":false,"suffix":""}],"container-title":"International Journal of Orthopaedics Research","id":"ITEM-1","issue":"2","issued":{"date-parts":[["2022"]]},"page":"2-4","title":"Is There a Difference in Femur Length Between Neglected Developmental Dysplasia of The Hip (DDH) And Contralateral Normal Hip-Femur Length?: A Radiographic Study","type":"article-journal","volume":"5"},"uris":["http://www.mendeley.com/documents/?uuid=297cacee-3721-4711-b183-6dbb6c661aff"]}],"mendeley":{"formattedCitation":"[46]","plainTextFormattedCitation":"[46]","previouslyFormattedCitation":"[46]"},"properties":{"noteIndex":0},"schema":"https://github.com/citation-style-language/schema/raw/master/csl-citation.json"}</w:instrText>
      </w:r>
      <w:r w:rsidR="00872FD3" w:rsidRPr="00185BC0">
        <w:rPr>
          <w:sz w:val="28"/>
          <w:szCs w:val="28"/>
          <w:lang w:val="kk-KZ"/>
        </w:rPr>
        <w:fldChar w:fldCharType="separate"/>
      </w:r>
      <w:r w:rsidR="00371B3B" w:rsidRPr="00185BC0">
        <w:rPr>
          <w:noProof/>
          <w:sz w:val="28"/>
          <w:szCs w:val="28"/>
          <w:lang w:val="kk-KZ"/>
        </w:rPr>
        <w:t>[46]</w:t>
      </w:r>
      <w:r w:rsidR="00872FD3" w:rsidRPr="00185BC0">
        <w:rPr>
          <w:sz w:val="28"/>
          <w:szCs w:val="28"/>
          <w:lang w:val="kk-KZ"/>
        </w:rPr>
        <w:fldChar w:fldCharType="end"/>
      </w:r>
      <w:r w:rsidRPr="00185BC0">
        <w:rPr>
          <w:sz w:val="28"/>
          <w:szCs w:val="28"/>
          <w:lang w:val="kk-KZ"/>
        </w:rPr>
        <w:t>. Многообразие классификаций обусловлено сложностью клинической картины и необходимостью точного планирования тактики лечения особенно при выраженных анатомических деформациях, требующих хирургического вмешательства.</w:t>
      </w:r>
    </w:p>
    <w:p w14:paraId="2AC340EA" w14:textId="55068680" w:rsidR="00BB1D05" w:rsidRPr="00185BC0" w:rsidRDefault="0086318E" w:rsidP="00FA3E77">
      <w:pPr>
        <w:ind w:firstLine="567"/>
        <w:contextualSpacing/>
        <w:jc w:val="both"/>
      </w:pPr>
      <w:r w:rsidRPr="00185BC0">
        <w:rPr>
          <w:sz w:val="28"/>
          <w:szCs w:val="28"/>
        </w:rPr>
        <w:t xml:space="preserve">Классификация дисплазии тазобедренного сустава по </w:t>
      </w:r>
      <w:proofErr w:type="spellStart"/>
      <w:r w:rsidRPr="00185BC0">
        <w:rPr>
          <w:sz w:val="28"/>
          <w:szCs w:val="28"/>
        </w:rPr>
        <w:t>Crowe</w:t>
      </w:r>
      <w:proofErr w:type="spellEnd"/>
      <w:r w:rsidRPr="00185BC0">
        <w:rPr>
          <w:sz w:val="28"/>
          <w:szCs w:val="28"/>
        </w:rPr>
        <w:t xml:space="preserve"> относится к числу наиболее широко применяемых и в настоящее время активно используется в клинической практике, в том числе в Республике Казахстан </w:t>
      </w:r>
      <w:r w:rsidR="00872FD3" w:rsidRPr="00185BC0">
        <w:rPr>
          <w:sz w:val="28"/>
          <w:szCs w:val="28"/>
          <w:lang w:val="kk-KZ"/>
        </w:rPr>
        <w:fldChar w:fldCharType="begin" w:fldLock="1"/>
      </w:r>
      <w:r w:rsidR="002F5076" w:rsidRPr="00185BC0">
        <w:rPr>
          <w:sz w:val="28"/>
          <w:szCs w:val="28"/>
          <w:lang w:val="kk-KZ"/>
        </w:rPr>
        <w:instrText>ADDIN CSL_CITATION {"citationItems":[{"id":"ITEM-1","itemData":{"DOI":"10.1007/s11999-010-1316-6","ISSN":"15281132","author":[{"dropping-particle":"","family":"Jawad","given":"Muhammad Umar","non-dropping-particle":"","parse-names":false,"suffix":""},{"dropping-particle":"","family":"Scully","given":"Sean P.","non-dropping-particle":"","parse-names":false,"suffix":""}],"container-title":"Clinical Orthopaedics and Related Research","id":"ITEM-1","issue":"1","issued":{"date-parts":[["2011"]]},"title":"In brief: Crowe's classification: Arthroplasty in developmental dysplasia of the hip","type":"paper-conference","volume":"469"},"uris":["http://www.mendeley.com/documents/?uuid=87bae77b-c4c3-3704-aba1-c95c4f277bad"]}],"mendeley":{"formattedCitation":"[47]","plainTextFormattedCitation":"[47]","previouslyFormattedCitation":"[47]"},"properties":{"noteIndex":0},"schema":"https://github.com/citation-style-language/schema/raw/master/csl-citation.json"}</w:instrText>
      </w:r>
      <w:r w:rsidR="00872FD3" w:rsidRPr="00185BC0">
        <w:rPr>
          <w:sz w:val="28"/>
          <w:szCs w:val="28"/>
          <w:lang w:val="kk-KZ"/>
        </w:rPr>
        <w:fldChar w:fldCharType="separate"/>
      </w:r>
      <w:r w:rsidR="00371B3B" w:rsidRPr="00185BC0">
        <w:rPr>
          <w:noProof/>
          <w:sz w:val="28"/>
          <w:szCs w:val="28"/>
          <w:lang w:val="kk-KZ"/>
        </w:rPr>
        <w:t>[47]</w:t>
      </w:r>
      <w:r w:rsidR="00872FD3" w:rsidRPr="00185BC0">
        <w:rPr>
          <w:sz w:val="28"/>
          <w:szCs w:val="28"/>
          <w:lang w:val="kk-KZ"/>
        </w:rPr>
        <w:fldChar w:fldCharType="end"/>
      </w:r>
      <w:r w:rsidR="00BB1D05" w:rsidRPr="00185BC0">
        <w:rPr>
          <w:sz w:val="28"/>
          <w:szCs w:val="28"/>
        </w:rPr>
        <w:t xml:space="preserve">. </w:t>
      </w:r>
      <w:r w:rsidRPr="00185BC0">
        <w:rPr>
          <w:sz w:val="28"/>
          <w:szCs w:val="28"/>
          <w:lang w:val="kk-KZ"/>
        </w:rPr>
        <w:t>Дисплазия IV типа по Crowe рассматривается как наиболее сложный вариант патологии, требующий применения высокотехнологичных методов хирургического лечения. Классификация, предложенная J.F. Crowe и соавт. в 1979 году, основана на оценке степени краниального смещения головки бедренной кости и включает четыре типа дисплазии</w:t>
      </w:r>
      <w:r w:rsidR="00BB1D05" w:rsidRPr="00185BC0">
        <w:rPr>
          <w:sz w:val="28"/>
          <w:szCs w:val="28"/>
          <w:lang w:val="kk-KZ"/>
        </w:rPr>
        <w:t xml:space="preserve"> (рисунок 2).</w:t>
      </w:r>
      <w:r w:rsidR="00BB1D05" w:rsidRPr="00185BC0">
        <w:rPr>
          <w:sz w:val="28"/>
          <w:szCs w:val="28"/>
        </w:rPr>
        <w:t xml:space="preserve"> </w:t>
      </w:r>
    </w:p>
    <w:p w14:paraId="07E793EE" w14:textId="77777777" w:rsidR="00BB1D05" w:rsidRPr="00185BC0" w:rsidRDefault="00BB1D05" w:rsidP="00BB1D05">
      <w:pPr>
        <w:spacing w:before="280" w:after="280"/>
        <w:jc w:val="center"/>
        <w:rPr>
          <w:color w:val="000000"/>
          <w:sz w:val="28"/>
          <w:szCs w:val="28"/>
        </w:rPr>
      </w:pPr>
      <w:r w:rsidRPr="00185BC0">
        <w:rPr>
          <w:noProof/>
          <w:color w:val="000000"/>
          <w:sz w:val="28"/>
          <w:szCs w:val="28"/>
        </w:rPr>
        <w:drawing>
          <wp:inline distT="0" distB="0" distL="0" distR="0" wp14:anchorId="03C47309" wp14:editId="77C59A0C">
            <wp:extent cx="3821373" cy="2701934"/>
            <wp:effectExtent l="0" t="0" r="8255"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0808" cy="2758099"/>
                    </a:xfrm>
                    <a:prstGeom prst="rect">
                      <a:avLst/>
                    </a:prstGeom>
                    <a:noFill/>
                  </pic:spPr>
                </pic:pic>
              </a:graphicData>
            </a:graphic>
          </wp:inline>
        </w:drawing>
      </w:r>
    </w:p>
    <w:p w14:paraId="5A22CAA1" w14:textId="7973F852" w:rsidR="00BB1D05" w:rsidRPr="00185BC0" w:rsidRDefault="00BB1D05" w:rsidP="00E51952">
      <w:pPr>
        <w:spacing w:before="280" w:after="280"/>
        <w:ind w:firstLine="851"/>
        <w:jc w:val="center"/>
        <w:rPr>
          <w:i/>
          <w:iCs/>
          <w:sz w:val="28"/>
          <w:szCs w:val="28"/>
        </w:rPr>
      </w:pPr>
      <w:r w:rsidRPr="00185BC0">
        <w:rPr>
          <w:sz w:val="28"/>
          <w:szCs w:val="28"/>
        </w:rPr>
        <w:t xml:space="preserve">Рисунок </w:t>
      </w:r>
      <w:r w:rsidR="00E51952" w:rsidRPr="00185BC0">
        <w:rPr>
          <w:sz w:val="28"/>
          <w:szCs w:val="28"/>
          <w:lang w:val="kk-KZ"/>
        </w:rPr>
        <w:t xml:space="preserve">2 – </w:t>
      </w:r>
      <w:r w:rsidRPr="00185BC0">
        <w:rPr>
          <w:sz w:val="28"/>
          <w:szCs w:val="28"/>
          <w:lang w:val="kk-KZ"/>
        </w:rPr>
        <w:t>Классификация по Crowe (1979 г.)</w:t>
      </w:r>
      <w:r w:rsidR="00C5198E" w:rsidRPr="00185BC0">
        <w:rPr>
          <w:i/>
          <w:iCs/>
          <w:sz w:val="28"/>
          <w:szCs w:val="28"/>
          <w:lang w:val="tr-TR"/>
        </w:rPr>
        <w:t xml:space="preserve"> </w:t>
      </w:r>
      <w:r w:rsidRPr="00185BC0">
        <w:rPr>
          <w:i/>
          <w:iCs/>
          <w:sz w:val="28"/>
          <w:szCs w:val="28"/>
          <w:lang w:val="kk-KZ"/>
        </w:rPr>
        <w:t xml:space="preserve"> </w:t>
      </w:r>
      <w:r w:rsidR="00C5198E" w:rsidRPr="00185BC0">
        <w:rPr>
          <w:i/>
          <w:iCs/>
          <w:sz w:val="28"/>
          <w:szCs w:val="28"/>
          <w:lang w:val="kk-KZ"/>
        </w:rPr>
        <w:fldChar w:fldCharType="begin" w:fldLock="1"/>
      </w:r>
      <w:r w:rsidR="002F5076" w:rsidRPr="00185BC0">
        <w:rPr>
          <w:i/>
          <w:iCs/>
          <w:sz w:val="28"/>
          <w:szCs w:val="28"/>
          <w:lang w:val="kk-KZ"/>
        </w:rPr>
        <w:instrText>ADDIN CSL_CITATION {"citationItems":[{"id":"ITEM-1","itemData":{"DOI":"10.1186/s12909-020-02135-z","ISSN":"14726920","abstract":"Background: A simulation and model (SM) teaching aid using 3D printing was developed to improve a training course for total hip arthroplasty of adult developmental dysplasia of the hip (adult DDH-THA). We named this new method Surgery Simulation Teaching based on a Real Reconstruction Aid (RRA-SST). A prospective randomized comparison was performed with the traditional surgical live teaching method to evaluate the training effectiveness of RRA-SST for adult DDH-THA. Methods: Twenty-six trainees, who were already practicing but were not experienced, participated in the study. We randomly divided the trainees into two groups: Group A (n = 13) received RRA-SST and group B (n = 13) received traditional surgical live teaching. A surgery simulation test and a questionnaire were used for evaluation. Next, each group received training with the other teaching method, and then the test and questionnaire were used again for evaluation. Results: After the first test, the RRA-SST method was shown to produce better results than the traditional surgical live teaching method. After the second test, the results showed the training effect in both groups reached the same level, which was level as Group A RRA-SST results. Analysis of the questionnaire results showed that the training effect of RRA-SST was higher than that of traditional surgical live teaching, from multiple perspectives. Conclusions: The use of RRA-SST improved participant performance according to simulation assessment. RRA-SST can be helpful for trainees who are already practicing but not experienced when developing proficiency in adult DDH-THA surgical techniques.","author":[{"dropping-particle":"","family":"Wang","given":"Chenggong","non-dropping-particle":"","parse-names":false,"suffix":""},{"dropping-particle":"","family":"Ouyang","given":"Yang","non-dropping-particle":"","parse-names":false,"suffix":""},{"dropping-particle":"","family":"Liu","given":"Hua","non-dropping-particle":"","parse-names":false,"suffix":""},{"dropping-particle":"","family":"Xu","given":"Can","non-dropping-particle":"","parse-names":false,"suffix":""},{"dropping-particle":"","family":"Xiao","given":"Han","non-dropping-particle":"","parse-names":false,"suffix":""},{"dropping-particle":"","family":"Hu","given":"Yihe","non-dropping-particle":"","parse-names":false,"suffix":""},{"dropping-particle":"","family":"Li","given":"Yusheng","non-dropping-particle":"","parse-names":false,"suffix":""},{"dropping-particle":"","family":"Zhong","given":"Da","non-dropping-particle":"","parse-names":false,"suffix":""}],"container-title":"BMC Medical Education","id":"ITEM-1","issue":"1","issued":{"date-parts":[["2020"]]},"title":"Surgery simulation teaching based on real reconstruction aid versus traditional surgical live teaching in the acquisition of an adult total hip arthroplasty surgical technique for developmental dysplasia of the hip: A randomized comparative study","type":"article-journal","volume":"20"},"uris":["http://www.mendeley.com/documents/?uuid=8742f1b6-908c-3a74-a07a-d5285f2a2ab6"]}],"mendeley":{"formattedCitation":"[48]","plainTextFormattedCitation":"[48]","previouslyFormattedCitation":"[48]"},"properties":{"noteIndex":0},"schema":"https://github.com/citation-style-language/schema/raw/master/csl-citation.json"}</w:instrText>
      </w:r>
      <w:r w:rsidR="00C5198E" w:rsidRPr="00185BC0">
        <w:rPr>
          <w:i/>
          <w:iCs/>
          <w:sz w:val="28"/>
          <w:szCs w:val="28"/>
          <w:lang w:val="kk-KZ"/>
        </w:rPr>
        <w:fldChar w:fldCharType="separate"/>
      </w:r>
      <w:r w:rsidR="00371B3B" w:rsidRPr="00185BC0">
        <w:rPr>
          <w:iCs/>
          <w:noProof/>
          <w:sz w:val="28"/>
          <w:szCs w:val="28"/>
          <w:lang w:val="kk-KZ"/>
        </w:rPr>
        <w:t>[48]</w:t>
      </w:r>
      <w:r w:rsidR="00C5198E" w:rsidRPr="00185BC0">
        <w:rPr>
          <w:i/>
          <w:iCs/>
          <w:sz w:val="28"/>
          <w:szCs w:val="28"/>
          <w:lang w:val="kk-KZ"/>
        </w:rPr>
        <w:fldChar w:fldCharType="end"/>
      </w:r>
    </w:p>
    <w:p w14:paraId="1BA0EC9B" w14:textId="46714F8C" w:rsidR="00BB1D05" w:rsidRPr="00185BC0" w:rsidRDefault="005C3088" w:rsidP="0048757C">
      <w:pPr>
        <w:numPr>
          <w:ilvl w:val="0"/>
          <w:numId w:val="4"/>
        </w:numPr>
        <w:pBdr>
          <w:top w:val="nil"/>
          <w:left w:val="nil"/>
          <w:bottom w:val="nil"/>
          <w:right w:val="nil"/>
          <w:between w:val="nil"/>
        </w:pBdr>
        <w:ind w:left="0" w:firstLine="709"/>
        <w:contextualSpacing/>
        <w:jc w:val="both"/>
        <w:rPr>
          <w:color w:val="000000"/>
          <w:sz w:val="28"/>
          <w:szCs w:val="28"/>
          <w:lang w:val="kk-KZ"/>
        </w:rPr>
      </w:pPr>
      <w:r w:rsidRPr="00185BC0">
        <w:rPr>
          <w:color w:val="000000"/>
          <w:sz w:val="28"/>
          <w:szCs w:val="28"/>
        </w:rPr>
        <w:t>На обзорной рентгенограмме интактного тазобедренного сустава нижний контур слёзной фигуры и уровень перехода головки бедренной кости в шейку располагаются на одной горизонтали, при этом вертикальный размер головки соответствует примерно 20 % высоты таза</w:t>
      </w:r>
      <w:r w:rsidR="00BB1D05" w:rsidRPr="00185BC0">
        <w:rPr>
          <w:color w:val="000000"/>
          <w:sz w:val="28"/>
          <w:szCs w:val="28"/>
        </w:rPr>
        <w:t>.</w:t>
      </w:r>
      <w:r w:rsidR="00BB1D05" w:rsidRPr="00185BC0">
        <w:rPr>
          <w:color w:val="000000"/>
          <w:sz w:val="28"/>
          <w:szCs w:val="28"/>
          <w:lang w:val="kk-KZ"/>
        </w:rPr>
        <w:t xml:space="preserve"> </w:t>
      </w:r>
    </w:p>
    <w:p w14:paraId="55467251" w14:textId="187F8AD3" w:rsidR="005C3088" w:rsidRPr="00185BC0" w:rsidRDefault="005C3088" w:rsidP="0048757C">
      <w:pPr>
        <w:numPr>
          <w:ilvl w:val="0"/>
          <w:numId w:val="4"/>
        </w:numPr>
        <w:pBdr>
          <w:top w:val="nil"/>
          <w:left w:val="nil"/>
          <w:bottom w:val="nil"/>
          <w:right w:val="nil"/>
          <w:between w:val="nil"/>
        </w:pBdr>
        <w:ind w:left="0" w:firstLine="709"/>
        <w:contextualSpacing/>
        <w:jc w:val="both"/>
        <w:rPr>
          <w:color w:val="000000"/>
          <w:sz w:val="28"/>
          <w:szCs w:val="28"/>
          <w:lang w:val="kk-KZ"/>
        </w:rPr>
      </w:pPr>
      <w:r w:rsidRPr="00185BC0">
        <w:rPr>
          <w:color w:val="000000"/>
          <w:sz w:val="28"/>
          <w:szCs w:val="28"/>
        </w:rPr>
        <w:t xml:space="preserve">Для дисплазии I типа по </w:t>
      </w:r>
      <w:proofErr w:type="spellStart"/>
      <w:r w:rsidRPr="00185BC0">
        <w:rPr>
          <w:color w:val="000000"/>
          <w:sz w:val="28"/>
          <w:szCs w:val="28"/>
        </w:rPr>
        <w:t>Crowe</w:t>
      </w:r>
      <w:proofErr w:type="spellEnd"/>
      <w:r w:rsidRPr="00185BC0">
        <w:rPr>
          <w:color w:val="000000"/>
          <w:sz w:val="28"/>
          <w:szCs w:val="28"/>
        </w:rPr>
        <w:t xml:space="preserve"> характерно проксимальное смещение головки бедренной кости, не превышающее 50 % её высоты либо 10 % вертикального размера таза </w:t>
      </w:r>
    </w:p>
    <w:p w14:paraId="2948B909" w14:textId="31D32E86" w:rsidR="005C3088" w:rsidRPr="00185BC0" w:rsidRDefault="005C3088" w:rsidP="0048757C">
      <w:pPr>
        <w:numPr>
          <w:ilvl w:val="0"/>
          <w:numId w:val="4"/>
        </w:numPr>
        <w:pBdr>
          <w:top w:val="nil"/>
          <w:left w:val="nil"/>
          <w:bottom w:val="nil"/>
          <w:right w:val="nil"/>
          <w:between w:val="nil"/>
        </w:pBdr>
        <w:ind w:left="0" w:firstLine="709"/>
        <w:contextualSpacing/>
        <w:jc w:val="both"/>
        <w:rPr>
          <w:color w:val="000000"/>
          <w:sz w:val="28"/>
          <w:szCs w:val="28"/>
          <w:lang w:val="kk-KZ"/>
        </w:rPr>
      </w:pPr>
      <w:r w:rsidRPr="00185BC0">
        <w:rPr>
          <w:color w:val="000000"/>
          <w:sz w:val="28"/>
          <w:szCs w:val="28"/>
          <w:lang w:val="kk-KZ"/>
        </w:rPr>
        <w:t xml:space="preserve">При II типе по Crowe величина проксимального смещения </w:t>
      </w:r>
      <w:r w:rsidRPr="00185BC0">
        <w:rPr>
          <w:color w:val="000000"/>
          <w:sz w:val="28"/>
          <w:szCs w:val="28"/>
          <w:lang w:val="kk-KZ"/>
        </w:rPr>
        <w:lastRenderedPageBreak/>
        <w:t xml:space="preserve">составляет 50–75 % высоты головки бедренной кости или 10–15 % высоты таза  </w:t>
      </w:r>
    </w:p>
    <w:p w14:paraId="45539420" w14:textId="77777777" w:rsidR="005C3088" w:rsidRPr="00185BC0" w:rsidRDefault="005C3088" w:rsidP="005C3088">
      <w:pPr>
        <w:pStyle w:val="a6"/>
        <w:numPr>
          <w:ilvl w:val="0"/>
          <w:numId w:val="4"/>
        </w:numPr>
        <w:ind w:left="0" w:firstLine="709"/>
        <w:rPr>
          <w:color w:val="000000"/>
          <w:sz w:val="28"/>
          <w:szCs w:val="28"/>
          <w:lang w:val="kk-KZ"/>
        </w:rPr>
      </w:pPr>
      <w:r w:rsidRPr="00185BC0">
        <w:rPr>
          <w:color w:val="000000"/>
          <w:sz w:val="28"/>
          <w:szCs w:val="28"/>
          <w:lang w:val="kk-KZ"/>
        </w:rPr>
        <w:t>III тип по Crowe определяется смещением головки бедренной кости в пределах 75–100 % её высоты, что соответствует 15–20 % высоты таза.</w:t>
      </w:r>
    </w:p>
    <w:p w14:paraId="2AA753CA" w14:textId="6ED517CC" w:rsidR="00BB1D05" w:rsidRPr="00185BC0" w:rsidRDefault="005C3088" w:rsidP="00760E8D">
      <w:pPr>
        <w:pStyle w:val="a6"/>
        <w:numPr>
          <w:ilvl w:val="0"/>
          <w:numId w:val="4"/>
        </w:numPr>
        <w:pBdr>
          <w:top w:val="nil"/>
          <w:left w:val="nil"/>
          <w:bottom w:val="nil"/>
          <w:right w:val="nil"/>
          <w:between w:val="nil"/>
        </w:pBdr>
        <w:ind w:left="0" w:firstLine="709"/>
        <w:jc w:val="both"/>
        <w:rPr>
          <w:color w:val="000000"/>
          <w:sz w:val="28"/>
          <w:szCs w:val="28"/>
          <w:lang w:val="kk-KZ"/>
        </w:rPr>
      </w:pPr>
      <w:r w:rsidRPr="00185BC0">
        <w:rPr>
          <w:sz w:val="28"/>
          <w:szCs w:val="28"/>
          <w:lang w:val="kk-KZ"/>
        </w:rPr>
        <w:t>Для IV типа по Crowe характерно выраженное проксимальное смещение, превышающее 100 % высоты головки бедренной кости либо более 20 % высоты таза.</w:t>
      </w:r>
    </w:p>
    <w:p w14:paraId="704645EB" w14:textId="401EC82F" w:rsidR="00BB1D05" w:rsidRPr="00185BC0" w:rsidRDefault="005C3088" w:rsidP="00FA3E77">
      <w:pPr>
        <w:pBdr>
          <w:top w:val="nil"/>
          <w:left w:val="nil"/>
          <w:bottom w:val="nil"/>
          <w:right w:val="nil"/>
          <w:between w:val="nil"/>
        </w:pBdr>
        <w:ind w:firstLine="567"/>
        <w:contextualSpacing/>
        <w:jc w:val="both"/>
        <w:rPr>
          <w:color w:val="000000"/>
          <w:sz w:val="28"/>
          <w:szCs w:val="28"/>
          <w:lang w:val="kk-KZ"/>
        </w:rPr>
      </w:pPr>
      <w:r w:rsidRPr="00185BC0">
        <w:rPr>
          <w:color w:val="000000"/>
          <w:sz w:val="28"/>
          <w:szCs w:val="28"/>
          <w:lang w:val="kk-KZ"/>
        </w:rPr>
        <w:t>Классификация Eftekhar (1978) выделяет четыре стадии рассматриваемой патологии</w:t>
      </w:r>
      <w:r w:rsidR="00BB1D05" w:rsidRPr="00185BC0">
        <w:rPr>
          <w:color w:val="000000"/>
          <w:sz w:val="28"/>
          <w:szCs w:val="28"/>
          <w:lang w:val="kk-KZ"/>
        </w:rPr>
        <w:t xml:space="preserve"> </w:t>
      </w:r>
      <w:r w:rsidR="007E60CC" w:rsidRPr="00185BC0">
        <w:rPr>
          <w:color w:val="000000"/>
          <w:sz w:val="28"/>
          <w:szCs w:val="28"/>
          <w:lang w:val="kk-KZ"/>
        </w:rPr>
        <w:t xml:space="preserve"> </w:t>
      </w:r>
      <w:r w:rsidR="00872F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10.29011/2575-9760.011325","author":[{"dropping-particle":"","family":"Cristea","given":"Stefan","non-dropping-particle":"","parse-names":false,"suffix":""},{"dropping-particle":"","family":"Gavrila","given":"M","non-dropping-particle":"","parse-names":false,"suffix":""},{"dropping-particle":"","family":"Groseanu","given":"Fl","non-dropping-particle":"","parse-names":false,"suffix":""}],"id":"ITEM-1","issue":"06","issued":{"date-parts":[["2025"]]},"title":"Femoral Approach for Total Hip Arthroplasty ( THA ) in High Dislocated Hips , Comparison of Two Surgical Techniques","type":"article-journal","volume":"10"},"uris":["http://www.mendeley.com/documents/?uuid=41697a39-ab39-4a22-9801-9d4c8afe53a6"]}],"mendeley":{"formattedCitation":"[49]","plainTextFormattedCitation":"[49]","previouslyFormattedCitation":"[49]"},"properties":{"noteIndex":0},"schema":"https://github.com/citation-style-language/schema/raw/master/csl-citation.json"}</w:instrText>
      </w:r>
      <w:r w:rsidR="00872FD3" w:rsidRPr="00185BC0">
        <w:rPr>
          <w:color w:val="000000"/>
          <w:sz w:val="28"/>
          <w:szCs w:val="28"/>
          <w:lang w:val="kk-KZ"/>
        </w:rPr>
        <w:fldChar w:fldCharType="separate"/>
      </w:r>
      <w:r w:rsidR="00371B3B" w:rsidRPr="00185BC0">
        <w:rPr>
          <w:noProof/>
          <w:color w:val="000000"/>
          <w:sz w:val="28"/>
          <w:szCs w:val="28"/>
          <w:lang w:val="kk-KZ"/>
        </w:rPr>
        <w:t>[49]</w:t>
      </w:r>
      <w:r w:rsidR="00872FD3" w:rsidRPr="00185BC0">
        <w:rPr>
          <w:color w:val="000000"/>
          <w:sz w:val="28"/>
          <w:szCs w:val="28"/>
          <w:lang w:val="kk-KZ"/>
        </w:rPr>
        <w:fldChar w:fldCharType="end"/>
      </w:r>
      <w:r w:rsidR="00A11C57" w:rsidRPr="00185BC0">
        <w:rPr>
          <w:color w:val="000000"/>
          <w:sz w:val="28"/>
          <w:szCs w:val="28"/>
          <w:lang w:val="kk-KZ"/>
        </w:rPr>
        <w:t xml:space="preserve"> (рисунок 3)</w:t>
      </w:r>
      <w:r w:rsidR="00BB1D05" w:rsidRPr="00185BC0">
        <w:rPr>
          <w:color w:val="000000"/>
          <w:sz w:val="28"/>
          <w:szCs w:val="28"/>
          <w:lang w:val="kk-KZ"/>
        </w:rPr>
        <w:t>:</w:t>
      </w:r>
    </w:p>
    <w:p w14:paraId="0D9C0BF7" w14:textId="77777777" w:rsidR="00A11C57" w:rsidRPr="00185BC0" w:rsidRDefault="00A11C57" w:rsidP="00A11C57">
      <w:pPr>
        <w:ind w:left="567"/>
        <w:contextualSpacing/>
        <w:jc w:val="both"/>
        <w:rPr>
          <w:color w:val="000000"/>
          <w:sz w:val="28"/>
          <w:szCs w:val="28"/>
          <w:lang w:val="kk-KZ"/>
        </w:rPr>
      </w:pPr>
    </w:p>
    <w:p w14:paraId="444CC1CE" w14:textId="070FF0BA" w:rsidR="00BB1D05" w:rsidRPr="00185BC0" w:rsidRDefault="00BB1D05" w:rsidP="00A11C57">
      <w:pPr>
        <w:numPr>
          <w:ilvl w:val="0"/>
          <w:numId w:val="3"/>
        </w:numPr>
        <w:ind w:left="0" w:firstLine="567"/>
        <w:contextualSpacing/>
        <w:jc w:val="center"/>
        <w:rPr>
          <w:color w:val="000000"/>
          <w:sz w:val="28"/>
          <w:szCs w:val="28"/>
          <w:lang w:val="kk-KZ"/>
        </w:rPr>
      </w:pPr>
      <w:r w:rsidRPr="00185BC0">
        <w:rPr>
          <w:noProof/>
          <w:color w:val="000000"/>
          <w:sz w:val="28"/>
          <w:szCs w:val="28"/>
          <w:lang w:val="kk-KZ"/>
        </w:rPr>
        <w:drawing>
          <wp:inline distT="0" distB="0" distL="0" distR="0" wp14:anchorId="51C9224C" wp14:editId="4D3F0E2F">
            <wp:extent cx="3364173" cy="4714663"/>
            <wp:effectExtent l="0" t="0" r="825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9087" cy="4777607"/>
                    </a:xfrm>
                    <a:prstGeom prst="rect">
                      <a:avLst/>
                    </a:prstGeom>
                    <a:noFill/>
                  </pic:spPr>
                </pic:pic>
              </a:graphicData>
            </a:graphic>
          </wp:inline>
        </w:drawing>
      </w:r>
    </w:p>
    <w:p w14:paraId="4FB3C318" w14:textId="0792A39A" w:rsidR="00BB1D05" w:rsidRPr="00185BC0" w:rsidRDefault="00E51952" w:rsidP="00BB1D05">
      <w:pPr>
        <w:spacing w:before="280" w:after="280"/>
        <w:jc w:val="center"/>
        <w:rPr>
          <w:sz w:val="28"/>
          <w:szCs w:val="28"/>
          <w:lang w:val="kk-KZ"/>
        </w:rPr>
      </w:pPr>
      <w:r w:rsidRPr="00185BC0">
        <w:rPr>
          <w:sz w:val="28"/>
          <w:szCs w:val="28"/>
        </w:rPr>
        <w:t xml:space="preserve">Рисунок </w:t>
      </w:r>
      <w:r w:rsidRPr="00185BC0">
        <w:rPr>
          <w:sz w:val="28"/>
          <w:szCs w:val="28"/>
          <w:lang w:val="kk-KZ"/>
        </w:rPr>
        <w:t>3</w:t>
      </w:r>
      <w:r w:rsidRPr="00185BC0">
        <w:rPr>
          <w:sz w:val="28"/>
          <w:szCs w:val="28"/>
        </w:rPr>
        <w:t xml:space="preserve"> – </w:t>
      </w:r>
      <w:r w:rsidR="00BB1D05" w:rsidRPr="00185BC0">
        <w:rPr>
          <w:sz w:val="28"/>
          <w:szCs w:val="28"/>
          <w:lang w:val="kk-KZ"/>
        </w:rPr>
        <w:t xml:space="preserve"> Классификация Эфтехара (типы A–D): A </w:t>
      </w:r>
      <w:r w:rsidR="00DA5A93" w:rsidRPr="00185BC0">
        <w:rPr>
          <w:sz w:val="28"/>
          <w:szCs w:val="28"/>
          <w:lang w:val="kk-KZ"/>
        </w:rPr>
        <w:t>–</w:t>
      </w:r>
      <w:r w:rsidR="00BB1D05" w:rsidRPr="00185BC0">
        <w:rPr>
          <w:sz w:val="28"/>
          <w:szCs w:val="28"/>
          <w:lang w:val="kk-KZ"/>
        </w:rPr>
        <w:t xml:space="preserve"> </w:t>
      </w:r>
      <w:r w:rsidR="005C3088" w:rsidRPr="00185BC0">
        <w:rPr>
          <w:sz w:val="28"/>
          <w:szCs w:val="28"/>
          <w:lang w:val="kk-KZ"/>
        </w:rPr>
        <w:t>умеренно удлинённая диспластическая вертлужная впадина</w:t>
      </w:r>
      <w:r w:rsidR="00BB1D05" w:rsidRPr="00185BC0">
        <w:rPr>
          <w:sz w:val="28"/>
          <w:szCs w:val="28"/>
          <w:lang w:val="kk-KZ"/>
        </w:rPr>
        <w:t xml:space="preserve">; B и C </w:t>
      </w:r>
      <w:r w:rsidR="00DA5A93" w:rsidRPr="00185BC0">
        <w:rPr>
          <w:sz w:val="28"/>
          <w:szCs w:val="28"/>
          <w:lang w:val="kk-KZ"/>
        </w:rPr>
        <w:t>–</w:t>
      </w:r>
      <w:r w:rsidR="00BB1D05" w:rsidRPr="00185BC0">
        <w:rPr>
          <w:sz w:val="28"/>
          <w:szCs w:val="28"/>
          <w:lang w:val="kk-KZ"/>
        </w:rPr>
        <w:t xml:space="preserve"> </w:t>
      </w:r>
      <w:r w:rsidR="005C3088" w:rsidRPr="00185BC0">
        <w:rPr>
          <w:sz w:val="28"/>
          <w:szCs w:val="28"/>
          <w:lang w:val="kk-KZ"/>
        </w:rPr>
        <w:t>промежуточный и высокий вывих</w:t>
      </w:r>
      <w:r w:rsidR="00BB1D05" w:rsidRPr="00185BC0">
        <w:rPr>
          <w:sz w:val="28"/>
          <w:szCs w:val="28"/>
          <w:lang w:val="kk-KZ"/>
        </w:rPr>
        <w:t xml:space="preserve">; D </w:t>
      </w:r>
      <w:r w:rsidR="00DA5A93" w:rsidRPr="00185BC0">
        <w:rPr>
          <w:sz w:val="28"/>
          <w:szCs w:val="28"/>
          <w:lang w:val="kk-KZ"/>
        </w:rPr>
        <w:t>–</w:t>
      </w:r>
      <w:r w:rsidR="00BB1D05" w:rsidRPr="00185BC0">
        <w:rPr>
          <w:sz w:val="28"/>
          <w:szCs w:val="28"/>
          <w:lang w:val="kk-KZ"/>
        </w:rPr>
        <w:t xml:space="preserve"> </w:t>
      </w:r>
      <w:r w:rsidR="005C3088" w:rsidRPr="00185BC0">
        <w:rPr>
          <w:sz w:val="28"/>
          <w:szCs w:val="28"/>
          <w:lang w:val="kk-KZ"/>
        </w:rPr>
        <w:t xml:space="preserve">застарелый необратимый вывих </w:t>
      </w:r>
      <w:r w:rsidR="000B606C" w:rsidRPr="00185BC0">
        <w:rPr>
          <w:sz w:val="28"/>
          <w:szCs w:val="28"/>
          <w:lang w:val="tr-TR"/>
        </w:rPr>
        <w:fldChar w:fldCharType="begin" w:fldLock="1"/>
      </w:r>
      <w:r w:rsidR="002F5076" w:rsidRPr="00185BC0">
        <w:rPr>
          <w:sz w:val="28"/>
          <w:szCs w:val="28"/>
          <w:lang w:val="tr-TR"/>
        </w:rPr>
        <w:instrText>ADDIN CSL_CITATION {"citationItems":[{"id":"ITEM-1","itemData":{"DOI":"10.1007/s11420-007-9066-z","ISSN":"15563316","abstract":"To measure the inter- and intraobserver reliability of two radiologic classification systems in the evaluation of severity of osteoarthritis secondary to developmental dysplasia of the hip in adult patients and to compare these systems to historically published data on two more commonly used classification systems described by Crowe and by Hartofikakidis. Eighty-six dysplastic hips on 66 anteroposterior standard pelvic x-rays were rated according to the criteria of Eftekhar and Kerboul by three observers with different levels of clinical training. To assess intraobserver reliability, the measurement was repeated 3 months later. Statistical analysis was performed by calculating the weighted kappa correlation coefficient and the overall kappa coefficient. Both classification systems showed a sufficient interobsever reliability, reaching a kappa coefficient of 0.73 for the system according to Eftekhar and 0.716 for the Kerboul classification system. Intraobserver reliability revealed a kappa coefficient of 0.778 for the Eftekhar system and 0.697 for the classification according to Kerboul. Both systems showed good inter- and intraobserver reliability for use in daily practice. However, they did not reach the known reliability of the grading systems published by Crowe and by Hartofikakidis. Because these systems are more frequently used, we would recommend one of them to grade the severity of osteoarthritis secondary to developmental dysplasia of the hip in adult patients instead of the ones described by Eftekhar or by Kerboul. © 2007 Hospital for Special Surgery.","author":[{"dropping-particle":"","family":"Brunner","given":"Alexander","non-dropping-particle":"","parse-names":false,"suffix":""},{"dropping-particle":"","family":"Ulmar","given":"Benjamin","non-dropping-particle":"","parse-names":false,"suffix":""},{"dropping-particle":"","family":"Reichel","given":"Heiko","non-dropping-particle":"","parse-names":false,"suffix":""},{"dropping-particle":"","family":"Decking","given":"Ralf","non-dropping-particle":"","parse-names":false,"suffix":""}],"container-title":"HSS Journal","id":"ITEM-1","issue":"1","issued":{"date-parts":[["2008"]]},"title":"The Eftekhar and Kerboul classifications in assessment of developmental dysplasia of the hip in adult patients. Measurement of inter- and intraobserver reliability","type":"article-journal","volume":"4"},"uris":["http://www.mendeley.com/documents/?uuid=1b6943ad-739e-30f2-877e-e31f12f31f09"]}],"mendeley":{"formattedCitation":"[50]","plainTextFormattedCitation":"[50]","previouslyFormattedCitation":"[50]"},"properties":{"noteIndex":0},"schema":"https://github.com/citation-style-language/schema/raw/master/csl-citation.json"}</w:instrText>
      </w:r>
      <w:r w:rsidR="000B606C" w:rsidRPr="00185BC0">
        <w:rPr>
          <w:sz w:val="28"/>
          <w:szCs w:val="28"/>
          <w:lang w:val="tr-TR"/>
        </w:rPr>
        <w:fldChar w:fldCharType="separate"/>
      </w:r>
      <w:r w:rsidR="00371B3B" w:rsidRPr="00185BC0">
        <w:rPr>
          <w:noProof/>
          <w:sz w:val="28"/>
          <w:szCs w:val="28"/>
          <w:lang w:val="tr-TR"/>
        </w:rPr>
        <w:t>[50]</w:t>
      </w:r>
      <w:r w:rsidR="000B606C" w:rsidRPr="00185BC0">
        <w:rPr>
          <w:sz w:val="28"/>
          <w:szCs w:val="28"/>
          <w:lang w:val="tr-TR"/>
        </w:rPr>
        <w:fldChar w:fldCharType="end"/>
      </w:r>
    </w:p>
    <w:p w14:paraId="7B188D9F" w14:textId="14E8A7C7" w:rsidR="00A11C57" w:rsidRPr="00185BC0" w:rsidRDefault="005C3088" w:rsidP="0048757C">
      <w:pPr>
        <w:numPr>
          <w:ilvl w:val="0"/>
          <w:numId w:val="3"/>
        </w:numPr>
        <w:ind w:left="0" w:firstLine="851"/>
        <w:jc w:val="both"/>
        <w:rPr>
          <w:color w:val="000000"/>
          <w:sz w:val="28"/>
          <w:szCs w:val="28"/>
        </w:rPr>
      </w:pPr>
      <w:r w:rsidRPr="00185BC0">
        <w:rPr>
          <w:color w:val="000000"/>
          <w:sz w:val="28"/>
          <w:szCs w:val="28"/>
        </w:rPr>
        <w:t>Тип A характеризуется незначительным удлинением и уплощением вертлужной впадины, сопровождающимся умеренной деформацией головки бедренной кости</w:t>
      </w:r>
      <w:r w:rsidR="00A11C57" w:rsidRPr="00185BC0">
        <w:rPr>
          <w:color w:val="000000"/>
          <w:sz w:val="28"/>
          <w:szCs w:val="28"/>
        </w:rPr>
        <w:t>;</w:t>
      </w:r>
    </w:p>
    <w:p w14:paraId="5F04A220" w14:textId="0BD7EDE6" w:rsidR="005C3088" w:rsidRPr="00185BC0" w:rsidRDefault="005C3088" w:rsidP="005C3088">
      <w:pPr>
        <w:pStyle w:val="a6"/>
        <w:numPr>
          <w:ilvl w:val="0"/>
          <w:numId w:val="3"/>
        </w:numPr>
        <w:ind w:left="0" w:firstLine="851"/>
        <w:jc w:val="both"/>
        <w:rPr>
          <w:color w:val="000000"/>
          <w:sz w:val="28"/>
          <w:szCs w:val="28"/>
        </w:rPr>
      </w:pPr>
      <w:r w:rsidRPr="00185BC0">
        <w:rPr>
          <w:color w:val="000000"/>
          <w:sz w:val="28"/>
          <w:szCs w:val="28"/>
        </w:rPr>
        <w:t xml:space="preserve">При типе B определяется промежуточная ложная вертлужная впадина с формированием </w:t>
      </w:r>
      <w:proofErr w:type="spellStart"/>
      <w:r w:rsidRPr="00185BC0">
        <w:rPr>
          <w:color w:val="000000"/>
          <w:sz w:val="28"/>
          <w:szCs w:val="28"/>
        </w:rPr>
        <w:t>средневыраженного</w:t>
      </w:r>
      <w:proofErr w:type="spellEnd"/>
      <w:r w:rsidRPr="00185BC0">
        <w:rPr>
          <w:color w:val="000000"/>
          <w:sz w:val="28"/>
          <w:szCs w:val="28"/>
        </w:rPr>
        <w:t xml:space="preserve"> подвывиха при этом головка бедренной кости покрыта вертлужной впадиной приблизительно до 50 %.</w:t>
      </w:r>
    </w:p>
    <w:p w14:paraId="672E2FCB" w14:textId="77777777" w:rsidR="005C3088" w:rsidRPr="00185BC0" w:rsidRDefault="005C3088" w:rsidP="005C3088">
      <w:pPr>
        <w:pStyle w:val="a6"/>
        <w:numPr>
          <w:ilvl w:val="0"/>
          <w:numId w:val="3"/>
        </w:numPr>
        <w:ind w:left="0" w:firstLine="851"/>
        <w:jc w:val="both"/>
        <w:rPr>
          <w:color w:val="000000"/>
          <w:sz w:val="28"/>
          <w:szCs w:val="28"/>
        </w:rPr>
      </w:pPr>
      <w:r w:rsidRPr="00185BC0">
        <w:rPr>
          <w:color w:val="000000"/>
          <w:sz w:val="28"/>
          <w:szCs w:val="28"/>
        </w:rPr>
        <w:t xml:space="preserve">Тип C представлен высокой ложной вертлужной впадиной и </w:t>
      </w:r>
      <w:r w:rsidRPr="00185BC0">
        <w:rPr>
          <w:color w:val="000000"/>
          <w:sz w:val="28"/>
          <w:szCs w:val="28"/>
        </w:rPr>
        <w:lastRenderedPageBreak/>
        <w:t>выраженным подвывихом, при котором наблюдается краниальная миграция головки бедренной кости, а площадь её контакта с вертлужной впадиной составляет менее 50 %.</w:t>
      </w:r>
    </w:p>
    <w:p w14:paraId="6C45DA79" w14:textId="77777777" w:rsidR="005C3088" w:rsidRPr="00185BC0" w:rsidRDefault="005C3088" w:rsidP="005C3088">
      <w:pPr>
        <w:pStyle w:val="a6"/>
        <w:numPr>
          <w:ilvl w:val="0"/>
          <w:numId w:val="3"/>
        </w:numPr>
        <w:ind w:left="0" w:firstLine="851"/>
        <w:jc w:val="both"/>
        <w:rPr>
          <w:color w:val="000000"/>
          <w:sz w:val="28"/>
          <w:szCs w:val="28"/>
        </w:rPr>
      </w:pPr>
      <w:r w:rsidRPr="00185BC0">
        <w:rPr>
          <w:color w:val="000000"/>
          <w:sz w:val="28"/>
          <w:szCs w:val="28"/>
        </w:rPr>
        <w:t>Тип D соответствует застарелому невправимому высокому вывиху, при котором отсутствует контакт головки бедренной кости с подвздошной костью и формируется псевдоартроз между головкой и телом подвздошной кости.</w:t>
      </w:r>
    </w:p>
    <w:p w14:paraId="3E505699" w14:textId="5839BA2D" w:rsidR="00BB1D05" w:rsidRPr="00185BC0" w:rsidRDefault="00BB1D05" w:rsidP="00FA3E77">
      <w:pPr>
        <w:ind w:firstLine="567"/>
        <w:contextualSpacing/>
        <w:jc w:val="both"/>
        <w:rPr>
          <w:color w:val="000000"/>
          <w:sz w:val="28"/>
          <w:szCs w:val="28"/>
        </w:rPr>
      </w:pPr>
      <w:r w:rsidRPr="00185BC0">
        <w:rPr>
          <w:color w:val="000000"/>
          <w:sz w:val="28"/>
          <w:szCs w:val="28"/>
        </w:rPr>
        <w:t xml:space="preserve">В 1988 г. </w:t>
      </w:r>
      <w:bookmarkStart w:id="19" w:name="_Hlk201227207"/>
      <w:proofErr w:type="spellStart"/>
      <w:r w:rsidRPr="00185BC0">
        <w:rPr>
          <w:color w:val="000000"/>
          <w:sz w:val="28"/>
          <w:szCs w:val="28"/>
          <w:lang w:val="en-US"/>
        </w:rPr>
        <w:t>Hartofilakidis</w:t>
      </w:r>
      <w:proofErr w:type="spellEnd"/>
      <w:r w:rsidRPr="00185BC0">
        <w:rPr>
          <w:color w:val="000000"/>
          <w:sz w:val="28"/>
          <w:szCs w:val="28"/>
        </w:rPr>
        <w:t xml:space="preserve"> </w:t>
      </w:r>
      <w:bookmarkEnd w:id="19"/>
      <w:r w:rsidR="008907FD" w:rsidRPr="00185BC0">
        <w:rPr>
          <w:color w:val="000000"/>
          <w:sz w:val="28"/>
          <w:szCs w:val="28"/>
        </w:rPr>
        <w:t xml:space="preserve">и </w:t>
      </w:r>
      <w:proofErr w:type="spellStart"/>
      <w:r w:rsidR="008907FD" w:rsidRPr="00185BC0">
        <w:rPr>
          <w:color w:val="000000"/>
          <w:sz w:val="28"/>
          <w:szCs w:val="28"/>
        </w:rPr>
        <w:t>соавт</w:t>
      </w:r>
      <w:proofErr w:type="spellEnd"/>
      <w:r w:rsidR="008907FD" w:rsidRPr="00185BC0">
        <w:rPr>
          <w:color w:val="000000"/>
          <w:sz w:val="28"/>
          <w:szCs w:val="28"/>
        </w:rPr>
        <w:t>.</w:t>
      </w:r>
      <w:r w:rsidRPr="00185BC0">
        <w:rPr>
          <w:color w:val="000000"/>
          <w:sz w:val="28"/>
          <w:szCs w:val="28"/>
        </w:rPr>
        <w:t xml:space="preserve"> разделили дисплазию и вывих бедра на 3 типа</w:t>
      </w:r>
      <w:r w:rsidR="0043499E" w:rsidRPr="00185BC0">
        <w:rPr>
          <w:color w:val="000000"/>
          <w:sz w:val="28"/>
          <w:szCs w:val="28"/>
          <w:lang w:val="kk-KZ"/>
        </w:rPr>
        <w:t>, которая</w:t>
      </w:r>
      <w:r w:rsidRPr="00185BC0">
        <w:rPr>
          <w:color w:val="000000"/>
          <w:sz w:val="28"/>
          <w:szCs w:val="28"/>
        </w:rPr>
        <w:t xml:space="preserve"> </w:t>
      </w:r>
      <w:r w:rsidR="0043499E" w:rsidRPr="00185BC0">
        <w:rPr>
          <w:color w:val="000000"/>
          <w:sz w:val="28"/>
          <w:szCs w:val="28"/>
          <w:lang w:val="kk-KZ"/>
        </w:rPr>
        <w:t>о</w:t>
      </w:r>
      <w:proofErr w:type="spellStart"/>
      <w:r w:rsidRPr="00185BC0">
        <w:rPr>
          <w:color w:val="000000"/>
          <w:sz w:val="28"/>
          <w:szCs w:val="28"/>
        </w:rPr>
        <w:t>снована</w:t>
      </w:r>
      <w:proofErr w:type="spellEnd"/>
      <w:r w:rsidRPr="00185BC0">
        <w:rPr>
          <w:color w:val="000000"/>
          <w:sz w:val="28"/>
          <w:szCs w:val="28"/>
        </w:rPr>
        <w:t xml:space="preserve"> на оценке краниального смещения головки бедренной кости и взаимоотношения головки с истинной вертлужной впадиной</w:t>
      </w:r>
      <w:r w:rsidRPr="00185BC0">
        <w:rPr>
          <w:color w:val="000000"/>
          <w:sz w:val="28"/>
          <w:szCs w:val="28"/>
          <w:lang w:val="tr-TR"/>
        </w:rPr>
        <w:t xml:space="preserve"> </w:t>
      </w:r>
      <w:r w:rsidR="007E60CC" w:rsidRPr="00185BC0">
        <w:rPr>
          <w:color w:val="000000"/>
          <w:sz w:val="28"/>
          <w:szCs w:val="28"/>
          <w:lang w:val="kk-KZ"/>
        </w:rPr>
        <w:t xml:space="preserve"> </w:t>
      </w:r>
      <w:r w:rsidR="00872FD3" w:rsidRPr="00185BC0">
        <w:rPr>
          <w:color w:val="000000"/>
          <w:sz w:val="28"/>
          <w:szCs w:val="28"/>
          <w:lang w:val="kk-KZ"/>
        </w:rPr>
        <w:fldChar w:fldCharType="begin" w:fldLock="1"/>
      </w:r>
      <w:r w:rsidR="002F5076" w:rsidRPr="00185BC0">
        <w:rPr>
          <w:color w:val="000000"/>
          <w:sz w:val="28"/>
          <w:szCs w:val="28"/>
          <w:lang w:val="kk-KZ"/>
        </w:rPr>
        <w:instrText>ADDIN CSL_CITATION {"citationItems":[{"id":"ITEM-1","itemData":{"DOI":"10.1097/CORR.0000000000000802","ISSN":"15281132","author":[{"dropping-particle":"","family":"Zhu","given":"Jimmy","non-dropping-particle":"","parse-names":false,"suffix":""},{"dropping-particle":"","family":"Fernando","given":"Navin D.","non-dropping-particle":"","parse-names":false,"suffix":""}],"container-title":"Clinical Orthopaedics and Related Research","id":"ITEM-1","issue":"1","issued":{"date-parts":[["2020"]]},"title":"Classifications in brief: The hartofilakidis classification of developmental dysplasia of the hip","type":"article-journal","volume":"478"},"uris":["http://www.mendeley.com/documents/?uuid=71c496b6-2f00-3cad-8c12-2fc61598cc48"]}],"mendeley":{"formattedCitation":"[51]","plainTextFormattedCitation":"[51]","previouslyFormattedCitation":"[51]"},"properties":{"noteIndex":0},"schema":"https://github.com/citation-style-language/schema/raw/master/csl-citation.json"}</w:instrText>
      </w:r>
      <w:r w:rsidR="00872FD3" w:rsidRPr="00185BC0">
        <w:rPr>
          <w:color w:val="000000"/>
          <w:sz w:val="28"/>
          <w:szCs w:val="28"/>
          <w:lang w:val="kk-KZ"/>
        </w:rPr>
        <w:fldChar w:fldCharType="separate"/>
      </w:r>
      <w:r w:rsidR="00371B3B" w:rsidRPr="00185BC0">
        <w:rPr>
          <w:noProof/>
          <w:color w:val="000000"/>
          <w:sz w:val="28"/>
          <w:szCs w:val="28"/>
          <w:lang w:val="kk-KZ"/>
        </w:rPr>
        <w:t>[51]</w:t>
      </w:r>
      <w:r w:rsidR="00872FD3" w:rsidRPr="00185BC0">
        <w:rPr>
          <w:color w:val="000000"/>
          <w:sz w:val="28"/>
          <w:szCs w:val="28"/>
          <w:lang w:val="kk-KZ"/>
        </w:rPr>
        <w:fldChar w:fldCharType="end"/>
      </w:r>
      <w:r w:rsidRPr="00185BC0">
        <w:rPr>
          <w:color w:val="000000"/>
          <w:sz w:val="28"/>
          <w:szCs w:val="28"/>
        </w:rPr>
        <w:t xml:space="preserve"> </w:t>
      </w:r>
      <w:r w:rsidRPr="00185BC0">
        <w:rPr>
          <w:sz w:val="28"/>
          <w:szCs w:val="28"/>
          <w:lang w:val="kk-KZ"/>
        </w:rPr>
        <w:t>(рисунок 4).</w:t>
      </w:r>
      <w:r w:rsidRPr="00185BC0">
        <w:rPr>
          <w:color w:val="000000"/>
          <w:sz w:val="28"/>
          <w:szCs w:val="28"/>
        </w:rPr>
        <w:t xml:space="preserve"> </w:t>
      </w:r>
    </w:p>
    <w:p w14:paraId="2B16EE1F" w14:textId="77777777" w:rsidR="00BB1D05" w:rsidRPr="00185BC0" w:rsidRDefault="00BB1D05" w:rsidP="00BB1D05">
      <w:pPr>
        <w:ind w:left="567"/>
        <w:contextualSpacing/>
        <w:jc w:val="both"/>
        <w:rPr>
          <w:color w:val="000000"/>
          <w:sz w:val="28"/>
          <w:szCs w:val="28"/>
        </w:rPr>
      </w:pPr>
    </w:p>
    <w:p w14:paraId="29B9DA21" w14:textId="77777777" w:rsidR="00BB1D05" w:rsidRPr="00185BC0" w:rsidRDefault="00BB1D05" w:rsidP="00BB1D05">
      <w:pPr>
        <w:ind w:left="567"/>
        <w:contextualSpacing/>
        <w:jc w:val="center"/>
        <w:rPr>
          <w:color w:val="000000"/>
          <w:sz w:val="28"/>
          <w:szCs w:val="28"/>
        </w:rPr>
      </w:pPr>
      <w:r w:rsidRPr="00185BC0">
        <w:rPr>
          <w:noProof/>
          <w:color w:val="000000"/>
          <w:sz w:val="28"/>
          <w:szCs w:val="28"/>
        </w:rPr>
        <w:drawing>
          <wp:inline distT="0" distB="0" distL="0" distR="0" wp14:anchorId="1E3F511E" wp14:editId="7E17A67D">
            <wp:extent cx="4870764" cy="3126716"/>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76426" cy="3130351"/>
                    </a:xfrm>
                    <a:prstGeom prst="rect">
                      <a:avLst/>
                    </a:prstGeom>
                  </pic:spPr>
                </pic:pic>
              </a:graphicData>
            </a:graphic>
          </wp:inline>
        </w:drawing>
      </w:r>
    </w:p>
    <w:p w14:paraId="59F1E6AC" w14:textId="77777777" w:rsidR="00BB1D05" w:rsidRPr="00185BC0" w:rsidRDefault="00BB1D05" w:rsidP="00BB1D05">
      <w:pPr>
        <w:ind w:left="567"/>
        <w:contextualSpacing/>
        <w:jc w:val="center"/>
        <w:rPr>
          <w:i/>
          <w:iCs/>
          <w:color w:val="000000"/>
          <w:sz w:val="28"/>
          <w:szCs w:val="28"/>
        </w:rPr>
      </w:pPr>
    </w:p>
    <w:p w14:paraId="302B47A7" w14:textId="4D09E198" w:rsidR="00BB1D05" w:rsidRPr="00185BC0" w:rsidRDefault="00E51952" w:rsidP="00BB1D05">
      <w:pPr>
        <w:ind w:left="567"/>
        <w:contextualSpacing/>
        <w:jc w:val="center"/>
        <w:rPr>
          <w:color w:val="000000"/>
          <w:sz w:val="28"/>
          <w:szCs w:val="28"/>
        </w:rPr>
      </w:pPr>
      <w:r w:rsidRPr="00185BC0">
        <w:rPr>
          <w:color w:val="000000"/>
          <w:sz w:val="28"/>
          <w:szCs w:val="28"/>
        </w:rPr>
        <w:t xml:space="preserve">Рисунок </w:t>
      </w:r>
      <w:r w:rsidRPr="00185BC0">
        <w:rPr>
          <w:color w:val="000000"/>
          <w:sz w:val="28"/>
          <w:szCs w:val="28"/>
          <w:lang w:val="kk-KZ"/>
        </w:rPr>
        <w:t>4</w:t>
      </w:r>
      <w:r w:rsidRPr="00185BC0">
        <w:rPr>
          <w:color w:val="000000"/>
          <w:sz w:val="28"/>
          <w:szCs w:val="28"/>
        </w:rPr>
        <w:t xml:space="preserve"> – </w:t>
      </w:r>
      <w:r w:rsidR="00BB1D05" w:rsidRPr="00185BC0">
        <w:rPr>
          <w:color w:val="000000"/>
          <w:sz w:val="28"/>
          <w:szCs w:val="28"/>
        </w:rPr>
        <w:t xml:space="preserve">Классификации </w:t>
      </w:r>
      <w:proofErr w:type="spellStart"/>
      <w:r w:rsidR="00BB1D05" w:rsidRPr="00185BC0">
        <w:rPr>
          <w:color w:val="000000"/>
          <w:sz w:val="28"/>
          <w:szCs w:val="28"/>
        </w:rPr>
        <w:t>Hartofilakidis</w:t>
      </w:r>
      <w:proofErr w:type="spellEnd"/>
      <w:r w:rsidR="000B606C" w:rsidRPr="00185BC0">
        <w:rPr>
          <w:color w:val="000000"/>
          <w:sz w:val="28"/>
          <w:szCs w:val="28"/>
          <w:lang w:val="tr-TR"/>
        </w:rPr>
        <w:t xml:space="preserve"> </w:t>
      </w:r>
      <w:r w:rsidR="000B606C" w:rsidRPr="00185BC0">
        <w:rPr>
          <w:color w:val="000000"/>
          <w:sz w:val="28"/>
          <w:szCs w:val="28"/>
          <w:lang w:val="tr-TR"/>
        </w:rPr>
        <w:fldChar w:fldCharType="begin" w:fldLock="1"/>
      </w:r>
      <w:r w:rsidR="002F5076" w:rsidRPr="00185BC0">
        <w:rPr>
          <w:color w:val="000000"/>
          <w:sz w:val="28"/>
          <w:szCs w:val="28"/>
          <w:lang w:val="tr-TR"/>
        </w:rPr>
        <w:instrText>ADDIN CSL_CITATION {"citationItems":[{"id":"ITEM-1","itemData":{"DOI":"10.1097/CORR.0000000000000802","ISSN":"15281132","author":[{"dropping-particle":"","family":"Zhu","given":"Jimmy","non-dropping-particle":"","parse-names":false,"suffix":""},{"dropping-particle":"","family":"Fernando","given":"Navin D.","non-dropping-particle":"","parse-names":false,"suffix":""}],"container-title":"Clinical Orthopaedics and Related Research","id":"ITEM-1","issue":"1","issued":{"date-parts":[["2020"]]},"title":"Classifications in brief: The hartofilakidis classification of developmental dysplasia of the hip","type":"article-journal","volume":"478"},"uris":["http://www.mendeley.com/documents/?uuid=71c496b6-2f00-3cad-8c12-2fc61598cc48"]}],"mendeley":{"formattedCitation":"[51]","plainTextFormattedCitation":"[51]","previouslyFormattedCitation":"[51]"},"properties":{"noteIndex":0},"schema":"https://github.com/citation-style-language/schema/raw/master/csl-citation.json"}</w:instrText>
      </w:r>
      <w:r w:rsidR="000B606C" w:rsidRPr="00185BC0">
        <w:rPr>
          <w:color w:val="000000"/>
          <w:sz w:val="28"/>
          <w:szCs w:val="28"/>
          <w:lang w:val="tr-TR"/>
        </w:rPr>
        <w:fldChar w:fldCharType="separate"/>
      </w:r>
      <w:r w:rsidR="00371B3B" w:rsidRPr="00185BC0">
        <w:rPr>
          <w:noProof/>
          <w:color w:val="000000"/>
          <w:sz w:val="28"/>
          <w:szCs w:val="28"/>
          <w:lang w:val="tr-TR"/>
        </w:rPr>
        <w:t>[51]</w:t>
      </w:r>
      <w:r w:rsidR="000B606C" w:rsidRPr="00185BC0">
        <w:rPr>
          <w:color w:val="000000"/>
          <w:sz w:val="28"/>
          <w:szCs w:val="28"/>
          <w:lang w:val="tr-TR"/>
        </w:rPr>
        <w:fldChar w:fldCharType="end"/>
      </w:r>
    </w:p>
    <w:p w14:paraId="07688C1E" w14:textId="77777777" w:rsidR="00BB1D05" w:rsidRPr="00185BC0" w:rsidRDefault="00BB1D05" w:rsidP="00BB1D05">
      <w:pPr>
        <w:ind w:left="567"/>
        <w:contextualSpacing/>
        <w:jc w:val="center"/>
        <w:rPr>
          <w:color w:val="000000"/>
          <w:sz w:val="28"/>
          <w:szCs w:val="28"/>
        </w:rPr>
      </w:pPr>
    </w:p>
    <w:p w14:paraId="50D40216" w14:textId="07C4FCB1" w:rsidR="00BB1D05" w:rsidRPr="00185BC0" w:rsidRDefault="00CB0C4E" w:rsidP="0048757C">
      <w:pPr>
        <w:numPr>
          <w:ilvl w:val="0"/>
          <w:numId w:val="5"/>
        </w:numPr>
        <w:ind w:left="0" w:firstLine="709"/>
        <w:contextualSpacing/>
        <w:jc w:val="both"/>
        <w:rPr>
          <w:rFonts w:eastAsia="Arial"/>
          <w:color w:val="333333"/>
          <w:sz w:val="28"/>
          <w:szCs w:val="28"/>
        </w:rPr>
      </w:pPr>
      <w:r w:rsidRPr="00185BC0">
        <w:rPr>
          <w:rFonts w:eastAsia="Arial"/>
          <w:color w:val="333333"/>
          <w:sz w:val="28"/>
          <w:szCs w:val="28"/>
        </w:rPr>
        <w:t xml:space="preserve">Тип A характеризуется дисплазией вертлужной впадины, проявляющейся увеличением входа в неё </w:t>
      </w:r>
      <w:r w:rsidR="0043499E" w:rsidRPr="00185BC0">
        <w:rPr>
          <w:rFonts w:eastAsia="Arial"/>
          <w:color w:val="333333"/>
          <w:sz w:val="28"/>
          <w:szCs w:val="28"/>
        </w:rPr>
        <w:t>при этом,</w:t>
      </w:r>
      <w:r w:rsidRPr="00185BC0">
        <w:rPr>
          <w:rFonts w:eastAsia="Arial"/>
          <w:color w:val="333333"/>
          <w:sz w:val="28"/>
          <w:szCs w:val="28"/>
        </w:rPr>
        <w:t xml:space="preserve"> головка бедренной кости смещается в проксимальном направлении, сохраняя контакт с истинной вертлужной впадиной</w:t>
      </w:r>
      <w:r w:rsidR="00BB1D05" w:rsidRPr="00185BC0">
        <w:rPr>
          <w:rFonts w:eastAsia="Arial"/>
          <w:color w:val="333333"/>
          <w:sz w:val="28"/>
          <w:szCs w:val="28"/>
        </w:rPr>
        <w:t>;</w:t>
      </w:r>
    </w:p>
    <w:p w14:paraId="51D67B4D" w14:textId="77777777" w:rsidR="00CB0C4E" w:rsidRPr="00185BC0" w:rsidRDefault="00CB0C4E" w:rsidP="00CB0C4E">
      <w:pPr>
        <w:pStyle w:val="a6"/>
        <w:numPr>
          <w:ilvl w:val="0"/>
          <w:numId w:val="5"/>
        </w:numPr>
        <w:ind w:left="0" w:firstLine="709"/>
        <w:jc w:val="both"/>
        <w:rPr>
          <w:rFonts w:eastAsia="Arial"/>
          <w:color w:val="333333"/>
          <w:sz w:val="28"/>
          <w:szCs w:val="28"/>
        </w:rPr>
      </w:pPr>
      <w:r w:rsidRPr="00185BC0">
        <w:rPr>
          <w:rFonts w:eastAsia="Arial"/>
          <w:color w:val="333333"/>
          <w:sz w:val="28"/>
          <w:szCs w:val="28"/>
        </w:rPr>
        <w:t>Тип B соответствует подвывиху или низкому вывиху бедра. Головка бедренной кости располагается выше анатомического уровня, при этом определяются как истинная, так и ложная вертлужные впадины, между которыми сохраняется связь, вследствие чего они формируют структуру, напоминающую «восьмёрку». Контакт головки бедренной кости осуществляется преимущественно с ложной вертлужной впадиной.</w:t>
      </w:r>
    </w:p>
    <w:p w14:paraId="27FF5E28" w14:textId="3619D187" w:rsidR="00CB0C4E" w:rsidRPr="007C5802" w:rsidRDefault="00CB0C4E" w:rsidP="008113B1">
      <w:pPr>
        <w:pStyle w:val="a6"/>
        <w:numPr>
          <w:ilvl w:val="0"/>
          <w:numId w:val="5"/>
        </w:numPr>
        <w:tabs>
          <w:tab w:val="left" w:pos="1418"/>
        </w:tabs>
        <w:ind w:left="0" w:firstLine="567"/>
        <w:jc w:val="both"/>
        <w:rPr>
          <w:rFonts w:eastAsia="Arial"/>
          <w:b/>
          <w:bCs/>
          <w:sz w:val="28"/>
          <w:szCs w:val="28"/>
        </w:rPr>
      </w:pPr>
      <w:r w:rsidRPr="007C5802">
        <w:rPr>
          <w:rFonts w:eastAsia="Arial"/>
          <w:sz w:val="28"/>
          <w:szCs w:val="28"/>
        </w:rPr>
        <w:t xml:space="preserve">Тип </w:t>
      </w:r>
      <w:r w:rsidRPr="007C5802">
        <w:rPr>
          <w:rFonts w:eastAsia="Arial"/>
          <w:sz w:val="28"/>
          <w:szCs w:val="28"/>
          <w:lang w:val="en-US"/>
        </w:rPr>
        <w:t>C</w:t>
      </w:r>
      <w:r w:rsidRPr="007C5802">
        <w:rPr>
          <w:rFonts w:eastAsia="Arial"/>
          <w:sz w:val="28"/>
          <w:szCs w:val="28"/>
        </w:rPr>
        <w:t xml:space="preserve"> представляет собой высокий, или полный, вывих бедренной кости. Истинная и ложная вертлужные впадины </w:t>
      </w:r>
      <w:proofErr w:type="spellStart"/>
      <w:r w:rsidRPr="007C5802">
        <w:rPr>
          <w:rFonts w:eastAsia="Arial"/>
          <w:sz w:val="28"/>
          <w:szCs w:val="28"/>
        </w:rPr>
        <w:t>пространственно</w:t>
      </w:r>
      <w:proofErr w:type="spellEnd"/>
      <w:r w:rsidRPr="007C5802">
        <w:rPr>
          <w:rFonts w:eastAsia="Arial"/>
          <w:sz w:val="28"/>
          <w:szCs w:val="28"/>
        </w:rPr>
        <w:t xml:space="preserve"> разобщены, при этом головка бедренной кости контактирует исключительно с ложной вертлужной впадиной</w:t>
      </w:r>
    </w:p>
    <w:p w14:paraId="1F0F3F84" w14:textId="516843D7" w:rsidR="00BB1D05" w:rsidRPr="00185BC0" w:rsidRDefault="00BB1D05" w:rsidP="00A91874">
      <w:pPr>
        <w:pStyle w:val="1"/>
        <w:ind w:left="0" w:firstLine="679"/>
        <w:jc w:val="both"/>
        <w:rPr>
          <w:lang w:val="kk-KZ"/>
        </w:rPr>
      </w:pPr>
      <w:bookmarkStart w:id="20" w:name="_Toc217561927"/>
      <w:r w:rsidRPr="00185BC0">
        <w:rPr>
          <w:lang w:val="kk-KZ"/>
        </w:rPr>
        <w:lastRenderedPageBreak/>
        <w:t>1.</w:t>
      </w:r>
      <w:r w:rsidR="00A91874" w:rsidRPr="00185BC0">
        <w:rPr>
          <w:lang w:val="kk-KZ"/>
        </w:rPr>
        <w:t>3</w:t>
      </w:r>
      <w:r w:rsidRPr="00185BC0">
        <w:rPr>
          <w:lang w:val="kk-KZ"/>
        </w:rPr>
        <w:t xml:space="preserve"> Хирургическое лечение пациентов сложным типом диспластического коксартроза</w:t>
      </w:r>
      <w:bookmarkEnd w:id="20"/>
    </w:p>
    <w:p w14:paraId="27047D00" w14:textId="61A0CEAA" w:rsidR="00BB1D05" w:rsidRPr="00185BC0" w:rsidRDefault="00EE32CF" w:rsidP="00BB1D05">
      <w:pPr>
        <w:ind w:firstLine="709"/>
        <w:jc w:val="both"/>
        <w:rPr>
          <w:bCs/>
          <w:sz w:val="28"/>
          <w:szCs w:val="28"/>
          <w:lang w:val="kk-KZ"/>
        </w:rPr>
      </w:pPr>
      <w:r w:rsidRPr="00185BC0">
        <w:rPr>
          <w:bCs/>
          <w:sz w:val="28"/>
          <w:szCs w:val="28"/>
          <w:lang w:val="kk-KZ"/>
        </w:rPr>
        <w:t xml:space="preserve">Наиболее обоснованным методом хирургического лечения пациентов со сложными формами диспластического коксартроза является бесцементное тотальное эндопротезирование тазобедренного сустава (ТЭТС), выполнение которого требует детально спланированной предоперационной подготовки </w:t>
      </w:r>
      <w:r w:rsidR="00872FD3" w:rsidRPr="00185BC0">
        <w:rPr>
          <w:bCs/>
          <w:sz w:val="28"/>
          <w:szCs w:val="28"/>
          <w:lang w:val="kk-KZ"/>
        </w:rPr>
        <w:fldChar w:fldCharType="begin" w:fldLock="1"/>
      </w:r>
      <w:r w:rsidR="002F5076" w:rsidRPr="00185BC0">
        <w:rPr>
          <w:bCs/>
          <w:sz w:val="28"/>
          <w:szCs w:val="28"/>
          <w:lang w:val="kk-KZ"/>
        </w:rPr>
        <w:instrText>ADDIN CSL_CITATION {"citationItems":[{"id":"ITEM-1","itemData":{"DOI":"10.1016/j.joca.2016.10.023","ISSN":"15229653","abstract":"Developmental dysplasia of the hip (DDH) is a common condition predisposing to osteoarthritis (OA). Especially since DDH is best identified and treated in infancy before bones ossify, there is surprisingly a near-complete absence of literature examining mechanical behavior of infant dysplastic hips. We sought to identify current practice in finite element modeling (FEM) of DDH, to inform future modeling of infant dysplastic hips. We performed multi-database systematic review using PRISMA criteria. Abstracts (n = 126) fulfilling inclusion criteria were screened for methodological quality, and results were analyzed and summarized for eligible articles (n = 12). The majority of the studies modeled human adult dysplastic hips. Two studies focused on etiology of DDH through simulating mechanobiological growth of prenatal hips; we found no FEM-based studies in infants or children. Finite element models used either patient-specific geometry or idealized average geometry. Diversities in choice of material properties, boundary conditions, and loading scenarios were found in the finite-element models. FEM of adult dysplastic hips demonstrated generally smaller cartilage contact area in dysplastic hips than in normal joints. Contact pressure (CP) may be higher or lower in dysplastic hips depending on joint geometry and mechanical contribution of labrum (Lb). FEM of mechanobiological growth of prenatal hip joints revealed evidence for effects of the joint mechanical environment on formation of coxa valga, asymmetrically shallow acetabulum and malformed femoral head associated with DDH. Future modeling informed by the results of this review may yield valuable insights into optimal treatment of DDH, and into how and why OA develops early in DDH.","author":[{"dropping-particle":"","family":"Vafaeian","given":"B.","non-dropping-particle":"","parse-names":false,"suffix":""},{"dropping-particle":"","family":"Zonoobi","given":"D.","non-dropping-particle":"","parse-names":false,"suffix":""},{"dropping-particle":"","family":"Mabee","given":"M.","non-dropping-particle":"","parse-names":false,"suffix":""},{"dropping-particle":"","family":"Hareendranathan","given":"A. R.","non-dropping-particle":"","parse-names":false,"suffix":""},{"dropping-particle":"","family":"El-Rich","given":"M.","non-dropping-particle":"","parse-names":false,"suffix":""},{"dropping-particle":"","family":"Adeeb","given":"S.","non-dropping-particle":"","parse-names":false,"suffix":""},{"dropping-particle":"","family":"Jaremko","given":"J. L.","non-dropping-particle":"","parse-names":false,"suffix":""}],"container-title":"Osteoarthritis and Cartilage","id":"ITEM-1","issue":"4","issued":{"date-parts":[["2017"]]},"title":"Finite element analysis of mechanical behavior of human dysplastic hip joints: a systematic review","type":"article","volume":"25"},"uris":["http://www.mendeley.com/documents/?uuid=5b8e7d64-4bd5-3e96-b21d-c5741faf8b8b"]}],"mendeley":{"formattedCitation":"[38]","plainTextFormattedCitation":"[38]","previouslyFormattedCitation":"[38]"},"properties":{"noteIndex":0},"schema":"https://github.com/citation-style-language/schema/raw/master/csl-citation.json"}</w:instrText>
      </w:r>
      <w:r w:rsidR="00872FD3" w:rsidRPr="00185BC0">
        <w:rPr>
          <w:bCs/>
          <w:sz w:val="28"/>
          <w:szCs w:val="28"/>
          <w:lang w:val="kk-KZ"/>
        </w:rPr>
        <w:fldChar w:fldCharType="separate"/>
      </w:r>
      <w:r w:rsidR="00371B3B" w:rsidRPr="00185BC0">
        <w:rPr>
          <w:bCs/>
          <w:noProof/>
          <w:sz w:val="28"/>
          <w:szCs w:val="28"/>
          <w:lang w:val="kk-KZ"/>
        </w:rPr>
        <w:t>[38]</w:t>
      </w:r>
      <w:r w:rsidR="00872FD3" w:rsidRPr="00185BC0">
        <w:rPr>
          <w:bCs/>
          <w:sz w:val="28"/>
          <w:szCs w:val="28"/>
          <w:lang w:val="kk-KZ"/>
        </w:rPr>
        <w:fldChar w:fldCharType="end"/>
      </w:r>
      <w:r w:rsidR="00BB1D05" w:rsidRPr="00185BC0">
        <w:rPr>
          <w:bCs/>
          <w:sz w:val="28"/>
          <w:szCs w:val="28"/>
          <w:lang w:val="kk-KZ"/>
        </w:rPr>
        <w:t xml:space="preserve">. Эндопротезирование </w:t>
      </w:r>
      <w:r w:rsidR="0032447E" w:rsidRPr="00185BC0">
        <w:rPr>
          <w:bCs/>
          <w:sz w:val="28"/>
          <w:szCs w:val="28"/>
          <w:lang w:val="kk-KZ"/>
        </w:rPr>
        <w:t>при диспластическом коксартрозе рассматривается как общепринятый метод хирургического лечения, относящийся к категории сложных высокотехнологичных вмешательств.</w:t>
      </w:r>
      <w:r w:rsidR="00BB1D05" w:rsidRPr="00185BC0">
        <w:rPr>
          <w:bCs/>
          <w:sz w:val="28"/>
          <w:szCs w:val="28"/>
          <w:lang w:val="kk-KZ"/>
        </w:rPr>
        <w:t xml:space="preserve"> </w:t>
      </w:r>
      <w:r w:rsidR="0032447E" w:rsidRPr="00185BC0">
        <w:rPr>
          <w:bCs/>
          <w:sz w:val="28"/>
          <w:szCs w:val="28"/>
          <w:lang w:val="kk-KZ"/>
        </w:rPr>
        <w:t xml:space="preserve">Достижение правильного позиционирования тазобедренного сустава с восстановлением его биомеханических соотношений при диспластическом коксартрозе относится к числу ключевых задач хирургического лечения, при этом имплантация вертлужного компонента в истинную вертлужную впадину представляет значительные технические сложности, обусловленные длительной ретракцией мягких тканей при высоком вывихе бедра и риском перерастяжения околосуставных структур, что может приводить к ограничению подвижности и ранней нестабильности имплантата </w:t>
      </w:r>
      <w:r w:rsidR="00872FD3" w:rsidRPr="00185BC0">
        <w:rPr>
          <w:bCs/>
          <w:sz w:val="28"/>
          <w:szCs w:val="28"/>
          <w:lang w:val="kk-KZ"/>
        </w:rPr>
        <w:fldChar w:fldCharType="begin" w:fldLock="1"/>
      </w:r>
      <w:r w:rsidR="002F5076" w:rsidRPr="00185BC0">
        <w:rPr>
          <w:bCs/>
          <w:sz w:val="28"/>
          <w:szCs w:val="28"/>
          <w:lang w:val="kk-KZ"/>
        </w:rPr>
        <w:instrText>ADDIN CSL_CITATION {"citationItems":[{"id":"ITEM-1","itemData":{"DOI":"10.1016/j.arth.2015.01.045","ISSN":"15328406","abstract":"The purpose of this study was to review the outcomes of transverse subtrochanteric shortening osteotomy during cementless total hip arthroplasty in Crowe Type-III or IV developmental dysplasia. Seventy-three osteotomies were included in our study. Mean follow-up was 61. months. Harris hip score, leg length discrepancy, neurological status, union status of the osteotomy, and femoral component stability were the criteria for evaluation. All complications were noted. The mean Harris hip score improved from 38.6 points to 83.7 points. The mean leg length discrepancy decreased from 56.5. mm to 10.7 at the latest follow-up. The mean union time was 5.2. months. We observed 4 non-unions. Transverse subtrochanteric shortening osteotomy is an effective and reliable method in restoration of a more normal limb.","author":[{"dropping-particle":"","family":"Sofu","given":"Hakan","non-dropping-particle":"","parse-names":false,"suffix":""},{"dropping-particle":"","family":"Kockara","given":"Nizamettin","non-dropping-particle":"","parse-names":false,"suffix":""},{"dropping-particle":"","family":"Gursu","given":"Sarper","non-dropping-particle":"","parse-names":false,"suffix":""},{"dropping-particle":"","family":"Issin","given":"Ahmet","non-dropping-particle":"","parse-names":false,"suffix":""},{"dropping-particle":"","family":"Oner","given":"Ali","non-dropping-particle":"","parse-names":false,"suffix":""},{"dropping-particle":"","family":"Sahin","given":"Vedat","non-dropping-particle":"","parse-names":false,"suffix":""}],"container-title":"Journal of Arthroplasty","id":"ITEM-1","issue":"6","issued":{"date-parts":[["2015"]]},"title":"Transverse Subtrochanteric Shortening Osteotomy During Cementless Total Hip Arthroplasty in Crowe Type-III or IV Developmental Dysplasia","type":"article-journal","volume":"30"},"uris":["http://www.mendeley.com/documents/?uuid=7e2cf486-7204-3087-ae48-f04d22e9b017"]},{"id":"ITEM-2","itemData":{"DOI":"10.1016/j.arth.2014.11.002","ISSN":"15328406","abstract":"Conventional stems may be unsuitable for hypoplastic femurs associated with severe dysplasia, meanwhile, custom-made or modular stems in total hip arthroplasty are often complex and expensive. This series included 21 Crowe type IV dysplastic hips in which a non-modular cementless conical stem was implanted with transverse subtrochanteric femoral osteotomy. Follow up averaged 40. months. Twenty hips survived with mean Harris hip score improved from 52 to 90. One hip failed for stem loosening. The average leg lengthening was 3.8. cm with transient sciatic nerve palsy occurring in three hips. Femoral offset averaged 3.3. cm postoperatively. The non-modular conical stem not only obviated the complexities, high medical cost and potential risk at the neck-stem interface associated with stem modularity, but also simplified surgical technique.","author":[{"dropping-particle":"","family":"Zhu","given":"Junfeng","non-dropping-particle":"","parse-names":false,"suffix":""},{"dropping-particle":"","family":"Shen","given":"Chao","non-dropping-particle":"","parse-names":false,"suffix":""},{"dropping-particle":"","family":"Chen","given":"Xiaodong","non-dropping-particle":"","parse-names":false,"suffix":""},{"dropping-particle":"","family":"Cui","given":"Yiming","non-dropping-particle":"","parse-names":false,"suffix":""},{"dropping-particle":"","family":"Peng","given":"Jianping","non-dropping-particle":"","parse-names":false,"suffix":""},{"dropping-particle":"","family":"Cai","given":"Guiquan","non-dropping-particle":"","parse-names":false,"suffix":""}],"container-title":"Journal of Arthroplasty","id":"ITEM-2","issue":"4","issued":{"date-parts":[["2015"]]},"title":"Total hip arthroplasty with a non-modular conical stem and transverse subtrochanteric osteotomy in treatment of high dislocated hips","type":"article-journal","volume":"30"},"uris":["http://www.mendeley.com/documents/?uuid=1b2b7b70-9563-3562-97f8-4db05b1c7ba7"]}],"mendeley":{"formattedCitation":"[52, 53]","plainTextFormattedCitation":"[52, 53]","previouslyFormattedCitation":"[52, 53]"},"properties":{"noteIndex":0},"schema":"https://github.com/citation-style-language/schema/raw/master/csl-citation.json"}</w:instrText>
      </w:r>
      <w:r w:rsidR="00872FD3" w:rsidRPr="00185BC0">
        <w:rPr>
          <w:bCs/>
          <w:sz w:val="28"/>
          <w:szCs w:val="28"/>
          <w:lang w:val="kk-KZ"/>
        </w:rPr>
        <w:fldChar w:fldCharType="separate"/>
      </w:r>
      <w:r w:rsidR="00371B3B" w:rsidRPr="00185BC0">
        <w:rPr>
          <w:bCs/>
          <w:noProof/>
          <w:sz w:val="28"/>
          <w:szCs w:val="28"/>
          <w:lang w:val="kk-KZ"/>
        </w:rPr>
        <w:t>[52, 53]</w:t>
      </w:r>
      <w:r w:rsidR="00872FD3" w:rsidRPr="00185BC0">
        <w:rPr>
          <w:bCs/>
          <w:sz w:val="28"/>
          <w:szCs w:val="28"/>
          <w:lang w:val="kk-KZ"/>
        </w:rPr>
        <w:fldChar w:fldCharType="end"/>
      </w:r>
      <w:r w:rsidR="00BB1D05" w:rsidRPr="00185BC0">
        <w:rPr>
          <w:bCs/>
          <w:sz w:val="28"/>
          <w:szCs w:val="28"/>
          <w:lang w:val="kk-KZ"/>
        </w:rPr>
        <w:t>. При ДК IV типа по Crowe  дополнительно к ТЭТС часто требуется выполнить укорачивающую остеотомию бедренной кости и максимальный релиз мягких тканей</w:t>
      </w:r>
      <w:r w:rsidR="00D60B37" w:rsidRPr="00185BC0">
        <w:rPr>
          <w:bCs/>
          <w:sz w:val="28"/>
          <w:szCs w:val="28"/>
          <w:lang w:val="kk-KZ"/>
        </w:rPr>
        <w:t>,</w:t>
      </w:r>
      <w:r w:rsidR="00BB1D05" w:rsidRPr="00185BC0">
        <w:rPr>
          <w:bCs/>
          <w:sz w:val="28"/>
          <w:szCs w:val="28"/>
          <w:lang w:val="kk-KZ"/>
        </w:rPr>
        <w:t xml:space="preserve"> так как они длительное время находятся в состоянии контрактуры. Из-за высокого вывиха головки бедренной кости возникают трудности с  техническим низведением бедра до уровня истинной вертлужной впадины</w:t>
      </w:r>
      <w:r w:rsidR="007E60CC" w:rsidRPr="00185BC0">
        <w:rPr>
          <w:bCs/>
          <w:sz w:val="28"/>
          <w:szCs w:val="28"/>
          <w:lang w:val="kk-KZ"/>
        </w:rPr>
        <w:t xml:space="preserve"> </w:t>
      </w:r>
      <w:r w:rsidR="00872FD3" w:rsidRPr="00185BC0">
        <w:rPr>
          <w:bCs/>
          <w:sz w:val="28"/>
          <w:szCs w:val="28"/>
          <w:lang w:val="kk-KZ"/>
        </w:rPr>
        <w:fldChar w:fldCharType="begin" w:fldLock="1"/>
      </w:r>
      <w:r w:rsidR="002F5076" w:rsidRPr="00185BC0">
        <w:rPr>
          <w:bCs/>
          <w:sz w:val="28"/>
          <w:szCs w:val="28"/>
          <w:lang w:val="kk-KZ"/>
        </w:rPr>
        <w:instrText>ADDIN CSL_CITATION {"citationItems":[{"id":"ITEM-1","itemData":{"DOI":"10.1016/j.artd.2019.03.002","ISSN":"23523441","abstract":"Background: The complexity of femoral and acetabular anatomy and restoring anatomic center of hip rotation in Crowe type IV developmental dysplasia of the hip (DDH) complicates standard reconstruction. The aim of this study is to evaluate surgical techniques and clinical outcomes of subtrochanteric transverse shortening osteotomy with the use of cementless rectangular cross-section femoral implants in Crowe IV dysplastic hips. Methods: A total of 26 hips of 25 consecutive patients with Crowe type IV DDH who underwent cementless total hip arthroplasty with subtrochanteric femoral transverse shortening osteotomy were retrospectively analyzed. The Harris Hip Score, Visual Analog Scale-pain, leg length discrepancy, and vertical and lateral migration of hip rotation center were recorded. Results: Mean age, follow-up, and time of union were 41 ± 9.7 years, 7.1 ± 1.2 years, and 3.7 ± 1.1 months, respectively. Mean Harris Hip Score significantly improved from 38 ± 5.7 to 86 ± 6.1 points postoperatively (P &lt; .01). Mean leg length discrepancy and Visual Analog Scale significantly decreased from 4.3 ± 1.3 to 1.2 ± 0.6 cm, and 6.4 ± 1.2 to 1.8 ± 0.8 points, respectively (P &lt; .01). One female patient had a dislocation due to acetabular liner wear, which was managed by liner and head change. One patient had Sudeck's atrophy, while another had pain on the lateral thigh, both of which were resolved with conservative management. Conclusions: Combined transverse subtrochanteric femoral osteotomy and cementless total hip arthroplasty with rectangular cross-section femoral implants is technically demanding, effective, and safe in femoral shortening for treatment of Crowe type IV DDH.","author":[{"dropping-particle":"","family":"Erdem","given":"Yusuf","non-dropping-particle":"","parse-names":false,"suffix":""},{"dropping-particle":"","family":"Bek","given":"Dogan","non-dropping-particle":"","parse-names":false,"suffix":""},{"dropping-particle":"","family":"Atbasi","given":"Zafer","non-dropping-particle":"","parse-names":false,"suffix":""},{"dropping-particle":"","family":"Neyisci","given":"Cagri","non-dropping-particle":"","parse-names":false,"suffix":""},{"dropping-particle":"","family":"Yildiz","given":"Cemil","non-dropping-particle":"","parse-names":false,"suffix":""},{"dropping-particle":"","family":"Basbozkurt","given":"Mustafa","non-dropping-particle":"","parse-names":false,"suffix":""}],"container-title":"Arthroplasty Today","id":"ITEM-1","issue":"2","issued":{"date-parts":[["2019"]]},"title":"Total hip arthroplasty with rectangular stems and subtrochanteric transverse shortening osteotomy in Crowe type IV hips: a retrospective study","type":"article-journal","volume":"5"},"uris":["http://www.mendeley.com/documents/?uuid=9d7f57da-1a6e-37be-97b4-4f03bffdd84c"]},{"id":"ITEM-2","itemData":{"DOI":"10.1166/jmihi.2018.2301","ISSN":"2156-7018","author":[{"dropping-particle":"","family":"Yu","given":"Xiao","non-dropping-particle":"","parse-names":false,"suffix":""},{"dropping-particle":"","family":"Zhang","given":"Di-Feng","non-dropping-particle":"","parse-names":false,"suffix":""},{"dropping-particle":"","family":"Chen","given":"Xian-Jun","non-dropping-particle":"","parse-names":false,"suffix":""},{"dropping-particle":"","family":"Liu","given":"Bing-Gen","non-dropping-particle":"","parse-names":false,"suffix":""},{"dropping-particle":"","family":"Yang","given":"Ji","non-dropping-particle":"","parse-names":false,"suffix":""},{"dropping-particle":"","family":"Pang","given":"Qing-Jiang","non-dropping-particle":"","parse-names":false,"suffix":""}],"container-title":"Journal of Medical Imaging and Health Informatics","id":"ITEM-2","issue":"2","issued":{"date-parts":[["2018"]]},"title":"Functional Outcome of Crowe IV Congenital Dysplasia of the Hip Managed by Total Hip Arthroplasty with Subtrochanteric Osteotomy","type":"article-journal","volume":"8"},"uris":["http://www.mendeley.com/documents/?uuid=dd85655f-fa26-3a66-81eb-ccc8b79dc9b6"]}],"mendeley":{"formattedCitation":"[6, 8]","plainTextFormattedCitation":"[6, 8]","previouslyFormattedCitation":"[6, 8]"},"properties":{"noteIndex":0},"schema":"https://github.com/citation-style-language/schema/raw/master/csl-citation.json"}</w:instrText>
      </w:r>
      <w:r w:rsidR="00872FD3" w:rsidRPr="00185BC0">
        <w:rPr>
          <w:bCs/>
          <w:sz w:val="28"/>
          <w:szCs w:val="28"/>
          <w:lang w:val="kk-KZ"/>
        </w:rPr>
        <w:fldChar w:fldCharType="separate"/>
      </w:r>
      <w:r w:rsidR="00371B3B" w:rsidRPr="00185BC0">
        <w:rPr>
          <w:bCs/>
          <w:noProof/>
          <w:sz w:val="28"/>
          <w:szCs w:val="28"/>
          <w:lang w:val="kk-KZ"/>
        </w:rPr>
        <w:t>[6, 8]</w:t>
      </w:r>
      <w:r w:rsidR="00872FD3" w:rsidRPr="00185BC0">
        <w:rPr>
          <w:bCs/>
          <w:sz w:val="28"/>
          <w:szCs w:val="28"/>
          <w:lang w:val="kk-KZ"/>
        </w:rPr>
        <w:fldChar w:fldCharType="end"/>
      </w:r>
      <w:r w:rsidR="00BB1D05" w:rsidRPr="00185BC0">
        <w:rPr>
          <w:bCs/>
          <w:sz w:val="28"/>
          <w:szCs w:val="28"/>
          <w:lang w:val="kk-KZ"/>
        </w:rPr>
        <w:t xml:space="preserve">.  </w:t>
      </w:r>
      <w:r w:rsidR="0032447E" w:rsidRPr="00185BC0">
        <w:rPr>
          <w:bCs/>
          <w:sz w:val="28"/>
          <w:szCs w:val="28"/>
          <w:lang w:val="kk-KZ"/>
        </w:rPr>
        <w:t xml:space="preserve">При выполнении </w:t>
      </w:r>
      <w:r w:rsidR="00D60B37" w:rsidRPr="00185BC0">
        <w:rPr>
          <w:bCs/>
          <w:sz w:val="28"/>
          <w:szCs w:val="28"/>
          <w:lang w:val="kk-KZ"/>
        </w:rPr>
        <w:t xml:space="preserve">ТЭТС </w:t>
      </w:r>
      <w:r w:rsidR="0032447E" w:rsidRPr="00185BC0">
        <w:rPr>
          <w:bCs/>
          <w:sz w:val="28"/>
          <w:szCs w:val="28"/>
          <w:lang w:val="kk-KZ"/>
        </w:rPr>
        <w:t xml:space="preserve">у пациентов с тяжёлыми формами </w:t>
      </w:r>
      <w:r w:rsidR="00D60B37" w:rsidRPr="00185BC0">
        <w:rPr>
          <w:bCs/>
          <w:sz w:val="28"/>
          <w:szCs w:val="28"/>
          <w:lang w:val="kk-KZ"/>
        </w:rPr>
        <w:t>ДК</w:t>
      </w:r>
      <w:r w:rsidR="0032447E" w:rsidRPr="00185BC0">
        <w:rPr>
          <w:bCs/>
          <w:sz w:val="28"/>
          <w:szCs w:val="28"/>
          <w:lang w:val="kk-KZ"/>
        </w:rPr>
        <w:t xml:space="preserve"> необходимо учитывать риск развития послеоперационных осложнений, включая тракционную нейропатию седалищного нерва, избыточное увеличение длины нижней конечности, ошибки позиционирования компонентов эндопротеза, послеоперационную нестабильность и нарушение консолидации в зоне остеотомии</w:t>
      </w:r>
      <w:r w:rsidR="007E60CC" w:rsidRPr="00185BC0">
        <w:rPr>
          <w:bCs/>
          <w:sz w:val="28"/>
          <w:szCs w:val="28"/>
          <w:lang w:val="kk-KZ"/>
        </w:rPr>
        <w:t xml:space="preserve"> </w:t>
      </w:r>
      <w:r w:rsidR="00872FD3" w:rsidRPr="00185BC0">
        <w:rPr>
          <w:bCs/>
          <w:sz w:val="28"/>
          <w:szCs w:val="28"/>
          <w:lang w:val="kk-KZ"/>
        </w:rPr>
        <w:fldChar w:fldCharType="begin" w:fldLock="1"/>
      </w:r>
      <w:r w:rsidR="001D29A3" w:rsidRPr="00185BC0">
        <w:rPr>
          <w:bCs/>
          <w:sz w:val="28"/>
          <w:szCs w:val="28"/>
          <w:lang w:val="kk-KZ"/>
        </w:rPr>
        <w:instrText>ADDIN CSL_CITATION {"citationItems":[{"id":"ITEM-1","itemData":{"DOI":"10.1016/j.arth.2016.08.021","ISSN":"15328406","abstract":"Background This study compares the outcome between THA with and without femoral shortening osteotomy for unilateral mild to moderate high hip dislocation in developmental dysplasia of the hip patients. Methods The data on 42 hips in 42 patients who had undergone THA for unilateral mild to moderate high hip dislocation were retrospectively reviewed after being prospectively collected. In 22 patients, hips were reduced by soft tissue release and direct leverage using an elevator, without the osteotomy. The remaining 20 patients were treated with a subtrochanteric transverse shortening osteotomy. The mean follow-up of patients was 5 years (standard deviation = 1.0) for the nonosteotomy group and 6.2 years (standard deviation = 1.6) for the osteotomy group. Results The Harris Hip Score significantly improved in both groups. In the nonosteotomy group, we observed a lower leg length discrepancy compared with the osteotomy group (0.4 cm and 2.2 cm, respectively). Four patients (18.2%) in the nonosteotomy group and 15 patients (75%) in the osteotomy group developed a limp (P &lt; .0001). Three patients (13%) developed femoral nerve palsy in the nonosteotomy group, but they all recovered completely within 6 months after the surgery. Nineteen patients in the nonosteotomy group showed knee valgus deformity immediately after the surgery but only 4 cases in the osteotomy group. Conclusion Compared with THA with femoral shortening osteotomy, THA without the osteotomy was associated with a lower number of patients who developed a limp at the end of follow-up; however, the rehabilitation was slower and more difficult, and a larger number of patients showed reversible nerve palsy and knee valgus deformity.","author":[{"dropping-particle":"","family":"Li","given":"Huiwu","non-dropping-particle":"","parse-names":false,"suffix":""},{"dropping-particle":"","family":"Xu","given":"Jiawei","non-dropping-particle":"","parse-names":false,"suffix":""},{"dropping-particle":"","family":"Qu","given":"Xinhua","non-dropping-particle":"","parse-names":false,"suffix":""},{"dropping-particle":"","family":"Mao","given":"Yuanqing","non-dropping-particle":"","parse-names":false,"suffix":""},{"dropping-particle":"","family":"Dai","given":"Kerong","non-dropping-particle":"","parse-names":false,"suffix":""},{"dropping-particle":"","family":"Zhu","given":"Zhenan","non-dropping-particle":"","parse-names":false,"suffix":""}],"container-title":"Journal of Arthroplasty","id":"ITEM-1","issue":"3","issued":{"date-parts":[["2017"]]},"title":"Comparison of Total Hip Arthroplasty With and Without Femoral Shortening Osteotomy for Unilateral Mild to Moderate High Hip Dislocation","type":"article-journal","volume":"32"},"uris":["http://www.mendeley.com/documents/?uuid=d921c6fb-4a85-3791-98a0-5ec075032086"]},{"id":"ITEM-2","itemData":{"author":[{"dropping-particle":"","family":"Бекназаров","given":"А","non-dropping-particle":"","parse-names":false,"suffix":""},{"dropping-particle":"","family":"Ашимов","given":"К","non-dropping-particle":"","parse-names":false,"suffix":""},{"dropping-particle":"","family":"Guclu","given":"Berk","non-dropping-particle":"","parse-names":false,"suffix":""},{"dropping-particle":"","family":"Октяброва","given":"Д","non-dropping-particle":"","parse-names":false,"suffix":""},{"dropping-particle":"","family":"Байдалин","given":"Т","non-dropping-particle":"","parse-names":false,"suffix":""},{"dropping-particle":"","family":"Сулейменов","given":"Б","non-dropping-particle":"","parse-names":false,"suffix":""},{"dropping-particle":"","family":"Агабеков","given":"Е","non-dropping-particle":"","parse-names":false,"suffix":""}],"id":"ITEM-2","issue":"122","issued":{"date-parts":[["2024"]]},"page":"51-56","title":"Несращение места остеотомии при поперечной укорачивающей остеотомии бедренной кости в сочетании ТЭТС . Клинический случай Введение","type":"article-journal","volume":"3"},"uris":["http://www.mendeley.com/documents/?uuid=8dec913a-723e-4ea3-8649-1b8c137e0b29"]}],"mendeley":{"formattedCitation":"[54, 55]","plainTextFormattedCitation":"[54, 55]","previouslyFormattedCitation":"[54, 55]"},"properties":{"noteIndex":0},"schema":"https://github.com/citation-style-language/schema/raw/master/csl-citation.json"}</w:instrText>
      </w:r>
      <w:r w:rsidR="00872FD3" w:rsidRPr="00185BC0">
        <w:rPr>
          <w:bCs/>
          <w:sz w:val="28"/>
          <w:szCs w:val="28"/>
          <w:lang w:val="kk-KZ"/>
        </w:rPr>
        <w:fldChar w:fldCharType="separate"/>
      </w:r>
      <w:r w:rsidR="008A5983" w:rsidRPr="00185BC0">
        <w:rPr>
          <w:bCs/>
          <w:noProof/>
          <w:sz w:val="28"/>
          <w:szCs w:val="28"/>
          <w:lang w:val="kk-KZ"/>
        </w:rPr>
        <w:t>[54, 55]</w:t>
      </w:r>
      <w:r w:rsidR="00872FD3" w:rsidRPr="00185BC0">
        <w:rPr>
          <w:bCs/>
          <w:sz w:val="28"/>
          <w:szCs w:val="28"/>
          <w:lang w:val="kk-KZ"/>
        </w:rPr>
        <w:fldChar w:fldCharType="end"/>
      </w:r>
      <w:r w:rsidR="00BB1D05" w:rsidRPr="00185BC0">
        <w:rPr>
          <w:bCs/>
          <w:sz w:val="28"/>
          <w:szCs w:val="28"/>
          <w:lang w:val="kk-KZ"/>
        </w:rPr>
        <w:t>.</w:t>
      </w:r>
    </w:p>
    <w:p w14:paraId="723C3EDD" w14:textId="4921D905" w:rsidR="00BB1D05" w:rsidRPr="00185BC0" w:rsidRDefault="00BB1D05" w:rsidP="00BB1D05">
      <w:pPr>
        <w:ind w:firstLine="567"/>
        <w:contextualSpacing/>
        <w:jc w:val="both"/>
        <w:rPr>
          <w:sz w:val="28"/>
          <w:szCs w:val="28"/>
          <w:lang w:val="kk-KZ"/>
        </w:rPr>
      </w:pPr>
      <w:r w:rsidRPr="00185BC0">
        <w:rPr>
          <w:sz w:val="28"/>
          <w:szCs w:val="28"/>
          <w:lang w:val="kk-KZ"/>
        </w:rPr>
        <w:t xml:space="preserve">Немаловажное значение при ТЭТС у пациентов с </w:t>
      </w:r>
      <w:r w:rsidRPr="00185BC0">
        <w:rPr>
          <w:sz w:val="28"/>
          <w:szCs w:val="28"/>
          <w:lang w:val="en-US"/>
        </w:rPr>
        <w:t>IV</w:t>
      </w:r>
      <w:r w:rsidRPr="00185BC0">
        <w:rPr>
          <w:sz w:val="28"/>
          <w:szCs w:val="28"/>
        </w:rPr>
        <w:t xml:space="preserve"> типа</w:t>
      </w:r>
      <w:r w:rsidRPr="00185BC0">
        <w:rPr>
          <w:sz w:val="28"/>
          <w:szCs w:val="28"/>
          <w:lang w:val="kk-KZ"/>
        </w:rPr>
        <w:t xml:space="preserve"> дисплазии имм</w:t>
      </w:r>
      <w:r w:rsidR="00D60B37" w:rsidRPr="00185BC0">
        <w:rPr>
          <w:sz w:val="28"/>
          <w:szCs w:val="28"/>
          <w:lang w:val="kk-KZ"/>
        </w:rPr>
        <w:t>е</w:t>
      </w:r>
      <w:r w:rsidRPr="00185BC0">
        <w:rPr>
          <w:sz w:val="28"/>
          <w:szCs w:val="28"/>
          <w:lang w:val="kk-KZ"/>
        </w:rPr>
        <w:t>ет выбор вид</w:t>
      </w:r>
      <w:r w:rsidR="00D60B37" w:rsidRPr="00185BC0">
        <w:rPr>
          <w:sz w:val="28"/>
          <w:szCs w:val="28"/>
          <w:lang w:val="kk-KZ"/>
        </w:rPr>
        <w:t>а</w:t>
      </w:r>
      <w:r w:rsidRPr="00185BC0">
        <w:rPr>
          <w:sz w:val="28"/>
          <w:szCs w:val="28"/>
          <w:lang w:val="kk-KZ"/>
        </w:rPr>
        <w:t xml:space="preserve"> остеотомии.</w:t>
      </w:r>
    </w:p>
    <w:p w14:paraId="4152D68D" w14:textId="1A4F189E" w:rsidR="00BB1D05" w:rsidRPr="00185BC0" w:rsidRDefault="0032447E" w:rsidP="00BB1D05">
      <w:pPr>
        <w:ind w:firstLine="709"/>
        <w:jc w:val="both"/>
        <w:rPr>
          <w:sz w:val="28"/>
          <w:szCs w:val="28"/>
        </w:rPr>
      </w:pPr>
      <w:r w:rsidRPr="00185BC0">
        <w:rPr>
          <w:sz w:val="28"/>
          <w:szCs w:val="28"/>
        </w:rPr>
        <w:t xml:space="preserve">Ключевым этапом хирургического лечения диспластического коксартроза IV типа по классификации </w:t>
      </w:r>
      <w:proofErr w:type="spellStart"/>
      <w:r w:rsidRPr="00185BC0">
        <w:rPr>
          <w:sz w:val="28"/>
          <w:szCs w:val="28"/>
        </w:rPr>
        <w:t>Crowe</w:t>
      </w:r>
      <w:proofErr w:type="spellEnd"/>
      <w:r w:rsidRPr="00185BC0">
        <w:rPr>
          <w:sz w:val="28"/>
          <w:szCs w:val="28"/>
        </w:rPr>
        <w:t xml:space="preserve"> является низведение головки бедренной кости до уровня истинной вертлужной впадины, что достигается выполнением тотального эндопротезирования в сочетании с </w:t>
      </w:r>
      <w:proofErr w:type="spellStart"/>
      <w:r w:rsidRPr="00185BC0">
        <w:rPr>
          <w:sz w:val="28"/>
          <w:szCs w:val="28"/>
        </w:rPr>
        <w:t>подвертельной</w:t>
      </w:r>
      <w:proofErr w:type="spellEnd"/>
      <w:r w:rsidRPr="00185BC0">
        <w:rPr>
          <w:sz w:val="28"/>
          <w:szCs w:val="28"/>
        </w:rPr>
        <w:t xml:space="preserve"> укорачивающей остеотомией и направлено на профилактику повреждения седалищного нерва при удлинении нижней конечности более чем на 4 см</w:t>
      </w:r>
      <w:r w:rsidRPr="00185BC0">
        <w:rPr>
          <w:sz w:val="28"/>
          <w:szCs w:val="28"/>
          <w:lang w:val="kk-KZ"/>
        </w:rPr>
        <w:t xml:space="preserve"> </w:t>
      </w:r>
      <w:r w:rsidR="00B638A8" w:rsidRPr="00185BC0">
        <w:rPr>
          <w:sz w:val="28"/>
          <w:szCs w:val="28"/>
          <w:lang w:val="kk-KZ"/>
        </w:rPr>
        <w:fldChar w:fldCharType="begin" w:fldLock="1"/>
      </w:r>
      <w:r w:rsidR="001D29A3" w:rsidRPr="00185BC0">
        <w:rPr>
          <w:sz w:val="28"/>
          <w:szCs w:val="28"/>
          <w:lang w:val="kk-KZ"/>
        </w:rPr>
        <w:instrText>ADDIN CSL_CITATION {"citationItems":[{"id":"ITEM-1","itemData":{"DOI":"10.1016/j.recot.2023.05.012","ISSN":"18884415","abstract":"Developmental dysplasia of the hip is the cause of approximately one third of secondary coxarthrosis. Anatomy alterations make it difficult to place a total hip prosthesis in its anatomical position and for it to be stable in the long term; there are several techniques to achieve this goal. In the present work, we used autograft of the femoral head (shelf graft or reinforced roof), to improve the coverage of the acetabular component with favorable results. Materials ad methods: Sixteen cases were included in 14 patients with a diagnosis of developmental dysplasia of the hip (13 women and one man), the mean age was 44.3 years (range 35–68 years), with a mean follow-up of 7 years (range 1–15 years). All the cases were evaluated clinically and radiographically, to demonstrate the osseointegration of the graft and the functional results in the medium term. Results: All the acetabular components were placed in anatomical position (Ranawat technique), the mean percentage of host bone coverage was 54.53% (range 43.28–79.05%), obtaining additional coverage with the bone graft of 45.13%. Osseointegration of the graft of 100% at 12 weeks, resorption of the graft from the sixth month, stabilizing in the third postoperative year. Only one case of dislocation is reported, no cases of infection, loosening, heterotopic ossification or revision. Conclusion: This procedure has shown good functional results in the medium term with 100% osseointegration, despite cases of severe bone resorption of the graft that does not compromise the stability of the prosthesis.","author":[{"dropping-particle":"","family":"Barros-Prieto","given":"E.","non-dropping-particle":"","parse-names":false,"suffix":""},{"dropping-particle":"","family":"Noboa-Freile","given":"E.","non-dropping-particle":"","parse-names":false,"suffix":""},{"dropping-particle":"","family":"Peñaherrera-Carrillo","given":"C.","non-dropping-particle":"","parse-names":false,"suffix":""},{"dropping-particle":"","family":"Endara-Urresta","given":"F.","non-dropping-particle":"","parse-names":false,"suffix":""},{"dropping-particle":"","family":"Barros-Castro","given":"A.","non-dropping-particle":"","parse-names":false,"suffix":""},{"dropping-particle":"","family":"Vizuete-Cevallos","given":"N.","non-dropping-particle":"","parse-names":false,"suffix":""},{"dropping-particle":"","family":"Romero-Barros","given":"A.","non-dropping-particle":"","parse-names":false,"suffix":""}],"container-title":"Revista Espanola de Cirugia Ortopedica y Traumatologia","id":"ITEM-1","issued":{"date-parts":[["2023"]]},"title":"Total hip arthroplasty with shelf acetabuloplasty in dysplastic coxarthrosis, mean follow-up of 7 years","type":"article-journal"},"uris":["http://www.mendeley.com/documents/?uuid=e5b92689-a83a-369d-8ee4-92dd361ccb87"]},{"id":"ITEM-2","itemData":{"DOI":"10.1016/j.arth.2012.06.014","ISSN":"08835403","abstract":"Midterm results of cementless total hip arthroplasty in patients with Crowe type IV congenital dislocation of the hip were evaluated. A modified oblique subtrochanteric shortening osteotomy was used in all patients. A cylindrical femoral stem was used in all patients to stabilize the osteotomy. Mean follow-up was 82 months in 20 hips of 16 patients. Mean Merle D'Aubigné pain score increased from 2.52 to 5.65 points, function score improved from 4.0 to 5.3 points, and mobility score improved from 3.95 to 5.35. Mean greater trochanter height relative to the estimated hip center was 6.8 ± 2.0 cm preoperatively and. 1 ± 0.2 cm postoperatively. Complications were dislocations in 3 patients, which were successfully managed without redislocation and fracture of greater trochanter in 3 patients, which healed uneventfully in 2 but with residual Trendelenburg gait in one. Total hip arthroplasty with modified oblique subtrochanteric shortening osteotomy is an effective technique for the treatment for Crowe type IV hip dislocation. © 2013 Elsevier Inc.","author":[{"dropping-particle":"","family":"Kiliçoǧlu","given":"Önder I.","non-dropping-particle":"","parse-names":false,"suffix":""},{"dropping-particle":"","family":"Türker","given":"Mehmet","non-dropping-particle":"","parse-names":false,"suffix":""},{"dropping-particle":"","family":"Akgül","given":"Turgut","non-dropping-particle":"","parse-names":false,"suffix":""},{"dropping-particle":"","family":"Yazicioǧlu","given":"Önder","non-dropping-particle":"","parse-names":false,"suffix":""}],"container-title":"Journal of Arthroplasty","id":"ITEM-2","issue":"1","issued":{"date-parts":[["2013"]]},"title":"Cementless Total Hip Arthroplasty With Modified Oblique Femoral Shortening Osteotomy in Crowe Type IV Congenital Hip Dislocation","type":"article-journal","volume":"28"},"uris":["http://www.mendeley.com/documents/?uuid=9de167a7-efbd-30e0-885e-3b12552cb2e7"]},{"id":"ITEM-3","itemData":{"DOI":"10.1007/s00402-013-1869-4","ISSN":"09368051","abstract":"Background: Total hip arthroplasty (THA) is a challenging surgical procedure that can be used to treat severely dislocated hips. There are few reports regarding cemented THAs involving subtrochanteric shortening osteotomy (SSO), even though cemented THAs provide great advantages because the femur is generally hypoplastic with a narrow, deformed canal. Purposes: We evaluated the utility of cemented THA with SSO for Crowe group IV hips, and assessed the relationship between leg lengthening and nerve injury. Our goal was to describe surgical techniques for optimizing surgical outcomes while minimizing the risk of nerve injury. Methods: We retrospectively reviewed 34 cases of cemented THAs with transverse SSO for Crowe group IV. Prior to surgery, mean hip flexion was 93.1 (40 -130). The mean follow-up period was 5.2 years (3-10 years). Results: Bone union took an average of 7.7 months (3-24 months). Mean leg lengthening was 40.5 mm (15-70 mm) and was greater in patients without hip flexion contracture. None of the patients experienced any nerve injuries associated with leg lengthening, and radiographic evidence of loosening was not observed at the final follow-up. Conclusions: SSO combined with cemented THA is an effective treatment for severely dislocated hips. Leg lengthening is not necessarily associated with nerve injuries, and the likelihood of this surgical complication may be related to the presence of hip flexion contracture. © 2013 The Author(s).","author":[{"dropping-particle":"","family":"Oe","given":"Kenichi","non-dropping-particle":"","parse-names":false,"suffix":""},{"dropping-particle":"","family":"Iida","given":"Hirokazu","non-dropping-particle":"","parse-names":false,"suffix":""},{"dropping-particle":"","family":"Nakamura","given":"Tomohisa","non-dropping-particle":"","parse-names":false,"suffix":""},{"dropping-particle":"","family":"Okamoto","given":"Naofumi","non-dropping-particle":"","parse-names":false,"suffix":""},{"dropping-particle":"","family":"Wada","given":"Takahiko","non-dropping-particle":"","parse-names":false,"suffix":""}],"container-title":"Archives of Orthopaedic and Trauma Surgery","id":"ITEM-3","issue":"12","issued":{"date-parts":[["2013"]]},"title":"Subtrochanteric shortening osteotomy combined with cemented total hip arthroplasty for Crowe group IV hips","type":"article-journal","volume":"133"},"uris":["http://www.mendeley.com/documents/?uuid=cd60b547-08ad-3f5f-a54f-cf857f252de1"]},{"id":"ITEM-4","itemData":{"DOI":"10.1080/17453674.2018.1520679","ISSN":"17453682","author":[{"dropping-particle":"","family":"Puliero","given":"Benjamin","non-dropping-particle":"","parse-names":false,"suffix":""},{"dropping-particle":"","family":"Blakeney","given":"William G.","non-dropping-particle":"","parse-names":false,"suffix":""},{"dropping-particle":"","family":"Beaulieu","given":"Yann","non-dropping-particle":"","parse-names":false,"suffix":""},{"dropping-particle":"","family":"Roy","given":"Alain","non-dropping-particle":"","parse-names":false,"suffix":""},{"dropping-particle":"","family":"Vendittoli","given":"Pascal André","non-dropping-particle":"","parse-names":false,"suffix":""}],"container-title":"Acta Orthopaedica","id":"ITEM-4","issue":"6","issued":{"date-parts":[["2018"]]},"title":"Distal femoral shortening osteotomy for treatment of sciatic nerve palsy after total hip arthroplasty — a report of 3 cases","type":"article-journal","volume":"89"},"uris":["http://www.mendeley.com/documents/?uuid=f1e2e388-4c33-3572-990b-67940dbfc6bd"]}],"mendeley":{"formattedCitation":"[56–59]","plainTextFormattedCitation":"[56–59]","previouslyFormattedCitation":"[56–59]"},"properties":{"noteIndex":0},"schema":"https://github.com/citation-style-language/schema/raw/master/csl-citation.json"}</w:instrText>
      </w:r>
      <w:r w:rsidR="00B638A8" w:rsidRPr="00185BC0">
        <w:rPr>
          <w:sz w:val="28"/>
          <w:szCs w:val="28"/>
          <w:lang w:val="kk-KZ"/>
        </w:rPr>
        <w:fldChar w:fldCharType="separate"/>
      </w:r>
      <w:r w:rsidR="008A5983" w:rsidRPr="00185BC0">
        <w:rPr>
          <w:noProof/>
          <w:sz w:val="28"/>
          <w:szCs w:val="28"/>
          <w:lang w:val="kk-KZ"/>
        </w:rPr>
        <w:t>[56–59]</w:t>
      </w:r>
      <w:r w:rsidR="00B638A8" w:rsidRPr="00185BC0">
        <w:rPr>
          <w:sz w:val="28"/>
          <w:szCs w:val="28"/>
          <w:lang w:val="kk-KZ"/>
        </w:rPr>
        <w:fldChar w:fldCharType="end"/>
      </w:r>
      <w:r w:rsidR="00BB1D05" w:rsidRPr="00185BC0">
        <w:rPr>
          <w:sz w:val="28"/>
          <w:szCs w:val="28"/>
        </w:rPr>
        <w:t xml:space="preserve">. </w:t>
      </w:r>
      <w:r w:rsidR="00BB1D05" w:rsidRPr="00185BC0">
        <w:rPr>
          <w:sz w:val="28"/>
          <w:szCs w:val="28"/>
          <w:lang w:val="tr-TR"/>
        </w:rPr>
        <w:t>Частота повреждения седалишного нерва колеблется от 0,17% до 3%</w:t>
      </w:r>
      <w:r w:rsidR="007E60CC" w:rsidRPr="00185BC0">
        <w:rPr>
          <w:sz w:val="28"/>
          <w:szCs w:val="28"/>
          <w:lang w:val="kk-KZ"/>
        </w:rPr>
        <w:t xml:space="preserve"> </w:t>
      </w:r>
      <w:r w:rsidR="00B638A8" w:rsidRPr="00185BC0">
        <w:rPr>
          <w:sz w:val="28"/>
          <w:szCs w:val="28"/>
          <w:lang w:val="kk-KZ"/>
        </w:rPr>
        <w:fldChar w:fldCharType="begin" w:fldLock="1"/>
      </w:r>
      <w:r w:rsidR="001D29A3" w:rsidRPr="00185BC0">
        <w:rPr>
          <w:sz w:val="28"/>
          <w:szCs w:val="28"/>
          <w:lang w:val="kk-KZ"/>
        </w:rPr>
        <w:instrText>ADDIN CSL_CITATION {"citationItems":[{"id":"ITEM-1","itemData":{"DOI":"10.1016/j.arth.2016.10.032","ISSN":"15328406","abstract":"Background The purpose of our study was to compare (1) muscle strength; (2) pain; (3) sensation; (4) various outcome measurement scales between post-total hip arthroplasty (THA) patients who had a sciatic nerve injury and did or did not receive decompression surgery for this condition; and (5) to compare these findings with current literature. Methods Nineteen patients who had nerve injury after THA were reviewed. Patients were stratified into those who had a nerve decompression (n = 12), and those who had not (n = 7). Motor strength was evaluated using the Muscle Strength Testing Scale. Pain was evaluated by using the visual analogue scale. Systematic literature search was performed to compare the findings of this study with others currently published. Results The decompression group had a significant improvement in motor strength and the visual analog scale scores as compared with nonoperative group. Patients in decompression group had a significant larger increase in the mean Harris hip score and University of California Los Angeles score. There was no significant difference in the increase of Short Form-36 physical and mental scores between the 2 groups. Literature review for nonoperative management yielded 5 studies (93 patients), with 33% improvement. There were 7 studies (81 patients) on nerve decompression surgery, with 75% improvement. Conclusion This study demonstrates the benefits of nerve decompression surgery in patients who had sciatic nerve injury after THA, as evidenced by results of standardized outcome measurement scales. It is possible to achieve improvements in terms of strength, pain, and clinical outcomes. Comparative studies with larger cohorts are needed to fully assess the best candidates for this procedure.","author":[{"dropping-particle":"","family":"Chughtai","given":"Morad","non-dropping-particle":"","parse-names":false,"suffix":""},{"dropping-particle":"","family":"Khlopas","given":"Anton","non-dropping-particle":"","parse-names":false,"suffix":""},{"dropping-particle":"","family":"Gwam","given":"Chukwuwieke U.","non-dropping-particle":"","parse-names":false,"suffix":""},{"dropping-particle":"","family":"Elmallah","given":"Randa K.","non-dropping-particle":"","parse-names":false,"suffix":""},{"dropping-particle":"","family":"Thomas","given":"Melbin","non-dropping-particle":"","parse-names":false,"suffix":""},{"dropping-particle":"","family":"Nace","given":"James","non-dropping-particle":"","parse-names":false,"suffix":""},{"dropping-particle":"","family":"Mont","given":"Michael A.","non-dropping-particle":"","parse-names":false,"suffix":""}],"container-title":"Journal of Arthroplasty","id":"ITEM-1","issue":"4","issued":{"date-parts":[["2017"]]},"title":"Nerve Decompression Surgery After Total Hip Arthroplasty: What Are the Outcomes?","type":"article-journal","volume":"32"},"uris":["http://www.mendeley.com/documents/?uuid=65f4412c-1471-3056-97dd-0539ce67672f"]},{"id":"ITEM-2","itemData":{"DOI":"10.3390/jpm13060942","ISSN":"20754426","abstract":"The surgical protocols currently used for the treatment of developmental dysplasia of the hip (DDH) are varied, with sufficient differences in clinical outcomes that warrant a review of the role of practicing orthopedic surgeons. This paper aims to summarize the current novel techniques within the realm of surgical treatment for adult DDH, thus serving as a guide to surgeons looking to quickly familiarize themselves with available techniques. We performed computer systematic literature searches of the Embase and PubMed databases from 2010 to 2 April 2022. Study parameters as well as their respective patient reported outcomes (PROMs) were described in detail and compiled into diagrams. Two novel techniques were identified for the treatment of borderline or low-grade DDH. Six techniques which included modifications to the Bernese periacetabular osteotomy (PAO) were identified for the treatment of symptomatic DDH. Three techniques which include combinations of arthroscopy and osteotomy were identified for the treatment of DDH with concomitant hip pathologies such as cam deformities. Finally, six techniques, all of which are modifications to total hip arthroplasty (THA), were identified for the treatment of high-grade DDH. The techniques detailed in this review therefore equip surgeons with the necessary knowledge to improve outcomes in patients with varying degrees of DDH.","author":[{"dropping-particle":"","family":"Dhaliwal","given":"Anand S.","non-dropping-particle":"","parse-names":false,"suffix":""},{"dropping-particle":"","family":"Akhtar","given":"Muzammil","non-dropping-particle":"","parse-names":false,"suffix":""},{"dropping-particle":"","family":"Razick","given":"Daniel I.","non-dropping-particle":"","parse-names":false,"suffix":""},{"dropping-particle":"","family":"Afzali","given":"Arya","non-dropping-particle":"","parse-names":false,"suffix":""},{"dropping-particle":"","family":"Wilson","given":"Ethan","non-dropping-particle":"","parse-names":false,"suffix":""},{"dropping-particle":"","family":"Nedopil","given":"Alexander J.","non-dropping-particle":"","parse-names":false,"suffix":""}],"container-title":"Journal of Personalized Medicine","id":"ITEM-2","issue":"6","issued":{"date-parts":[["2023"]]},"title":"Current Surgical Techniques in the Treatment of Adult Developmental Dysplasia of the Hip","type":"article","volume":"13"},"uris":["http://www.mendeley.com/documents/?uuid=45e39e95-53ca-3ffc-9eae-ebbf7f62ccc1"]}],"mendeley":{"formattedCitation":"[60, 61]","plainTextFormattedCitation":"[60, 61]","previouslyFormattedCitation":"[60, 61]"},"properties":{"noteIndex":0},"schema":"https://github.com/citation-style-language/schema/raw/master/csl-citation.json"}</w:instrText>
      </w:r>
      <w:r w:rsidR="00B638A8" w:rsidRPr="00185BC0">
        <w:rPr>
          <w:sz w:val="28"/>
          <w:szCs w:val="28"/>
          <w:lang w:val="kk-KZ"/>
        </w:rPr>
        <w:fldChar w:fldCharType="separate"/>
      </w:r>
      <w:r w:rsidR="008A5983" w:rsidRPr="00185BC0">
        <w:rPr>
          <w:noProof/>
          <w:sz w:val="28"/>
          <w:szCs w:val="28"/>
          <w:lang w:val="kk-KZ"/>
        </w:rPr>
        <w:t>[60, 61]</w:t>
      </w:r>
      <w:r w:rsidR="00B638A8" w:rsidRPr="00185BC0">
        <w:rPr>
          <w:sz w:val="28"/>
          <w:szCs w:val="28"/>
          <w:lang w:val="kk-KZ"/>
        </w:rPr>
        <w:fldChar w:fldCharType="end"/>
      </w:r>
      <w:r w:rsidR="00BB1D05" w:rsidRPr="00185BC0">
        <w:rPr>
          <w:sz w:val="28"/>
          <w:szCs w:val="28"/>
          <w:lang w:val="tr-TR"/>
        </w:rPr>
        <w:t xml:space="preserve">. </w:t>
      </w:r>
      <w:r w:rsidRPr="00185BC0">
        <w:rPr>
          <w:sz w:val="28"/>
          <w:szCs w:val="28"/>
          <w:lang w:val="tr-TR"/>
        </w:rPr>
        <w:t>К числу наиболее частых осложнений тотального эндопротезирования тазобедренного сустава при тяжёлых формах диспластического коксартроза относятся увеличение длины нижней конечности, тракционная нейропатия, послеоперационная нестабильность, а также ошибки позиционирования компонентов эндопротеза</w:t>
      </w:r>
      <w:r w:rsidR="00BB1D05" w:rsidRPr="00185BC0">
        <w:rPr>
          <w:sz w:val="28"/>
          <w:szCs w:val="28"/>
        </w:rPr>
        <w:t xml:space="preserve">. </w:t>
      </w:r>
      <w:r w:rsidR="00BB1D05" w:rsidRPr="00185BC0">
        <w:rPr>
          <w:sz w:val="28"/>
          <w:szCs w:val="28"/>
          <w:lang w:val="kk-KZ"/>
        </w:rPr>
        <w:t>В данном случае,</w:t>
      </w:r>
      <w:r w:rsidR="00BB1D05" w:rsidRPr="00185BC0">
        <w:rPr>
          <w:sz w:val="28"/>
          <w:szCs w:val="28"/>
        </w:rPr>
        <w:t xml:space="preserve"> низведение центра ротации к истинной вертлужной впадине является оптимальным решением, но в тоже время считается трудной к выполнению техникой, при которой необходимо высококвалифицированное хирургическое </w:t>
      </w:r>
      <w:r w:rsidR="00BB1D05" w:rsidRPr="00185BC0">
        <w:rPr>
          <w:sz w:val="28"/>
          <w:szCs w:val="28"/>
          <w:lang w:val="tr-TR"/>
        </w:rPr>
        <w:t>вмешательство</w:t>
      </w:r>
      <w:r w:rsidR="00BB1D05" w:rsidRPr="00185BC0">
        <w:rPr>
          <w:sz w:val="28"/>
          <w:szCs w:val="28"/>
        </w:rPr>
        <w:t xml:space="preserve"> как для вертлужной впадины, так и для бедренной кости</w:t>
      </w:r>
      <w:r w:rsidR="007E60CC" w:rsidRPr="00185BC0">
        <w:rPr>
          <w:sz w:val="28"/>
          <w:szCs w:val="28"/>
          <w:lang w:val="kk-KZ"/>
        </w:rPr>
        <w:t xml:space="preserve"> </w:t>
      </w:r>
      <w:r w:rsidR="00B638A8" w:rsidRPr="00185BC0">
        <w:rPr>
          <w:sz w:val="28"/>
          <w:szCs w:val="28"/>
          <w:lang w:val="kk-KZ"/>
        </w:rPr>
        <w:fldChar w:fldCharType="begin" w:fldLock="1"/>
      </w:r>
      <w:r w:rsidR="001D29A3" w:rsidRPr="00185BC0">
        <w:rPr>
          <w:sz w:val="28"/>
          <w:szCs w:val="28"/>
          <w:lang w:val="kk-KZ"/>
        </w:rPr>
        <w:instrText>ADDIN CSL_CITATION {"citationItems":[{"id":"ITEM-1","itemData":{"DOI":"10.1016/j.arth.2021.05.035","ISSN":"15328406","abstract":"Background: Total hip arthroplasty (THA) performed for developmental dysplasia of the hip is a technically difficult procedure with a high complication rate, especially in the presence of completely dislocated hips. This study aimed to evaluate at least 10 years of follow-up results of cementless, ceramic-on-ceramic (CoC) THA performed with transverse subtrochanteric osteotomy in Crowe type IV hips. Methods: We retrospectively reviewed 50 patients’ 67 hips that underwent CoC, cementless THA with transverse subtrochanteric osteotomy between 2008 and 2011. Clinical and radiological data of the hips were examined. Clinical results were evaluated using the Harris Hip Score and the Western Ontario and McMaster Universities Osteoarthritis Index. Results: The mean Harris Hip Score improved from 22.9 ± 9.9 preoperatively to 94.1 ± 8.1 at the final follow-up (P &lt; 0.001). The median Western Ontario and McMaster Universities Osteoarthritis Index score improved from 72 (interquartile range: 17) preoperatively to 2 (interquartile range: 17) postoperatively (P &lt; 0.001). The preoperative mean leg length discrepancy was improved from 4.9 ± 1 cm to 1.5 ± 1 cm in unilateral cases at the last follow-up (P &lt; 0.001). Revision surgery was required because of nonunion in two patients, prosthetic infection in one patient, and aseptic femoral loosening in the other patient. The overall ten-year survival rate was 94% for femoral stems and 98.5% for acetabular components as per Kaplan-Meier survival analysis. Conclusion: Transverse subtrochanteric shortening osteotomy combined with using cementless acetabular and femoral components with a CoC bearing surface promises successful clinical results and high prosthesis survival in the treatment of Crowe IV hips at long-term follow-up.","author":[{"dropping-particle":"","family":"Caylak","given":"Remzi","non-dropping-particle":"","parse-names":false,"suffix":""},{"dropping-particle":"","family":"Ors","given":"Cagri","non-dropping-particle":"","parse-names":false,"suffix":""},{"dropping-particle":"","family":"Togrul","given":"Emre","non-dropping-particle":"","parse-names":false,"suffix":""}],"container-title":"Journal of Arthroplasty","id":"ITEM-1","issue":"10","issued":{"date-parts":[["2021"]]},"title":"Minimum 10-Year Results of Cementless Ceramic-On-Ceramic Total Hip Arthroplasty Performed With Transverse Subtrochanteric Osteotomy in Crowe Type IV Hips","type":"article-journal","volume":"36"},"uris":["http://www.mendeley.com/documents/?uuid=869e79e5-4425-3cc7-aafb-fc980673ee36"]},{"id":"ITEM-2","itemData":{"DOI":"10.1155/2017/8361071","ISSN":"23146141","abstract":"Sciatic nerve palsies are rare but potentially devastating complications, accounting for more than 90% of neurologic injuries following total hip replacement. A systematic literature screening was carried out searching papers evaluating an exclusive population of postarthroplasty sciatic nerve palsies to ascertain (1) the influence of limb lengthening itself on sciatic nerve palsy, (2) the most important risk factors, (3) the long-term prognosis, and (4) the outcomes of different treatments. Fourteen manuscripts were finally included. The wide prevalence of retrospective case series decreased the global methodological quality of the retrieved papers. A hazardous lengthening threshold cannot be surely identified. Developmental dysplasia of the hip and previous hip surgeries are the most frequently recognized risk factors. Rate of full nerve function restoration approximates two-thirds of the cases, independently of the extent of initial neural damage. Poor evidences are available about the best treatment strategy. Well-structured multicentric prospective comparative studies are needed to substantiate or contrast the finding of this review. Anyway, since the onset of palsies is probably due to a combination of individual factors, risk of nerve damage and potential for nerve recovery should be evaluated on an individual basis.","author":[{"dropping-particle":"","family":"Fine","given":"Marcello","non-dropping-particle":"De","parse-names":false,"suffix":""},{"dropping-particle":"","family":"Romagnoli","given":"Matteo","non-dropping-particle":"","parse-names":false,"suffix":""},{"dropping-particle":"","family":"Zaffagnini","given":"Stefano","non-dropping-particle":"","parse-names":false,"suffix":""},{"dropping-particle":"","family":"Pignatti","given":"Giovanni","non-dropping-particle":"","parse-names":false,"suffix":""}],"container-title":"BioMed Research International","id":"ITEM-2","issued":{"date-parts":[["2017"]]},"title":"Sciatic nerve palsy following total hip replacement: Are patients personal characteristics more important than limb lengthening? A systematic review","type":"article","volume":"2017"},"uris":["http://www.mendeley.com/documents/?uuid=ceb6083d-a331-3197-8b6f-066832eda821"]},{"id":"ITEM-3","itemData":{"DOI":"10.2106/JBJS.K.00779","ISSN":"15351386","abstract":"</w:instrText>
      </w:r>
      <w:r w:rsidR="001D29A3" w:rsidRPr="00185BC0">
        <w:rPr>
          <w:rFonts w:ascii="Segoe UI Emoji" w:hAnsi="Segoe UI Emoji" w:cs="Segoe UI Emoji"/>
          <w:sz w:val="28"/>
          <w:szCs w:val="28"/>
          <w:lang w:val="kk-KZ"/>
        </w:rPr>
        <w:instrText>▶</w:instrText>
      </w:r>
      <w:r w:rsidR="001D29A3" w:rsidRPr="00185BC0">
        <w:rPr>
          <w:sz w:val="28"/>
          <w:szCs w:val="28"/>
          <w:lang w:val="kk-KZ"/>
        </w:rPr>
        <w:instrText xml:space="preserve"> Preoperative planning is essential to define anatomy, clarify the operative approach and exposure, and ensure that suitable implants are available. </w:instrText>
      </w:r>
      <w:r w:rsidR="001D29A3" w:rsidRPr="00185BC0">
        <w:rPr>
          <w:rFonts w:ascii="Segoe UI Emoji" w:hAnsi="Segoe UI Emoji" w:cs="Segoe UI Emoji"/>
          <w:sz w:val="28"/>
          <w:szCs w:val="28"/>
          <w:lang w:val="kk-KZ"/>
        </w:rPr>
        <w:instrText>▶</w:instrText>
      </w:r>
      <w:r w:rsidR="001D29A3" w:rsidRPr="00185BC0">
        <w:rPr>
          <w:sz w:val="28"/>
          <w:szCs w:val="28"/>
          <w:lang w:val="kk-KZ"/>
        </w:rPr>
        <w:instrText xml:space="preserve"> Concerns exist regarding the long-term effectiveness and safety of hip resurfacing arthroplasty for the young dysplastic hip. </w:instrText>
      </w:r>
      <w:r w:rsidR="001D29A3" w:rsidRPr="00185BC0">
        <w:rPr>
          <w:rFonts w:ascii="Segoe UI Emoji" w:hAnsi="Segoe UI Emoji" w:cs="Segoe UI Emoji"/>
          <w:sz w:val="28"/>
          <w:szCs w:val="28"/>
          <w:lang w:val="kk-KZ"/>
        </w:rPr>
        <w:instrText>▶</w:instrText>
      </w:r>
      <w:r w:rsidR="001D29A3" w:rsidRPr="00185BC0">
        <w:rPr>
          <w:sz w:val="28"/>
          <w:szCs w:val="28"/>
          <w:lang w:val="kk-KZ"/>
        </w:rPr>
        <w:instrText xml:space="preserve"> In light of current evidence, concerns exist regarding the use of metal-on-metal articulations for hip arthroplasty in the young dysplastic hip. </w:instrText>
      </w:r>
      <w:r w:rsidR="001D29A3" w:rsidRPr="00185BC0">
        <w:rPr>
          <w:rFonts w:ascii="Segoe UI Emoji" w:hAnsi="Segoe UI Emoji" w:cs="Segoe UI Emoji"/>
          <w:sz w:val="28"/>
          <w:szCs w:val="28"/>
          <w:lang w:val="kk-KZ"/>
        </w:rPr>
        <w:instrText>▶</w:instrText>
      </w:r>
      <w:r w:rsidR="001D29A3" w:rsidRPr="00185BC0">
        <w:rPr>
          <w:sz w:val="28"/>
          <w:szCs w:val="28"/>
          <w:lang w:val="kk-KZ"/>
        </w:rPr>
        <w:instrText xml:space="preserve"> The ideal bearing surface is not known, although the longest data available support the use of metal-on-polyethylene. Copyright © 2012 by The Journal of Bone and Joint Surgery, Incorporated.","author":[{"dropping-particle":"","family":"Rogers","given":"Benedict A.","non-dropping-particle":"","parse-names":false,"suffix":""},{"dropping-particle":"","family":"Garbedian","given":"Shawn","non-dropping-particle":"","parse-names":false,"suffix":""},{"dropping-particle":"","family":"Kuchinad","given":"Raul A.","non-dropping-particle":"","parse-names":false,"suffix":""},{"dropping-particle":"","family":"Backstein","given":"David","non-dropping-particle":"","parse-names":false,"suffix":""},{"dropping-particle":"","family":"Safir","given":"Oleg","non-dropping-particle":"","parse-names":false,"suffix":""},{"dropping-particle":"","family":"Gross","given":"Allan E.","non-dropping-particle":"","parse-names":false,"suffix":""}],"container-title":"Journal of Bone and Joint Surgery","id":"ITEM-3","issue":"19","issued":{"date-parts":[["2012"]]},"title":"Total hip arthroplasty for adult hip dysplasia","type":"article","volume":"94"},"uris":["http://www.mendeley.com/documents/?uuid=3e190ce5-1b97-3840-a10f-f7ad11ed4d56"]}],"mendeley":{"formattedCitation":"[62–64]","plainTextFormattedCitation":"[62–64]","previouslyFormattedCitation":"[62–64]"},"properties":{"noteIndex":0},"schema":"https://github.com/citation-style-language/schema/raw/master/csl-citation.json"}</w:instrText>
      </w:r>
      <w:r w:rsidR="00B638A8" w:rsidRPr="00185BC0">
        <w:rPr>
          <w:sz w:val="28"/>
          <w:szCs w:val="28"/>
          <w:lang w:val="kk-KZ"/>
        </w:rPr>
        <w:fldChar w:fldCharType="separate"/>
      </w:r>
      <w:r w:rsidR="008A5983" w:rsidRPr="00185BC0">
        <w:rPr>
          <w:noProof/>
          <w:sz w:val="28"/>
          <w:szCs w:val="28"/>
          <w:lang w:val="kk-KZ"/>
        </w:rPr>
        <w:t>[62–64]</w:t>
      </w:r>
      <w:r w:rsidR="00B638A8" w:rsidRPr="00185BC0">
        <w:rPr>
          <w:sz w:val="28"/>
          <w:szCs w:val="28"/>
          <w:lang w:val="kk-KZ"/>
        </w:rPr>
        <w:fldChar w:fldCharType="end"/>
      </w:r>
      <w:r w:rsidR="00BB1D05" w:rsidRPr="00185BC0">
        <w:rPr>
          <w:sz w:val="28"/>
          <w:szCs w:val="28"/>
        </w:rPr>
        <w:t xml:space="preserve">. В связи с этим </w:t>
      </w:r>
      <w:r w:rsidR="00BB1D05" w:rsidRPr="00185BC0">
        <w:rPr>
          <w:sz w:val="28"/>
          <w:szCs w:val="28"/>
          <w:lang w:val="en-US"/>
        </w:rPr>
        <w:t>Charnley</w:t>
      </w:r>
      <w:r w:rsidR="00BB1D05" w:rsidRPr="00185BC0">
        <w:rPr>
          <w:sz w:val="28"/>
          <w:szCs w:val="28"/>
        </w:rPr>
        <w:t xml:space="preserve"> впервые </w:t>
      </w:r>
      <w:r w:rsidR="00BB1D05" w:rsidRPr="00185BC0">
        <w:rPr>
          <w:sz w:val="28"/>
          <w:szCs w:val="28"/>
        </w:rPr>
        <w:lastRenderedPageBreak/>
        <w:t xml:space="preserve">ввел остеотомию, чтобы помочь в процессе репозиции тазобедренного сустава при </w:t>
      </w:r>
      <w:r w:rsidR="00BB1D05" w:rsidRPr="00185BC0">
        <w:rPr>
          <w:sz w:val="28"/>
          <w:szCs w:val="28"/>
          <w:lang w:val="kk-KZ"/>
        </w:rPr>
        <w:t>высоком</w:t>
      </w:r>
      <w:r w:rsidR="00BB1D05" w:rsidRPr="00185BC0">
        <w:rPr>
          <w:sz w:val="28"/>
          <w:szCs w:val="28"/>
        </w:rPr>
        <w:t xml:space="preserve"> вывих</w:t>
      </w:r>
      <w:r w:rsidR="00BB1D05" w:rsidRPr="00185BC0">
        <w:rPr>
          <w:sz w:val="28"/>
          <w:szCs w:val="28"/>
          <w:lang w:val="kk-KZ"/>
        </w:rPr>
        <w:t>е</w:t>
      </w:r>
      <w:r w:rsidR="00BB1D05" w:rsidRPr="00185BC0">
        <w:rPr>
          <w:sz w:val="28"/>
          <w:szCs w:val="28"/>
        </w:rPr>
        <w:t xml:space="preserve"> </w:t>
      </w:r>
      <w:proofErr w:type="spellStart"/>
      <w:r w:rsidR="00BB1D05" w:rsidRPr="00185BC0">
        <w:rPr>
          <w:sz w:val="28"/>
          <w:szCs w:val="28"/>
        </w:rPr>
        <w:t>головк</w:t>
      </w:r>
      <w:proofErr w:type="spellEnd"/>
      <w:r w:rsidR="00BB1D05" w:rsidRPr="00185BC0">
        <w:rPr>
          <w:sz w:val="28"/>
          <w:szCs w:val="28"/>
          <w:lang w:val="kk-KZ"/>
        </w:rPr>
        <w:t>и</w:t>
      </w:r>
      <w:r w:rsidR="00BB1D05" w:rsidRPr="00185BC0">
        <w:rPr>
          <w:sz w:val="28"/>
          <w:szCs w:val="28"/>
        </w:rPr>
        <w:t xml:space="preserve"> бедренной кости на фоне дисплазии. Данный способ впервые использован для лечения врожденного вывиха у детей, </w:t>
      </w:r>
      <w:r w:rsidR="00D60B37" w:rsidRPr="00185BC0">
        <w:rPr>
          <w:sz w:val="28"/>
          <w:szCs w:val="28"/>
          <w:lang w:val="kk-KZ"/>
        </w:rPr>
        <w:t>а</w:t>
      </w:r>
      <w:r w:rsidR="00BB1D05" w:rsidRPr="00185BC0">
        <w:rPr>
          <w:sz w:val="28"/>
          <w:szCs w:val="28"/>
        </w:rPr>
        <w:t xml:space="preserve"> в дальнейшем было использовано при ТЭТС</w:t>
      </w:r>
      <w:r w:rsidR="007E60CC" w:rsidRPr="00185BC0">
        <w:rPr>
          <w:sz w:val="28"/>
          <w:szCs w:val="28"/>
          <w:lang w:val="kk-KZ"/>
        </w:rPr>
        <w:t xml:space="preserve"> </w:t>
      </w:r>
      <w:r w:rsidR="00B638A8" w:rsidRPr="00185BC0">
        <w:rPr>
          <w:sz w:val="28"/>
          <w:szCs w:val="28"/>
          <w:lang w:val="kk-KZ"/>
        </w:rPr>
        <w:fldChar w:fldCharType="begin" w:fldLock="1"/>
      </w:r>
      <w:r w:rsidR="001D29A3" w:rsidRPr="00185BC0">
        <w:rPr>
          <w:sz w:val="28"/>
          <w:szCs w:val="28"/>
          <w:lang w:val="kk-KZ"/>
        </w:rPr>
        <w:instrText>ADDIN CSL_CITATION {"citationItems":[{"id":"ITEM-1","itemData":{"DOI":"10.5606/EHC.2020.74412","ISSN":"26874792","abstract":"Objectives: This study aims to report the physiological and radiological long-term results of total hip arthroplasty (THA) combined with or without subtrochanteric osteotomy in a group of developmental dysplasia of hip (DDH) patients. Patients and methods: This retrospective study included 90 hips of 59 patients (3 males, 56 females; mean age 45.7±10.9 years; range, 24 to 67 years) who underwent THA between January 1979 and March 2006. Thirteen patients needed subtrochanteric shortening. The evaluation was performed through Harris hip scores, physical examination, and radiological imaging. Results: The follow-up period ranged from 5 to 32 years, and the mean follow-up period was 10.3±6.4 years. Revision was required in 17 hips out of 90. Twelve revisions were needed because of aseptic loosening of femoral or acetabular component, three were for fracture of the femoral stem, and two for protrusio acetabuli. Four patients had transient nerve palsy, and one had permanent nerve function loss. In one patient, nonunion was observed around the femoral osteotomy site. Harris hip score was remarkably improved compared to top preoperative values (48 vs. 88.2, p&lt;0.01). Conclusion: Although revision rates tend to increase in long-term follow-up, THA is one of the best treatment options in DDH patients to relieve pain, improve daily activity levels, and minimize the damage of the knee and lumbar region.","author":[{"dropping-particle":"","family":"Alp","given":"Nazmi Bülent","non-dropping-particle":"","parse-names":false,"suffix":""},{"dropping-particle":"","family":"Akdağ","given":"Gökhan","non-dropping-particle":"","parse-names":false,"suffix":""},{"dropping-particle":"","family":"Erdoğan","given":"Fahri","non-dropping-particle":"","parse-names":false,"suffix":""}],"container-title":"Joint Diseases and Related Surgery","id":"ITEM-1","issue":"2","issued":{"date-parts":[["2020"]]},"title":"Long-term results of total hip arthroplasty in developmental dysplasia of hip patients","type":"article-journal","volume":"31"},"uris":["http://www.mendeley.com/documents/?uuid=b8770bbf-4e78-389d-837a-09793c1dddac"]},{"id":"ITEM-2","itemData":{"DOI":"10.1302/1863-2548.13.190029","ISSN":"18632548","abstract":"Purpose The optimal treatment for late-presenting developmental dysplasia of the hip (DDH) is controversial. High tension forces after hip reduction increase the pressure on the femoral head, potentially causing avascular necrosis. Femoral shortening (FS) is commonly used as a means to decrease the pressure on the femoral head. We examined the effect of FS on the outcomes of patients with late-presenting DDH. Methods A total of 645 hips of a late-presenting DDH cohort treated with open reduction and iliac osteotomies were retrospectively reviewed; 328 hips had a FS performed (FS+) and 317 (FS-) had not. The mean age was 3.9 years (sd 1.55). We classified the hips with the Tönnis and International Hip Dysplasia Institute (IHDI) methods; and the Pediatric Outcomes Data Collection Instrument (PODCI), Iowa Hip Score (IHS) and Severin classification as outcome measurements. Results The FS- group had higher scores in PODCI (median 95 points; interquartile range (IQR) 78 to 91) and IHS (median 91 points; IQR 64 to 88) than the FS+ group (PODCI: median 94 points; IQR 69 to 89 points; IHS: median 89 points; IQR 62 to 87). The mean Severin scores were similar (FS- 2.65; FS+ 2.5; p = 0.93) but the FS– group had higher rates of good and excellent outcomes (FS- 56%; FS+ 41%; p &lt; 0.00001) and lesser dislocation rates (FS- 6%; FS+ 14%; p = 0.16). Conclusion Although FS should be used when a hip cannot be reduced without undue tension, our results indicate that this procedure is not necessarily related to a better outcome.","author":[{"dropping-particle":"","family":"Castañeda","given":"P.","non-dropping-particle":"","parse-names":false,"suffix":""},{"dropping-particle":"","family":"Moscona","given":"L.","non-dropping-particle":"","parse-names":false,"suffix":""},{"dropping-particle":"","family":"Masrouha","given":"K.","non-dropping-particle":"","parse-names":false,"suffix":""}],"container-title":"Journal of Children's Orthopaedics","id":"ITEM-2","issue":"4","issued":{"date-parts":[["2019"]]},"title":"The effect of femoral shortening in the treatment of developmental dysplasia of the hip after walking age","type":"article-journal","volume":"13"},"uris":["http://www.mendeley.com/documents/?uuid=377de94d-1b63-340c-a4e1-5f402be344a2"]}],"mendeley":{"formattedCitation":"[65, 66]","plainTextFormattedCitation":"[65, 66]","previouslyFormattedCitation":"[65, 66]"},"properties":{"noteIndex":0},"schema":"https://github.com/citation-style-language/schema/raw/master/csl-citation.json"}</w:instrText>
      </w:r>
      <w:r w:rsidR="00B638A8" w:rsidRPr="00185BC0">
        <w:rPr>
          <w:sz w:val="28"/>
          <w:szCs w:val="28"/>
          <w:lang w:val="kk-KZ"/>
        </w:rPr>
        <w:fldChar w:fldCharType="separate"/>
      </w:r>
      <w:r w:rsidR="008A5983" w:rsidRPr="00185BC0">
        <w:rPr>
          <w:noProof/>
          <w:sz w:val="28"/>
          <w:szCs w:val="28"/>
          <w:lang w:val="kk-KZ"/>
        </w:rPr>
        <w:t>[65, 66]</w:t>
      </w:r>
      <w:r w:rsidR="00B638A8" w:rsidRPr="00185BC0">
        <w:rPr>
          <w:sz w:val="28"/>
          <w:szCs w:val="28"/>
          <w:lang w:val="kk-KZ"/>
        </w:rPr>
        <w:fldChar w:fldCharType="end"/>
      </w:r>
      <w:r w:rsidR="00BB1D05" w:rsidRPr="00185BC0">
        <w:rPr>
          <w:sz w:val="28"/>
          <w:szCs w:val="28"/>
        </w:rPr>
        <w:t>. В настоящее время применяют различные виды остеотомии бедренной кости, которые показывают очень хорошие результаты</w:t>
      </w:r>
      <w:r w:rsidR="007E60CC" w:rsidRPr="00185BC0">
        <w:rPr>
          <w:sz w:val="28"/>
          <w:szCs w:val="28"/>
          <w:lang w:val="kk-KZ"/>
        </w:rPr>
        <w:t xml:space="preserve"> </w:t>
      </w:r>
      <w:r w:rsidR="00B638A8" w:rsidRPr="00185BC0">
        <w:rPr>
          <w:sz w:val="28"/>
          <w:szCs w:val="28"/>
          <w:lang w:val="kk-KZ"/>
        </w:rPr>
        <w:fldChar w:fldCharType="begin" w:fldLock="1"/>
      </w:r>
      <w:r w:rsidR="002F5076" w:rsidRPr="00185BC0">
        <w:rPr>
          <w:sz w:val="28"/>
          <w:szCs w:val="28"/>
          <w:lang w:val="kk-KZ"/>
        </w:rPr>
        <w:instrText>ADDIN CSL_CITATION {"citationItems":[{"id":"ITEM-1","itemData":{"DOI":"10.1016/j.arth.2017.02.024","ISSN":"15328406","abstract":"Background Developmental dysplasia of the hip (DDH) is a recognized cause of secondary arthritis, which may eventually lead to total hip arthroplasty (THA). An understanding of the common acetabular and femoral morphologic abnormalities will aid the surgeon in preparing for the complexity of the surgical case. Methods We present the challenges associated with acetabular and femoral morphologies that may be present in the dysplastic hip and discuss surgical options to consider when performing THA. In addition, common complications associated with this population are reviewed. Results The complexity of THA in the DDH patient is due to a broad range of pathomorphologic changes of the acetabulum and femur, as well as the diverse and often younger age of these patients. As such, THA in the DDH patient may offer a typical primary hip arthroplasty or be a highly complex reconstruction. It is important to be familiar with all the subtleties associated with DDH in the THA population. The surgeon must be prepared for bone deficiency when reconstructing the acetabulum and should place the component low and medial (at the anatomic hip center), and avoid oversizing the acetabular component. Femoral dysplasia is also complex and variable, and the surgeon must be prepared for different stem choices that allow for decoupling of the metaphyseal stem fit from the implanted stem version. In Crowe III and IV dysplasia, femoral derotation/shortening osteotomy may be required. Many complications associated with THA in the DDH patient may be mitigated with careful planning and surgical technique. Conclusion Performed correctly, THA can yield excellent results in this complex patient population.","author":[{"dropping-particle":"","family":"Greber","given":"Eric M.","non-dropping-particle":"","parse-names":false,"suffix":""},{"dropping-particle":"","family":"Pelt","given":"Christopher E.","non-dropping-particle":"","parse-names":false,"suffix":""},{"dropping-particle":"","family":"Gililland","given":"Jeremy M.","non-dropping-particle":"","parse-names":false,"suffix":""},{"dropping-particle":"","family":"Anderson","given":"Mike B.","non-dropping-particle":"","parse-names":false,"suffix":""},{"dropping-particle":"","family":"Erickson","given":"Jill A.","non-dropping-particle":"","parse-names":false,"suffix":""},{"dropping-particle":"","family":"Peters","given":"Christopher L.","non-dropping-particle":"","parse-names":false,"suffix":""}],"container-title":"Journal of Arthroplasty","id":"ITEM-1","issue":"9","issued":{"date-parts":[["2017"]]},"title":"Challenges in Total Hip Arthroplasty in the Setting of Developmental Dysplasia of the Hip","type":"article-journal","volume":"32"},"uris":["http://www.mendeley.com/documents/?uuid=24e841a5-2267-3aa3-a0f9-bebedd228625"]},{"id":"ITEM-2","itemData":{"DOI":"10.1007/s00132-019-03694-w","ISSN":"00854530","abstract":"Background: Endoprosthetic care of high hip dislocation is a surgical challenge. The hip anatomy is greatly altered in these patients, including a rather flat and small acetabulum with impaired bone quality and a relevant chance of a bony defect of the acetabular roof. Additionally, the front coverage and in some cases even the dorsal coverage of the hip are missing. The proximal femur is characterized with an increased antetorsion, a coxa valga position and an enlarged greater trochanter. The medullary cavity is narrowed, the offset is reduced, and the absolut leg length can be enlarged. Further anatomic variations can have been caused by previous surgeries. Aim of the treatment: The goal of the endoprosthetic care is the re-creation of a hip with an anatomic center of rotation, an anatomic offset and equal leg length. Treatment: This can be achieved by a medial shift of the acetabular cup. An acetabular osteotomy including central cancellous bone graft or a bony graft to reinforce the acetabular roof might be necessary. In cases in which an anatomic acetabular cup placement is not possible, a more cranial placement can be done. Further strategies that are essential in several cases are shortening or re-orientation osteotomies of the femur, reaming of the medullary cavity and correct implant selection. Additionally, thorough soft tissue management is of main importance. Generally, the surgery should be well prepared preoperatively.","author":[{"dropping-particle":"","family":"Roth","given":"A.","non-dropping-particle":"","parse-names":false,"suffix":""},{"dropping-particle":"","family":"Goralski","given":"S.","non-dropping-particle":"","parse-names":false,"suffix":""},{"dropping-particle":"","family":"Layher","given":"F.","non-dropping-particle":"","parse-names":false,"suffix":""},{"dropping-particle":"","family":"Fakler","given":"J.","non-dropping-particle":"","parse-names":false,"suffix":""},{"dropping-particle":"","family":"Ghanem","given":"M.","non-dropping-particle":"","parse-names":false,"suffix":""},{"dropping-particle":"","family":"Pempe","given":"C.","non-dropping-particle":"","parse-names":false,"suffix":""},{"dropping-particle":"","family":"Hennings","given":"R.","non-dropping-particle":"","parse-names":false,"suffix":""},{"dropping-particle":"","family":"Spiegl","given":"U.","non-dropping-particle":"","parse-names":false,"suffix":""},{"dropping-particle":"","family":"Zajonz","given":"D.","non-dropping-particle":"","parse-names":false,"suffix":""}],"container-title":"Orthopade","id":"ITEM-2","issue":"4","issued":{"date-parts":[["2019"]]},"title":"Challenges of primary hip arthroplasty with high hip dislocation","type":"article","volume":"48"},"uris":["http://www.mendeley.com/documents/?uuid=53e3b952-ab84-35ad-8d9c-1e5ac22838ca"]}],"mendeley":{"formattedCitation":"[10, 11]","plainTextFormattedCitation":"[10, 11]","previouslyFormattedCitation":"[10, 11]"},"properties":{"noteIndex":0},"schema":"https://github.com/citation-style-language/schema/raw/master/csl-citation.json"}</w:instrText>
      </w:r>
      <w:r w:rsidR="00B638A8" w:rsidRPr="00185BC0">
        <w:rPr>
          <w:sz w:val="28"/>
          <w:szCs w:val="28"/>
          <w:lang w:val="kk-KZ"/>
        </w:rPr>
        <w:fldChar w:fldCharType="separate"/>
      </w:r>
      <w:r w:rsidR="00371B3B" w:rsidRPr="00185BC0">
        <w:rPr>
          <w:noProof/>
          <w:sz w:val="28"/>
          <w:szCs w:val="28"/>
          <w:lang w:val="kk-KZ"/>
        </w:rPr>
        <w:t>[10, 11]</w:t>
      </w:r>
      <w:r w:rsidR="00B638A8" w:rsidRPr="00185BC0">
        <w:rPr>
          <w:sz w:val="28"/>
          <w:szCs w:val="28"/>
          <w:lang w:val="kk-KZ"/>
        </w:rPr>
        <w:fldChar w:fldCharType="end"/>
      </w:r>
      <w:r w:rsidR="00BB1D05" w:rsidRPr="00185BC0">
        <w:rPr>
          <w:sz w:val="28"/>
          <w:szCs w:val="28"/>
        </w:rPr>
        <w:t>. Ö</w:t>
      </w:r>
      <w:proofErr w:type="spellStart"/>
      <w:r w:rsidR="00BB1D05" w:rsidRPr="00185BC0">
        <w:rPr>
          <w:sz w:val="28"/>
          <w:szCs w:val="28"/>
          <w:lang w:val="en-US"/>
        </w:rPr>
        <w:t>nder</w:t>
      </w:r>
      <w:proofErr w:type="spellEnd"/>
      <w:r w:rsidR="00BB1D05" w:rsidRPr="00185BC0">
        <w:rPr>
          <w:sz w:val="28"/>
          <w:szCs w:val="28"/>
        </w:rPr>
        <w:t xml:space="preserve"> İ.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rPr>
        <w:t>.</w:t>
      </w:r>
      <w:r w:rsidR="00BB1D05" w:rsidRPr="00185BC0">
        <w:rPr>
          <w:sz w:val="28"/>
          <w:szCs w:val="28"/>
        </w:rPr>
        <w:t>, в своем исследовании</w:t>
      </w:r>
      <w:r w:rsidR="00D60B37" w:rsidRPr="00185BC0">
        <w:rPr>
          <w:sz w:val="28"/>
          <w:szCs w:val="28"/>
          <w:lang w:val="kk-KZ"/>
        </w:rPr>
        <w:t xml:space="preserve">, </w:t>
      </w:r>
      <w:r w:rsidR="00BB1D05" w:rsidRPr="00185BC0">
        <w:rPr>
          <w:sz w:val="28"/>
          <w:szCs w:val="28"/>
        </w:rPr>
        <w:t>ссылаются на литературные данные, где описаны виды остеотомии такие</w:t>
      </w:r>
      <w:r w:rsidR="00D60B37" w:rsidRPr="00185BC0">
        <w:rPr>
          <w:sz w:val="28"/>
          <w:szCs w:val="28"/>
          <w:lang w:val="kk-KZ"/>
        </w:rPr>
        <w:t>,</w:t>
      </w:r>
      <w:r w:rsidR="00BB1D05" w:rsidRPr="00185BC0">
        <w:rPr>
          <w:sz w:val="28"/>
          <w:szCs w:val="28"/>
        </w:rPr>
        <w:t xml:space="preserve"> как: проксимальная (</w:t>
      </w:r>
      <w:proofErr w:type="spellStart"/>
      <w:r w:rsidR="00BB1D05" w:rsidRPr="00185BC0">
        <w:rPr>
          <w:sz w:val="28"/>
          <w:szCs w:val="28"/>
        </w:rPr>
        <w:t>межвертельная</w:t>
      </w:r>
      <w:proofErr w:type="spellEnd"/>
      <w:r w:rsidR="00BB1D05" w:rsidRPr="00185BC0">
        <w:rPr>
          <w:sz w:val="28"/>
          <w:szCs w:val="28"/>
        </w:rPr>
        <w:t xml:space="preserve">), </w:t>
      </w:r>
      <w:proofErr w:type="spellStart"/>
      <w:r w:rsidR="00BB1D05" w:rsidRPr="00185BC0">
        <w:rPr>
          <w:sz w:val="28"/>
          <w:szCs w:val="28"/>
        </w:rPr>
        <w:t>подвертельная</w:t>
      </w:r>
      <w:proofErr w:type="spellEnd"/>
      <w:r w:rsidR="00BB1D05" w:rsidRPr="00185BC0">
        <w:rPr>
          <w:sz w:val="28"/>
          <w:szCs w:val="28"/>
        </w:rPr>
        <w:t xml:space="preserve"> сегментарная и дистальные (</w:t>
      </w:r>
      <w:proofErr w:type="spellStart"/>
      <w:r w:rsidR="00BB1D05" w:rsidRPr="00185BC0">
        <w:rPr>
          <w:sz w:val="28"/>
          <w:szCs w:val="28"/>
        </w:rPr>
        <w:t>надмыщелковая</w:t>
      </w:r>
      <w:proofErr w:type="spellEnd"/>
      <w:r w:rsidR="00BB1D05" w:rsidRPr="00185BC0">
        <w:rPr>
          <w:sz w:val="28"/>
          <w:szCs w:val="28"/>
        </w:rPr>
        <w:t>)</w:t>
      </w:r>
      <w:r w:rsidR="00B638A8" w:rsidRPr="00185BC0">
        <w:rPr>
          <w:sz w:val="28"/>
          <w:szCs w:val="28"/>
        </w:rPr>
        <w:t xml:space="preserve"> </w:t>
      </w:r>
      <w:r w:rsidR="00B638A8" w:rsidRPr="00185BC0">
        <w:rPr>
          <w:sz w:val="28"/>
          <w:szCs w:val="28"/>
          <w:lang w:val="kk-KZ"/>
        </w:rPr>
        <w:fldChar w:fldCharType="begin" w:fldLock="1"/>
      </w:r>
      <w:r w:rsidR="001D29A3" w:rsidRPr="00185BC0">
        <w:rPr>
          <w:sz w:val="28"/>
          <w:szCs w:val="28"/>
          <w:lang w:val="kk-KZ"/>
        </w:rPr>
        <w:instrText>ADDIN CSL_CITATION {"citationItems":[{"id":"ITEM-1","itemData":{"DOI":"10.5606/EHC.2020.74412","ISSN":"26874792","abstract":"Objectives: This study aims to report the physiological and radiological long-term results of total hip arthroplasty (THA) combined with or without subtrochanteric osteotomy in a group of developmental dysplasia of hip (DDH) patients. Patients and methods: This retrospective study included 90 hips of 59 patients (3 males, 56 females; mean age 45.7±10.9 years; range, 24 to 67 years) who underwent THA between January 1979 and March 2006. Thirteen patients needed subtrochanteric shortening. The evaluation was performed through Harris hip scores, physical examination, and radiological imaging. Results: The follow-up period ranged from 5 to 32 years, and the mean follow-up period was 10.3±6.4 years. Revision was required in 17 hips out of 90. Twelve revisions were needed because of aseptic loosening of femoral or acetabular component, three were for fracture of the femoral stem, and two for protrusio acetabuli. Four patients had transient nerve palsy, and one had permanent nerve function loss. In one patient, nonunion was observed around the femoral osteotomy site. Harris hip score was remarkably improved compared to top preoperative values (48 vs. 88.2, p&lt;0.01). Conclusion: Although revision rates tend to increase in long-term follow-up, THA is one of the best treatment options in DDH patients to relieve pain, improve daily activity levels, and minimize the damage of the knee and lumbar region.","author":[{"dropping-particle":"","family":"Alp","given":"Nazmi Bülent","non-dropping-particle":"","parse-names":false,"suffix":""},{"dropping-particle":"","family":"Akdağ","given":"Gökhan","non-dropping-particle":"","parse-names":false,"suffix":""},{"dropping-particle":"","family":"Erdoğan","given":"Fahri","non-dropping-particle":"","parse-names":false,"suffix":""}],"container-title":"Joint Diseases and Related Surgery","id":"ITEM-1","issue":"2","issued":{"date-parts":[["2020"]]},"title":"Long-term results of total hip arthroplasty in developmental dysplasia of hip patients","type":"article-journal","volume":"31"},"uris":["http://www.mendeley.com/documents/?uuid=b8770bbf-4e78-389d-837a-09793c1dddac"]},{"id":"ITEM-2","itemData":{"DOI":"10.1007/s00264-010-1001-0","ISSN":"03412695","abstract":"The aim of this study was to prospectively evaluate our single-centre one- and five-year results of anatomically correct cementless total hip arthroplasty in unilateral and bilateral Crowe type IV high hip dislocations in ten hips following iliofemoral monotube soft tissue distraction. Six consecutive patients (five females and one male) with unilateral and two female patients with bilateral high hip dislocation with an average age of 46 years and height of dislocation up to 110 mm were treated in our institution. Limb lengthening was achieved up to 100 mm. The mean leg-length-discrepancy was -4 mm postoperatively. Harris hip score increased significantly at one year (p&lt;0.001) and significantly further (p&lt;0.05) at five years postoperative. WOMAC, VAS pain scale as well as gait and pain-free walking distance also improved significantly at follow-up. Two pin infections and one temporary peroneal nerve palsy occurred during monotube extension. Three cup protrusions that required revision surgery were observed in two patients. This study shows that iliofemoral distraction prior to total hip replacement achieves leg length equality and improved gluteal function and therefore gait in patients with Crowe type IV hip dislocation. © 2010 Springer-Verlag.","author":[{"dropping-particle":"","family":"Holinka","given":"Johannes","non-dropping-particle":"","parse-names":false,"suffix":""},{"dropping-particle":"","family":"Pfeiffer","given":"Martin","non-dropping-particle":"","parse-names":false,"suffix":""},{"dropping-particle":"","family":"Hofstaetter","given":"Jochen G.","non-dropping-particle":"","parse-names":false,"suffix":""},{"dropping-particle":"","family":"Lass","given":"Richard","non-dropping-particle":"","parse-names":false,"suffix":""},{"dropping-particle":"","family":"Kotz","given":"Rainer I.","non-dropping-particle":"","parse-names":false,"suffix":""},{"dropping-particle":"","family":"Giurea","given":"Alexander","non-dropping-particle":"","parse-names":false,"suffix":""}],"container-title":"International Orthopaedics","id":"ITEM-2","issue":"5","issued":{"date-parts":[["2011"]]},"title":"Total hip replacement in congenital high hip dislocation following iliofemoral monotube distraction","type":"article-journal","volume":"35"},"uris":["http://www.mendeley.com/documents/?uuid=f766733d-5fc0-382c-b36a-3ffd8bb63724"]}],"mendeley":{"formattedCitation":"[65, 67]","plainTextFormattedCitation":"[65, 67]","previouslyFormattedCitation":"[65, 67]"},"properties":{"noteIndex":0},"schema":"https://github.com/citation-style-language/schema/raw/master/csl-citation.json"}</w:instrText>
      </w:r>
      <w:r w:rsidR="00B638A8" w:rsidRPr="00185BC0">
        <w:rPr>
          <w:sz w:val="28"/>
          <w:szCs w:val="28"/>
          <w:lang w:val="kk-KZ"/>
        </w:rPr>
        <w:fldChar w:fldCharType="separate"/>
      </w:r>
      <w:r w:rsidR="008A5983" w:rsidRPr="00185BC0">
        <w:rPr>
          <w:noProof/>
          <w:sz w:val="28"/>
          <w:szCs w:val="28"/>
          <w:lang w:val="kk-KZ"/>
        </w:rPr>
        <w:t>[65, 67]</w:t>
      </w:r>
      <w:r w:rsidR="00B638A8" w:rsidRPr="00185BC0">
        <w:rPr>
          <w:sz w:val="28"/>
          <w:szCs w:val="28"/>
          <w:lang w:val="kk-KZ"/>
        </w:rPr>
        <w:fldChar w:fldCharType="end"/>
      </w:r>
      <w:r w:rsidR="00BB1D05" w:rsidRPr="00185BC0">
        <w:rPr>
          <w:sz w:val="28"/>
          <w:szCs w:val="28"/>
        </w:rPr>
        <w:t xml:space="preserve">. Каждый из предложенных методов имеет как свои преимущества, так и недостатки. При выполнении </w:t>
      </w:r>
      <w:proofErr w:type="spellStart"/>
      <w:r w:rsidR="00BB1D05" w:rsidRPr="00185BC0">
        <w:rPr>
          <w:sz w:val="28"/>
          <w:szCs w:val="28"/>
        </w:rPr>
        <w:t>межвертельной</w:t>
      </w:r>
      <w:proofErr w:type="spellEnd"/>
      <w:r w:rsidR="00BB1D05" w:rsidRPr="00185BC0">
        <w:rPr>
          <w:sz w:val="28"/>
          <w:szCs w:val="28"/>
        </w:rPr>
        <w:t xml:space="preserve"> остеотомии можно столкнуться с ограничением укорочения и разрушением </w:t>
      </w:r>
      <w:proofErr w:type="spellStart"/>
      <w:r w:rsidR="00BB1D05" w:rsidRPr="00185BC0">
        <w:rPr>
          <w:sz w:val="28"/>
          <w:szCs w:val="28"/>
        </w:rPr>
        <w:t>метафиза</w:t>
      </w:r>
      <w:proofErr w:type="spellEnd"/>
      <w:r w:rsidR="00BB1D05" w:rsidRPr="00185BC0">
        <w:rPr>
          <w:sz w:val="28"/>
          <w:szCs w:val="28"/>
        </w:rPr>
        <w:t xml:space="preserve"> бедренной кости, а при </w:t>
      </w:r>
      <w:proofErr w:type="spellStart"/>
      <w:r w:rsidR="00BB1D05" w:rsidRPr="00185BC0">
        <w:rPr>
          <w:sz w:val="28"/>
          <w:szCs w:val="28"/>
        </w:rPr>
        <w:t>надмыщелковых</w:t>
      </w:r>
      <w:proofErr w:type="spellEnd"/>
      <w:r w:rsidR="00BB1D05" w:rsidRPr="00185BC0">
        <w:rPr>
          <w:sz w:val="28"/>
          <w:szCs w:val="28"/>
        </w:rPr>
        <w:t xml:space="preserve"> есть риск увеличения раневой поверхности и повторной операции, следовательно все больше внимание</w:t>
      </w:r>
      <w:r w:rsidR="00D60B37" w:rsidRPr="00185BC0">
        <w:rPr>
          <w:sz w:val="28"/>
          <w:szCs w:val="28"/>
          <w:lang w:val="kk-KZ"/>
        </w:rPr>
        <w:t xml:space="preserve"> следует </w:t>
      </w:r>
      <w:r w:rsidR="00BB1D05" w:rsidRPr="00185BC0">
        <w:rPr>
          <w:sz w:val="28"/>
          <w:szCs w:val="28"/>
        </w:rPr>
        <w:t xml:space="preserve">уделяет </w:t>
      </w:r>
      <w:proofErr w:type="spellStart"/>
      <w:r w:rsidR="00BB1D05" w:rsidRPr="00185BC0">
        <w:rPr>
          <w:sz w:val="28"/>
          <w:szCs w:val="28"/>
        </w:rPr>
        <w:t>подвертельным</w:t>
      </w:r>
      <w:proofErr w:type="spellEnd"/>
      <w:r w:rsidR="00BB1D05" w:rsidRPr="00185BC0">
        <w:rPr>
          <w:sz w:val="28"/>
          <w:szCs w:val="28"/>
        </w:rPr>
        <w:t xml:space="preserve"> остеотомиям</w:t>
      </w:r>
      <w:r w:rsidR="004053E8" w:rsidRPr="00185BC0">
        <w:rPr>
          <w:sz w:val="28"/>
          <w:szCs w:val="28"/>
        </w:rPr>
        <w:t xml:space="preserve"> </w:t>
      </w:r>
      <w:r w:rsidR="004053E8" w:rsidRPr="00185BC0">
        <w:rPr>
          <w:sz w:val="28"/>
          <w:szCs w:val="28"/>
          <w:lang w:val="kk-KZ"/>
        </w:rPr>
        <w:fldChar w:fldCharType="begin" w:fldLock="1"/>
      </w:r>
      <w:r w:rsidR="001D29A3" w:rsidRPr="00185BC0">
        <w:rPr>
          <w:sz w:val="28"/>
          <w:szCs w:val="28"/>
          <w:lang w:val="kk-KZ"/>
        </w:rPr>
        <w:instrText>ADDIN CSL_CITATION {"citationItems":[{"id":"ITEM-1","itemData":{"DOI":"10.4103/0019-5413.177575","ISSN":"19983727","abstract":"Background: Developmental dysplasia of the hip (DDH) in adults with severe pain and disability is best treated by total hip arthroplasty (THA). The purpose of this study was to retrospectively evaluate the outcomes of subtrochanteric shortening osteotomy combined with THA using S-ROM stem for those severe patients with a special focus on the effect of two shapes in the subtrochanteric osteotomy ends: Oblique and transverse. Materials and Methods: Twenty one cases with mean age of 43.6 years who met inclusion criteria and were operated between February 2007 and February 2012 were included in the study. Those cases had been divided into two groups (oblique vs. transverse) and all records between the two groups were analyzed. Results: The Harris hip score significantly improved from 30.6 (range 18-59) preoperatively to 91.2 (range 87-98) postoperatively by the latest followup. Complications including one deep venous thrombosis, one intraoperative fracture of femur and two dislocations occurred while they were addressed properly afterward. The oblique group showed significant advantages in operative time, union time and additional fixation in comparison with the transverse group. Conclusions: In the primary THA for the treatment of irreducible DDH, subtrochanteric oblique osteotomy combined with the freely-rotatable S-ROM stem provided favorable short term outcomes by affording both morphological and functional advantages.","author":[{"dropping-particle":"","family":"Li","given":"Liangtao","non-dropping-particle":"","parse-names":false,"suffix":""},{"dropping-particle":"","family":"Yu","given":"Mingyang","non-dropping-particle":"","parse-names":false,"suffix":""},{"dropping-particle":"","family":"Yang","given":"Chen","non-dropping-particle":"","parse-names":false,"suffix":""},{"dropping-particle":"","family":"Gu","given":"Guishan","non-dropping-particle":"","parse-names":false,"suffix":""}],"container-title":"Indian Journal of Orthopaedics","id":"ITEM-1","issue":"2","issued":{"date-parts":[["2016"]]},"title":"Total hip arthroplasty (S-ROM stem) and subtrochanteric osteotomy for Crowe type IV developmental dysplasia of the hip","type":"article-journal","volume":"50"},"uris":["http://www.mendeley.com/documents/?uuid=d0aab395-f0ec-3e64-a574-f7e24bd3b168"]}],"mendeley":{"formattedCitation":"[68]","plainTextFormattedCitation":"[68]","previouslyFormattedCitation":"[68]"},"properties":{"noteIndex":0},"schema":"https://github.com/citation-style-language/schema/raw/master/csl-citation.json"}</w:instrText>
      </w:r>
      <w:r w:rsidR="004053E8" w:rsidRPr="00185BC0">
        <w:rPr>
          <w:sz w:val="28"/>
          <w:szCs w:val="28"/>
          <w:lang w:val="kk-KZ"/>
        </w:rPr>
        <w:fldChar w:fldCharType="separate"/>
      </w:r>
      <w:r w:rsidR="008A5983" w:rsidRPr="00185BC0">
        <w:rPr>
          <w:noProof/>
          <w:sz w:val="28"/>
          <w:szCs w:val="28"/>
          <w:lang w:val="kk-KZ"/>
        </w:rPr>
        <w:t>[68]</w:t>
      </w:r>
      <w:r w:rsidR="004053E8" w:rsidRPr="00185BC0">
        <w:rPr>
          <w:sz w:val="28"/>
          <w:szCs w:val="28"/>
          <w:lang w:val="kk-KZ"/>
        </w:rPr>
        <w:fldChar w:fldCharType="end"/>
      </w:r>
      <w:r w:rsidR="00BB1D05" w:rsidRPr="00185BC0">
        <w:rPr>
          <w:sz w:val="28"/>
          <w:szCs w:val="28"/>
        </w:rPr>
        <w:t xml:space="preserve">. По литературным источникам самым безопасным и </w:t>
      </w:r>
      <w:proofErr w:type="spellStart"/>
      <w:r w:rsidR="00BB1D05" w:rsidRPr="00185BC0">
        <w:rPr>
          <w:sz w:val="28"/>
          <w:szCs w:val="28"/>
        </w:rPr>
        <w:t>распростроненным</w:t>
      </w:r>
      <w:proofErr w:type="spellEnd"/>
      <w:r w:rsidR="00BB1D05" w:rsidRPr="00185BC0">
        <w:rPr>
          <w:sz w:val="28"/>
          <w:szCs w:val="28"/>
        </w:rPr>
        <w:t xml:space="preserve">  вариантом считается </w:t>
      </w:r>
      <w:proofErr w:type="spellStart"/>
      <w:r w:rsidR="00BB1D05" w:rsidRPr="00185BC0">
        <w:rPr>
          <w:sz w:val="28"/>
          <w:szCs w:val="28"/>
        </w:rPr>
        <w:t>подвертельная</w:t>
      </w:r>
      <w:proofErr w:type="spellEnd"/>
      <w:r w:rsidR="00BB1D05" w:rsidRPr="00185BC0">
        <w:rPr>
          <w:sz w:val="28"/>
          <w:szCs w:val="28"/>
        </w:rPr>
        <w:t xml:space="preserve"> остеотомия</w:t>
      </w:r>
      <w:r w:rsidR="007E60CC" w:rsidRPr="00185BC0">
        <w:rPr>
          <w:sz w:val="28"/>
          <w:szCs w:val="28"/>
          <w:lang w:val="kk-KZ"/>
        </w:rPr>
        <w:t xml:space="preserve"> </w:t>
      </w:r>
      <w:r w:rsidR="004053E8" w:rsidRPr="00185BC0">
        <w:rPr>
          <w:sz w:val="28"/>
          <w:szCs w:val="28"/>
          <w:lang w:val="kk-KZ"/>
        </w:rPr>
        <w:fldChar w:fldCharType="begin" w:fldLock="1"/>
      </w:r>
      <w:r w:rsidR="001D29A3" w:rsidRPr="00185BC0">
        <w:rPr>
          <w:sz w:val="28"/>
          <w:szCs w:val="28"/>
          <w:lang w:val="kk-KZ"/>
        </w:rPr>
        <w:instrText>ADDIN CSL_CITATION {"citationItems":[{"id":"ITEM-1","itemData":{"DOI":"10.2106/JBJS.N.00061","ISSN":"15351386","abstract":"We previously reported the five to twelve-year results of total hip arthroplasty with an uncemented acetabular component and an autogenous femoral head graft in forty-four consecutive hips with developmental dysplasia. The goal of the present study was to report the implant survival rate, status of bone grafts, and clinical outcomes in thirty-five of these hips (in twenty-nine patients) followed for a mean of 21.3 years. Functional, radiographic, and survivorship results were examined. Radiographic analysis revealed an average cup inclination angle of 43° and a mean arc of cup coverage by the graft of 30°. The twenty-year survivorship free from acetabular revision was 66% (twelve acetabular revisions; eight since our previous report). Of the twelve revisions, nine were for liner wear and/or osteolysis, one was for a liner fracture, one was for aseptic loosening, and one was for instability. All bone grafts healed to the pelvis. The graft facilitated revision cup placement as no additional structural grafts or metal augments were required. We concluded that an uncemented porous-coated socket used in conjunction with a bulk femoral head autograft provides good long-term fixation and restores bone stock.","author":[{"dropping-particle":"","family":"Abdel","given":"Matthew P.","non-dropping-particle":"","parse-names":false,"suffix":""},{"dropping-particle":"","family":"Stryker","given":"Louis S.","non-dropping-particle":"","parse-names":false,"suffix":""},{"dropping-particle":"","family":"Trousdale","given":"Robert T.","non-dropping-particle":"","parse-names":false,"suffix":""},{"dropping-particle":"","family":"Berry","given":"Daniel J.","non-dropping-particle":"","parse-names":false,"suffix":""},{"dropping-particle":"","family":"Cabanela","given":"Miguel E.","non-dropping-particle":"","parse-names":false,"suffix":""}],"container-title":"Journal of Bone and Joint Surgery - American Volume","id":"ITEM-1","issue":"22","issued":{"date-parts":[["2014"]]},"title":"Uncemented acetabular components with femoral head autograft for acetabular reconstruction in developmental dysplasia of the hip: A concise follow-up report at a mean of twenty years","type":"article-journal","volume":"96"},"uris":["http://www.mendeley.com/documents/?uuid=1f91fcaa-c63f-3f23-865d-68071aebdd7c"]},{"id":"ITEM-2","itemData":{"DOI":"10.3325/cmj.2020.61.260","ISSN":"13328166","abstract":"Developmental dysplasia of the hip (DDH) represents a morphological abnormality characterized by the incongruity of femoral head and acetabulum. It ranges from mild dysplastic changes to complete dislocation. DDH has been associated with several hereditary and environmental risk factors, which could explain the incidence variability among different countries. Numerous genes may be involved in the disease etiology and progression. However, there are controversies in the literature regarding some of these genes. DDH-induced secondary osteoarthritis (OA) is characterized by changes in the macromolecule content of the cartilage and the expression of cartilage degradation markers. In addition, it exhibits a pattern of specific histological changes, with several reported differences between primary and DDH-induced secondary OA. The articular cartilage of patients with DDH shows specific radiological characteristics, including changes visible already in infancy, but also at pre-arthritic stages, early stages of OA, and in fully developed DDH-induced secondary OA. Although DDH has been extensively researched in different disease stages, the etiology of the disorder still remains uncertain. This review focuses on the current knowledge on the histomorphological status of the cartilage and the genetic background of DDH.","author":[{"dropping-particle":"","family":"Bohaček","given":"Ivan","non-dropping-particle":"","parse-names":false,"suffix":""},{"dropping-particle":"","family":"Plečko","given":"Mihovil","non-dropping-particle":"","parse-names":false,"suffix":""},{"dropping-particle":"","family":"Duvančić","given":"Tea","non-dropping-particle":"","parse-names":false,"suffix":""},{"dropping-particle":"","family":"Smoljanović","given":"Tomislav","non-dropping-particle":"","parse-names":false,"suffix":""},{"dropping-particle":"","family":"Barišić","given":"Andreja Vukasović","non-dropping-particle":"","parse-names":false,"suffix":""},{"dropping-particle":"","family":"Delimar","given":"Domagoj","non-dropping-particle":"","parse-names":false,"suffix":""}],"container-title":"Croatian Medical Journal","id":"ITEM-2","issue":"3","issued":{"date-parts":[["2020"]]},"title":"Current knowledge on the genetic background of developmental dysplasia of the hip and the histomorphological status of the cartilage","type":"article","volume":"61"},"uris":["http://www.mendeley.com/documents/?uuid=5c53e297-ab91-3ebf-93fa-64dfd11a1610"]},{"id":"ITEM-3","itemData":{"DOI":"10.1016/j.arth.2013.09.004","ISSN":"15328406","abstract":"Safe reduction of the femoral head into the true acetabulum requires a certain amount of femoral shortening in patients with high dislocation of the hip. In subtrochanteric shortening applications, to reduce complications it is necessary to maintain a stable fixation at the osteotomy line. The purpose of this study is to investigate frequently used methods from a biomechanical point of view. Four osteotomy groups were created with composite femurs to investigate subtrochanteric osteotomies; transverse, oblique, z-subtrochanteric and double Chevron. All loading tests were carried out with two implant types both with and without strut graft and cable fixation. No single inherent feature increasing the stability of the investigated osteotomy types was found. Additionally graft application did not have a significant contribution to stability. © 2014 Elsevier Inc.","author":[{"dropping-particle":"","family":"Muratli","given":"Kivanc S.","non-dropping-particle":"","parse-names":false,"suffix":""},{"dropping-particle":"","family":"Karatosun","given":"Vasfi","non-dropping-particle":"","parse-names":false,"suffix":""},{"dropping-particle":"","family":"Uzun","given":"Bora","non-dropping-particle":"","parse-names":false,"suffix":""},{"dropping-particle":"","family":"Celik","given":"Salih","non-dropping-particle":"","parse-names":false,"suffix":""}],"container-title":"Journal of Arthroplasty","id":"ITEM-3","issue":"4","issued":{"date-parts":[["2014"]]},"title":"Subtrochanteric Shortening in Total Hip Arthroplasty: Biomechanical Comparison of Four Techniques","type":"article-journal","volume":"29"},"uris":["http://www.mendeley.com/documents/?uuid=d4070cbb-c701-3f06-8d17-c7b499ac7b22"]}],"mendeley":{"formattedCitation":"[15, 69, 70]","plainTextFormattedCitation":"[15, 69, 70]","previouslyFormattedCitation":"[15, 69, 70]"},"properties":{"noteIndex":0},"schema":"https://github.com/citation-style-language/schema/raw/master/csl-citation.json"}</w:instrText>
      </w:r>
      <w:r w:rsidR="004053E8" w:rsidRPr="00185BC0">
        <w:rPr>
          <w:sz w:val="28"/>
          <w:szCs w:val="28"/>
          <w:lang w:val="kk-KZ"/>
        </w:rPr>
        <w:fldChar w:fldCharType="separate"/>
      </w:r>
      <w:r w:rsidR="008A5983" w:rsidRPr="00185BC0">
        <w:rPr>
          <w:noProof/>
          <w:sz w:val="28"/>
          <w:szCs w:val="28"/>
          <w:lang w:val="kk-KZ"/>
        </w:rPr>
        <w:t>[15, 69, 70]</w:t>
      </w:r>
      <w:r w:rsidR="004053E8" w:rsidRPr="00185BC0">
        <w:rPr>
          <w:sz w:val="28"/>
          <w:szCs w:val="28"/>
          <w:lang w:val="kk-KZ"/>
        </w:rPr>
        <w:fldChar w:fldCharType="end"/>
      </w:r>
      <w:r w:rsidR="00BB1D05" w:rsidRPr="00185BC0">
        <w:rPr>
          <w:sz w:val="28"/>
          <w:szCs w:val="28"/>
        </w:rPr>
        <w:t xml:space="preserve">. Существует разные виды </w:t>
      </w:r>
      <w:proofErr w:type="spellStart"/>
      <w:r w:rsidR="00BB1D05" w:rsidRPr="00185BC0">
        <w:rPr>
          <w:sz w:val="28"/>
          <w:szCs w:val="28"/>
        </w:rPr>
        <w:t>подвертельных</w:t>
      </w:r>
      <w:proofErr w:type="spellEnd"/>
      <w:r w:rsidR="00BB1D05" w:rsidRPr="00185BC0">
        <w:rPr>
          <w:sz w:val="28"/>
          <w:szCs w:val="28"/>
        </w:rPr>
        <w:t xml:space="preserve"> остеотомий: поперечные, косые, ступенчатые (Z-образные), двойные шевронные (V-образный), сигмовидные </w:t>
      </w:r>
      <w:r w:rsidR="004053E8" w:rsidRPr="00185BC0">
        <w:rPr>
          <w:sz w:val="28"/>
          <w:szCs w:val="28"/>
        </w:rPr>
        <w:fldChar w:fldCharType="begin" w:fldLock="1"/>
      </w:r>
      <w:r w:rsidR="001D29A3" w:rsidRPr="00185BC0">
        <w:rPr>
          <w:sz w:val="28"/>
          <w:szCs w:val="28"/>
        </w:rPr>
        <w:instrText>ADDIN CSL_CITATION {"citationItems":[{"id":"ITEM-1","itemData":{"DOI":"10.1007/s00776-011-0049-z","ISSN":"14362023","abstract":"Background Total hip arthroplasty (THA) for the treatment of severe dislocation of the hip is a technically demanding procedure. In most previous reports, techniques and clinical outcomes using cementless prostheses are widely reported, but there have been few reports on the technique and outcomes using cemented prostheses. The purpose of this study was to evaluate the outcomes of a cemented THA with a simultaneous subtrochanteric femoral shortening transverse osteotomy in patients with Crowe type III or IV developmental dysplasia of the hip. Methods We retrospectively reviewed 15 hips in 11 patients who underwent cemented THA with subtrochanteric femoral shortening transverse osteotomy and with placement of the acetabular component at the level of the anatomic hip center. Patients were evaluated preoperatively and postoperatively with the Merle d'Aubigné and Postel hip score. Radiographic examination was performed to evaluate the level of the femoral osteotomy site, of the radiographic leg lengthening, and of bone union. Results The clinical evaluation by the Merle d'Aubigné and Postel hip score was improved from 8.1 ± 2.5 preoperatively to 15.1 ± 1.3 at the time of final follow-up. Radiographic evidence of bone union at the osteotomy site appeared at more than 6 months after operation. Moreover, there were 3 (20%) nonunions that needed reoperation. No acetabular and femoral components exhibited radiological loosening at the time of final follow-up. In addition, one delayed union causing thigh pain was treated with low-intensity pulsed ultrasound that accelerated bone formation. Conclusion Our results in this study indicate that we should prevent instability at the transverse osteotomy site and an adequate intercalary cortical bone graft is needed to prevent nonunion in cemented THA combined with a subtrochanteric femoral shortening transverse osteotomy. We should apply this procedure with caution in patients, especially those who show less potential bone formation activity. © The Japanese Orthopaedic Association 2011.","author":[{"dropping-particle":"","family":"Akiyama","given":"Haruhiko","non-dropping-particle":"","parse-names":false,"suffix":""},{"dropping-particle":"","family":"Kawanabe","given":"Keiichi","non-dropping-particle":"","parse-names":false,"suffix":""},{"dropping-particle":"","family":"Yamamoto","given":"Koji","non-dropping-particle":"","parse-names":false,"suffix":""},{"dropping-particle":"","family":"Kuroda","given":"Yutaka","non-dropping-particle":"","parse-names":false,"suffix":""},{"dropping-particle":"","family":"So","given":"Kazutaka","non-dropping-particle":"","parse-names":false,"suffix":""},{"dropping-particle":"","family":"Goto","given":"Koji","non-dropping-particle":"","parse-names":false,"suffix":""},{"dropping-particle":"","family":"Nakamura","given":"Takashi","non-dropping-particle":"","parse-names":false,"suffix":""}],"container-title":"Journal of Orthopaedic Science","id":"ITEM-1","issue":"3","issued":{"date-parts":[["2011"]]},"title":"Cemented total hip arthroplasty with subtrochanteric femoral shortening transverse osteotomy for severely dislocated hips: Outcome with a 3- to 10-year follow-up period","type":"article-journal","volume":"16"},"uris":["http://www.mendeley.com/documents/?uuid=08c0c963-3108-3b95-83ec-641621cdb1fa"]},{"id":"ITEM-2","itemData":{"DOI":"10.1177/1120700020957990","ISSN":"17246067","abstract":"Background: Subtrochanteric femoral shortening is used during total hip arthroplasty for high hip dislocation in developmental dysplasia of hip patients. Methods: We mechanically tested the stability of various commonly used subtrochanteric osteotomy techniques. As the equivalent of a femoral stem placed in a shortened femur without any stable fixation at the osteotomy line, 2 polyvinylchloride pipes were loosely intertwined. 4 different osteotomies (Z-subtrochanteric osteotomy, oblique-45° osteotomy, double Chevron-90° and 120° subtrochanteric osteotomy) were simulated. Torsional and axial loads were applied, and torsional stiffness was calculated for each test model. Results: Z, double Chevron-90° and 120° subtrochanteric osteotomy models demonstrated lower mean torsional stiffness than oblique-45° osteotomy. With the highest torsional stiffness oblique-45° provides the best stability for treatment of high dislocation hips when a subtrochanteric osteotomy is added. Conclusions: This matches our previous clinical experience. Oblique osteotomy may also provide higher contact surfaces in the osteotomy lines to promote bone healing.","author":[{"dropping-particle":"","family":"Atlihan","given":"Dogan","non-dropping-particle":"","parse-names":false,"suffix":""},{"dropping-particle":"","family":"Yildirim","given":"Cem","non-dropping-particle":"","parse-names":false,"suffix":""},{"dropping-particle":"","family":"Muratoglu","given":"Osman Gorkem","non-dropping-particle":"","parse-names":false,"suffix":""},{"dropping-particle":"","family":"Muslu","given":"Duran Can","non-dropping-particle":"","parse-names":false,"suffix":""},{"dropping-particle":"","family":"Tokgözoğlu","given":"Mazhar","non-dropping-particle":"","parse-names":false,"suffix":""},{"dropping-particle":"","family":"Bayir","given":"Dilara","non-dropping-particle":"","parse-names":false,"suffix":""},{"dropping-particle":"","family":"Bozdag","given":"Ergun","non-dropping-particle":"","parse-names":false,"suffix":""}],"container-title":"HIP International","id":"ITEM-2","issue":"3","issued":{"date-parts":[["2022"]]},"title":"An oblique osteotomy is better for subtrochanteric shortening in total hip arthroplasty for high hip dislocation: a mechanical comparison of four techniques","type":"article-journal","volume":"32"},"uris":["http://www.mendeley.com/documents/?uuid=559997ca-d4d9-30a3-8a98-9682fee3d03f"]},{"id":"ITEM-3","itemData":{"DOI":"10.1016/j.arth.2015.01.045","ISSN":"15328406","abstract":"The purpose of this study was to review the outcomes of transverse subtrochanteric shortening osteotomy during cementless total hip arthroplasty in Crowe Type-III or IV developmental dysplasia. Seventy-three osteotomies were included in our study. Mean follow-up was 61. months. Harris hip score, leg length discrepancy, neurological status, union status of the osteotomy, and femoral component stability were the criteria for evaluation. All complications were noted. The mean Harris hip score improved from 38.6 points to 83.7 points. The mean leg length discrepancy decreased from 56.5. mm to 10.7 at the latest follow-up. The mean union time was 5.2. months. We observed 4 non-unions. Transverse subtrochanteric shortening osteotomy is an effective and reliable method in restoration of a more normal limb.","author":[{"dropping-particle":"","family":"Sofu","given":"Hakan","non-dropping-particle":"","parse-names":false,"suffix":""},{"dropping-particle":"","family":"Kockara","given":"Nizamettin","non-dropping-particle":"","parse-names":false,"suffix":""},{"dropping-particle":"","family":"Gursu","given":"Sarper","non-dropping-particle":"","parse-names":false,"suffix":""},{"dropping-particle":"","family":"Issin","given":"Ahmet","non-dropping-particle":"","parse-names":false,"suffix":""},{"dropping-particle":"","family":"Oner","given":"Ali","non-dropping-particle":"","parse-names":false,"suffix":""},{"dropping-particle":"","family":"Sahin","given":"Vedat","non-dropping-particle":"","parse-names":false,"suffix":""}],"container-title":"Journal of Arthroplasty","id":"ITEM-3","issue":"6","issued":{"date-parts":[["2015"]]},"title":"Transverse Subtrochanteric Shortening Osteotomy During Cementless Total Hip Arthroplasty in Crowe Type-III or IV Developmental Dysplasia","type":"article-journal","volume":"30"},"uris":["http://www.mendeley.com/documents/?uuid=7e2cf486-7204-3087-ae48-f04d22e9b017"]},{"id":"ITEM-4","itemData":{"DOI":"10.1016/j.jos.2016.04.015","ISSN":"14362023","abstract":"Background Various types of shortening osteotomies and prosthesis are used for femoral reconstruction in total hip arthroplasty of the high hip dislocation. This biomechanical study investigates whether step-cut osteotomies result in better stability than oblique osteotomies and cylindrical femoral stems enhance stability of the osteotomy more than conical stems, and which osteotomy and prosthesis type maintain the stability better after cyclical loading. Methods Oblique and step-cut shortening osteotomies were compared under axial and rotational forces, using synthetic femur models and conical or cylindrical femoral prostheses. The models underwent cyclic loading for 10,000 cycles at 3 Hz (100–1000 N axial bending or 0.5–10 Nm torque). After the completion of cyclic loading, the models were loaded until failure. Stiffness values before and after cyclical loading, and failure loads were the outcome parameters. Relative displacements at the osteotomy sites were also measured using 3-Dimensions Digital Imaging Correlation System. Results The mean failure load was significantly higher in conical prosthesis groups under axial forces. In torsion tests, the mean stiffness of conical prosthesis groups after cyclical loading was higher in oblique osteotomies. The other parameters were similar between the groups. Conclusions According to the results of the study, although some individual statistically significant parameters were obtained, step-cut osteotomies, which are technically challenging procedures, were not found biomechanically superior to oblique osteotomies, with neither conical nor cylindrical prostheses.","author":[{"dropping-particle":"","family":"Yıldız","given":"Fatih","non-dropping-particle":"","parse-names":false,"suffix":""},{"dropping-particle":"","family":"Kılıçoğlu","given":"Önder","non-dropping-particle":"","parse-names":false,"suffix":""},{"dropping-particle":"","family":"Dikmen","given":"Göksel","non-dropping-particle":"","parse-names":false,"suffix":""},{"dropping-particle":"","family":"Bozdağ","given":"Ergun","non-dropping-particle":"","parse-names":false,"suffix":""},{"dropping-particle":"","family":"Sünbüloğlu","given":"Emin","non-dropping-particle":"","parse-names":false,"suffix":""},{"dropping-particle":"","family":"Tuna","given":"Meral","non-dropping-particle":"","parse-names":false,"suffix":""}],"container-title":"Journal of Orthopaedic Science","id":"ITEM-4","issue":"5","issued":{"date-parts":[["2016"]]},"title":"Biomechanical comparison of oblique and step-cut osteotomies used in total hip arthroplasty with femoral shortening","type":"article-journal","volume":"21"},"uris":["http://www.mendeley.com/documents/?uuid=26bd99a5-2cdc-36bd-8b3d-540cbdd8357d"]}],"mendeley":{"formattedCitation":"[52, 71–73]","plainTextFormattedCitation":"[52, 71–73]","previouslyFormattedCitation":"[52, 71–73]"},"properties":{"noteIndex":0},"schema":"https://github.com/citation-style-language/schema/raw/master/csl-citation.json"}</w:instrText>
      </w:r>
      <w:r w:rsidR="004053E8" w:rsidRPr="00185BC0">
        <w:rPr>
          <w:sz w:val="28"/>
          <w:szCs w:val="28"/>
        </w:rPr>
        <w:fldChar w:fldCharType="separate"/>
      </w:r>
      <w:r w:rsidR="008A5983" w:rsidRPr="00185BC0">
        <w:rPr>
          <w:noProof/>
          <w:sz w:val="28"/>
          <w:szCs w:val="28"/>
        </w:rPr>
        <w:t>[52, 71–73]</w:t>
      </w:r>
      <w:r w:rsidR="004053E8" w:rsidRPr="00185BC0">
        <w:rPr>
          <w:sz w:val="28"/>
          <w:szCs w:val="28"/>
        </w:rPr>
        <w:fldChar w:fldCharType="end"/>
      </w:r>
      <w:r w:rsidR="00426487" w:rsidRPr="00185BC0">
        <w:rPr>
          <w:sz w:val="28"/>
          <w:szCs w:val="28"/>
          <w:lang w:val="kk-KZ"/>
        </w:rPr>
        <w:t xml:space="preserve"> </w:t>
      </w:r>
      <w:r w:rsidR="00BB1D05" w:rsidRPr="00185BC0">
        <w:rPr>
          <w:sz w:val="28"/>
          <w:szCs w:val="28"/>
        </w:rPr>
        <w:t xml:space="preserve">(рисунок 5). </w:t>
      </w:r>
    </w:p>
    <w:p w14:paraId="18B44CA3" w14:textId="77777777" w:rsidR="00D60B37" w:rsidRPr="00185BC0" w:rsidRDefault="00D60B37" w:rsidP="00BB1D05">
      <w:pPr>
        <w:ind w:firstLine="709"/>
        <w:jc w:val="both"/>
        <w:rPr>
          <w:sz w:val="28"/>
          <w:szCs w:val="28"/>
        </w:rPr>
      </w:pPr>
    </w:p>
    <w:p w14:paraId="5002F3F6" w14:textId="14A421FC" w:rsidR="00D60B37" w:rsidRPr="00185BC0" w:rsidRDefault="00D60B37" w:rsidP="00D60B37">
      <w:pPr>
        <w:jc w:val="both"/>
        <w:rPr>
          <w:sz w:val="28"/>
          <w:szCs w:val="28"/>
        </w:rPr>
      </w:pPr>
      <w:r w:rsidRPr="00185BC0">
        <w:rPr>
          <w:noProof/>
          <w:sz w:val="28"/>
          <w:szCs w:val="28"/>
        </w:rPr>
        <w:drawing>
          <wp:inline distT="0" distB="0" distL="0" distR="0" wp14:anchorId="77B874EB" wp14:editId="54733DAD">
            <wp:extent cx="6120130" cy="1559560"/>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1559560"/>
                    </a:xfrm>
                    <a:prstGeom prst="rect">
                      <a:avLst/>
                    </a:prstGeom>
                  </pic:spPr>
                </pic:pic>
              </a:graphicData>
            </a:graphic>
          </wp:inline>
        </w:drawing>
      </w:r>
    </w:p>
    <w:p w14:paraId="21FDC6ED" w14:textId="296264BB" w:rsidR="00BB1D05" w:rsidRPr="00185BC0" w:rsidRDefault="00BB1D05" w:rsidP="00BB1D05">
      <w:pPr>
        <w:ind w:firstLine="709"/>
        <w:jc w:val="both"/>
        <w:rPr>
          <w:sz w:val="28"/>
          <w:szCs w:val="28"/>
        </w:rPr>
      </w:pPr>
    </w:p>
    <w:p w14:paraId="630C4E6C" w14:textId="521E87DC" w:rsidR="00BB1D05" w:rsidRPr="00185BC0" w:rsidRDefault="00E51952" w:rsidP="00EF5D1F">
      <w:pPr>
        <w:tabs>
          <w:tab w:val="left" w:pos="2258"/>
          <w:tab w:val="center" w:pos="4677"/>
        </w:tabs>
        <w:ind w:firstLine="142"/>
        <w:jc w:val="center"/>
        <w:rPr>
          <w:iCs/>
          <w:sz w:val="28"/>
          <w:szCs w:val="28"/>
        </w:rPr>
      </w:pPr>
      <w:r w:rsidRPr="00185BC0">
        <w:rPr>
          <w:iCs/>
          <w:sz w:val="28"/>
          <w:szCs w:val="28"/>
          <w:lang w:val="kk-KZ"/>
        </w:rPr>
        <w:t xml:space="preserve">Рисунок 5 – </w:t>
      </w:r>
      <w:r w:rsidR="00621FF2" w:rsidRPr="00185BC0">
        <w:rPr>
          <w:iCs/>
          <w:sz w:val="28"/>
          <w:szCs w:val="28"/>
        </w:rPr>
        <w:t xml:space="preserve">Хирургические варианты </w:t>
      </w:r>
      <w:proofErr w:type="spellStart"/>
      <w:r w:rsidR="00621FF2" w:rsidRPr="00185BC0">
        <w:rPr>
          <w:iCs/>
          <w:sz w:val="28"/>
          <w:szCs w:val="28"/>
        </w:rPr>
        <w:t>подвертельной</w:t>
      </w:r>
      <w:proofErr w:type="spellEnd"/>
      <w:r w:rsidR="00621FF2" w:rsidRPr="00185BC0">
        <w:rPr>
          <w:iCs/>
          <w:sz w:val="28"/>
          <w:szCs w:val="28"/>
        </w:rPr>
        <w:t xml:space="preserve"> укорачивающей остеотомии бедренной кости, применяемые при высоком вывихе бедра</w:t>
      </w:r>
    </w:p>
    <w:p w14:paraId="6A297819" w14:textId="60CFCEAF" w:rsidR="00BB1D05" w:rsidRPr="00185BC0" w:rsidRDefault="00621FF2" w:rsidP="003E1719">
      <w:pPr>
        <w:tabs>
          <w:tab w:val="left" w:pos="2258"/>
          <w:tab w:val="center" w:pos="4677"/>
        </w:tabs>
        <w:ind w:firstLine="142"/>
        <w:jc w:val="center"/>
        <w:rPr>
          <w:iCs/>
          <w:sz w:val="28"/>
          <w:szCs w:val="28"/>
          <w:lang w:val="kk-KZ"/>
        </w:rPr>
      </w:pPr>
      <w:r w:rsidRPr="00185BC0">
        <w:rPr>
          <w:iCs/>
          <w:sz w:val="28"/>
          <w:szCs w:val="28"/>
          <w:lang w:val="kk-KZ"/>
        </w:rPr>
        <w:t>A) дисплазия тазобедренного сустава IV типа по Crowe;</w:t>
      </w:r>
      <w:r w:rsidR="003E1719" w:rsidRPr="00185BC0">
        <w:rPr>
          <w:iCs/>
          <w:sz w:val="28"/>
          <w:szCs w:val="28"/>
          <w:lang w:val="kk-KZ"/>
        </w:rPr>
        <w:t xml:space="preserve"> </w:t>
      </w:r>
      <w:r w:rsidR="00D60B37" w:rsidRPr="00185BC0">
        <w:rPr>
          <w:iCs/>
          <w:sz w:val="28"/>
          <w:szCs w:val="28"/>
          <w:lang w:val="kk-KZ"/>
        </w:rPr>
        <w:t>Б</w:t>
      </w:r>
      <w:r w:rsidRPr="00185BC0">
        <w:rPr>
          <w:iCs/>
          <w:sz w:val="28"/>
          <w:szCs w:val="28"/>
          <w:lang w:val="kk-KZ"/>
        </w:rPr>
        <w:t>) косая остеотомия;</w:t>
      </w:r>
      <w:r w:rsidR="003E1719" w:rsidRPr="00185BC0">
        <w:rPr>
          <w:iCs/>
          <w:sz w:val="28"/>
          <w:szCs w:val="28"/>
          <w:lang w:val="kk-KZ"/>
        </w:rPr>
        <w:t xml:space="preserve"> </w:t>
      </w:r>
      <w:r w:rsidR="00D60B37" w:rsidRPr="00185BC0">
        <w:rPr>
          <w:iCs/>
          <w:sz w:val="28"/>
          <w:szCs w:val="28"/>
          <w:lang w:val="kk-KZ"/>
        </w:rPr>
        <w:t>В</w:t>
      </w:r>
      <w:r w:rsidRPr="00185BC0">
        <w:rPr>
          <w:iCs/>
          <w:sz w:val="28"/>
          <w:szCs w:val="28"/>
          <w:lang w:val="kk-KZ"/>
        </w:rPr>
        <w:t>) поперечная остеотомия;</w:t>
      </w:r>
      <w:r w:rsidR="003E1719" w:rsidRPr="00185BC0">
        <w:rPr>
          <w:iCs/>
          <w:sz w:val="28"/>
          <w:szCs w:val="28"/>
          <w:lang w:val="kk-KZ"/>
        </w:rPr>
        <w:t xml:space="preserve"> </w:t>
      </w:r>
      <w:r w:rsidR="00D60B37" w:rsidRPr="00185BC0">
        <w:rPr>
          <w:iCs/>
          <w:sz w:val="28"/>
          <w:szCs w:val="28"/>
          <w:lang w:val="kk-KZ"/>
        </w:rPr>
        <w:t>Г</w:t>
      </w:r>
      <w:r w:rsidRPr="00185BC0">
        <w:rPr>
          <w:iCs/>
          <w:sz w:val="28"/>
          <w:szCs w:val="28"/>
          <w:lang w:val="kk-KZ"/>
        </w:rPr>
        <w:t>) ступенчатая (Z-образная) остеотомия;</w:t>
      </w:r>
      <w:r w:rsidR="003E1719" w:rsidRPr="00185BC0">
        <w:rPr>
          <w:iCs/>
          <w:sz w:val="28"/>
          <w:szCs w:val="28"/>
          <w:lang w:val="kk-KZ"/>
        </w:rPr>
        <w:t xml:space="preserve"> </w:t>
      </w:r>
      <w:r w:rsidR="00D60B37" w:rsidRPr="00185BC0">
        <w:rPr>
          <w:iCs/>
          <w:sz w:val="28"/>
          <w:szCs w:val="28"/>
          <w:lang w:val="kk-KZ"/>
        </w:rPr>
        <w:t>Д</w:t>
      </w:r>
      <w:r w:rsidRPr="00185BC0">
        <w:rPr>
          <w:iCs/>
          <w:sz w:val="28"/>
          <w:szCs w:val="28"/>
          <w:lang w:val="kk-KZ"/>
        </w:rPr>
        <w:t>) двойная шевронная (V-образная) остеотомия</w:t>
      </w:r>
      <w:r w:rsidR="00D60B37" w:rsidRPr="00185BC0">
        <w:rPr>
          <w:iCs/>
          <w:sz w:val="28"/>
          <w:szCs w:val="28"/>
          <w:lang w:val="kk-KZ"/>
        </w:rPr>
        <w:t xml:space="preserve"> </w:t>
      </w:r>
      <w:r w:rsidR="000B606C" w:rsidRPr="00185BC0">
        <w:rPr>
          <w:iCs/>
          <w:sz w:val="28"/>
          <w:szCs w:val="28"/>
        </w:rPr>
        <w:fldChar w:fldCharType="begin" w:fldLock="1"/>
      </w:r>
      <w:r w:rsidR="001D29A3" w:rsidRPr="00185BC0">
        <w:rPr>
          <w:iCs/>
          <w:sz w:val="28"/>
          <w:szCs w:val="28"/>
        </w:rPr>
        <w:instrText>ADDIN CSL_CITATION {"citationItems":[{"id":"ITEM-1","itemData":{"ISBN":"9786018225222","id":"ITEM-1","issued":{"date-parts":[["2025"]]},"title":"Методика фиксации зоны подвертельной укорачивающей остеотомии при тэтс дисплазии тазобедренного сустава отечественными пластинами","type":"book"},"uris":["http://www.mendeley.com/documents/?uuid=486b762e-1e29-4c72-a955-0f593a9b5d8d"]}],"mendeley":{"formattedCitation":"[74]","plainTextFormattedCitation":"[74]","previouslyFormattedCitation":"[74]"},"properties":{"noteIndex":0},"schema":"https://github.com/citation-style-language/schema/raw/master/csl-citation.json"}</w:instrText>
      </w:r>
      <w:r w:rsidR="000B606C" w:rsidRPr="00185BC0">
        <w:rPr>
          <w:iCs/>
          <w:sz w:val="28"/>
          <w:szCs w:val="28"/>
        </w:rPr>
        <w:fldChar w:fldCharType="separate"/>
      </w:r>
      <w:r w:rsidR="008A5983" w:rsidRPr="00185BC0">
        <w:rPr>
          <w:iCs/>
          <w:noProof/>
          <w:sz w:val="28"/>
          <w:szCs w:val="28"/>
        </w:rPr>
        <w:t>[74]</w:t>
      </w:r>
      <w:r w:rsidR="000B606C" w:rsidRPr="00185BC0">
        <w:rPr>
          <w:iCs/>
          <w:sz w:val="28"/>
          <w:szCs w:val="28"/>
        </w:rPr>
        <w:fldChar w:fldCharType="end"/>
      </w:r>
    </w:p>
    <w:p w14:paraId="53F14261" w14:textId="77777777" w:rsidR="00BB1D05" w:rsidRPr="00185BC0" w:rsidRDefault="00BB1D05" w:rsidP="00BB1D05">
      <w:pPr>
        <w:tabs>
          <w:tab w:val="left" w:pos="2258"/>
          <w:tab w:val="center" w:pos="4677"/>
        </w:tabs>
        <w:ind w:firstLine="567"/>
        <w:jc w:val="both"/>
        <w:rPr>
          <w:i/>
          <w:sz w:val="28"/>
          <w:szCs w:val="28"/>
        </w:rPr>
      </w:pPr>
    </w:p>
    <w:p w14:paraId="497C92B2" w14:textId="01800B8E" w:rsidR="00BB1D05" w:rsidRPr="00185BC0" w:rsidRDefault="00BB1D05" w:rsidP="00BB5951">
      <w:pPr>
        <w:tabs>
          <w:tab w:val="left" w:pos="2258"/>
          <w:tab w:val="center" w:pos="4677"/>
        </w:tabs>
        <w:ind w:firstLine="567"/>
        <w:jc w:val="both"/>
        <w:rPr>
          <w:sz w:val="28"/>
          <w:szCs w:val="28"/>
        </w:rPr>
      </w:pPr>
      <w:r w:rsidRPr="00185BC0">
        <w:rPr>
          <w:i/>
          <w:sz w:val="28"/>
          <w:szCs w:val="28"/>
        </w:rPr>
        <w:t xml:space="preserve">  </w:t>
      </w:r>
      <w:r w:rsidRPr="00185BC0">
        <w:rPr>
          <w:sz w:val="28"/>
          <w:szCs w:val="28"/>
        </w:rPr>
        <w:t xml:space="preserve">Поперечная </w:t>
      </w:r>
      <w:proofErr w:type="spellStart"/>
      <w:r w:rsidRPr="00185BC0">
        <w:rPr>
          <w:sz w:val="28"/>
          <w:szCs w:val="28"/>
        </w:rPr>
        <w:t>подвертельная</w:t>
      </w:r>
      <w:proofErr w:type="spellEnd"/>
      <w:r w:rsidRPr="00185BC0">
        <w:rPr>
          <w:sz w:val="28"/>
          <w:szCs w:val="28"/>
        </w:rPr>
        <w:t xml:space="preserve"> остеотомия является самым оптимальным методом остеотомии с целью укорочения бедренной кости. Основными отличиями от других видов остеотомии являются относительная простота выполнения и уменьшенное время операции по сравнению с другими видами остеотомий</w:t>
      </w:r>
      <w:r w:rsidR="007E60CC" w:rsidRPr="00185BC0">
        <w:rPr>
          <w:sz w:val="28"/>
          <w:szCs w:val="28"/>
          <w:lang w:val="kk-KZ"/>
        </w:rPr>
        <w:t xml:space="preserve"> </w:t>
      </w:r>
      <w:r w:rsidR="004053E8" w:rsidRPr="00185BC0">
        <w:rPr>
          <w:sz w:val="28"/>
          <w:szCs w:val="28"/>
          <w:lang w:val="kk-KZ"/>
        </w:rPr>
        <w:fldChar w:fldCharType="begin" w:fldLock="1"/>
      </w:r>
      <w:r w:rsidR="002F5076" w:rsidRPr="00185BC0">
        <w:rPr>
          <w:sz w:val="28"/>
          <w:szCs w:val="28"/>
          <w:lang w:val="kk-KZ"/>
        </w:rPr>
        <w:instrText>ADDIN CSL_CITATION {"citationItems":[{"id":"ITEM-1","itemData":{"DOI":"10.1111/os.12576","ISSN":"17577853","abstract":"Total hip arthroplasty (THA) of Crowe type IV developmental dysplasia of the hip (DDH) is challenging. Although traditional (lateral, posterolateral, and posterior) THA approaches have been used with great anatomic success, they damage periarticular muscles, which are already quite weak in type IV DDH. The recently developed direct anterior approach (DAA) can provide an inter-nerve and inter-muscle approach for THA of type IV dysplasia hips. However, femur exposure with the DAA could be difficult during surgery and it is hard to apply femoral shortening osteotomy. THA techniques used for type IV DDH include anatomic hip center techniques (true acetabular reconstruction) and high hip center techniques, wherein an acetabulum is reconstructed above the original one. Although anatomic construction of the hip center is considered “the gold standard” treatment, it is impossible if the anatomical acetabular is too small and shallow. Procedures used to support type IV DDH reduction with anatomic hip center techniques include greater trochanter osteotomy, lesser trochanter osteotomy, and subtrochanteric osteotomy. However, these techniques have yet to be standardized, and it is unclear which is best for type IV DDH. One-state and two-state non-osteotomy reduction techniques have also been introduced to treat type IV DDH. Potential complications of THA performed in patients with type IV DDH include leg length discrepancy (LLD), peri-operative femur fracture, nonunion of the osteotomy site, and nerve injury. It is worth noting that nowadays an increasing number of Crowe type IV DDH patients are more sensitive to postoperative LLD.","author":[{"dropping-particle":"","family":"Shi","given":"Xiao tong","non-dropping-particle":"","parse-names":false,"suffix":""},{"dropping-particle":"","family":"Li","given":"Chao feng","non-dropping-particle":"","parse-names":false,"suffix":""},{"dropping-particle":"","family":"Han","given":"Yu","non-dropping-particle":"","parse-names":false,"suffix":""},{"dropping-particle":"","family":"Song","given":"Ya","non-dropping-particle":"","parse-names":false,"suffix":""},{"dropping-particle":"","family":"Li","given":"Shu xuan","non-dropping-particle":"","parse-names":false,"suffix":""},{"dropping-particle":"","family":"Liu","given":"Jian guo","non-dropping-particle":"","parse-names":false,"suffix":""}],"container-title":"Orthopaedic Surgery","id":"ITEM-1","issue":"6","issued":{"date-parts":[["2019"]]},"title":"Total Hip Arthroplasty for Crowe Type IV Hip Dysplasia: Surgical Techniques and Postoperative Complications","type":"article","volume":"11"},"uris":["http://www.mendeley.com/documents/?uuid=52005101-5c30-31ad-8367-db0edc3c4e8a"]},{"id":"ITEM-2","itemData":{"DOI":"10.1016/j.jbiomech.2018.07.016","ISSN":"18732380","abstract":"Fetal kicking and movements generate biomechanical stimulation in the fetal skeleton, which is important for prenatal musculoskeletal development, particularly joint shape. Developmental dysplasia of the hip (DDH) is the most common joint shape abnormality at birth, with many risk factors for the condition being associated with restricted fetal movement. In this study, we investigate the biomechanics of fetal movements in such situations, namely fetal breech position, oligohydramnios and primiparity (firstborn pregnancy). We also investigate twin pregnancies, which are not at greater risk of DDH incidence, despite the more restricted intra-uterine environment. We track fetal movements for each of these situations using cine-MRI technology, quantify the kick and muscle forces, and characterise the resulting stress and strain in the hip joint, testing the hypothesis that altered biomechanical stimuli may explain the link between certain intra-uterine conditions and risk of DDH. Kick force, stress and strain were found to be significantly lower in cases of breech position and oligohydramnios. Similarly, firstborn fetuses were found to generate significantly lower kick forces than non-firstborns. Interestingly, no significant difference was observed in twins compared to singletons. This research represents the first evidence of a link between the biomechanics of fetal movements and the risk of DDH, potentially informing the development of future preventative measures and enhanced diagnosis. Our results emphasise the importance of ultrasound screening for breech position and oligohydramnios, particularly later in pregnancy, and suggest that earlier intervention to correct breech position through external cephalic version could reduce the risk of hip dysplasia.","author":[{"dropping-particle":"","family":"Verbruggen","given":"Stefaan W.","non-dropping-particle":"","parse-names":false,"suffix":""},{"dropping-particle":"","family":"Kainz","given":"Bernhard","non-dropping-particle":"","parse-names":false,"suffix":""},{"dropping-particle":"","family":"Shelmerdine","given":"Susan C.","non-dropping-particle":"","parse-names":false,"suffix":""},{"dropping-particle":"","family":"Arthurs","given":"Owen J.","non-dropping-particle":"","parse-names":false,"suffix":""},{"dropping-particle":"V.","family":"Hajnal","given":"Joseph","non-dropping-particle":"","parse-names":false,"suffix":""},{"dropping-particle":"","family":"Rutherford","given":"Mary A.","non-dropping-particle":"","parse-names":false,"suffix":""},{"dropping-particle":"","family":"Phillips","given":"Andrew T.M.","non-dropping-particle":"","parse-names":false,"suffix":""},{"dropping-particle":"","family":"Nowlan","given":"Niamh C.","non-dropping-particle":"","parse-names":false,"suffix":""}],"container-title":"Journal of Biomechanics","id":"ITEM-2","issued":{"date-parts":[["2018"]]},"title":"Altered biomechanical stimulation of the developing hip joint in presence of hip dysplasia risk factors","type":"article-journal","volume":"78"},"uris":["http://www.mendeley.com/documents/?uuid=50c054ea-7a72-355c-ad6c-12b72ed5560d"]}],"mendeley":{"formattedCitation":"[7, 43]","plainTextFormattedCitation":"[7, 43]","previouslyFormattedCitation":"[7, 43]"},"properties":{"noteIndex":0},"schema":"https://github.com/citation-style-language/schema/raw/master/csl-citation.json"}</w:instrText>
      </w:r>
      <w:r w:rsidR="004053E8" w:rsidRPr="00185BC0">
        <w:rPr>
          <w:sz w:val="28"/>
          <w:szCs w:val="28"/>
          <w:lang w:val="kk-KZ"/>
        </w:rPr>
        <w:fldChar w:fldCharType="separate"/>
      </w:r>
      <w:r w:rsidR="00371B3B" w:rsidRPr="00185BC0">
        <w:rPr>
          <w:noProof/>
          <w:sz w:val="28"/>
          <w:szCs w:val="28"/>
          <w:lang w:val="kk-KZ"/>
        </w:rPr>
        <w:t>[7, 43]</w:t>
      </w:r>
      <w:r w:rsidR="004053E8" w:rsidRPr="00185BC0">
        <w:rPr>
          <w:sz w:val="28"/>
          <w:szCs w:val="28"/>
          <w:lang w:val="kk-KZ"/>
        </w:rPr>
        <w:fldChar w:fldCharType="end"/>
      </w:r>
      <w:r w:rsidRPr="00185BC0">
        <w:rPr>
          <w:sz w:val="28"/>
          <w:szCs w:val="28"/>
        </w:rPr>
        <w:t>.</w:t>
      </w:r>
    </w:p>
    <w:p w14:paraId="4B148F74" w14:textId="0001EA7D" w:rsidR="00BB1D05" w:rsidRPr="00185BC0" w:rsidRDefault="00BB1D05" w:rsidP="00BB1D05">
      <w:pPr>
        <w:ind w:firstLine="709"/>
        <w:jc w:val="both"/>
        <w:rPr>
          <w:sz w:val="28"/>
          <w:szCs w:val="28"/>
        </w:rPr>
      </w:pPr>
      <w:proofErr w:type="spellStart"/>
      <w:r w:rsidRPr="00185BC0">
        <w:rPr>
          <w:sz w:val="28"/>
          <w:szCs w:val="28"/>
          <w:lang w:val="en-US"/>
        </w:rPr>
        <w:t>Grappiolo</w:t>
      </w:r>
      <w:proofErr w:type="spellEnd"/>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rPr>
        <w:t>.</w:t>
      </w:r>
      <w:r w:rsidRPr="00185BC0">
        <w:rPr>
          <w:sz w:val="28"/>
          <w:szCs w:val="28"/>
        </w:rPr>
        <w:t xml:space="preserve"> после 20 летнего опыта пришли к выводу</w:t>
      </w:r>
      <w:r w:rsidR="002D260C" w:rsidRPr="00185BC0">
        <w:rPr>
          <w:sz w:val="28"/>
          <w:szCs w:val="28"/>
          <w:lang w:val="kk-KZ"/>
        </w:rPr>
        <w:t>,</w:t>
      </w:r>
      <w:r w:rsidRPr="00185BC0">
        <w:rPr>
          <w:sz w:val="28"/>
          <w:szCs w:val="28"/>
        </w:rPr>
        <w:t xml:space="preserve"> что выполнение поперечной </w:t>
      </w:r>
      <w:proofErr w:type="spellStart"/>
      <w:r w:rsidRPr="00185BC0">
        <w:rPr>
          <w:sz w:val="28"/>
          <w:szCs w:val="28"/>
        </w:rPr>
        <w:t>подвертельной</w:t>
      </w:r>
      <w:proofErr w:type="spellEnd"/>
      <w:r w:rsidRPr="00185BC0">
        <w:rPr>
          <w:sz w:val="28"/>
          <w:szCs w:val="28"/>
        </w:rPr>
        <w:t xml:space="preserve"> остеотомии было легче и технически не </w:t>
      </w:r>
      <w:r w:rsidRPr="00185BC0">
        <w:rPr>
          <w:sz w:val="28"/>
          <w:szCs w:val="28"/>
          <w:lang w:val="kk-KZ"/>
        </w:rPr>
        <w:t>трудоемко</w:t>
      </w:r>
      <w:r w:rsidR="00E766C5" w:rsidRPr="00185BC0">
        <w:rPr>
          <w:sz w:val="28"/>
          <w:szCs w:val="28"/>
        </w:rPr>
        <w:t xml:space="preserve"> </w:t>
      </w:r>
      <w:r w:rsidR="00E766C5" w:rsidRPr="00185BC0">
        <w:rPr>
          <w:sz w:val="28"/>
          <w:szCs w:val="28"/>
        </w:rPr>
        <w:fldChar w:fldCharType="begin" w:fldLock="1"/>
      </w:r>
      <w:r w:rsidR="001D29A3" w:rsidRPr="00185BC0">
        <w:rPr>
          <w:sz w:val="28"/>
          <w:szCs w:val="28"/>
        </w:rPr>
        <w:instrText>ADDIN CSL_CITATION {"citationItems":[{"id":"ITEM-1","itemData":{"DOI":"10.1016/j.arth.2020.05.069","ISSN":"15328406","abstract":"Background: Total hip arthroplasty in patients with hip dysplasia is challenging as a result of complex anatomic deformities in the hip. The aim of the study was to evaluate the survivorship, the clinical and radiographic outcomes of cementless Wagner Cone stem in patients with dysplastic hip. Methods: This retrospective study reports on 102 patients (135 hips) who have undergone total hip arthroplasty between 1993 and 1997. The mean age of patients was 51 years (range, 21-73). Minimum follow-up was 20 years. According to the Crowe classification, 38 hips presented dysplasia of grade I, 41 of grade II, 37 of grade III, and 19 of grade IV. Results: Kaplan-Meier survivorship for aseptic loosening was 97% (95% confidence interval, 94.4-99.6) at 20 years. The average Harris hip score increased from 43.4 points (range, 22-51) to 86.4 points (range, 39-100) (P &lt;.0001) and average Merle d'Aubignè score increased from 8.4 (range, 4-13) to 15 (range, 5-18) (P &lt;.0001); at the last follow-up, average University of California at Los Angeles activity score and visual analog score were 4.53 (range, 1-9) and 1.25 (range, 0-6), respectively; 17% of heterotopic ossification and 19.2% of radiolucency lines around the stem were reported. Conclusion: Monoblock Wagner Cone stem is a reliable option in dysplastic hip with an excellent survivorship and good clinical and radiographic outcome in the long term.","author":[{"dropping-particle":"","family":"Camera","given":"Francesco","non-dropping-particle":"La","parse-names":false,"suffix":""},{"dropping-particle":"","family":"Loppini","given":"Mattia","non-dropping-particle":"","parse-names":false,"suffix":""},{"dropping-particle":"","family":"Rocca","given":"Antonello","non-dropping-particle":"Della","parse-names":false,"suffix":""},{"dropping-particle":"","family":"Matteo","given":"Vincenzo","non-dropping-particle":"de","parse-names":false,"suffix":""},{"dropping-particle":"","family":"Grappiolo","given":"Guido","non-dropping-particle":"","parse-names":false,"suffix":""}],"container-title":"Journal of Arthroplasty","id":"ITEM-1","issue":"11","issued":{"date-parts":[["2020"]]},"title":"Total Hip Arthroplasty With a Monoblock Conical Stem in Dysplastic Hips: A 20-Year Follow-Up Study","type":"article-journal","volume":"35"},"uris":["http://www.mendeley.com/documents/?uuid=4ae6c319-33e9-39af-9d40-d17149216d8a"]}],"mendeley":{"formattedCitation":"[75]","plainTextFormattedCitation":"[75]","previouslyFormattedCitation":"[75]"},"properties":{"noteIndex":0},"schema":"https://github.com/citation-style-language/schema/raw/master/csl-citation.json"}</w:instrText>
      </w:r>
      <w:r w:rsidR="00E766C5" w:rsidRPr="00185BC0">
        <w:rPr>
          <w:sz w:val="28"/>
          <w:szCs w:val="28"/>
        </w:rPr>
        <w:fldChar w:fldCharType="separate"/>
      </w:r>
      <w:r w:rsidR="008A5983" w:rsidRPr="00185BC0">
        <w:rPr>
          <w:noProof/>
          <w:sz w:val="28"/>
          <w:szCs w:val="28"/>
        </w:rPr>
        <w:t>[75]</w:t>
      </w:r>
      <w:r w:rsidR="00E766C5" w:rsidRPr="00185BC0">
        <w:rPr>
          <w:sz w:val="28"/>
          <w:szCs w:val="28"/>
        </w:rPr>
        <w:fldChar w:fldCharType="end"/>
      </w:r>
      <w:r w:rsidRPr="00185BC0">
        <w:rPr>
          <w:sz w:val="28"/>
          <w:szCs w:val="28"/>
        </w:rPr>
        <w:t xml:space="preserve">. </w:t>
      </w:r>
    </w:p>
    <w:p w14:paraId="6ED03858" w14:textId="0F6C021D" w:rsidR="00BB1D05" w:rsidRPr="00185BC0" w:rsidRDefault="00BB1D05" w:rsidP="00BB1D05">
      <w:pPr>
        <w:ind w:firstLine="709"/>
        <w:jc w:val="both"/>
        <w:rPr>
          <w:sz w:val="28"/>
          <w:szCs w:val="28"/>
        </w:rPr>
      </w:pPr>
      <w:r w:rsidRPr="00185BC0">
        <w:rPr>
          <w:sz w:val="28"/>
          <w:szCs w:val="28"/>
          <w:lang w:val="kk-KZ"/>
        </w:rPr>
        <w:t xml:space="preserve">В другом исследовании проведенном </w:t>
      </w:r>
      <w:r w:rsidRPr="00185BC0">
        <w:rPr>
          <w:sz w:val="28"/>
          <w:szCs w:val="28"/>
          <w:lang w:val="tr-TR"/>
        </w:rPr>
        <w:t xml:space="preserve">Sofu H. </w:t>
      </w:r>
      <w:r w:rsidR="008907FD" w:rsidRPr="00185BC0">
        <w:rPr>
          <w:sz w:val="28"/>
          <w:szCs w:val="28"/>
          <w:lang w:val="tr-TR"/>
        </w:rPr>
        <w:t>и соавт.</w:t>
      </w:r>
      <w:r w:rsidRPr="00185BC0">
        <w:rPr>
          <w:sz w:val="28"/>
          <w:szCs w:val="28"/>
          <w:lang w:val="tr-TR"/>
        </w:rPr>
        <w:t>,</w:t>
      </w:r>
      <w:r w:rsidRPr="00185BC0">
        <w:rPr>
          <w:sz w:val="28"/>
          <w:szCs w:val="28"/>
          <w:lang w:val="kk-KZ"/>
        </w:rPr>
        <w:t xml:space="preserve"> авторы пришли к выводу, что первичная </w:t>
      </w:r>
      <w:proofErr w:type="spellStart"/>
      <w:r w:rsidRPr="00185BC0">
        <w:rPr>
          <w:sz w:val="28"/>
          <w:szCs w:val="28"/>
        </w:rPr>
        <w:t>бесцементная</w:t>
      </w:r>
      <w:proofErr w:type="spellEnd"/>
      <w:r w:rsidRPr="00185BC0">
        <w:rPr>
          <w:sz w:val="28"/>
          <w:szCs w:val="28"/>
        </w:rPr>
        <w:t xml:space="preserve"> ТЭТС с поперечной </w:t>
      </w:r>
      <w:proofErr w:type="spellStart"/>
      <w:r w:rsidRPr="00185BC0">
        <w:rPr>
          <w:sz w:val="28"/>
          <w:szCs w:val="28"/>
        </w:rPr>
        <w:t>подвертельной</w:t>
      </w:r>
      <w:proofErr w:type="spellEnd"/>
      <w:r w:rsidRPr="00185BC0">
        <w:rPr>
          <w:sz w:val="28"/>
          <w:szCs w:val="28"/>
        </w:rPr>
        <w:t xml:space="preserve"> укорачивающей остеотомией бедренной кости при ДК </w:t>
      </w:r>
      <w:r w:rsidRPr="00185BC0">
        <w:rPr>
          <w:sz w:val="28"/>
          <w:szCs w:val="28"/>
          <w:lang w:val="en-US"/>
        </w:rPr>
        <w:t>III</w:t>
      </w:r>
      <w:r w:rsidRPr="00185BC0">
        <w:rPr>
          <w:sz w:val="28"/>
          <w:szCs w:val="28"/>
        </w:rPr>
        <w:t>-</w:t>
      </w:r>
      <w:r w:rsidRPr="00185BC0">
        <w:rPr>
          <w:sz w:val="28"/>
          <w:szCs w:val="28"/>
          <w:lang w:val="en-US"/>
        </w:rPr>
        <w:t>IV</w:t>
      </w:r>
      <w:r w:rsidRPr="00185BC0">
        <w:rPr>
          <w:sz w:val="28"/>
          <w:szCs w:val="28"/>
        </w:rPr>
        <w:t xml:space="preserve"> </w:t>
      </w:r>
      <w:r w:rsidRPr="00185BC0">
        <w:rPr>
          <w:sz w:val="28"/>
          <w:szCs w:val="28"/>
          <w:lang w:val="kk-KZ"/>
        </w:rPr>
        <w:t xml:space="preserve">типа по </w:t>
      </w:r>
      <w:r w:rsidRPr="00185BC0">
        <w:rPr>
          <w:sz w:val="28"/>
          <w:szCs w:val="28"/>
          <w:lang w:val="en-US"/>
        </w:rPr>
        <w:t>Crowe</w:t>
      </w:r>
      <w:r w:rsidRPr="00185BC0">
        <w:rPr>
          <w:sz w:val="28"/>
          <w:szCs w:val="28"/>
          <w:lang w:val="kk-KZ"/>
        </w:rPr>
        <w:t xml:space="preserve"> </w:t>
      </w:r>
      <w:r w:rsidRPr="00185BC0">
        <w:rPr>
          <w:sz w:val="28"/>
          <w:szCs w:val="28"/>
          <w:lang w:val="kk-KZ"/>
        </w:rPr>
        <w:lastRenderedPageBreak/>
        <w:t>является эффективным и более надежным способом восстановления длины нижних конечностей без каких либо неврологических осложнений и с низким процентом несращений</w:t>
      </w:r>
      <w:r w:rsidR="007E60CC" w:rsidRPr="00185BC0">
        <w:rPr>
          <w:sz w:val="28"/>
          <w:szCs w:val="28"/>
          <w:lang w:val="kk-KZ"/>
        </w:rPr>
        <w:t xml:space="preserve"> </w:t>
      </w:r>
      <w:r w:rsidR="00E766C5" w:rsidRPr="00185BC0">
        <w:rPr>
          <w:sz w:val="28"/>
          <w:szCs w:val="28"/>
          <w:lang w:val="kk-KZ"/>
        </w:rPr>
        <w:fldChar w:fldCharType="begin" w:fldLock="1"/>
      </w:r>
      <w:r w:rsidR="002F5076" w:rsidRPr="00185BC0">
        <w:rPr>
          <w:sz w:val="28"/>
          <w:szCs w:val="28"/>
          <w:lang w:val="kk-KZ"/>
        </w:rPr>
        <w:instrText>ADDIN CSL_CITATION {"citationItems":[{"id":"ITEM-1","itemData":{"DOI":"10.1016/j.arth.2015.01.045","ISSN":"15328406","abstract":"The purpose of this study was to review the outcomes of transverse subtrochanteric shortening osteotomy during cementless total hip arthroplasty in Crowe Type-III or IV developmental dysplasia. Seventy-three osteotomies were included in our study. Mean follow-up was 61. months. Harris hip score, leg length discrepancy, neurological status, union status of the osteotomy, and femoral component stability were the criteria for evaluation. All complications were noted. The mean Harris hip score improved from 38.6 points to 83.7 points. The mean leg length discrepancy decreased from 56.5. mm to 10.7 at the latest follow-up. The mean union time was 5.2. months. We observed 4 non-unions. Transverse subtrochanteric shortening osteotomy is an effective and reliable method in restoration of a more normal limb.","author":[{"dropping-particle":"","family":"Sofu","given":"Hakan","non-dropping-particle":"","parse-names":false,"suffix":""},{"dropping-particle":"","family":"Kockara","given":"Nizamettin","non-dropping-particle":"","parse-names":false,"suffix":""},{"dropping-particle":"","family":"Gursu","given":"Sarper","non-dropping-particle":"","parse-names":false,"suffix":""},{"dropping-particle":"","family":"Issin","given":"Ahmet","non-dropping-particle":"","parse-names":false,"suffix":""},{"dropping-particle":"","family":"Oner","given":"Ali","non-dropping-particle":"","parse-names":false,"suffix":""},{"dropping-particle":"","family":"Sahin","given":"Vedat","non-dropping-particle":"","parse-names":false,"suffix":""}],"container-title":"Journal of Arthroplasty","id":"ITEM-1","issue":"6","issued":{"date-parts":[["2015"]]},"title":"Transverse Subtrochanteric Shortening Osteotomy During Cementless Total Hip Arthroplasty in Crowe Type-III or IV Developmental Dysplasia","type":"article-journal","volume":"30"},"uris":["http://www.mendeley.com/documents/?uuid=7e2cf486-7204-3087-ae48-f04d22e9b017"]}],"mendeley":{"formattedCitation":"[52]","plainTextFormattedCitation":"[52]","previouslyFormattedCitation":"[52]"},"properties":{"noteIndex":0},"schema":"https://github.com/citation-style-language/schema/raw/master/csl-citation.json"}</w:instrText>
      </w:r>
      <w:r w:rsidR="00E766C5" w:rsidRPr="00185BC0">
        <w:rPr>
          <w:sz w:val="28"/>
          <w:szCs w:val="28"/>
          <w:lang w:val="kk-KZ"/>
        </w:rPr>
        <w:fldChar w:fldCharType="separate"/>
      </w:r>
      <w:r w:rsidR="00371B3B" w:rsidRPr="00185BC0">
        <w:rPr>
          <w:noProof/>
          <w:sz w:val="28"/>
          <w:szCs w:val="28"/>
          <w:lang w:val="kk-KZ"/>
        </w:rPr>
        <w:t>[52]</w:t>
      </w:r>
      <w:r w:rsidR="00E766C5" w:rsidRPr="00185BC0">
        <w:rPr>
          <w:sz w:val="28"/>
          <w:szCs w:val="28"/>
          <w:lang w:val="kk-KZ"/>
        </w:rPr>
        <w:fldChar w:fldCharType="end"/>
      </w:r>
      <w:r w:rsidRPr="00185BC0">
        <w:rPr>
          <w:sz w:val="28"/>
          <w:szCs w:val="28"/>
        </w:rPr>
        <w:t>.</w:t>
      </w:r>
    </w:p>
    <w:p w14:paraId="450E74B1" w14:textId="705F58F2" w:rsidR="00BB1D05" w:rsidRPr="00185BC0" w:rsidRDefault="002D260C" w:rsidP="00BB1D05">
      <w:pPr>
        <w:ind w:firstLine="709"/>
        <w:jc w:val="both"/>
        <w:rPr>
          <w:sz w:val="28"/>
          <w:szCs w:val="28"/>
        </w:rPr>
      </w:pPr>
      <w:proofErr w:type="spellStart"/>
      <w:r w:rsidRPr="00185BC0">
        <w:rPr>
          <w:sz w:val="28"/>
          <w:szCs w:val="28"/>
        </w:rPr>
        <w:t>Bruce</w:t>
      </w:r>
      <w:proofErr w:type="spellEnd"/>
      <w:r w:rsidRPr="00185BC0">
        <w:rPr>
          <w:sz w:val="28"/>
          <w:szCs w:val="28"/>
        </w:rPr>
        <w:t xml:space="preserve"> W. J.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rPr>
        <w:t>.</w:t>
      </w:r>
      <w:r w:rsidRPr="00185BC0">
        <w:rPr>
          <w:sz w:val="28"/>
          <w:szCs w:val="28"/>
        </w:rPr>
        <w:t xml:space="preserve"> в период с ноября 1998 по февраль 2003 года выполнили 76 операций ТЭТС у пациентов с ДК, из которых в 24 случаях (у 23 пациентов) на тазобедренном суставе была проведена поперечная </w:t>
      </w:r>
      <w:proofErr w:type="spellStart"/>
      <w:r w:rsidRPr="00185BC0">
        <w:rPr>
          <w:sz w:val="28"/>
          <w:szCs w:val="28"/>
        </w:rPr>
        <w:t>подвертельная</w:t>
      </w:r>
      <w:proofErr w:type="spellEnd"/>
      <w:r w:rsidRPr="00185BC0">
        <w:rPr>
          <w:sz w:val="28"/>
          <w:szCs w:val="28"/>
        </w:rPr>
        <w:t xml:space="preserve"> укорачивающая остеотомия с применением двух типов бедренных компонентов</w:t>
      </w:r>
      <w:r w:rsidRPr="00185BC0">
        <w:rPr>
          <w:sz w:val="28"/>
          <w:szCs w:val="28"/>
          <w:lang w:val="kk-KZ"/>
        </w:rPr>
        <w:t xml:space="preserve"> – </w:t>
      </w:r>
      <w:r w:rsidRPr="00185BC0">
        <w:rPr>
          <w:sz w:val="28"/>
          <w:szCs w:val="28"/>
        </w:rPr>
        <w:t>стандартного и модульного</w:t>
      </w:r>
      <w:r w:rsidR="00BB1D05" w:rsidRPr="00185BC0">
        <w:rPr>
          <w:sz w:val="28"/>
          <w:szCs w:val="28"/>
        </w:rPr>
        <w:t xml:space="preserve">. Исследователи отметили у </w:t>
      </w:r>
      <w:r w:rsidRPr="00185BC0">
        <w:rPr>
          <w:sz w:val="28"/>
          <w:szCs w:val="28"/>
          <w:lang w:val="kk-KZ"/>
        </w:rPr>
        <w:t>двух</w:t>
      </w:r>
      <w:r w:rsidR="00BB1D05" w:rsidRPr="00185BC0">
        <w:rPr>
          <w:sz w:val="28"/>
          <w:szCs w:val="28"/>
        </w:rPr>
        <w:t xml:space="preserve"> пациентов </w:t>
      </w:r>
      <w:proofErr w:type="spellStart"/>
      <w:r w:rsidR="00BB1D05" w:rsidRPr="00185BC0">
        <w:rPr>
          <w:sz w:val="28"/>
          <w:szCs w:val="28"/>
        </w:rPr>
        <w:t>несращение</w:t>
      </w:r>
      <w:proofErr w:type="spellEnd"/>
      <w:r w:rsidR="00BB1D05" w:rsidRPr="00185BC0">
        <w:rPr>
          <w:sz w:val="28"/>
          <w:szCs w:val="28"/>
        </w:rPr>
        <w:t xml:space="preserve"> зоны остеотомии, у </w:t>
      </w:r>
      <w:r w:rsidRPr="00185BC0">
        <w:rPr>
          <w:sz w:val="28"/>
          <w:szCs w:val="28"/>
          <w:lang w:val="kk-KZ"/>
        </w:rPr>
        <w:t>одного</w:t>
      </w:r>
      <w:r w:rsidR="00BB1D05" w:rsidRPr="00185BC0">
        <w:rPr>
          <w:sz w:val="28"/>
          <w:szCs w:val="28"/>
        </w:rPr>
        <w:t xml:space="preserve"> пациента </w:t>
      </w:r>
      <w:proofErr w:type="spellStart"/>
      <w:r w:rsidR="00BB1D05" w:rsidRPr="00185BC0">
        <w:rPr>
          <w:sz w:val="28"/>
          <w:szCs w:val="28"/>
        </w:rPr>
        <w:t>несращение</w:t>
      </w:r>
      <w:proofErr w:type="spellEnd"/>
      <w:r w:rsidR="00BB1D05" w:rsidRPr="00185BC0">
        <w:rPr>
          <w:sz w:val="28"/>
          <w:szCs w:val="28"/>
        </w:rPr>
        <w:t xml:space="preserve"> с сочетанием проседания ножки эндопротеза и у </w:t>
      </w:r>
      <w:r w:rsidRPr="00185BC0">
        <w:rPr>
          <w:sz w:val="28"/>
          <w:szCs w:val="28"/>
          <w:lang w:val="kk-KZ"/>
        </w:rPr>
        <w:t>одного</w:t>
      </w:r>
      <w:r w:rsidR="00BB1D05" w:rsidRPr="00185BC0">
        <w:rPr>
          <w:sz w:val="28"/>
          <w:szCs w:val="28"/>
        </w:rPr>
        <w:t xml:space="preserve"> миграция вертлужного компонента эндопротеза</w:t>
      </w:r>
      <w:r w:rsidR="00BB1D05" w:rsidRPr="00185BC0">
        <w:rPr>
          <w:sz w:val="28"/>
          <w:szCs w:val="28"/>
          <w:lang w:val="kk-KZ"/>
        </w:rPr>
        <w:t>,</w:t>
      </w:r>
      <w:r w:rsidR="00BB1D05" w:rsidRPr="00185BC0">
        <w:rPr>
          <w:sz w:val="28"/>
          <w:szCs w:val="28"/>
        </w:rPr>
        <w:t xml:space="preserve"> которым потребовалась ревизия тазобедренного сустава. Авторы указывают на то, что </w:t>
      </w:r>
      <w:proofErr w:type="spellStart"/>
      <w:r w:rsidR="00BB1D05" w:rsidRPr="00185BC0">
        <w:rPr>
          <w:sz w:val="28"/>
          <w:szCs w:val="28"/>
        </w:rPr>
        <w:t>несращение</w:t>
      </w:r>
      <w:proofErr w:type="spellEnd"/>
      <w:r w:rsidR="00BB1D05" w:rsidRPr="00185BC0">
        <w:rPr>
          <w:sz w:val="28"/>
          <w:szCs w:val="28"/>
        </w:rPr>
        <w:t xml:space="preserve"> зоны остеотомии было связано со стандартным бедренным компонентом и пришли к выводу, что поперечная </w:t>
      </w:r>
      <w:proofErr w:type="spellStart"/>
      <w:r w:rsidR="00BB1D05" w:rsidRPr="00185BC0">
        <w:rPr>
          <w:sz w:val="28"/>
          <w:szCs w:val="28"/>
        </w:rPr>
        <w:t>подвертельная</w:t>
      </w:r>
      <w:proofErr w:type="spellEnd"/>
      <w:r w:rsidR="00BB1D05" w:rsidRPr="00185BC0">
        <w:rPr>
          <w:sz w:val="28"/>
          <w:szCs w:val="28"/>
        </w:rPr>
        <w:t xml:space="preserve"> укорачивающая остеотомия является безопасным и надежным видом остеотомии при котором </w:t>
      </w:r>
      <w:r w:rsidR="00BB1D05" w:rsidRPr="00185BC0">
        <w:rPr>
          <w:sz w:val="28"/>
          <w:szCs w:val="28"/>
          <w:lang w:val="kk-KZ"/>
        </w:rPr>
        <w:t>наблюдается</w:t>
      </w:r>
      <w:r w:rsidR="00BB1D05" w:rsidRPr="00185BC0">
        <w:rPr>
          <w:sz w:val="28"/>
          <w:szCs w:val="28"/>
        </w:rPr>
        <w:t xml:space="preserve"> меньше неврологических осложнений</w:t>
      </w:r>
      <w:r w:rsidR="00E766C5" w:rsidRPr="00185BC0">
        <w:rPr>
          <w:sz w:val="28"/>
          <w:szCs w:val="28"/>
        </w:rPr>
        <w:t xml:space="preserve"> </w:t>
      </w:r>
      <w:r w:rsidR="00E766C5" w:rsidRPr="00185BC0">
        <w:rPr>
          <w:sz w:val="28"/>
          <w:szCs w:val="28"/>
          <w:lang w:val="kk-KZ"/>
        </w:rPr>
        <w:fldChar w:fldCharType="begin" w:fldLock="1"/>
      </w:r>
      <w:r w:rsidR="001D29A3" w:rsidRPr="00185BC0">
        <w:rPr>
          <w:sz w:val="28"/>
          <w:szCs w:val="28"/>
          <w:lang w:val="kk-KZ"/>
        </w:rPr>
        <w:instrText>ADDIN CSL_CITATION {"citationItems":[{"id":"ITEM-1","itemData":{"DOI":"10.1186/s12891-020-03248-8","ISSN":"14712474","abstract":"Background: When reconstructing a hip with developmental dysplasia and high dislocation, sub-trochanteric shortening osteotomy is typically needed for placing the acetabular component in the appropriate anatomical position. However, the procedure can result in complications such as non-union of the osteotomy. We evaluated the contact area and the coincidence rate between the proximal and distal fragments at different femoral osteotomy levels and lengths. We then determined the optimal location of subtrochanteric femoral shortening transverse osteotomy in patients with unilateral Crowe type IV developmental dysplasia of the hip (DDH). The consistency between the proximal and distal segments was assessed as a possible predictive indicator of the union at the osteotomy site. Methods: We retrospectively reviewed 57 patients with unilateral Crowe type IV-DDH who underwent X-ray imaging of both hip joints. We labelled the inner and outer diameters of the circular ring as N (mm) and M (mm), respectively. We defined the overlapped area between the proximal and distal ring as contact area S (mm2), and the ratio of contact area to distal ring area as coincidence rate R. Results: N varied from 9.8-15.2 mm and M varied from 20.7-24 mm, both demonstrated a decreasing trend in the proximal to distal direction. At osteotomy lengths ranging from 0.5-2 cm, there were no differences in S between the different levels of osteotomy in each group. At osteotomy lengths ≤2.5 cm, a significant higher coincidence rate was noted from 2 cm below the lesser trochanter to other positions below the level. At osteotomy lengths from 3 to 5.5 cm, a significantly higher coincidence rate was observed from the level of 1.5 cm below the lesser trochanter to other positions below the level. Conclusions: Our findings suggest that femoral shortening transverse osteotomy at the optimal subtrochanteric level can predictably increase the contact area and coincidence rate, which may contribute to the union at the osteotomy site. Considering the stability of the prostheses, it appears appropriate that osteotomy location should be shifted slightly distally. Trial registration: Retrospectively registered.","author":[{"dropping-particle":"","family":"Huang","given":"Zhe Yu","non-dropping-particle":"","parse-names":false,"suffix":""},{"dropping-particle":"","family":"Liu","given":"Hua","non-dropping-particle":"","parse-names":false,"suffix":""},{"dropping-particle":"","family":"Li","given":"Ming","non-dropping-particle":"","parse-names":false,"suffix":""},{"dropping-particle":"","family":"Ling","given":"Jing","non-dropping-particle":"","parse-names":false,"suffix":""},{"dropping-particle":"","family":"Zhang","given":"Jun Hui","non-dropping-particle":"","parse-names":false,"suffix":""},{"dropping-particle":"","family":"Zeng","given":"Zhi Min","non-dropping-particle":"","parse-names":false,"suffix":""}],"container-title":"BMC Musculoskeletal Disorders","id":"ITEM-1","issue":"1","issued":{"date-parts":[["2020"]]},"title":"Optimal location of subtrochanteric osteotomy in total hip arthroplasty for crowe type IV developmental dysplasia of hip","type":"article-journal","volume":"21"},"uris":["http://www.mendeley.com/documents/?uuid=796e42f8-14d4-3f03-aa33-f258a7d25769"]}],"mendeley":{"formattedCitation":"[76]","plainTextFormattedCitation":"[76]","previouslyFormattedCitation":"[76]"},"properties":{"noteIndex":0},"schema":"https://github.com/citation-style-language/schema/raw/master/csl-citation.json"}</w:instrText>
      </w:r>
      <w:r w:rsidR="00E766C5" w:rsidRPr="00185BC0">
        <w:rPr>
          <w:sz w:val="28"/>
          <w:szCs w:val="28"/>
          <w:lang w:val="kk-KZ"/>
        </w:rPr>
        <w:fldChar w:fldCharType="separate"/>
      </w:r>
      <w:r w:rsidR="008A5983" w:rsidRPr="00185BC0">
        <w:rPr>
          <w:noProof/>
          <w:sz w:val="28"/>
          <w:szCs w:val="28"/>
          <w:lang w:val="kk-KZ"/>
        </w:rPr>
        <w:t>[76]</w:t>
      </w:r>
      <w:r w:rsidR="00E766C5" w:rsidRPr="00185BC0">
        <w:rPr>
          <w:sz w:val="28"/>
          <w:szCs w:val="28"/>
          <w:lang w:val="kk-KZ"/>
        </w:rPr>
        <w:fldChar w:fldCharType="end"/>
      </w:r>
      <w:r w:rsidR="00BB1D05" w:rsidRPr="00185BC0">
        <w:rPr>
          <w:sz w:val="28"/>
          <w:szCs w:val="28"/>
          <w:lang w:val="kk-KZ"/>
        </w:rPr>
        <w:t xml:space="preserve">. </w:t>
      </w:r>
      <w:r w:rsidR="00BB1D05" w:rsidRPr="00185BC0">
        <w:rPr>
          <w:sz w:val="28"/>
          <w:szCs w:val="28"/>
        </w:rPr>
        <w:t xml:space="preserve">Однако, </w:t>
      </w:r>
      <w:proofErr w:type="spellStart"/>
      <w:r w:rsidR="00BB1D05" w:rsidRPr="00185BC0">
        <w:rPr>
          <w:sz w:val="28"/>
          <w:szCs w:val="28"/>
        </w:rPr>
        <w:t>неконгруентность</w:t>
      </w:r>
      <w:proofErr w:type="spellEnd"/>
      <w:r w:rsidR="00BB1D05" w:rsidRPr="00185BC0">
        <w:rPr>
          <w:sz w:val="28"/>
          <w:szCs w:val="28"/>
        </w:rPr>
        <w:t xml:space="preserve"> диаметра </w:t>
      </w:r>
      <w:proofErr w:type="spellStart"/>
      <w:r w:rsidR="00BB1D05" w:rsidRPr="00185BC0">
        <w:rPr>
          <w:sz w:val="28"/>
          <w:szCs w:val="28"/>
        </w:rPr>
        <w:t>остеотомированных</w:t>
      </w:r>
      <w:proofErr w:type="spellEnd"/>
      <w:r w:rsidR="00BB1D05" w:rsidRPr="00185BC0">
        <w:rPr>
          <w:sz w:val="28"/>
          <w:szCs w:val="28"/>
        </w:rPr>
        <w:t xml:space="preserve"> фрагментов приводит к ротационной нестабильности в связи с чем</w:t>
      </w:r>
      <w:r w:rsidRPr="00185BC0">
        <w:rPr>
          <w:sz w:val="28"/>
          <w:szCs w:val="28"/>
          <w:lang w:val="kk-KZ"/>
        </w:rPr>
        <w:t>,</w:t>
      </w:r>
      <w:r w:rsidR="00BB1D05" w:rsidRPr="00185BC0">
        <w:rPr>
          <w:sz w:val="28"/>
          <w:szCs w:val="28"/>
        </w:rPr>
        <w:t xml:space="preserve"> многие авторы пропагандируют фиксацию места остеотомии дополнительными способами. В исследовании </w:t>
      </w:r>
      <w:proofErr w:type="spellStart"/>
      <w:r w:rsidR="00BB1D05" w:rsidRPr="00185BC0">
        <w:rPr>
          <w:sz w:val="28"/>
          <w:szCs w:val="28"/>
          <w:lang w:val="en-US"/>
        </w:rPr>
        <w:t>Togrul</w:t>
      </w:r>
      <w:proofErr w:type="spellEnd"/>
      <w:r w:rsidR="00BB1D05" w:rsidRPr="00185BC0">
        <w:rPr>
          <w:sz w:val="28"/>
          <w:szCs w:val="28"/>
        </w:rPr>
        <w:t xml:space="preserve"> </w:t>
      </w:r>
      <w:r w:rsidR="00BB1D05" w:rsidRPr="00185BC0">
        <w:rPr>
          <w:sz w:val="28"/>
          <w:szCs w:val="28"/>
          <w:lang w:val="en-US"/>
        </w:rPr>
        <w:t>E</w:t>
      </w:r>
      <w:r w:rsidR="00BB1D05" w:rsidRPr="00185BC0">
        <w:rPr>
          <w:sz w:val="28"/>
          <w:szCs w:val="28"/>
        </w:rPr>
        <w:t xml:space="preserve">. </w:t>
      </w:r>
      <w:bookmarkStart w:id="21" w:name="_Hlk217482497"/>
      <w:r w:rsidR="008907FD" w:rsidRPr="00185BC0">
        <w:rPr>
          <w:sz w:val="28"/>
          <w:szCs w:val="28"/>
        </w:rPr>
        <w:t xml:space="preserve">и </w:t>
      </w:r>
      <w:proofErr w:type="spellStart"/>
      <w:r w:rsidR="008907FD" w:rsidRPr="00185BC0">
        <w:rPr>
          <w:sz w:val="28"/>
          <w:szCs w:val="28"/>
        </w:rPr>
        <w:t>соавт</w:t>
      </w:r>
      <w:bookmarkEnd w:id="21"/>
      <w:proofErr w:type="spellEnd"/>
      <w:r w:rsidR="008907FD" w:rsidRPr="00185BC0">
        <w:rPr>
          <w:sz w:val="28"/>
          <w:szCs w:val="28"/>
        </w:rPr>
        <w:t>.</w:t>
      </w:r>
      <w:r w:rsidR="00BB1D05" w:rsidRPr="00185BC0">
        <w:rPr>
          <w:sz w:val="28"/>
          <w:szCs w:val="28"/>
          <w:lang w:val="kk-KZ"/>
        </w:rPr>
        <w:t xml:space="preserve"> описывают новый вид фиксации с применением эндостальных костных штифтов при бесцементном ТЭТС с подвертельной поперечной укорачивающей остеотомии у пациентов с ДК </w:t>
      </w:r>
      <w:r w:rsidR="00BB1D05" w:rsidRPr="00185BC0">
        <w:rPr>
          <w:sz w:val="28"/>
          <w:szCs w:val="28"/>
          <w:lang w:val="en-US"/>
        </w:rPr>
        <w:t>III</w:t>
      </w:r>
      <w:r w:rsidR="00BB1D05" w:rsidRPr="00185BC0">
        <w:rPr>
          <w:sz w:val="28"/>
          <w:szCs w:val="28"/>
        </w:rPr>
        <w:t>-</w:t>
      </w:r>
      <w:r w:rsidR="00BB1D05" w:rsidRPr="00185BC0">
        <w:rPr>
          <w:sz w:val="28"/>
          <w:szCs w:val="28"/>
          <w:lang w:val="en-US"/>
        </w:rPr>
        <w:t>IV</w:t>
      </w:r>
      <w:r w:rsidR="00BB1D05" w:rsidRPr="00185BC0">
        <w:rPr>
          <w:sz w:val="28"/>
          <w:szCs w:val="28"/>
        </w:rPr>
        <w:t xml:space="preserve"> </w:t>
      </w:r>
      <w:r w:rsidR="00BB1D05" w:rsidRPr="00185BC0">
        <w:rPr>
          <w:sz w:val="28"/>
          <w:szCs w:val="28"/>
          <w:lang w:val="kk-KZ"/>
        </w:rPr>
        <w:t xml:space="preserve">типа по </w:t>
      </w:r>
      <w:r w:rsidR="00BB1D05" w:rsidRPr="00185BC0">
        <w:rPr>
          <w:sz w:val="28"/>
          <w:szCs w:val="28"/>
          <w:lang w:val="en-US"/>
        </w:rPr>
        <w:t>Crowe</w:t>
      </w:r>
      <w:r w:rsidR="00BB1D05" w:rsidRPr="00185BC0">
        <w:rPr>
          <w:sz w:val="28"/>
          <w:szCs w:val="28"/>
        </w:rPr>
        <w:t>.</w:t>
      </w:r>
      <w:r w:rsidR="00BB1D05" w:rsidRPr="00185BC0">
        <w:rPr>
          <w:sz w:val="28"/>
          <w:szCs w:val="28"/>
          <w:lang w:val="kk-KZ"/>
        </w:rPr>
        <w:t xml:space="preserve"> Тем не менее, несмотря на то</w:t>
      </w:r>
      <w:r w:rsidRPr="00185BC0">
        <w:rPr>
          <w:sz w:val="28"/>
          <w:szCs w:val="28"/>
          <w:lang w:val="kk-KZ"/>
        </w:rPr>
        <w:t>,</w:t>
      </w:r>
      <w:r w:rsidR="00BB1D05" w:rsidRPr="00185BC0">
        <w:rPr>
          <w:sz w:val="28"/>
          <w:szCs w:val="28"/>
          <w:lang w:val="kk-KZ"/>
        </w:rPr>
        <w:t xml:space="preserve"> что данная техника показывает хорошие результаты, авторы считают, что для получения безопасности и эффективности необходимо более длительное наблюдение с большей группой пациентов</w:t>
      </w:r>
      <w:r w:rsidR="00BB1D05" w:rsidRPr="00185BC0">
        <w:rPr>
          <w:sz w:val="28"/>
          <w:szCs w:val="28"/>
        </w:rPr>
        <w:t xml:space="preserve">  </w:t>
      </w:r>
      <w:r w:rsidR="00E766C5" w:rsidRPr="00185BC0">
        <w:rPr>
          <w:sz w:val="28"/>
          <w:szCs w:val="28"/>
        </w:rPr>
        <w:fldChar w:fldCharType="begin" w:fldLock="1"/>
      </w:r>
      <w:r w:rsidR="002F5076" w:rsidRPr="00185BC0">
        <w:rPr>
          <w:sz w:val="28"/>
          <w:szCs w:val="28"/>
        </w:rPr>
        <w:instrText>ADDIN CSL_CITATION {"citationItems":[{"id":"ITEM-1","itemData":{"DOI":"10.1016/j.arth.2009.02.023","ISSN":"08835403","abstract":"A new technique of femoral fixation that uses a transverse osteotomy for subtrochanteric shortening and derotation in total hip arthroplasty for Crowe type 3 to 4 dysplasia of the hip is described. This series included 21 cases in 12 women and 2 men, with a mean age of 42.3 years. Follow-up averaged 41.2 months. Bone pegs prepared from the resected femoral segment were seated in the medullary canal around the stem for femoral fixation. Merle d'Aubigné scores for pain, motion, and walking improved from 2.9, 4.4, and 3.7 to 5.2, 5.4, and 5.5, respectively. Radiographic union was detected within 12 ± 3.4 (range, 6-24) weeks in all cases. Complications were early dislocation in 2 cases. This technique allows correction of anteversion, provides excellent rotational stability, and eliminates the need for additional osteosynthesis regardless of the stem design. © 2010 Elsevier Inc.","author":[{"dropping-particle":"","family":"Togrul","given":"Emre","non-dropping-particle":"","parse-names":false,"suffix":""},{"dropping-particle":"","family":"Özkan","given":"Cenk","non-dropping-particle":"","parse-names":false,"suffix":""},{"dropping-particle":"","family":"Kalaci","given":"Aydiner","non-dropping-particle":"","parse-names":false,"suffix":""},{"dropping-particle":"","family":"Gülşen","given":"Mahir","non-dropping-particle":"","parse-names":false,"suffix":""}],"container-title":"Journal of Arthroplasty","id":"ITEM-1","issue":"3","issued":{"date-parts":[["2010"]]},"title":"A new technique of subtrochanteric shortening in total hip replacement for crowe type 3 to 4 dysplasia of the hip","type":"article-journal","volume":"25"},"uris":["http://www.mendeley.com/documents/?uuid=d24913c4-948d-30f0-8e79-1deaa7e437f4"]}],"mendeley":{"formattedCitation":"[16]","plainTextFormattedCitation":"[16]","previouslyFormattedCitation":"[16]"},"properties":{"noteIndex":0},"schema":"https://github.com/citation-style-language/schema/raw/master/csl-citation.json"}</w:instrText>
      </w:r>
      <w:r w:rsidR="00E766C5" w:rsidRPr="00185BC0">
        <w:rPr>
          <w:sz w:val="28"/>
          <w:szCs w:val="28"/>
        </w:rPr>
        <w:fldChar w:fldCharType="separate"/>
      </w:r>
      <w:r w:rsidR="00371B3B" w:rsidRPr="00185BC0">
        <w:rPr>
          <w:noProof/>
          <w:sz w:val="28"/>
          <w:szCs w:val="28"/>
        </w:rPr>
        <w:t>[16]</w:t>
      </w:r>
      <w:r w:rsidR="00E766C5" w:rsidRPr="00185BC0">
        <w:rPr>
          <w:sz w:val="28"/>
          <w:szCs w:val="28"/>
        </w:rPr>
        <w:fldChar w:fldCharType="end"/>
      </w:r>
      <w:r w:rsidR="00BB1D05" w:rsidRPr="00185BC0">
        <w:rPr>
          <w:sz w:val="28"/>
          <w:szCs w:val="28"/>
        </w:rPr>
        <w:t>.</w:t>
      </w:r>
    </w:p>
    <w:p w14:paraId="569F735B" w14:textId="78EECA76" w:rsidR="00BB1D05" w:rsidRPr="00185BC0" w:rsidRDefault="002D260C" w:rsidP="00BB1D05">
      <w:pPr>
        <w:ind w:firstLine="709"/>
        <w:jc w:val="both"/>
        <w:rPr>
          <w:sz w:val="28"/>
          <w:szCs w:val="28"/>
        </w:rPr>
      </w:pPr>
      <w:r w:rsidRPr="00185BC0">
        <w:rPr>
          <w:sz w:val="28"/>
          <w:szCs w:val="28"/>
          <w:lang w:val="kk-KZ"/>
        </w:rPr>
        <w:t xml:space="preserve">В </w:t>
      </w:r>
      <w:r w:rsidRPr="00185BC0">
        <w:rPr>
          <w:sz w:val="28"/>
          <w:szCs w:val="28"/>
        </w:rPr>
        <w:t xml:space="preserve">ретроспективном исследовании </w:t>
      </w:r>
      <w:proofErr w:type="spellStart"/>
      <w:r w:rsidR="00BB1D05" w:rsidRPr="00185BC0">
        <w:rPr>
          <w:sz w:val="28"/>
          <w:szCs w:val="28"/>
          <w:lang w:val="en-US"/>
        </w:rPr>
        <w:t>Ollivier</w:t>
      </w:r>
      <w:proofErr w:type="spellEnd"/>
      <w:r w:rsidR="00BB1D05" w:rsidRPr="00185BC0">
        <w:rPr>
          <w:sz w:val="28"/>
          <w:szCs w:val="28"/>
        </w:rPr>
        <w:t xml:space="preserve"> </w:t>
      </w:r>
      <w:r w:rsidR="00BB1D05" w:rsidRPr="00185BC0">
        <w:rPr>
          <w:sz w:val="28"/>
          <w:szCs w:val="28"/>
          <w:lang w:val="en-US"/>
        </w:rPr>
        <w:t>M</w:t>
      </w:r>
      <w:r w:rsidR="00BB1D05"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BB1D05" w:rsidRPr="00185BC0">
        <w:rPr>
          <w:sz w:val="28"/>
          <w:szCs w:val="28"/>
        </w:rPr>
        <w:t xml:space="preserve">. проанализировали отдалённые результаты тотального эндопротезирования тазобедренного сустава у 24 пациентов (28 суставов) с диспластическим коксартрозом </w:t>
      </w:r>
      <w:r w:rsidR="00BB1D05" w:rsidRPr="00185BC0">
        <w:rPr>
          <w:sz w:val="28"/>
          <w:szCs w:val="28"/>
          <w:lang w:val="en-US"/>
        </w:rPr>
        <w:t>IV</w:t>
      </w:r>
      <w:r w:rsidR="00BB1D05" w:rsidRPr="00185BC0">
        <w:rPr>
          <w:sz w:val="28"/>
          <w:szCs w:val="28"/>
        </w:rPr>
        <w:t xml:space="preserve"> типа по классификации </w:t>
      </w:r>
      <w:r w:rsidR="00BB1D05" w:rsidRPr="00185BC0">
        <w:rPr>
          <w:sz w:val="28"/>
          <w:szCs w:val="28"/>
          <w:lang w:val="en-US"/>
        </w:rPr>
        <w:t>Crowe</w:t>
      </w:r>
      <w:r w:rsidR="00BB1D05" w:rsidRPr="00185BC0">
        <w:rPr>
          <w:sz w:val="28"/>
          <w:szCs w:val="28"/>
        </w:rPr>
        <w:t xml:space="preserve"> со средним сроком наблюдения 10 лет. В 27 случаях была выполнена поперечная </w:t>
      </w:r>
      <w:proofErr w:type="spellStart"/>
      <w:r w:rsidR="00BB1D05" w:rsidRPr="00185BC0">
        <w:rPr>
          <w:sz w:val="28"/>
          <w:szCs w:val="28"/>
        </w:rPr>
        <w:t>подвертельная</w:t>
      </w:r>
      <w:proofErr w:type="spellEnd"/>
      <w:r w:rsidR="00BB1D05" w:rsidRPr="00185BC0">
        <w:rPr>
          <w:sz w:val="28"/>
          <w:szCs w:val="28"/>
        </w:rPr>
        <w:t xml:space="preserve"> укорачивающая остеотомия и в одном </w:t>
      </w:r>
      <w:r w:rsidR="00DA5A93" w:rsidRPr="00185BC0">
        <w:rPr>
          <w:sz w:val="28"/>
          <w:szCs w:val="28"/>
        </w:rPr>
        <w:t>–</w:t>
      </w:r>
      <w:r w:rsidR="00BB1D05" w:rsidRPr="00185BC0">
        <w:rPr>
          <w:sz w:val="28"/>
          <w:szCs w:val="28"/>
        </w:rPr>
        <w:t xml:space="preserve"> ступенчатая. Средняя длина укорочения составила 4 см, фиксация зоны остеотомии осуществлялась с использованием кортикальных распорок из ауто- и </w:t>
      </w:r>
      <w:proofErr w:type="spellStart"/>
      <w:r w:rsidR="00BB1D05" w:rsidRPr="00185BC0">
        <w:rPr>
          <w:sz w:val="28"/>
          <w:szCs w:val="28"/>
        </w:rPr>
        <w:t>аллотрансплантатов</w:t>
      </w:r>
      <w:proofErr w:type="spellEnd"/>
      <w:r w:rsidR="00BB1D05" w:rsidRPr="00185BC0">
        <w:rPr>
          <w:sz w:val="28"/>
          <w:szCs w:val="28"/>
        </w:rPr>
        <w:t xml:space="preserve"> в сочетании с кабельной фиксацией. В течение наблюдения было выполнено 5 ревизионных операций, зарегистрировано 3 летальных исхода, причины которых не уточняются и не ассоциируются с оперативным вмешательством. Глубоких </w:t>
      </w:r>
      <w:proofErr w:type="spellStart"/>
      <w:r w:rsidR="00BB1D05" w:rsidRPr="00185BC0">
        <w:rPr>
          <w:sz w:val="28"/>
          <w:szCs w:val="28"/>
        </w:rPr>
        <w:t>перипротезных</w:t>
      </w:r>
      <w:proofErr w:type="spellEnd"/>
      <w:r w:rsidR="00BB1D05" w:rsidRPr="00185BC0">
        <w:rPr>
          <w:sz w:val="28"/>
          <w:szCs w:val="28"/>
        </w:rPr>
        <w:t xml:space="preserve"> инфекций и паралича малоберцового нерва не отмечено, однако </w:t>
      </w:r>
      <w:proofErr w:type="spellStart"/>
      <w:r w:rsidR="00BB1D05" w:rsidRPr="00185BC0">
        <w:rPr>
          <w:sz w:val="28"/>
          <w:szCs w:val="28"/>
        </w:rPr>
        <w:t>несращение</w:t>
      </w:r>
      <w:proofErr w:type="spellEnd"/>
      <w:r w:rsidR="00BB1D05" w:rsidRPr="00185BC0">
        <w:rPr>
          <w:sz w:val="28"/>
          <w:szCs w:val="28"/>
        </w:rPr>
        <w:t xml:space="preserve"> остеотомии зафиксировано в 2 случаях (7%) при среднем времени консолидации 10 месяцев. Выживаемость имплантатов без ревизии по любой причине составила 82%, а по причине асептического расшатывания </w:t>
      </w:r>
      <w:r w:rsidR="00DA5A93" w:rsidRPr="00185BC0">
        <w:rPr>
          <w:sz w:val="28"/>
          <w:szCs w:val="28"/>
        </w:rPr>
        <w:t>–</w:t>
      </w:r>
      <w:r w:rsidR="00BB1D05" w:rsidRPr="00185BC0">
        <w:rPr>
          <w:sz w:val="28"/>
          <w:szCs w:val="28"/>
        </w:rPr>
        <w:t xml:space="preserve"> 89%. Авторы приходят к выводу, что </w:t>
      </w:r>
      <w:proofErr w:type="spellStart"/>
      <w:r w:rsidR="00BB1D05" w:rsidRPr="00185BC0">
        <w:rPr>
          <w:sz w:val="28"/>
          <w:szCs w:val="28"/>
        </w:rPr>
        <w:t>бесцементное</w:t>
      </w:r>
      <w:proofErr w:type="spellEnd"/>
      <w:r w:rsidR="00BB1D05" w:rsidRPr="00185BC0">
        <w:rPr>
          <w:sz w:val="28"/>
          <w:szCs w:val="28"/>
        </w:rPr>
        <w:t xml:space="preserve"> эндопротезирование с укорачивающей поперечной остеотомией бедренной кости является надёжным методом лечения </w:t>
      </w:r>
      <w:r w:rsidR="00BB1D05" w:rsidRPr="00185BC0">
        <w:rPr>
          <w:sz w:val="28"/>
          <w:szCs w:val="28"/>
          <w:lang w:val="en-US"/>
        </w:rPr>
        <w:t>Crowe</w:t>
      </w:r>
      <w:r w:rsidR="00BB1D05" w:rsidRPr="00185BC0">
        <w:rPr>
          <w:sz w:val="28"/>
          <w:szCs w:val="28"/>
        </w:rPr>
        <w:t xml:space="preserve"> </w:t>
      </w:r>
      <w:r w:rsidR="00BB1D05" w:rsidRPr="00185BC0">
        <w:rPr>
          <w:sz w:val="28"/>
          <w:szCs w:val="28"/>
          <w:lang w:val="en-US"/>
        </w:rPr>
        <w:t>IV</w:t>
      </w:r>
      <w:r w:rsidR="00BB1D05" w:rsidRPr="00185BC0">
        <w:rPr>
          <w:sz w:val="28"/>
          <w:szCs w:val="28"/>
        </w:rPr>
        <w:t xml:space="preserve"> дисплазии, </w:t>
      </w:r>
      <w:proofErr w:type="spellStart"/>
      <w:r w:rsidR="00BB1D05" w:rsidRPr="00185BC0">
        <w:rPr>
          <w:sz w:val="28"/>
          <w:szCs w:val="28"/>
        </w:rPr>
        <w:t>обеспечивающи</w:t>
      </w:r>
      <w:proofErr w:type="spellEnd"/>
      <w:r w:rsidRPr="00185BC0">
        <w:rPr>
          <w:sz w:val="28"/>
          <w:szCs w:val="28"/>
          <w:lang w:val="kk-KZ"/>
        </w:rPr>
        <w:t>е</w:t>
      </w:r>
      <w:r w:rsidR="00BB1D05" w:rsidRPr="00185BC0">
        <w:rPr>
          <w:sz w:val="28"/>
          <w:szCs w:val="28"/>
        </w:rPr>
        <w:t xml:space="preserve"> стабильные клинические и функциональные результаты в отдалённой перспективе</w:t>
      </w:r>
      <w:r w:rsidR="003C0456" w:rsidRPr="00185BC0">
        <w:rPr>
          <w:sz w:val="28"/>
          <w:szCs w:val="28"/>
        </w:rPr>
        <w:t xml:space="preserve"> </w:t>
      </w:r>
      <w:r w:rsidR="00E766C5" w:rsidRPr="00185BC0">
        <w:rPr>
          <w:sz w:val="28"/>
          <w:szCs w:val="28"/>
          <w:lang w:val="kk-KZ"/>
        </w:rPr>
        <w:fldChar w:fldCharType="begin" w:fldLock="1"/>
      </w:r>
      <w:r w:rsidR="001D29A3" w:rsidRPr="00185BC0">
        <w:rPr>
          <w:sz w:val="28"/>
          <w:szCs w:val="28"/>
          <w:lang w:val="kk-KZ"/>
        </w:rPr>
        <w:instrText>ADDIN CSL_CITATION {"citationItems":[{"id":"ITEM-1","itemData":{"DOI":"10.1016/j.arth.2016.01.049","ISSN":"15328406","PMID":"26952206","abstract":"Background Numerous series have documented short-term successes with cementless total hip arthroplasty (THA) and subtrochanteric shortening osteotomy for Crowe IV developmental dysplasia of the hip (DDH). However, data are lacking regarding long-term implant fixation and patient function. In this study, we aimed to evaluate the 10-year results of cementless THA with simultaneous subtrochanteric shortening osteotomy for Crowe IV DDH. Methods We retrospectively reviewed 28 consecutive primaries cementless THAs performed in 24 patients with Crowe IV DDH between 1992 and 2005. Evaluation was performed through Harris Hip Scores, physical examination, and radiographic analysis. Results At mean follow-up 10 years, 5 hips were revised, and 3 patients had died leaving 20 hips for clinical analysis. Harris Hip Score was significantly improved compared to preoperative values (43 vs 87 P &lt;.0001). The 10-year survivorship free from revision for aseptic loosening was 89%. Twenty-nine percent patients had an early complication, but these did not have long-term deleterious effects on the reconstruction, and there were no reoperations for any reason after 7 years. Conclusions In the longest series to date, cementless THA combined with a subtrochanteric femoral shortening osteotomy in patients with a high hip dislocation secondary to dysplasia was associated with high rates of successful implant fixation and stable clinical improvement.","author":[{"dropping-particle":"","family":"Ollivier","given":"Matthieu","non-dropping-particle":"","parse-names":false,"suffix":""},{"dropping-particle":"","family":"Abdel","given":"Matthew P.","non-dropping-particle":"","parse-names":false,"suffix":""},{"dropping-particle":"","family":"Krych","given":"Aaron J.","non-dropping-particle":"","parse-names":false,"suffix":""},{"dropping-particle":"","family":"Trousdale","given":"Robert T.","non-dropping-particle":"","parse-names":false,"suffix":""},{"dropping-particle":"","family":"Berry","given":"Daniel J.","non-dropping-particle":"","parse-names":false,"suffix":""}],"container-title":"Journal of Arthroplasty","id":"ITEM-1","issue":"8","issued":{"date-parts":[["2016","8","1"]]},"page":"1756-1760","publisher":"Churchill Livingstone Inc.","title":"Long-Term Results of Total Hip Arthroplasty With Shortening Subtrochanteric Osteotomy in Crowe IV Developmental Dysplasia","type":"article-journal","volume":"31"},"uris":["http://www.mendeley.com/documents/?uuid=f23ba7ce-8535-3dc8-b41d-ad35056b31d1"]}],"mendeley":{"formattedCitation":"[77]","plainTextFormattedCitation":"[77]","previouslyFormattedCitation":"[77]"},"properties":{"noteIndex":0},"schema":"https://github.com/citation-style-language/schema/raw/master/csl-citation.json"}</w:instrText>
      </w:r>
      <w:r w:rsidR="00E766C5" w:rsidRPr="00185BC0">
        <w:rPr>
          <w:sz w:val="28"/>
          <w:szCs w:val="28"/>
          <w:lang w:val="kk-KZ"/>
        </w:rPr>
        <w:fldChar w:fldCharType="separate"/>
      </w:r>
      <w:r w:rsidR="008A5983" w:rsidRPr="00185BC0">
        <w:rPr>
          <w:noProof/>
          <w:sz w:val="28"/>
          <w:szCs w:val="28"/>
          <w:lang w:val="kk-KZ"/>
        </w:rPr>
        <w:t>[77]</w:t>
      </w:r>
      <w:r w:rsidR="00E766C5" w:rsidRPr="00185BC0">
        <w:rPr>
          <w:sz w:val="28"/>
          <w:szCs w:val="28"/>
          <w:lang w:val="kk-KZ"/>
        </w:rPr>
        <w:fldChar w:fldCharType="end"/>
      </w:r>
      <w:r w:rsidR="00BB1D05" w:rsidRPr="00185BC0">
        <w:rPr>
          <w:sz w:val="28"/>
          <w:szCs w:val="28"/>
        </w:rPr>
        <w:t>.</w:t>
      </w:r>
    </w:p>
    <w:p w14:paraId="3E1947B8" w14:textId="0B1A3F37" w:rsidR="00BB1D05" w:rsidRPr="00185BC0" w:rsidRDefault="00BB1D05" w:rsidP="00BB1D05">
      <w:pPr>
        <w:tabs>
          <w:tab w:val="left" w:pos="2258"/>
          <w:tab w:val="center" w:pos="4677"/>
        </w:tabs>
        <w:ind w:firstLine="567"/>
        <w:jc w:val="both"/>
        <w:rPr>
          <w:sz w:val="28"/>
          <w:szCs w:val="28"/>
        </w:rPr>
      </w:pPr>
      <w:r w:rsidRPr="00185BC0">
        <w:rPr>
          <w:sz w:val="28"/>
          <w:szCs w:val="28"/>
        </w:rPr>
        <w:t xml:space="preserve">Таким образом, согласно литературным данным поперечная </w:t>
      </w:r>
      <w:proofErr w:type="spellStart"/>
      <w:r w:rsidRPr="00185BC0">
        <w:rPr>
          <w:sz w:val="28"/>
          <w:szCs w:val="28"/>
        </w:rPr>
        <w:t>подвертельная</w:t>
      </w:r>
      <w:proofErr w:type="spellEnd"/>
      <w:r w:rsidRPr="00185BC0">
        <w:rPr>
          <w:sz w:val="28"/>
          <w:szCs w:val="28"/>
        </w:rPr>
        <w:t xml:space="preserve"> остеотомия</w:t>
      </w:r>
      <w:r w:rsidRPr="00185BC0">
        <w:rPr>
          <w:sz w:val="28"/>
          <w:szCs w:val="28"/>
          <w:lang w:val="kk-KZ"/>
        </w:rPr>
        <w:t>,</w:t>
      </w:r>
      <w:r w:rsidRPr="00185BC0">
        <w:rPr>
          <w:sz w:val="28"/>
          <w:szCs w:val="28"/>
        </w:rPr>
        <w:t xml:space="preserve"> несмотря на широкую распространенность</w:t>
      </w:r>
      <w:r w:rsidR="002D260C" w:rsidRPr="00185BC0">
        <w:rPr>
          <w:sz w:val="28"/>
          <w:szCs w:val="28"/>
          <w:lang w:val="kk-KZ"/>
        </w:rPr>
        <w:t>,</w:t>
      </w:r>
      <w:r w:rsidRPr="00185BC0">
        <w:rPr>
          <w:sz w:val="28"/>
          <w:szCs w:val="28"/>
        </w:rPr>
        <w:t xml:space="preserve"> имеет следующие </w:t>
      </w:r>
      <w:r w:rsidRPr="00185BC0">
        <w:rPr>
          <w:sz w:val="28"/>
          <w:szCs w:val="28"/>
        </w:rPr>
        <w:lastRenderedPageBreak/>
        <w:t xml:space="preserve">недостатки: </w:t>
      </w:r>
      <w:proofErr w:type="spellStart"/>
      <w:r w:rsidRPr="00185BC0">
        <w:rPr>
          <w:sz w:val="28"/>
          <w:szCs w:val="28"/>
        </w:rPr>
        <w:t>несращение</w:t>
      </w:r>
      <w:proofErr w:type="spellEnd"/>
      <w:r w:rsidRPr="00185BC0">
        <w:rPr>
          <w:sz w:val="28"/>
          <w:szCs w:val="28"/>
        </w:rPr>
        <w:t xml:space="preserve"> зоны остеотомии, развитие нестабильности бедренного компонента и необходимость дополнительной фиксации в большинстве случаев.</w:t>
      </w:r>
    </w:p>
    <w:p w14:paraId="5D6CC2E2" w14:textId="08F7C7DF" w:rsidR="00BB1D05" w:rsidRPr="00185BC0" w:rsidRDefault="00BB1D05" w:rsidP="00BB1D05">
      <w:pPr>
        <w:ind w:firstLine="567"/>
        <w:jc w:val="both"/>
        <w:rPr>
          <w:sz w:val="28"/>
          <w:szCs w:val="28"/>
        </w:rPr>
      </w:pPr>
      <w:r w:rsidRPr="00185BC0">
        <w:rPr>
          <w:sz w:val="28"/>
          <w:szCs w:val="28"/>
          <w:lang w:val="kk-KZ"/>
        </w:rPr>
        <w:t>Подвертельная укорачивающая косая остеотомия является одним из широко применямых способов при первичной бесцементой ТЭТС. При выполнении данной техники возможно максимально восстановить анатомию бедренной кости, а также удается сохранить костную массу проксимального отдела бедреннной кости</w:t>
      </w:r>
      <w:r w:rsidRPr="00185BC0">
        <w:rPr>
          <w:sz w:val="28"/>
          <w:szCs w:val="28"/>
        </w:rPr>
        <w:t xml:space="preserve">. </w:t>
      </w:r>
    </w:p>
    <w:p w14:paraId="307D396F" w14:textId="472D1FFE" w:rsidR="00BB1D05" w:rsidRPr="00185BC0" w:rsidRDefault="00BB1D05" w:rsidP="00BB1D05">
      <w:pPr>
        <w:ind w:firstLine="709"/>
        <w:jc w:val="both"/>
        <w:rPr>
          <w:sz w:val="28"/>
          <w:szCs w:val="28"/>
        </w:rPr>
      </w:pPr>
      <w:proofErr w:type="spellStart"/>
      <w:r w:rsidRPr="00185BC0">
        <w:rPr>
          <w:sz w:val="28"/>
          <w:szCs w:val="28"/>
          <w:lang w:val="en-US"/>
        </w:rPr>
        <w:t>Zagra</w:t>
      </w:r>
      <w:proofErr w:type="spellEnd"/>
      <w:r w:rsidRPr="00185BC0">
        <w:rPr>
          <w:sz w:val="28"/>
          <w:szCs w:val="28"/>
        </w:rPr>
        <w:t xml:space="preserve"> </w:t>
      </w:r>
      <w:r w:rsidRPr="00185BC0">
        <w:rPr>
          <w:sz w:val="28"/>
          <w:szCs w:val="28"/>
          <w:lang w:val="en-US"/>
        </w:rPr>
        <w:t>L</w:t>
      </w:r>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с</w:t>
      </w:r>
      <w:r w:rsidRPr="00185BC0">
        <w:rPr>
          <w:sz w:val="28"/>
          <w:szCs w:val="28"/>
          <w:lang w:val="kk-KZ"/>
        </w:rPr>
        <w:t>ообщили</w:t>
      </w:r>
      <w:r w:rsidR="002D260C" w:rsidRPr="00185BC0">
        <w:rPr>
          <w:sz w:val="28"/>
          <w:szCs w:val="28"/>
          <w:lang w:val="kk-KZ"/>
        </w:rPr>
        <w:t>,</w:t>
      </w:r>
      <w:r w:rsidRPr="00185BC0">
        <w:rPr>
          <w:sz w:val="28"/>
          <w:szCs w:val="28"/>
          <w:lang w:val="kk-KZ"/>
        </w:rPr>
        <w:t xml:space="preserve"> что при выполнении первичной бесцементной ТЭТС с косой подвертельной укорачивающей остеотомией улучшается ротационная стабильность в сравнении с поперечной, что способствует увеличению контакной поверхности остеотомированных отломков. А также авторы ссыляются на то</w:t>
      </w:r>
      <w:r w:rsidR="002D260C" w:rsidRPr="00185BC0">
        <w:rPr>
          <w:sz w:val="28"/>
          <w:szCs w:val="28"/>
          <w:lang w:val="kk-KZ"/>
        </w:rPr>
        <w:t>,</w:t>
      </w:r>
      <w:r w:rsidRPr="00185BC0">
        <w:rPr>
          <w:sz w:val="28"/>
          <w:szCs w:val="28"/>
          <w:lang w:val="kk-KZ"/>
        </w:rPr>
        <w:t xml:space="preserve"> что Reikeras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xml:space="preserve">. </w:t>
      </w:r>
      <w:r w:rsidRPr="00185BC0">
        <w:rPr>
          <w:sz w:val="28"/>
          <w:szCs w:val="28"/>
          <w:lang w:val="kk-KZ"/>
        </w:rPr>
        <w:t>в своем исследовании в 2010 году впервые описали данный способ остеотомии</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{"citationItems":[{"id":"ITEM-1","itemData":{"DOI":"10.1007/s00264-015-2865-9","ISSN":"14325195","abstract":"Purpose: The aim of this study was to evaluate outcomes after implantation of total hip arthroplasty for developmental dysplasia with high dislocation of the hip using conical stems combined with oblique subtrochanteric shortening osteotomy. Methods: We retrospectively reviewed the functional scores, radiographic results, and complications in a consecutive series of 16 hips (12 patients) with Crowe IV developmental dysplasia of the hip. The average age at surgery was 53.2 years and the patients were operated on between 1999 and 2008. Results: The average Harris Hip Score improved from 37.2 to 83.7 at a mean follow-up of 8.7 years. All acetabular cups were inserted into the true acetabulum and all prosthetic components were stable at the last follow-up visit. No neurovascular damage was recorded. Complications arose in six hips (37.5 %): intra-operative fracture of proximal femur requiring fixation (n = 2); dislocation (n = 3); and asymptomatic non-union of the osteotomy (n = 1). The osteotomy healed within less than six months in all the remaining cases. Conclusions: With the numbers given the oblique femur shortening osteotomy led to an increased rotational stability and proved to be a simple and effective method. Compared with transverse osteotomy and as related to our experience, this technique may be a method of choice in selected cases.","author":[{"dropping-particle":"","family":"Zagra","given":"Luigi","non-dropping-particle":"","parse-names":false,"suffix":""},{"dropping-particle":"","family":"Bianchi","given":"Luca","non-dropping-particle":"","parse-names":false,"suffix":""},{"dropping-particle":"","family":"Mondini","given":"Andrea","non-dropping-particle":"","parse-names":false,"suffix":""},{"dropping-particle":"","family":"Ceroni","given":"Roberto Giacometti","non-dropping-particle":"","parse-names":false,"suffix":""}],"container-title":"International Orthopaedics","id":"ITEM-1","issue":"9","issued":{"date-parts":[["2015"]]},"title":"Oblique femoral shortening osteotomy in total hip arthroplasty for high dislocation in patients with hip dysplasia","type":"article-journal","volume":"39"},"uris":["http://www.mendeley.com/documents/?uuid=9ec29879-98f1-35ed-b6b6-b72de6644be5"]}],"mendeley":{"formattedCitation":"[78]","plainTextFormattedCitation":"[78]","previouslyFormattedCitation":"[78]"},"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[78]</w:t>
      </w:r>
      <w:r w:rsidR="003C0456" w:rsidRPr="00185BC0">
        <w:rPr>
          <w:sz w:val="28"/>
          <w:szCs w:val="28"/>
          <w:lang w:val="kk-KZ"/>
        </w:rPr>
        <w:fldChar w:fldCharType="end"/>
      </w:r>
      <w:r w:rsidRPr="00185BC0">
        <w:rPr>
          <w:sz w:val="28"/>
          <w:szCs w:val="28"/>
        </w:rPr>
        <w:t>.</w:t>
      </w:r>
    </w:p>
    <w:p w14:paraId="4F112F4A" w14:textId="168B2306" w:rsidR="00BB1D05" w:rsidRPr="00185BC0" w:rsidRDefault="00BB1D05" w:rsidP="00BB1D05">
      <w:pPr>
        <w:ind w:firstLine="709"/>
        <w:jc w:val="both"/>
        <w:rPr>
          <w:sz w:val="28"/>
          <w:szCs w:val="28"/>
        </w:rPr>
      </w:pPr>
      <w:r w:rsidRPr="00185BC0">
        <w:rPr>
          <w:sz w:val="28"/>
          <w:szCs w:val="28"/>
        </w:rPr>
        <w:t xml:space="preserve">В исследовании </w:t>
      </w:r>
      <w:proofErr w:type="spellStart"/>
      <w:r w:rsidRPr="00185BC0">
        <w:rPr>
          <w:sz w:val="28"/>
          <w:szCs w:val="28"/>
        </w:rPr>
        <w:t>Önder</w:t>
      </w:r>
      <w:proofErr w:type="spellEnd"/>
      <w:r w:rsidRPr="00185BC0">
        <w:rPr>
          <w:sz w:val="28"/>
          <w:szCs w:val="28"/>
        </w:rPr>
        <w:t xml:space="preserve"> İ.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xml:space="preserve">. </w:t>
      </w:r>
      <w:r w:rsidRPr="00185BC0">
        <w:rPr>
          <w:sz w:val="28"/>
          <w:szCs w:val="28"/>
        </w:rPr>
        <w:t xml:space="preserve">наблюдали 16 пациентов (20 тазобедренных суставов) с диспластическим коксартрозом IV типа по </w:t>
      </w:r>
      <w:proofErr w:type="spellStart"/>
      <w:r w:rsidRPr="00185BC0">
        <w:rPr>
          <w:sz w:val="28"/>
          <w:szCs w:val="28"/>
        </w:rPr>
        <w:t>Crowe</w:t>
      </w:r>
      <w:proofErr w:type="spellEnd"/>
      <w:r w:rsidRPr="00185BC0">
        <w:rPr>
          <w:sz w:val="28"/>
          <w:szCs w:val="28"/>
        </w:rPr>
        <w:t xml:space="preserve">, к которым применяли модифицированную косую укорачивающую </w:t>
      </w:r>
      <w:proofErr w:type="spellStart"/>
      <w:r w:rsidRPr="00185BC0">
        <w:rPr>
          <w:sz w:val="28"/>
          <w:szCs w:val="28"/>
        </w:rPr>
        <w:t>подвертельную</w:t>
      </w:r>
      <w:proofErr w:type="spellEnd"/>
      <w:r w:rsidRPr="00185BC0">
        <w:rPr>
          <w:sz w:val="28"/>
          <w:szCs w:val="28"/>
        </w:rPr>
        <w:t xml:space="preserve"> остеотомию бедренной кости при тотальном </w:t>
      </w:r>
      <w:proofErr w:type="spellStart"/>
      <w:r w:rsidRPr="00185BC0">
        <w:rPr>
          <w:sz w:val="28"/>
          <w:szCs w:val="28"/>
        </w:rPr>
        <w:t>бесцементном</w:t>
      </w:r>
      <w:proofErr w:type="spellEnd"/>
      <w:r w:rsidRPr="00185BC0">
        <w:rPr>
          <w:sz w:val="28"/>
          <w:szCs w:val="28"/>
        </w:rPr>
        <w:t xml:space="preserve"> эндопротезировании тазобедренного сустава. При среднем сроке наблюдения </w:t>
      </w:r>
      <w:r w:rsidR="002D260C" w:rsidRPr="00185BC0">
        <w:rPr>
          <w:sz w:val="28"/>
          <w:szCs w:val="28"/>
          <w:lang w:val="kk-KZ"/>
        </w:rPr>
        <w:t xml:space="preserve">– </w:t>
      </w:r>
      <w:r w:rsidRPr="00185BC0">
        <w:rPr>
          <w:sz w:val="28"/>
          <w:szCs w:val="28"/>
        </w:rPr>
        <w:t>в течение 7 лет</w:t>
      </w:r>
      <w:r w:rsidR="002D260C" w:rsidRPr="00185BC0">
        <w:rPr>
          <w:sz w:val="28"/>
          <w:szCs w:val="28"/>
          <w:lang w:val="kk-KZ"/>
        </w:rPr>
        <w:t xml:space="preserve"> –</w:t>
      </w:r>
      <w:r w:rsidRPr="00185BC0">
        <w:rPr>
          <w:sz w:val="28"/>
          <w:szCs w:val="28"/>
        </w:rPr>
        <w:t xml:space="preserve"> авторы пришли к выводу</w:t>
      </w:r>
      <w:r w:rsidR="009F6A14" w:rsidRPr="00185BC0">
        <w:rPr>
          <w:sz w:val="28"/>
          <w:szCs w:val="28"/>
          <w:lang w:val="kk-KZ"/>
        </w:rPr>
        <w:t>,</w:t>
      </w:r>
      <w:r w:rsidRPr="00185BC0">
        <w:rPr>
          <w:sz w:val="28"/>
          <w:szCs w:val="28"/>
        </w:rPr>
        <w:t xml:space="preserve"> что косая сегментарная </w:t>
      </w:r>
      <w:proofErr w:type="spellStart"/>
      <w:r w:rsidRPr="00185BC0">
        <w:rPr>
          <w:sz w:val="28"/>
          <w:szCs w:val="28"/>
        </w:rPr>
        <w:t>подвертельная</w:t>
      </w:r>
      <w:proofErr w:type="spellEnd"/>
      <w:r w:rsidRPr="00185BC0">
        <w:rPr>
          <w:sz w:val="28"/>
          <w:szCs w:val="28"/>
        </w:rPr>
        <w:t xml:space="preserve"> остеотомия является простой и эффективной техникой. По мнению авторов</w:t>
      </w:r>
      <w:r w:rsidR="009F6A14" w:rsidRPr="00185BC0">
        <w:rPr>
          <w:sz w:val="28"/>
          <w:szCs w:val="28"/>
          <w:lang w:val="kk-KZ"/>
        </w:rPr>
        <w:t>,</w:t>
      </w:r>
      <w:r w:rsidRPr="00185BC0">
        <w:rPr>
          <w:sz w:val="28"/>
          <w:szCs w:val="28"/>
        </w:rPr>
        <w:t xml:space="preserve"> данный способ имеет хорошие результаты </w:t>
      </w:r>
      <w:proofErr w:type="spellStart"/>
      <w:r w:rsidRPr="00185BC0">
        <w:rPr>
          <w:sz w:val="28"/>
          <w:szCs w:val="28"/>
        </w:rPr>
        <w:t>лечени</w:t>
      </w:r>
      <w:proofErr w:type="spellEnd"/>
      <w:r w:rsidRPr="00185BC0">
        <w:rPr>
          <w:sz w:val="28"/>
          <w:szCs w:val="28"/>
          <w:lang w:val="kk-KZ"/>
        </w:rPr>
        <w:t>я</w:t>
      </w:r>
      <w:r w:rsidRPr="00185BC0">
        <w:rPr>
          <w:sz w:val="28"/>
          <w:szCs w:val="28"/>
        </w:rPr>
        <w:t xml:space="preserve"> при использовании соответствующей ножки со стабильной остеотомией</w:t>
      </w:r>
      <w:r w:rsidR="003C0456" w:rsidRPr="00185BC0">
        <w:rPr>
          <w:sz w:val="28"/>
          <w:szCs w:val="28"/>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{"citationItems":[{"id":"ITEM-1","itemData":{"DOI":"10.1016/j.arth.2012.06.014","ISSN":"08835403","abstract":"Midterm results of cementless total hip arthroplasty in patients with Crowe type IV congenital dislocation of the hip were evaluated. A modified oblique subtrochanteric shortening osteotomy was used in all patients. A cylindrical femoral stem was used in all patients to stabilize the osteotomy. Mean follow-up was 82 months in 20 hips of 16 patients. Mean Merle D'Aubigné pain score increased from 2.52 to 5.65 points, function score improved from 4.0 to 5.3 points, and mobility score improved from 3.95 to 5.35. Mean greater trochanter height relative to the estimated hip center was 6.8 ± 2.0 cm preoperatively and. 1 ± 0.2 cm postoperatively. Complications were dislocations in 3 patients, which were successfully managed without redislocation and fracture of greater trochanter in 3 patients, which healed uneventfully in 2 but with residual Trendelenburg gait in one. Total hip arthroplasty with modified oblique subtrochanteric shortening osteotomy is an effective technique for the treatment for Crowe type IV hip dislocation. © 2013 Elsevier Inc.","author":[{"dropping-particle":"","family":"Kiliçoǧlu","given":"Önder I.","non-dropping-particle":"","parse-names":false,"suffix":""},{"dropping-particle":"","family":"Türker","given":"Mehmet","non-dropping-particle":"","parse-names":false,"suffix":""},{"dropping-particle":"","family":"Akgül","given":"Turgut","non-dropping-particle":"","parse-names":false,"suffix":""},{"dropping-particle":"","family":"Yazicioǧlu","given":"Önder","non-dropping-particle":"","parse-names":false,"suffix":""}],"container-title":"Journal of Arthroplasty","id":"ITEM-1","issue":"1","issued":{"date-parts":[["2013"]]},"title":"Cementless Total Hip Arthroplasty With Modified Oblique Femoral Shortening Osteotomy in Crowe Type IV Congenital Hip Dislocation","type":"article-journal","volume":"28"},"uris":["http://www.mendeley.com/documents/?uuid=9de167a7-efbd-30e0-885e-3b12552cb2e7"]}],"mendeley":{"formattedCitation":"[57]","plainTextFormattedCitation":"[57]","previouslyFormattedCitation":"[57]"},"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[57]</w:t>
      </w:r>
      <w:r w:rsidR="003C0456" w:rsidRPr="00185BC0">
        <w:rPr>
          <w:sz w:val="28"/>
          <w:szCs w:val="28"/>
          <w:lang w:val="kk-KZ"/>
        </w:rPr>
        <w:fldChar w:fldCharType="end"/>
      </w:r>
      <w:r w:rsidRPr="00185BC0">
        <w:rPr>
          <w:sz w:val="28"/>
          <w:szCs w:val="28"/>
        </w:rPr>
        <w:t>.</w:t>
      </w:r>
    </w:p>
    <w:p w14:paraId="61500D29" w14:textId="0032481F" w:rsidR="00BB1D05" w:rsidRPr="00185BC0" w:rsidRDefault="00BB1D05" w:rsidP="00BB1D05">
      <w:pPr>
        <w:ind w:firstLine="709"/>
        <w:jc w:val="both"/>
        <w:rPr>
          <w:sz w:val="28"/>
          <w:szCs w:val="28"/>
        </w:rPr>
      </w:pPr>
      <w:r w:rsidRPr="00185BC0">
        <w:rPr>
          <w:sz w:val="28"/>
          <w:szCs w:val="28"/>
          <w:lang w:val="kk-KZ"/>
        </w:rPr>
        <w:t>Исследовани</w:t>
      </w:r>
      <w:r w:rsidR="009F6A14" w:rsidRPr="00185BC0">
        <w:rPr>
          <w:sz w:val="28"/>
          <w:szCs w:val="28"/>
          <w:lang w:val="kk-KZ"/>
        </w:rPr>
        <w:t>е</w:t>
      </w:r>
      <w:r w:rsidRPr="00185BC0">
        <w:rPr>
          <w:sz w:val="28"/>
          <w:szCs w:val="28"/>
          <w:lang w:val="kk-KZ"/>
        </w:rPr>
        <w:t xml:space="preserve"> Dallari D.</w:t>
      </w:r>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xml:space="preserve">. </w:t>
      </w:r>
      <w:r w:rsidRPr="00185BC0">
        <w:rPr>
          <w:sz w:val="28"/>
          <w:szCs w:val="28"/>
          <w:lang w:val="kk-KZ"/>
        </w:rPr>
        <w:t xml:space="preserve">было направлено на изучение отдаленных послеоперационных результатов ТЭТС у 26 пациентов (33 случая) с ДК IV типа по </w:t>
      </w:r>
      <w:proofErr w:type="spellStart"/>
      <w:r w:rsidRPr="00185BC0">
        <w:rPr>
          <w:sz w:val="28"/>
          <w:szCs w:val="28"/>
        </w:rPr>
        <w:t>Crowe</w:t>
      </w:r>
      <w:proofErr w:type="spellEnd"/>
      <w:r w:rsidR="009F6A14" w:rsidRPr="00185BC0">
        <w:rPr>
          <w:sz w:val="28"/>
          <w:szCs w:val="28"/>
          <w:lang w:val="kk-KZ"/>
        </w:rPr>
        <w:t>,</w:t>
      </w:r>
      <w:r w:rsidRPr="00185BC0">
        <w:rPr>
          <w:sz w:val="28"/>
          <w:szCs w:val="28"/>
          <w:lang w:val="kk-KZ"/>
        </w:rPr>
        <w:t xml:space="preserve"> которым</w:t>
      </w:r>
      <w:r w:rsidR="009F6A14" w:rsidRPr="00185BC0">
        <w:rPr>
          <w:sz w:val="28"/>
          <w:szCs w:val="28"/>
          <w:lang w:val="kk-KZ"/>
        </w:rPr>
        <w:t xml:space="preserve"> была</w:t>
      </w:r>
      <w:r w:rsidRPr="00185BC0">
        <w:rPr>
          <w:sz w:val="28"/>
          <w:szCs w:val="28"/>
          <w:lang w:val="kk-KZ"/>
        </w:rPr>
        <w:t xml:space="preserve"> произведена косая </w:t>
      </w:r>
      <w:r w:rsidRPr="00185BC0">
        <w:rPr>
          <w:sz w:val="28"/>
          <w:szCs w:val="28"/>
        </w:rPr>
        <w:t>(19 случаев)</w:t>
      </w:r>
      <w:r w:rsidRPr="00185BC0">
        <w:rPr>
          <w:sz w:val="28"/>
          <w:szCs w:val="28"/>
          <w:lang w:val="kk-KZ"/>
        </w:rPr>
        <w:t xml:space="preserve"> и </w:t>
      </w:r>
      <w:r w:rsidRPr="00185BC0">
        <w:rPr>
          <w:sz w:val="28"/>
          <w:szCs w:val="28"/>
          <w:lang w:val="en-US"/>
        </w:rPr>
        <w:t>Z</w:t>
      </w:r>
      <w:r w:rsidRPr="00185BC0">
        <w:rPr>
          <w:sz w:val="28"/>
          <w:szCs w:val="28"/>
        </w:rPr>
        <w:t>-</w:t>
      </w:r>
      <w:r w:rsidRPr="00185BC0">
        <w:rPr>
          <w:sz w:val="28"/>
          <w:szCs w:val="28"/>
          <w:lang w:val="kk-KZ"/>
        </w:rPr>
        <w:t>образная (14 случаев) подвертельная укорачивающая остеотомия. Авторы сравнивали результаты обеих групп и пришли к выводу</w:t>
      </w:r>
      <w:r w:rsidR="009F6A14" w:rsidRPr="00185BC0">
        <w:rPr>
          <w:sz w:val="28"/>
          <w:szCs w:val="28"/>
          <w:lang w:val="kk-KZ"/>
        </w:rPr>
        <w:t>,</w:t>
      </w:r>
      <w:r w:rsidRPr="00185BC0">
        <w:rPr>
          <w:sz w:val="28"/>
          <w:szCs w:val="28"/>
          <w:lang w:val="kk-KZ"/>
        </w:rPr>
        <w:t xml:space="preserve"> что не было каких</w:t>
      </w:r>
      <w:r w:rsidR="009F6A14" w:rsidRPr="00185BC0">
        <w:rPr>
          <w:sz w:val="28"/>
          <w:szCs w:val="28"/>
          <w:lang w:val="kk-KZ"/>
        </w:rPr>
        <w:t xml:space="preserve"> – </w:t>
      </w:r>
      <w:r w:rsidRPr="00185BC0">
        <w:rPr>
          <w:sz w:val="28"/>
          <w:szCs w:val="28"/>
          <w:lang w:val="kk-KZ"/>
        </w:rPr>
        <w:t>либо существенных различей между группами по поводу сращение зоны остеотомии. Они предлагают проведение ТЭТС с косой остеотомией с использованием модульных ножек эндопротеза для получения хорошей механической стабильности. В заключении исследователи утверждают</w:t>
      </w:r>
      <w:r w:rsidR="009F6A14" w:rsidRPr="00185BC0">
        <w:rPr>
          <w:sz w:val="28"/>
          <w:szCs w:val="28"/>
          <w:lang w:val="kk-KZ"/>
        </w:rPr>
        <w:t>,</w:t>
      </w:r>
      <w:r w:rsidRPr="00185BC0">
        <w:rPr>
          <w:sz w:val="28"/>
          <w:szCs w:val="28"/>
          <w:lang w:val="kk-KZ"/>
        </w:rPr>
        <w:t xml:space="preserve"> что данная методика дает более высокие положительные результаты (87,9%),  к ним относятся</w:t>
      </w:r>
      <w:r w:rsidR="009F6A14" w:rsidRPr="00185BC0">
        <w:rPr>
          <w:sz w:val="28"/>
          <w:szCs w:val="28"/>
          <w:lang w:val="kk-KZ"/>
        </w:rPr>
        <w:t>:</w:t>
      </w:r>
      <w:r w:rsidRPr="00185BC0">
        <w:rPr>
          <w:sz w:val="28"/>
          <w:szCs w:val="28"/>
          <w:lang w:val="kk-KZ"/>
        </w:rPr>
        <w:t xml:space="preserve"> уменьшение болевого синдрома, несответсвие длины нижних конечностей, хромот</w:t>
      </w:r>
      <w:r w:rsidR="009F6A14" w:rsidRPr="00185BC0">
        <w:rPr>
          <w:sz w:val="28"/>
          <w:szCs w:val="28"/>
          <w:lang w:val="kk-KZ"/>
        </w:rPr>
        <w:t>а</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{"citationItems":[{"id":"ITEM-1","itemData":{"DOI":"10.3928/01477447-20110627-14","ISSN":"01477447","abstract":"We retrospectively evaluated the postoperative results Of total hip arthroplasty (THA) in patients presenting with Crowe group IV dislocated hips. Overall, results were compared with regard to the type of osteotomy performed (Z or oblique) to define the correct indications for surgical technique and choice of prosthetic implant. Thirty-three subtrochanteric shortening and derotational osteotomies in primary THA were performed in 26 patients secondary to congenital hip dislocation. A Z osteotomy was performed in 14 cases and an oblique osteotomy in 19. The surgical approach was direct lateral, and surgery was aimed at restoring the anatomic hip center. Femoral and acetabular fixation was uncemented. The most used stem was the S-ROM (DePuy, Leeds, United Kingdom), and the couplings used were ceramic-ceramic (7 cases), ceramic-polyethylene (3 cases), metal-polyethylene (15 cases), and metal-metal (3 cases). Mean follow-up was 88±45 months. According to the Merle D'Aubigné score, the overall clinical results were good in 23 cases, satisfactory in 6, and fair in 4. Union of the osteotomy occurred in 97% of cases, and the mean time required for osteotomy union was 6±2 months without significant differences between Z and oblique osteotomies. At last follow-up, there was loosening of 1 cup and 1 stem, and revision was necessary. Twelve percent of patients experienced postoperative dislocation and 9% developed neuropraxia of the femoral nerve. The clinical and radiological results were similar in both groups, with a high rate of pain relief, an improvement in limb-length discrepancy, and reduced limping, leading to a smaller or no insole. Currently, the more complex Z osteotomy has been abandoned, because a modular stem prosthesis with metaphyseal sleeve allows the oblique osteotomy to be used with an easier and shorter surgical procedure.","author":[{"dropping-particle":"","family":"Dallari","given":"Dante","non-dropping-particle":"","parse-names":false,"suffix":""},{"dropping-particle":"","family":"Pignatti","given":"Giovanni","non-dropping-particle":"","parse-names":false,"suffix":""},{"dropping-particle":"","family":"Stagni","given":"Cesare","non-dropping-particle":"","parse-names":false,"suffix":""},{"dropping-particle":"","family":"Giavaresi","given":"Gianluca","non-dropping-particle":"","parse-names":false,"suffix":""},{"dropping-particle":"","family":"Piccolo","given":"Nicolandrea","non-dropping-particle":"Del","parse-names":false,"suffix":""},{"dropping-particle":"","family":"Rani","given":"Nicola","non-dropping-particle":"","parse-names":false,"suffix":""},{"dropping-particle":"","family":"Veronesi","given":"Francesca","non-dropping-particle":"","parse-names":false,"suffix":""},{"dropping-particle":"","family":"Fini","given":"Milena","non-dropping-particle":"","parse-names":false,"suffix":""}],"container-title":"Orthopedics","id":"ITEM-1","issue":"8","issued":{"date-parts":[["2011"]]},"title":"Total hip arthroplasty with shortening osteotomy in congenital major hip dislocation sequelae","type":"article-journal","volume":"34"},"uris":["http://www.mendeley.com/documents/?uuid=9e3c20a6-4b17-3cbb-933a-453a840bee58"]}],"mendeley":{"formattedCitation":"[79]","plainTextFormattedCitation":"[79]","previouslyFormattedCitation":"[79]"},"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[79]</w:t>
      </w:r>
      <w:r w:rsidR="003C0456" w:rsidRPr="00185BC0">
        <w:rPr>
          <w:sz w:val="28"/>
          <w:szCs w:val="28"/>
          <w:lang w:val="kk-KZ"/>
        </w:rPr>
        <w:fldChar w:fldCharType="end"/>
      </w:r>
      <w:r w:rsidRPr="00185BC0">
        <w:rPr>
          <w:sz w:val="28"/>
          <w:szCs w:val="28"/>
        </w:rPr>
        <w:t>.</w:t>
      </w:r>
    </w:p>
    <w:p w14:paraId="5715D195" w14:textId="68B4A09D" w:rsidR="00BB1D05" w:rsidRPr="00185BC0" w:rsidRDefault="00BB1D05" w:rsidP="00BB1D05">
      <w:pPr>
        <w:ind w:firstLine="709"/>
        <w:jc w:val="both"/>
        <w:rPr>
          <w:sz w:val="28"/>
          <w:szCs w:val="28"/>
        </w:rPr>
      </w:pPr>
      <w:r w:rsidRPr="00185BC0">
        <w:rPr>
          <w:sz w:val="28"/>
          <w:szCs w:val="28"/>
          <w:lang w:val="en-US"/>
        </w:rPr>
        <w:t>Li</w:t>
      </w:r>
      <w:r w:rsidRPr="00185BC0">
        <w:rPr>
          <w:sz w:val="28"/>
          <w:szCs w:val="28"/>
        </w:rPr>
        <w:t xml:space="preserve"> </w:t>
      </w:r>
      <w:r w:rsidRPr="00185BC0">
        <w:rPr>
          <w:sz w:val="28"/>
          <w:szCs w:val="28"/>
          <w:lang w:val="en-US"/>
        </w:rPr>
        <w:t>L</w:t>
      </w:r>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w:t>
      </w:r>
      <w:r w:rsidRPr="00185BC0">
        <w:rPr>
          <w:sz w:val="28"/>
          <w:szCs w:val="28"/>
        </w:rPr>
        <w:t xml:space="preserve"> в своем исследовании наблюдали 21 ТБС (17 пациентов) с первичным </w:t>
      </w:r>
      <w:proofErr w:type="spellStart"/>
      <w:r w:rsidRPr="00185BC0">
        <w:rPr>
          <w:sz w:val="28"/>
          <w:szCs w:val="28"/>
        </w:rPr>
        <w:t>бесцементным</w:t>
      </w:r>
      <w:proofErr w:type="spellEnd"/>
      <w:r w:rsidRPr="00185BC0">
        <w:rPr>
          <w:sz w:val="28"/>
          <w:szCs w:val="28"/>
        </w:rPr>
        <w:t xml:space="preserve"> ТЭТС, 7 из них</w:t>
      </w:r>
      <w:r w:rsidR="009F6A14" w:rsidRPr="00185BC0">
        <w:rPr>
          <w:sz w:val="28"/>
          <w:szCs w:val="28"/>
          <w:lang w:val="kk-KZ"/>
        </w:rPr>
        <w:t xml:space="preserve"> была</w:t>
      </w:r>
      <w:r w:rsidRPr="00185BC0">
        <w:rPr>
          <w:sz w:val="28"/>
          <w:szCs w:val="28"/>
        </w:rPr>
        <w:t xml:space="preserve"> выполнен</w:t>
      </w:r>
      <w:r w:rsidRPr="00185BC0">
        <w:rPr>
          <w:sz w:val="28"/>
          <w:szCs w:val="28"/>
          <w:lang w:val="kk-KZ"/>
        </w:rPr>
        <w:t>а</w:t>
      </w:r>
      <w:r w:rsidRPr="00185BC0">
        <w:rPr>
          <w:sz w:val="28"/>
          <w:szCs w:val="28"/>
        </w:rPr>
        <w:t xml:space="preserve"> </w:t>
      </w:r>
      <w:proofErr w:type="spellStart"/>
      <w:r w:rsidRPr="00185BC0">
        <w:rPr>
          <w:sz w:val="28"/>
          <w:szCs w:val="28"/>
        </w:rPr>
        <w:t>подвертельная</w:t>
      </w:r>
      <w:proofErr w:type="spellEnd"/>
      <w:r w:rsidRPr="00185BC0">
        <w:rPr>
          <w:sz w:val="28"/>
          <w:szCs w:val="28"/>
        </w:rPr>
        <w:t xml:space="preserve"> косая укорачивающая остеотомия, а остальным</w:t>
      </w:r>
      <w:r w:rsidR="009F6A14" w:rsidRPr="00185BC0">
        <w:rPr>
          <w:sz w:val="28"/>
          <w:szCs w:val="28"/>
          <w:lang w:val="kk-KZ"/>
        </w:rPr>
        <w:t>,</w:t>
      </w:r>
      <w:r w:rsidRPr="00185BC0">
        <w:rPr>
          <w:sz w:val="28"/>
          <w:szCs w:val="28"/>
        </w:rPr>
        <w:t xml:space="preserve"> 12 пациентам поперечная. По данным авторов средний срок наблюдения составил 49,3 месяца. Средний срок сращение зоны остеотомии составил 3,7 месяца. </w:t>
      </w:r>
      <w:r w:rsidRPr="00185BC0">
        <w:rPr>
          <w:sz w:val="28"/>
          <w:szCs w:val="28"/>
          <w:lang w:val="kk-KZ"/>
        </w:rPr>
        <w:t xml:space="preserve">Во всех случаях применялся бедренный компонент </w:t>
      </w:r>
      <w:r w:rsidRPr="00185BC0">
        <w:rPr>
          <w:sz w:val="28"/>
          <w:szCs w:val="28"/>
          <w:lang w:val="en-US"/>
        </w:rPr>
        <w:t>S</w:t>
      </w:r>
      <w:r w:rsidRPr="00185BC0">
        <w:rPr>
          <w:sz w:val="28"/>
          <w:szCs w:val="28"/>
        </w:rPr>
        <w:t>-</w:t>
      </w:r>
      <w:r w:rsidRPr="00185BC0">
        <w:rPr>
          <w:sz w:val="28"/>
          <w:szCs w:val="28"/>
          <w:lang w:val="en-US"/>
        </w:rPr>
        <w:t>ROM</w:t>
      </w:r>
      <w:r w:rsidRPr="00185BC0">
        <w:rPr>
          <w:sz w:val="28"/>
          <w:szCs w:val="28"/>
          <w:lang w:val="kk-KZ"/>
        </w:rPr>
        <w:t xml:space="preserve">. Исследователи так же указывают на то, что в группе поперечной остеотомии у </w:t>
      </w:r>
      <w:r w:rsidR="009F6A14" w:rsidRPr="00185BC0">
        <w:rPr>
          <w:sz w:val="28"/>
          <w:szCs w:val="28"/>
          <w:lang w:val="kk-KZ"/>
        </w:rPr>
        <w:t>пяти</w:t>
      </w:r>
      <w:r w:rsidRPr="00185BC0">
        <w:rPr>
          <w:sz w:val="28"/>
          <w:szCs w:val="28"/>
          <w:lang w:val="kk-KZ"/>
        </w:rPr>
        <w:t xml:space="preserve"> случа</w:t>
      </w:r>
      <w:r w:rsidR="009F6A14" w:rsidRPr="00185BC0">
        <w:rPr>
          <w:sz w:val="28"/>
          <w:szCs w:val="28"/>
          <w:lang w:val="kk-KZ"/>
        </w:rPr>
        <w:t>ях</w:t>
      </w:r>
      <w:r w:rsidRPr="00185BC0">
        <w:rPr>
          <w:sz w:val="28"/>
          <w:szCs w:val="28"/>
          <w:lang w:val="kk-KZ"/>
        </w:rPr>
        <w:t xml:space="preserve"> применялась фиксация с аллотрансплантантыми распорками и троссами, у</w:t>
      </w:r>
      <w:r w:rsidR="009F6A14" w:rsidRPr="00185BC0">
        <w:rPr>
          <w:sz w:val="28"/>
          <w:szCs w:val="28"/>
          <w:lang w:val="kk-KZ"/>
        </w:rPr>
        <w:t xml:space="preserve"> в двух</w:t>
      </w:r>
      <w:r w:rsidRPr="00185BC0">
        <w:rPr>
          <w:sz w:val="28"/>
          <w:szCs w:val="28"/>
          <w:lang w:val="kk-KZ"/>
        </w:rPr>
        <w:t xml:space="preserve"> случаях пластиной и винтами. В группе с косой остеотомии в одном случа</w:t>
      </w:r>
      <w:r w:rsidR="009F6A14" w:rsidRPr="00185BC0">
        <w:rPr>
          <w:sz w:val="28"/>
          <w:szCs w:val="28"/>
          <w:lang w:val="kk-KZ"/>
        </w:rPr>
        <w:t>е</w:t>
      </w:r>
      <w:r w:rsidRPr="00185BC0">
        <w:rPr>
          <w:sz w:val="28"/>
          <w:szCs w:val="28"/>
          <w:lang w:val="kk-KZ"/>
        </w:rPr>
        <w:t xml:space="preserve"> применялась аллотрансплантантовая распорка с тросом. В ходе наблюдени</w:t>
      </w:r>
      <w:r w:rsidR="009F6A14" w:rsidRPr="00185BC0">
        <w:rPr>
          <w:sz w:val="28"/>
          <w:szCs w:val="28"/>
          <w:lang w:val="kk-KZ"/>
        </w:rPr>
        <w:t>я</w:t>
      </w:r>
      <w:r w:rsidRPr="00185BC0">
        <w:rPr>
          <w:sz w:val="28"/>
          <w:szCs w:val="28"/>
          <w:lang w:val="kk-KZ"/>
        </w:rPr>
        <w:t xml:space="preserve"> авторы выступали за выполнение косой подвертельной укорачивающей остеотомии с </w:t>
      </w:r>
      <w:r w:rsidRPr="00185BC0">
        <w:rPr>
          <w:sz w:val="28"/>
          <w:szCs w:val="28"/>
          <w:lang w:val="kk-KZ"/>
        </w:rPr>
        <w:lastRenderedPageBreak/>
        <w:t xml:space="preserve">бесцементной ТЭТС с имплантатом </w:t>
      </w:r>
      <w:r w:rsidRPr="00185BC0">
        <w:rPr>
          <w:sz w:val="28"/>
          <w:szCs w:val="28"/>
          <w:lang w:val="en-US"/>
        </w:rPr>
        <w:t>S</w:t>
      </w:r>
      <w:r w:rsidRPr="00185BC0">
        <w:rPr>
          <w:sz w:val="28"/>
          <w:szCs w:val="28"/>
        </w:rPr>
        <w:t>-</w:t>
      </w:r>
      <w:r w:rsidRPr="00185BC0">
        <w:rPr>
          <w:sz w:val="28"/>
          <w:szCs w:val="28"/>
          <w:lang w:val="en-US"/>
        </w:rPr>
        <w:t>ROM</w:t>
      </w:r>
      <w:r w:rsidRPr="00185BC0">
        <w:rPr>
          <w:sz w:val="28"/>
          <w:szCs w:val="28"/>
          <w:lang w:val="kk-KZ"/>
        </w:rPr>
        <w:t>. Также они ссылаются на то, что в первой группе применялись дополнительные способы фиксации больше</w:t>
      </w:r>
      <w:r w:rsidR="009F6A14" w:rsidRPr="00185BC0">
        <w:rPr>
          <w:sz w:val="28"/>
          <w:szCs w:val="28"/>
          <w:lang w:val="kk-KZ"/>
        </w:rPr>
        <w:t>,</w:t>
      </w:r>
      <w:r w:rsidRPr="00185BC0">
        <w:rPr>
          <w:sz w:val="28"/>
          <w:szCs w:val="28"/>
          <w:lang w:val="kk-KZ"/>
        </w:rPr>
        <w:t xml:space="preserve"> чем у второй, следовательно</w:t>
      </w:r>
      <w:r w:rsidR="009F6A14" w:rsidRPr="00185BC0">
        <w:rPr>
          <w:sz w:val="28"/>
          <w:szCs w:val="28"/>
          <w:lang w:val="kk-KZ"/>
        </w:rPr>
        <w:t>,</w:t>
      </w:r>
      <w:r w:rsidRPr="00185BC0">
        <w:rPr>
          <w:sz w:val="28"/>
          <w:szCs w:val="28"/>
          <w:lang w:val="kk-KZ"/>
        </w:rPr>
        <w:t xml:space="preserve"> сроки сращения тоже были дольше в группе с поперечной остеотомией</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{"citationItems":[{"id":"ITEM-1","itemData":{"DOI":"10.12659/MSM.893717","ISSN":"16433750","abstract":"Background: Subtrochanteric oblique osteotomy (SOO) has been widely used to reconstruct highly dislocated hips in un-cemented total hip arthroplasty. The occurrence of complications can be attributed to the instability of the osteotomy region. The aim of this study was to evaluate the initial stability of SOO in uncemented total hip arthroplasty. Material/Methods: A 3-dimensional fnite element femur-stem model was created, and a virtual SOO was performed at 4 oblique angles: 30°, 45°, 60°, and 90°. The von Mises stress distribution in the femur-stem complex and the displacement under diferent oblique angles were evaluated in the SOO models, in comparison with that of the intact model. Results: The study demonstrated that the distal fragment of the femur bore more stresses than the proximal fragment, and the maximum stress was concentrated in the femoral neck and the cortical bone, which contacted with the distal end of the stem. SOO increased the stress of both the femur and the stem, and fractures may occur in the stress concentration sites. Additionally, comparing the displacement at diferent oblique angles, the lateral region was larger than that of the medial region on the subtrochanteric osteotomy plane. The minimum micromotion on the osteotomy plane was obtained when the oblique angle was 45°. Conclusions: The fit and fll of the distal fragment of the femur and the stem is essential for the stability of the subtrochan-teric osteotomy region. The optimal oblique angle for SOO appears to be 45°.","author":[{"dropping-particle":"","family":"Li","given":"Liangtao","non-dropping-particle":"","parse-names":false,"suffix":""},{"dropping-particle":"","family":"Yu","given":"Mingyang","non-dropping-particle":"","parse-names":false,"suffix":""},{"dropping-particle":"","family":"Ma","given":"Renshi","non-dropping-particle":"","parse-names":false,"suffix":""},{"dropping-particle":"","family":"Zhu","given":"Dong","non-dropping-particle":"","parse-names":false,"suffix":""},{"dropping-particle":"","family":"Gu","given":"Guishan","non-dropping-particle":"","parse-names":false,"suffix":""}],"container-title":"Medical Science Monitor","id":"ITEM-1","issued":{"date-parts":[["2015"]]},"title":"Initial stability of subtrochanteric oblique osteotomy in uncemented total hip arthroplasty: A preliminary finite element study","type":"article-journal","volume":"21"},"uris":["http://www.mendeley.com/documents/?uuid=a7cf68f9-17bc-394e-9a70-a7d98777cc6f"]}],"mendeley":{"formattedCitation":"[80]","plainTextFormattedCitation":"[80]","previouslyFormattedCitation":"[80]"},"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[80]</w:t>
      </w:r>
      <w:r w:rsidR="003C0456" w:rsidRPr="00185BC0">
        <w:rPr>
          <w:sz w:val="28"/>
          <w:szCs w:val="28"/>
          <w:lang w:val="kk-KZ"/>
        </w:rPr>
        <w:fldChar w:fldCharType="end"/>
      </w:r>
      <w:r w:rsidRPr="00185BC0">
        <w:rPr>
          <w:sz w:val="28"/>
          <w:szCs w:val="28"/>
        </w:rPr>
        <w:t>.</w:t>
      </w:r>
    </w:p>
    <w:p w14:paraId="7B162C59" w14:textId="77777777" w:rsidR="00BB1D05" w:rsidRPr="00185BC0" w:rsidRDefault="00BB1D05" w:rsidP="00BB1D05">
      <w:pPr>
        <w:ind w:firstLine="567"/>
        <w:jc w:val="both"/>
        <w:rPr>
          <w:sz w:val="28"/>
          <w:szCs w:val="28"/>
        </w:rPr>
      </w:pPr>
      <w:r w:rsidRPr="00185BC0">
        <w:rPr>
          <w:sz w:val="28"/>
          <w:szCs w:val="28"/>
        </w:rPr>
        <w:t xml:space="preserve">  Недостатками косой </w:t>
      </w:r>
      <w:proofErr w:type="spellStart"/>
      <w:r w:rsidRPr="00185BC0">
        <w:rPr>
          <w:sz w:val="28"/>
          <w:szCs w:val="28"/>
        </w:rPr>
        <w:t>подвертельной</w:t>
      </w:r>
      <w:proofErr w:type="spellEnd"/>
      <w:r w:rsidRPr="00185BC0">
        <w:rPr>
          <w:sz w:val="28"/>
          <w:szCs w:val="28"/>
        </w:rPr>
        <w:t xml:space="preserve"> укорачивающей остеотомии являются необходимость более точного предоперационного планирования</w:t>
      </w:r>
      <w:r w:rsidRPr="00185BC0">
        <w:rPr>
          <w:sz w:val="28"/>
          <w:szCs w:val="28"/>
          <w:lang w:val="kk-KZ"/>
        </w:rPr>
        <w:t>,</w:t>
      </w:r>
      <w:r w:rsidRPr="00185BC0">
        <w:rPr>
          <w:sz w:val="28"/>
          <w:szCs w:val="28"/>
        </w:rPr>
        <w:t xml:space="preserve"> требующая </w:t>
      </w:r>
      <w:proofErr w:type="spellStart"/>
      <w:r w:rsidRPr="00185BC0">
        <w:rPr>
          <w:sz w:val="28"/>
          <w:szCs w:val="28"/>
        </w:rPr>
        <w:t>дополнительн</w:t>
      </w:r>
      <w:proofErr w:type="spellEnd"/>
      <w:r w:rsidRPr="00185BC0">
        <w:rPr>
          <w:sz w:val="28"/>
          <w:szCs w:val="28"/>
          <w:lang w:val="kk-KZ"/>
        </w:rPr>
        <w:t>ой</w:t>
      </w:r>
      <w:r w:rsidRPr="00185BC0">
        <w:rPr>
          <w:sz w:val="28"/>
          <w:szCs w:val="28"/>
        </w:rPr>
        <w:t xml:space="preserve"> фиксации.</w:t>
      </w:r>
    </w:p>
    <w:p w14:paraId="32F0C861" w14:textId="536D6B5B" w:rsidR="00BB1D05" w:rsidRPr="00185BC0" w:rsidRDefault="00BB1D05" w:rsidP="00BB5951">
      <w:pPr>
        <w:jc w:val="both"/>
        <w:rPr>
          <w:sz w:val="28"/>
          <w:szCs w:val="28"/>
        </w:rPr>
      </w:pPr>
      <w:r w:rsidRPr="00185BC0">
        <w:rPr>
          <w:i/>
          <w:sz w:val="28"/>
          <w:szCs w:val="28"/>
        </w:rPr>
        <w:t xml:space="preserve">           </w:t>
      </w:r>
      <w:proofErr w:type="spellStart"/>
      <w:r w:rsidRPr="00185BC0">
        <w:rPr>
          <w:sz w:val="28"/>
          <w:szCs w:val="28"/>
          <w:lang w:val="en-US"/>
        </w:rPr>
        <w:t>Sener</w:t>
      </w:r>
      <w:proofErr w:type="spellEnd"/>
      <w:r w:rsidRPr="00185BC0">
        <w:rPr>
          <w:sz w:val="28"/>
          <w:szCs w:val="28"/>
        </w:rPr>
        <w:t xml:space="preserve"> </w:t>
      </w:r>
      <w:r w:rsidRPr="00185BC0">
        <w:rPr>
          <w:sz w:val="28"/>
          <w:szCs w:val="28"/>
          <w:lang w:val="en-US"/>
        </w:rPr>
        <w:t>N</w:t>
      </w:r>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w:t>
      </w:r>
      <w:r w:rsidRPr="00185BC0">
        <w:rPr>
          <w:sz w:val="28"/>
          <w:szCs w:val="28"/>
        </w:rPr>
        <w:t xml:space="preserve"> </w:t>
      </w:r>
      <w:r w:rsidRPr="00185BC0">
        <w:rPr>
          <w:sz w:val="28"/>
          <w:szCs w:val="28"/>
          <w:lang w:val="kk-KZ"/>
        </w:rPr>
        <w:t xml:space="preserve">в своем исследовании описывают собственную модифицированную технику остеотомии при ТЭТС у 28 пациентов с дисплатическим коксартрозом </w:t>
      </w:r>
      <w:r w:rsidRPr="00185BC0">
        <w:rPr>
          <w:sz w:val="28"/>
          <w:szCs w:val="28"/>
          <w:lang w:val="en-US"/>
        </w:rPr>
        <w:t>III</w:t>
      </w:r>
      <w:r w:rsidRPr="00185BC0">
        <w:rPr>
          <w:sz w:val="28"/>
          <w:szCs w:val="28"/>
        </w:rPr>
        <w:t>-</w:t>
      </w:r>
      <w:r w:rsidRPr="00185BC0">
        <w:rPr>
          <w:sz w:val="28"/>
          <w:szCs w:val="28"/>
          <w:lang w:val="en-US"/>
        </w:rPr>
        <w:t>IV</w:t>
      </w:r>
      <w:r w:rsidRPr="00185BC0">
        <w:rPr>
          <w:sz w:val="28"/>
          <w:szCs w:val="28"/>
        </w:rPr>
        <w:t xml:space="preserve"> </w:t>
      </w:r>
      <w:r w:rsidRPr="00185BC0">
        <w:rPr>
          <w:sz w:val="28"/>
          <w:szCs w:val="28"/>
          <w:lang w:val="kk-KZ"/>
        </w:rPr>
        <w:t xml:space="preserve">типа по </w:t>
      </w:r>
      <w:r w:rsidRPr="00185BC0">
        <w:rPr>
          <w:sz w:val="28"/>
          <w:szCs w:val="28"/>
          <w:lang w:val="en-US"/>
        </w:rPr>
        <w:t>Crowe</w:t>
      </w:r>
      <w:r w:rsidRPr="00185BC0">
        <w:rPr>
          <w:sz w:val="28"/>
          <w:szCs w:val="28"/>
        </w:rPr>
        <w:t xml:space="preserve">. </w:t>
      </w:r>
      <w:r w:rsidRPr="00185BC0">
        <w:rPr>
          <w:sz w:val="28"/>
          <w:szCs w:val="28"/>
          <w:lang w:val="kk-KZ"/>
        </w:rPr>
        <w:t>Срок наблюдения составил 7 лет. Исследователи отмечают</w:t>
      </w:r>
      <w:r w:rsidR="009F6A14" w:rsidRPr="00185BC0">
        <w:rPr>
          <w:sz w:val="28"/>
          <w:szCs w:val="28"/>
          <w:lang w:val="kk-KZ"/>
        </w:rPr>
        <w:t>,</w:t>
      </w:r>
      <w:r w:rsidRPr="00185BC0">
        <w:rPr>
          <w:sz w:val="28"/>
          <w:szCs w:val="28"/>
          <w:lang w:val="kk-KZ"/>
        </w:rPr>
        <w:t xml:space="preserve"> что при использовании данного способа остеотомии покрывается медиальная пористая покрытие бедренного компонента эндопротеза. Несмотря на то, что ни у одного пациента не отмечалась механическая  нестабильность компонентов эндопротеза, у 7 пациентов из 28 отмечались осложнения</w:t>
      </w:r>
      <w:r w:rsidR="009F6A14" w:rsidRPr="00185BC0">
        <w:rPr>
          <w:sz w:val="28"/>
          <w:szCs w:val="28"/>
          <w:lang w:val="kk-KZ"/>
        </w:rPr>
        <w:t>,</w:t>
      </w:r>
      <w:r w:rsidRPr="00185BC0">
        <w:rPr>
          <w:sz w:val="28"/>
          <w:szCs w:val="28"/>
          <w:lang w:val="kk-KZ"/>
        </w:rPr>
        <w:t xml:space="preserve"> которым потребовались повторные вмещательства такие</w:t>
      </w:r>
      <w:r w:rsidR="009F6A14" w:rsidRPr="00185BC0">
        <w:rPr>
          <w:sz w:val="28"/>
          <w:szCs w:val="28"/>
          <w:lang w:val="kk-KZ"/>
        </w:rPr>
        <w:t>,</w:t>
      </w:r>
      <w:r w:rsidRPr="00185BC0">
        <w:rPr>
          <w:sz w:val="28"/>
          <w:szCs w:val="28"/>
          <w:lang w:val="kk-KZ"/>
        </w:rPr>
        <w:t xml:space="preserve"> как замедленная консолидация зоны остеотомии, поверхностные инфекции, парез бедренного нерва, паралич седалищного нерва</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{"citationItems":[{"id":"ITEM-1","itemData":{"DOI":"10.1016/j.jos.2016.04.015","ISSN":"14362023","abstract":"Background Various types of shortening osteotomies and prosthesis are used for femoral reconstruction in total hip arthroplasty of the high hip dislocation. This biomechanical study investigates whether step-cut osteotomies result in better stability than oblique osteotomies and cylindrical femoral stems enhance stability of the osteotomy more than conical stems, and which osteotomy and prosthesis type maintain the stability better after cyclical loading. Methods Oblique and step-cut shortening osteotomies were compared under axial and rotational forces, using synthetic femur models and conical or cylindrical femoral prostheses. The models underwent cyclic loading for 10,000 cycles at 3 Hz (100–1000 N axial bending or 0.5–10 Nm torque). After the completion of cyclic loading, the models were loaded until failure. Stiffness values before and after cyclical loading, and failure loads were the outcome parameters. Relative displacements at the osteotomy sites were also measured using 3-Dimensions Digital Imaging Correlation System. Results The mean failure load was significantly higher in conical prosthesis groups under axial forces. In torsion tests, the mean stiffness of conical prosthesis groups after cyclical loading was higher in oblique osteotomies. The other parameters were similar between the groups. Conclusions According to the results of the study, although some individual statistically significant parameters were obtained, step-cut osteotomies, which are technically challenging procedures, were not found biomechanically superior to oblique osteotomies, with neither conical nor cylindrical prostheses.","author":[{"dropping-particle":"","family":"Yıldız","given":"Fatih","non-dropping-particle":"","parse-names":false,"suffix":""},{"dropping-particle":"","family":"Kılıçoğlu","given":"Önder","non-dropping-particle":"","parse-names":false,"suffix":""},{"dropping-particle":"","family":"Dikmen","given":"Göksel","non-dropping-particle":"","parse-names":false,"suffix":""},{"dropping-particle":"","family":"Bozdağ","given":"Ergun","non-dropping-particle":"","parse-names":false,"suffix":""},{"dropping-particle":"","family":"Sünbüloğlu","given":"Emin","non-dropping-particle":"","parse-names":false,"suffix":""},{"dropping-particle":"","family":"Tuna","given":"Meral","non-dropping-particle":"","parse-names":false,"suffix":""}],"container-title":"Journal of Orthopaedic Science","id":"ITEM-1","issue":"5","issued":{"date-parts":[["2016"]]},"title":"Biomechanical comparison of oblique and step-cut osteotomies used in total hip arthroplasty with femoral shortening","type":"article-journal","volume":"21"},"uris":["http://www.mendeley.com/documents/?uuid=26bd99a5-2cdc-36bd-8b3d-540cbdd8357d"]}],"mendeley":{"formattedCitation":"[73]","plainTextFormattedCitation":"[73]","previouslyFormattedCitation":"[73]"},"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[73]</w:t>
      </w:r>
      <w:r w:rsidR="003C0456" w:rsidRPr="00185BC0">
        <w:rPr>
          <w:sz w:val="28"/>
          <w:szCs w:val="28"/>
          <w:lang w:val="kk-KZ"/>
        </w:rPr>
        <w:fldChar w:fldCharType="end"/>
      </w:r>
      <w:r w:rsidRPr="00185BC0">
        <w:rPr>
          <w:sz w:val="28"/>
          <w:szCs w:val="28"/>
        </w:rPr>
        <w:t>.</w:t>
      </w:r>
    </w:p>
    <w:p w14:paraId="5A43F13A" w14:textId="6420F784" w:rsidR="00BB1D05" w:rsidRPr="00185BC0" w:rsidRDefault="00BB1D05" w:rsidP="00BB1D05">
      <w:pPr>
        <w:ind w:firstLine="709"/>
        <w:jc w:val="both"/>
        <w:rPr>
          <w:sz w:val="28"/>
          <w:szCs w:val="28"/>
        </w:rPr>
      </w:pPr>
      <w:r w:rsidRPr="00185BC0">
        <w:rPr>
          <w:sz w:val="28"/>
          <w:szCs w:val="28"/>
          <w:lang w:val="kk-KZ"/>
        </w:rPr>
        <w:t xml:space="preserve">При лечении ДК необходимо обратить внимание на ранее проведенных оперативных вмещательств. Ozden V. 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w:t>
      </w:r>
      <w:r w:rsidRPr="00185BC0">
        <w:rPr>
          <w:sz w:val="28"/>
          <w:szCs w:val="28"/>
        </w:rPr>
        <w:t xml:space="preserve"> </w:t>
      </w:r>
      <w:r w:rsidRPr="00185BC0">
        <w:rPr>
          <w:sz w:val="28"/>
          <w:szCs w:val="28"/>
          <w:lang w:val="kk-KZ"/>
        </w:rPr>
        <w:t>в проведенном ретроспективном исследовании</w:t>
      </w:r>
      <w:r w:rsidR="003D1966" w:rsidRPr="00185BC0">
        <w:rPr>
          <w:sz w:val="28"/>
          <w:szCs w:val="28"/>
          <w:lang w:val="kk-KZ"/>
        </w:rPr>
        <w:t>,</w:t>
      </w:r>
      <w:r w:rsidRPr="00185BC0">
        <w:rPr>
          <w:sz w:val="28"/>
          <w:szCs w:val="28"/>
          <w:lang w:val="kk-KZ"/>
        </w:rPr>
        <w:t xml:space="preserve"> описывают результаты лечение 28 тазобедренных суставов с высоким вывихом бедра</w:t>
      </w:r>
      <w:r w:rsidRPr="00185BC0">
        <w:rPr>
          <w:sz w:val="28"/>
          <w:szCs w:val="28"/>
        </w:rPr>
        <w:t xml:space="preserve"> </w:t>
      </w:r>
      <w:r w:rsidR="003D1966" w:rsidRPr="00185BC0">
        <w:rPr>
          <w:sz w:val="28"/>
          <w:szCs w:val="28"/>
          <w:lang w:val="kk-KZ"/>
        </w:rPr>
        <w:t>и</w:t>
      </w:r>
      <w:r w:rsidRPr="00185BC0">
        <w:rPr>
          <w:sz w:val="28"/>
          <w:szCs w:val="28"/>
        </w:rPr>
        <w:t xml:space="preserve"> </w:t>
      </w:r>
      <w:r w:rsidRPr="00185BC0">
        <w:rPr>
          <w:sz w:val="28"/>
          <w:szCs w:val="28"/>
          <w:lang w:val="kk-KZ"/>
        </w:rPr>
        <w:t>перенесши</w:t>
      </w:r>
      <w:r w:rsidR="003D1966" w:rsidRPr="00185BC0">
        <w:rPr>
          <w:sz w:val="28"/>
          <w:szCs w:val="28"/>
          <w:lang w:val="kk-KZ"/>
        </w:rPr>
        <w:t>ми</w:t>
      </w:r>
      <w:r w:rsidRPr="00185BC0">
        <w:rPr>
          <w:sz w:val="28"/>
          <w:szCs w:val="28"/>
          <w:lang w:val="kk-KZ"/>
        </w:rPr>
        <w:t xml:space="preserve"> остеотомию Шанца. Средний срок наблюдение 16,8 месяцев. Полная консолидация зоны остеотомии в среднем составил 3,5 месяца. Несмотря на то</w:t>
      </w:r>
      <w:r w:rsidR="003D1966" w:rsidRPr="00185BC0">
        <w:rPr>
          <w:sz w:val="28"/>
          <w:szCs w:val="28"/>
          <w:lang w:val="kk-KZ"/>
        </w:rPr>
        <w:t>,</w:t>
      </w:r>
      <w:r w:rsidRPr="00185BC0">
        <w:rPr>
          <w:sz w:val="28"/>
          <w:szCs w:val="28"/>
          <w:lang w:val="kk-KZ"/>
        </w:rPr>
        <w:t xml:space="preserve"> что исследование имело некоторые ограничения, авторы отмечают</w:t>
      </w:r>
      <w:r w:rsidR="003D1966" w:rsidRPr="00185BC0">
        <w:rPr>
          <w:sz w:val="28"/>
          <w:szCs w:val="28"/>
          <w:lang w:val="kk-KZ"/>
        </w:rPr>
        <w:t>,</w:t>
      </w:r>
      <w:r w:rsidRPr="00185BC0">
        <w:rPr>
          <w:sz w:val="28"/>
          <w:szCs w:val="28"/>
          <w:lang w:val="kk-KZ"/>
        </w:rPr>
        <w:t xml:space="preserve"> что данн</w:t>
      </w:r>
      <w:r w:rsidR="003D1966" w:rsidRPr="00185BC0">
        <w:rPr>
          <w:sz w:val="28"/>
          <w:szCs w:val="28"/>
          <w:lang w:val="kk-KZ"/>
        </w:rPr>
        <w:t>ая</w:t>
      </w:r>
      <w:r w:rsidRPr="00185BC0">
        <w:rPr>
          <w:sz w:val="28"/>
          <w:szCs w:val="28"/>
          <w:lang w:val="kk-KZ"/>
        </w:rPr>
        <w:t xml:space="preserve"> работа является перв</w:t>
      </w:r>
      <w:r w:rsidR="003D1966" w:rsidRPr="00185BC0">
        <w:rPr>
          <w:sz w:val="28"/>
          <w:szCs w:val="28"/>
          <w:lang w:val="kk-KZ"/>
        </w:rPr>
        <w:t>ой</w:t>
      </w:r>
      <w:r w:rsidRPr="00185BC0">
        <w:rPr>
          <w:sz w:val="28"/>
          <w:szCs w:val="28"/>
          <w:lang w:val="kk-KZ"/>
        </w:rPr>
        <w:t>, где описан</w:t>
      </w:r>
      <w:r w:rsidR="003D1966" w:rsidRPr="00185BC0">
        <w:rPr>
          <w:sz w:val="28"/>
          <w:szCs w:val="28"/>
          <w:lang w:val="kk-KZ"/>
        </w:rPr>
        <w:t>ы</w:t>
      </w:r>
      <w:r w:rsidRPr="00185BC0">
        <w:rPr>
          <w:sz w:val="28"/>
          <w:szCs w:val="28"/>
          <w:lang w:val="kk-KZ"/>
        </w:rPr>
        <w:t xml:space="preserve"> отдаленные результаты подвертельной укорачивающей ступенчатой остеотомии бедренной кости с ранее проведенной остеотомии по Шанцу. В дополнение к этому исследователи также сообщают, что данная техника является более эффективн</w:t>
      </w:r>
      <w:r w:rsidR="003D1966" w:rsidRPr="00185BC0">
        <w:rPr>
          <w:sz w:val="28"/>
          <w:szCs w:val="28"/>
          <w:lang w:val="kk-KZ"/>
        </w:rPr>
        <w:t>ой</w:t>
      </w:r>
      <w:r w:rsidRPr="00185BC0">
        <w:rPr>
          <w:sz w:val="28"/>
          <w:szCs w:val="28"/>
          <w:lang w:val="kk-KZ"/>
        </w:rPr>
        <w:t xml:space="preserve"> и надежн</w:t>
      </w:r>
      <w:r w:rsidR="003D1966" w:rsidRPr="00185BC0">
        <w:rPr>
          <w:sz w:val="28"/>
          <w:szCs w:val="28"/>
          <w:lang w:val="kk-KZ"/>
        </w:rPr>
        <w:t>ой</w:t>
      </w:r>
      <w:r w:rsidRPr="00185BC0">
        <w:rPr>
          <w:sz w:val="28"/>
          <w:szCs w:val="28"/>
          <w:lang w:val="kk-KZ"/>
        </w:rPr>
        <w:t xml:space="preserve"> при коррекции деформации</w:t>
      </w:r>
      <w:r w:rsidR="003D1966" w:rsidRPr="00185BC0">
        <w:rPr>
          <w:sz w:val="28"/>
          <w:szCs w:val="28"/>
          <w:lang w:val="kk-KZ"/>
        </w:rPr>
        <w:t xml:space="preserve">, </w:t>
      </w:r>
      <w:r w:rsidRPr="00185BC0">
        <w:rPr>
          <w:sz w:val="28"/>
          <w:szCs w:val="28"/>
          <w:lang w:val="kk-KZ"/>
        </w:rPr>
        <w:t xml:space="preserve"> восстановлении длины нижних конечностей и биомеханики тазобедренного сустава у прооперированых пациентов с остеотомией по Шанцу</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{"citationItems":[{"id":"ITEM-1","itemData":{"DOI":"10.1016/j.jos.2017.01.017","ISSN":"14362023","abstract":"Background To evaluate the long-term clinical and radiological outcomes of cementless total hip arthroplasty (THA) in high riding hip dislocated patients with previous proximal femoral osteotomy. Methods Twenty-one consecutive patients with a mean age forty-two years were treated with cementless THA Step-cut subtrochanteric femoral osteotomy was performed in all twenty-eight hips. Metal on polyethylene (MoP) and ceramic on ceramic (CoC) bearings were used in two different consecutive time periods. The mean follow-up time was twelve years. Harris hip score, limb length discrepancy, complications, union status of the osteotomy, survivorship of constructs were the criteria for evaluation. Results The mean Harris hip score improved from 39.5 to 88.7 points. The mean limb length discrepancy in unilateral cases decreased from 54.5 mm to 12.3 mm. The mean amount of femoral shortening was 37 mm. The mean union time was 3.5 months and there were no delayed union and non-union. There were three cup and two femoral revisions due to osteolysis in patients who had MoP. There was only one femoral revision in patients who had CoC. The Kaplan Meier survivorship with an end point of any revision of the stem and the acetabular component was 94% (95% CI, 75%–98%) and 92% (95% CI, 74%–99%) at ten years respectively. Conclusions Total hip arthroplasty with subtrochanteric step-cut femoral shortening is a successful technique to improve the hip functions and reconstruct limb length discrepancy in young patients with proximal femoral deformities.","author":[{"dropping-particle":"","family":"Ozden","given":"Vahit Emre","non-dropping-particle":"","parse-names":false,"suffix":""},{"dropping-particle":"","family":"Dikmen","given":"Goksel","non-dropping-particle":"","parse-names":false,"suffix":""},{"dropping-particle":"","family":"Beksac","given":"Burak","non-dropping-particle":"","parse-names":false,"suffix":""},{"dropping-particle":"","family":"Tozun","given":"Ismail Remzi","non-dropping-particle":"","parse-names":false,"suffix":""}],"container-title":"Journal of Orthopaedic Science","id":"ITEM-1","issue":"3","issued":{"date-parts":[["2017"]]},"title":"Total hip arthroplasty with step-cut subtrochanteric femoral shortening osteotomy in high riding hip dislocated patients with previous femoral osteotomy","type":"article-journal","volume":"22"},"uris":["http://www.mendeley.com/documents/?uuid=5601864a-7f7d-3165-9859-371ae0ac8745"]}],"mendeley":{"formattedCitation":"[81]","plainTextFormattedCitation":"[81]","previouslyFormattedCitation":"[81]"},"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[81]</w:t>
      </w:r>
      <w:r w:rsidR="003C0456" w:rsidRPr="00185BC0">
        <w:rPr>
          <w:sz w:val="28"/>
          <w:szCs w:val="28"/>
          <w:lang w:val="kk-KZ"/>
        </w:rPr>
        <w:fldChar w:fldCharType="end"/>
      </w:r>
      <w:r w:rsidRPr="00185BC0">
        <w:rPr>
          <w:sz w:val="28"/>
          <w:szCs w:val="28"/>
        </w:rPr>
        <w:t>.</w:t>
      </w:r>
    </w:p>
    <w:p w14:paraId="7B8A1C8D" w14:textId="3FF71A56" w:rsidR="00BB1D05" w:rsidRPr="00185BC0" w:rsidRDefault="00BB1D05" w:rsidP="00BB1D05">
      <w:pPr>
        <w:ind w:firstLine="709"/>
        <w:jc w:val="both"/>
        <w:rPr>
          <w:sz w:val="28"/>
          <w:szCs w:val="28"/>
        </w:rPr>
      </w:pPr>
      <w:r w:rsidRPr="00185BC0">
        <w:rPr>
          <w:sz w:val="28"/>
          <w:szCs w:val="28"/>
          <w:lang w:val="en-US"/>
        </w:rPr>
        <w:t>T</w:t>
      </w:r>
      <w:r w:rsidRPr="00185BC0">
        <w:rPr>
          <w:sz w:val="28"/>
          <w:szCs w:val="28"/>
        </w:rPr>
        <w:t>ö</w:t>
      </w:r>
      <w:r w:rsidRPr="00185BC0">
        <w:rPr>
          <w:sz w:val="28"/>
          <w:szCs w:val="28"/>
          <w:lang w:val="en-US"/>
        </w:rPr>
        <w:t>z</w:t>
      </w:r>
      <w:r w:rsidRPr="00185BC0">
        <w:rPr>
          <w:sz w:val="28"/>
          <w:szCs w:val="28"/>
        </w:rPr>
        <w:t>ü</w:t>
      </w:r>
      <w:r w:rsidRPr="00185BC0">
        <w:rPr>
          <w:sz w:val="28"/>
          <w:szCs w:val="28"/>
          <w:lang w:val="en-US"/>
        </w:rPr>
        <w:t>n</w:t>
      </w:r>
      <w:r w:rsidRPr="00185BC0">
        <w:rPr>
          <w:sz w:val="28"/>
          <w:szCs w:val="28"/>
        </w:rPr>
        <w:t xml:space="preserve"> İ. </w:t>
      </w:r>
      <w:r w:rsidRPr="00185BC0">
        <w:rPr>
          <w:sz w:val="28"/>
          <w:szCs w:val="28"/>
          <w:lang w:val="en-US"/>
        </w:rPr>
        <w:t>R</w:t>
      </w:r>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xml:space="preserve">. </w:t>
      </w:r>
      <w:r w:rsidRPr="00185BC0">
        <w:rPr>
          <w:sz w:val="28"/>
          <w:szCs w:val="28"/>
          <w:lang w:val="kk-KZ"/>
        </w:rPr>
        <w:t>описывает о проведенном ретроспективном исследовании применени</w:t>
      </w:r>
      <w:r w:rsidR="003D1966" w:rsidRPr="00185BC0">
        <w:rPr>
          <w:sz w:val="28"/>
          <w:szCs w:val="28"/>
          <w:lang w:val="kk-KZ"/>
        </w:rPr>
        <w:t>я</w:t>
      </w:r>
      <w:r w:rsidRPr="00185BC0">
        <w:rPr>
          <w:sz w:val="28"/>
          <w:szCs w:val="28"/>
          <w:lang w:val="kk-KZ"/>
        </w:rPr>
        <w:t xml:space="preserve"> моноблочных бедренных компонентов при ТЭТС с укорачивающей </w:t>
      </w:r>
      <w:r w:rsidRPr="00185BC0">
        <w:rPr>
          <w:sz w:val="28"/>
          <w:szCs w:val="28"/>
          <w:lang w:val="en-US"/>
        </w:rPr>
        <w:t>Z</w:t>
      </w:r>
      <w:r w:rsidRPr="00185BC0">
        <w:rPr>
          <w:sz w:val="28"/>
          <w:szCs w:val="28"/>
        </w:rPr>
        <w:t xml:space="preserve">-образной остеотомией с целью </w:t>
      </w:r>
      <w:proofErr w:type="spellStart"/>
      <w:r w:rsidRPr="00185BC0">
        <w:rPr>
          <w:sz w:val="28"/>
          <w:szCs w:val="28"/>
        </w:rPr>
        <w:t>избежания</w:t>
      </w:r>
      <w:proofErr w:type="spellEnd"/>
      <w:r w:rsidRPr="00185BC0">
        <w:rPr>
          <w:sz w:val="28"/>
          <w:szCs w:val="28"/>
        </w:rPr>
        <w:t xml:space="preserve"> неврологических осложнений у пациентов с врожденным вывихом бедра </w:t>
      </w:r>
      <w:r w:rsidRPr="00185BC0">
        <w:rPr>
          <w:sz w:val="28"/>
          <w:szCs w:val="28"/>
          <w:lang w:val="en-US"/>
        </w:rPr>
        <w:t>IV</w:t>
      </w:r>
      <w:r w:rsidRPr="00185BC0">
        <w:rPr>
          <w:sz w:val="28"/>
          <w:szCs w:val="28"/>
        </w:rPr>
        <w:t xml:space="preserve"> </w:t>
      </w:r>
      <w:r w:rsidRPr="00185BC0">
        <w:rPr>
          <w:sz w:val="28"/>
          <w:szCs w:val="28"/>
          <w:lang w:val="kk-KZ"/>
        </w:rPr>
        <w:t xml:space="preserve">типа по </w:t>
      </w:r>
      <w:r w:rsidRPr="00185BC0">
        <w:rPr>
          <w:sz w:val="28"/>
          <w:szCs w:val="28"/>
          <w:lang w:val="en-US"/>
        </w:rPr>
        <w:t>Crowe</w:t>
      </w:r>
      <w:r w:rsidRPr="00185BC0">
        <w:rPr>
          <w:sz w:val="28"/>
          <w:szCs w:val="28"/>
        </w:rPr>
        <w:t xml:space="preserve">. Авторы отмечают, что главными недостатками </w:t>
      </w:r>
      <w:proofErr w:type="spellStart"/>
      <w:r w:rsidRPr="00185BC0">
        <w:rPr>
          <w:sz w:val="28"/>
          <w:szCs w:val="28"/>
        </w:rPr>
        <w:t>исследовани</w:t>
      </w:r>
      <w:proofErr w:type="spellEnd"/>
      <w:r w:rsidRPr="00185BC0">
        <w:rPr>
          <w:sz w:val="28"/>
          <w:szCs w:val="28"/>
          <w:lang w:val="kk-KZ"/>
        </w:rPr>
        <w:t>я</w:t>
      </w:r>
      <w:r w:rsidRPr="00185BC0">
        <w:rPr>
          <w:sz w:val="28"/>
          <w:szCs w:val="28"/>
        </w:rPr>
        <w:t xml:space="preserve"> был</w:t>
      </w:r>
      <w:r w:rsidRPr="00185BC0">
        <w:rPr>
          <w:sz w:val="28"/>
          <w:szCs w:val="28"/>
          <w:lang w:val="kk-KZ"/>
        </w:rPr>
        <w:t xml:space="preserve"> короткий ретроспективный</w:t>
      </w:r>
      <w:r w:rsidRPr="00185BC0">
        <w:rPr>
          <w:sz w:val="28"/>
          <w:szCs w:val="28"/>
        </w:rPr>
        <w:t xml:space="preserve"> период наблюдения</w:t>
      </w:r>
      <w:r w:rsidRPr="00185BC0">
        <w:rPr>
          <w:sz w:val="28"/>
          <w:szCs w:val="28"/>
          <w:lang w:val="kk-KZ"/>
        </w:rPr>
        <w:t>, а также отсутствие контрольной группы, не</w:t>
      </w:r>
      <w:r w:rsidR="003D1966" w:rsidRPr="00185BC0">
        <w:rPr>
          <w:sz w:val="28"/>
          <w:szCs w:val="28"/>
          <w:lang w:val="kk-KZ"/>
        </w:rPr>
        <w:t xml:space="preserve"> </w:t>
      </w:r>
      <w:r w:rsidRPr="00185BC0">
        <w:rPr>
          <w:sz w:val="28"/>
          <w:szCs w:val="28"/>
          <w:lang w:val="kk-KZ"/>
        </w:rPr>
        <w:t>смотря на такие недостатки</w:t>
      </w:r>
      <w:r w:rsidR="003D1966" w:rsidRPr="00185BC0">
        <w:rPr>
          <w:sz w:val="28"/>
          <w:szCs w:val="28"/>
          <w:lang w:val="kk-KZ"/>
        </w:rPr>
        <w:t>, как</w:t>
      </w:r>
      <w:r w:rsidRPr="00185BC0">
        <w:rPr>
          <w:sz w:val="28"/>
          <w:szCs w:val="28"/>
          <w:lang w:val="kk-KZ"/>
        </w:rPr>
        <w:t xml:space="preserve"> приживаемость моноблочных ножек показал</w:t>
      </w:r>
      <w:r w:rsidR="003D1966" w:rsidRPr="00185BC0">
        <w:rPr>
          <w:sz w:val="28"/>
          <w:szCs w:val="28"/>
          <w:lang w:val="kk-KZ"/>
        </w:rPr>
        <w:t>и</w:t>
      </w:r>
      <w:r w:rsidRPr="00185BC0">
        <w:rPr>
          <w:sz w:val="28"/>
          <w:szCs w:val="28"/>
          <w:lang w:val="kk-KZ"/>
        </w:rPr>
        <w:t xml:space="preserve"> следующие результаты</w:t>
      </w:r>
      <w:r w:rsidR="003D1966" w:rsidRPr="00185BC0">
        <w:rPr>
          <w:sz w:val="28"/>
          <w:szCs w:val="28"/>
          <w:lang w:val="kk-KZ"/>
        </w:rPr>
        <w:t>:</w:t>
      </w:r>
      <w:r w:rsidRPr="00185BC0">
        <w:rPr>
          <w:sz w:val="28"/>
          <w:szCs w:val="28"/>
          <w:lang w:val="kk-KZ"/>
        </w:rPr>
        <w:t xml:space="preserve"> через </w:t>
      </w:r>
      <w:r w:rsidRPr="00185BC0">
        <w:rPr>
          <w:sz w:val="28"/>
          <w:szCs w:val="28"/>
        </w:rPr>
        <w:t xml:space="preserve">5 </w:t>
      </w:r>
      <w:r w:rsidR="003D1966" w:rsidRPr="00185BC0">
        <w:rPr>
          <w:sz w:val="28"/>
          <w:szCs w:val="28"/>
          <w:lang w:val="kk-KZ"/>
        </w:rPr>
        <w:t xml:space="preserve">– </w:t>
      </w:r>
      <w:r w:rsidRPr="00185BC0">
        <w:rPr>
          <w:sz w:val="28"/>
          <w:szCs w:val="28"/>
        </w:rPr>
        <w:t xml:space="preserve">лет 95% и через 10 лет </w:t>
      </w:r>
      <w:r w:rsidR="003D1966" w:rsidRPr="00185BC0">
        <w:rPr>
          <w:sz w:val="28"/>
          <w:szCs w:val="28"/>
        </w:rPr>
        <w:t xml:space="preserve">– </w:t>
      </w:r>
      <w:r w:rsidRPr="00185BC0">
        <w:rPr>
          <w:sz w:val="28"/>
          <w:szCs w:val="28"/>
        </w:rPr>
        <w:t>85%. Дополнение к этому они утверждают</w:t>
      </w:r>
      <w:r w:rsidRPr="00185BC0">
        <w:rPr>
          <w:sz w:val="28"/>
          <w:szCs w:val="28"/>
          <w:lang w:val="kk-KZ"/>
        </w:rPr>
        <w:t>,</w:t>
      </w:r>
      <w:r w:rsidRPr="00185BC0">
        <w:rPr>
          <w:sz w:val="28"/>
          <w:szCs w:val="28"/>
        </w:rPr>
        <w:t xml:space="preserve"> что высокий процент сращения зоны остеотомии получили при помощи </w:t>
      </w:r>
      <w:proofErr w:type="spellStart"/>
      <w:r w:rsidRPr="00185BC0">
        <w:rPr>
          <w:sz w:val="28"/>
          <w:szCs w:val="28"/>
        </w:rPr>
        <w:t>аутотронсплантантными</w:t>
      </w:r>
      <w:proofErr w:type="spellEnd"/>
      <w:r w:rsidRPr="00185BC0">
        <w:rPr>
          <w:sz w:val="28"/>
          <w:szCs w:val="28"/>
        </w:rPr>
        <w:t xml:space="preserve"> костными распорками с кабельной фиксацией </w:t>
      </w:r>
      <w:r w:rsidR="003C0456" w:rsidRPr="00185BC0">
        <w:rPr>
          <w:sz w:val="28"/>
          <w:szCs w:val="28"/>
          <w:lang w:val="kk-KZ"/>
        </w:rPr>
        <w:fldChar w:fldCharType="begin" w:fldLock="1"/>
      </w:r>
      <w:r w:rsidR="001D29A3" w:rsidRPr="00185BC0">
        <w:rPr>
          <w:sz w:val="28"/>
          <w:szCs w:val="28"/>
          <w:lang w:val="kk-KZ"/>
        </w:rPr>
        <w:instrText>ADDIN CSL_CITATION {"citationItems":[{"id":"ITEM-1","itemData":{"DOI":"10.5301/hipint.5000338","ISSN":"11207000","abstract":"Introduction: The main objective of this study was to evaluate the midterm results of cementless THA with the use of monoblock stems combined with step-cut femoral shortening derotational osteotomy for DDH. Materials and methods: A total of 66 hips of 49 patients with Crowe type IV developmental hip dislocation, with a mean follow-up of 90 (range 26-207) months, were reviewed retrospectively. Subtrochanteric step-cut shortening osteotomy and monoblock femoral stems were used. The cup was placed in the true acetabulum in all cases. 21 hips had previous femoral valgisation osteotomies. Anteroposterior and lateral radiographs of both hips were obtained preoperatively and at the last follow-up examination. The Harris Hip Score (HHS) was used for pre- and postoperative clinical evaluation. Results: The mean HHS increased from 49 to 86 points. A total of 13 hips of 10 patients (the isolated acetabular component in 7 hips of 6 patients, the femoral component in 3 hips of 3 patients, and both components in 2 patients) were revised during the follow-up period. Dislocation occurred in 3 hips, deep periprosthetic infection in 2, superficial wound infection in 2, and femoral vein injury and sciatic nerve palsy in 1. Nonunion was observed in 3 osteotomy sites. 10-year survival probabilities of 91% for femoral components for all cases and 78% for acetabular components were found. Conclusions: THA with subtrochanteric femoral shortening osteotomy was proven to be an effective technique for avoiding neurological complications for Crowe IV DDH. Cementless THA with the use of monoblock stems showed overall survival rates of 95% at 5 years and 85% at 10 years.","author":[{"dropping-particle":"","family":"Tözün","given":"İsmail Remzi","non-dropping-particle":"","parse-names":false,"suffix":""},{"dropping-particle":"","family":"Akgül","given":"Turgut","non-dropping-particle":"","parse-names":false,"suffix":""},{"dropping-particle":"","family":"Şensoy","given":"Volkan","non-dropping-particle":"","parse-names":false,"suffix":""},{"dropping-particle":"","family":"Kılıçoğlu","given":"Önder İsmet","non-dropping-particle":"","parse-names":false,"suffix":""}],"container-title":"HIP International","id":"ITEM-1","issue":"3","issued":{"date-parts":[["2016"]]},"title":"The results of monoblock stem with step-cut femoral shortening osteotomy for developmentally dislocated hips","type":"article-journal","volume":"26"},"uris":["http://www.mendeley.com/documents/?uuid=a2e2b569-cfc4-33af-8022-2bdb62a5e70f"]}],"mendeley":{"formattedCitation":"[82]","plainTextFormattedCitation":"[82]","previouslyFormattedCitation":"[82]"},"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[82]</w:t>
      </w:r>
      <w:r w:rsidR="003C0456" w:rsidRPr="00185BC0">
        <w:rPr>
          <w:sz w:val="28"/>
          <w:szCs w:val="28"/>
          <w:lang w:val="kk-KZ"/>
        </w:rPr>
        <w:fldChar w:fldCharType="end"/>
      </w:r>
      <w:r w:rsidRPr="00185BC0">
        <w:rPr>
          <w:sz w:val="28"/>
          <w:szCs w:val="28"/>
        </w:rPr>
        <w:t>.</w:t>
      </w:r>
    </w:p>
    <w:p w14:paraId="7C764F4B" w14:textId="41AD0A90" w:rsidR="00BB1D05" w:rsidRPr="00185BC0" w:rsidRDefault="00BB1D05" w:rsidP="00BB1D05">
      <w:pPr>
        <w:ind w:firstLine="709"/>
        <w:jc w:val="both"/>
        <w:rPr>
          <w:sz w:val="28"/>
          <w:szCs w:val="28"/>
        </w:rPr>
      </w:pPr>
      <w:r w:rsidRPr="00185BC0">
        <w:rPr>
          <w:sz w:val="28"/>
          <w:szCs w:val="28"/>
          <w:lang w:val="kk-KZ"/>
        </w:rPr>
        <w:t xml:space="preserve">В недавно опубликованном исследовании авторов Akıncı O.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w:t>
      </w:r>
      <w:r w:rsidRPr="00185BC0">
        <w:rPr>
          <w:sz w:val="28"/>
          <w:szCs w:val="28"/>
        </w:rPr>
        <w:t xml:space="preserve"> </w:t>
      </w:r>
      <w:r w:rsidRPr="00185BC0">
        <w:rPr>
          <w:sz w:val="28"/>
          <w:szCs w:val="28"/>
          <w:lang w:val="kk-KZ"/>
        </w:rPr>
        <w:t>демонстриру</w:t>
      </w:r>
      <w:r w:rsidR="003D1966" w:rsidRPr="00185BC0">
        <w:rPr>
          <w:sz w:val="28"/>
          <w:szCs w:val="28"/>
          <w:lang w:val="kk-KZ"/>
        </w:rPr>
        <w:t>ю</w:t>
      </w:r>
      <w:r w:rsidRPr="00185BC0">
        <w:rPr>
          <w:sz w:val="28"/>
          <w:szCs w:val="28"/>
          <w:lang w:val="kk-KZ"/>
        </w:rPr>
        <w:t xml:space="preserve">тся хорошие отдаленные результаты применения подвертельной ступенчатой укорачивающей остеотомии в комбинировании с первичной бесцементной ТЭТС у пациентов ДК IV типа по </w:t>
      </w:r>
      <w:proofErr w:type="spellStart"/>
      <w:r w:rsidRPr="00185BC0">
        <w:rPr>
          <w:sz w:val="28"/>
          <w:szCs w:val="28"/>
        </w:rPr>
        <w:t>Crowe</w:t>
      </w:r>
      <w:proofErr w:type="spellEnd"/>
      <w:r w:rsidRPr="00185BC0">
        <w:rPr>
          <w:sz w:val="28"/>
          <w:szCs w:val="28"/>
          <w:lang w:val="kk-KZ"/>
        </w:rPr>
        <w:t xml:space="preserve">. Пациенты находились </w:t>
      </w:r>
      <w:r w:rsidRPr="00185BC0">
        <w:rPr>
          <w:sz w:val="28"/>
          <w:szCs w:val="28"/>
          <w:lang w:val="kk-KZ"/>
        </w:rPr>
        <w:lastRenderedPageBreak/>
        <w:t xml:space="preserve">под наблюдением в среднем  9,2 года. Всем 31 пациентам (35 тазобедренных суставов) применяли подвертельную ступенчатую укорачивающую остеотомию, </w:t>
      </w:r>
      <w:r w:rsidR="003D1966" w:rsidRPr="00185BC0">
        <w:rPr>
          <w:sz w:val="28"/>
          <w:szCs w:val="28"/>
          <w:lang w:val="kk-KZ"/>
        </w:rPr>
        <w:t xml:space="preserve">а </w:t>
      </w:r>
      <w:r w:rsidRPr="00185BC0">
        <w:rPr>
          <w:sz w:val="28"/>
          <w:szCs w:val="28"/>
          <w:lang w:val="kk-KZ"/>
        </w:rPr>
        <w:t xml:space="preserve">показатели по шкале </w:t>
      </w:r>
      <w:r w:rsidRPr="00185BC0">
        <w:rPr>
          <w:sz w:val="28"/>
          <w:szCs w:val="28"/>
          <w:lang w:val="en-US"/>
        </w:rPr>
        <w:t>HHS</w:t>
      </w:r>
      <w:r w:rsidRPr="00185BC0">
        <w:rPr>
          <w:sz w:val="28"/>
          <w:szCs w:val="28"/>
        </w:rPr>
        <w:t xml:space="preserve"> </w:t>
      </w:r>
      <w:r w:rsidRPr="00185BC0">
        <w:rPr>
          <w:sz w:val="28"/>
          <w:szCs w:val="28"/>
          <w:lang w:val="kk-KZ"/>
        </w:rPr>
        <w:t>увеличился с  40,6 до 92,5</w:t>
      </w:r>
      <w:r w:rsidR="003D1966" w:rsidRPr="00185BC0">
        <w:rPr>
          <w:sz w:val="28"/>
          <w:szCs w:val="28"/>
          <w:lang w:val="kk-KZ"/>
        </w:rPr>
        <w:t xml:space="preserve"> баллов</w:t>
      </w:r>
      <w:r w:rsidRPr="00185BC0">
        <w:rPr>
          <w:sz w:val="28"/>
          <w:szCs w:val="28"/>
          <w:lang w:val="kk-KZ"/>
        </w:rPr>
        <w:t xml:space="preserve">.  Несращение зоны остеотомии и остеолиз был в </w:t>
      </w:r>
      <w:r w:rsidR="003D1966" w:rsidRPr="00185BC0">
        <w:rPr>
          <w:sz w:val="28"/>
          <w:szCs w:val="28"/>
          <w:lang w:val="kk-KZ"/>
        </w:rPr>
        <w:t>одном</w:t>
      </w:r>
      <w:r w:rsidRPr="00185BC0">
        <w:rPr>
          <w:sz w:val="28"/>
          <w:szCs w:val="28"/>
          <w:lang w:val="kk-KZ"/>
        </w:rPr>
        <w:t xml:space="preserve"> случае, который потребовал синтез с двусторонними костными распорками и пластиной Далла-Майлза с  кабельными серкляжами и винтами. У 4 </w:t>
      </w:r>
      <w:r w:rsidR="003D1966" w:rsidRPr="00185BC0">
        <w:rPr>
          <w:sz w:val="28"/>
          <w:szCs w:val="28"/>
          <w:lang w:val="kk-KZ"/>
        </w:rPr>
        <w:t xml:space="preserve">– х </w:t>
      </w:r>
      <w:r w:rsidRPr="00185BC0">
        <w:rPr>
          <w:sz w:val="28"/>
          <w:szCs w:val="28"/>
          <w:lang w:val="kk-KZ"/>
        </w:rPr>
        <w:t>пациентов отмечался неполный перелом бедренной кости, которы</w:t>
      </w:r>
      <w:r w:rsidR="003D1966" w:rsidRPr="00185BC0">
        <w:rPr>
          <w:sz w:val="28"/>
          <w:szCs w:val="28"/>
          <w:lang w:val="kk-KZ"/>
        </w:rPr>
        <w:t>й</w:t>
      </w:r>
      <w:r w:rsidRPr="00185BC0">
        <w:rPr>
          <w:sz w:val="28"/>
          <w:szCs w:val="28"/>
          <w:lang w:val="kk-KZ"/>
        </w:rPr>
        <w:t xml:space="preserve"> был устранен после наложения кабельного серкляжа. </w:t>
      </w:r>
      <w:r w:rsidR="003D1966" w:rsidRPr="00185BC0">
        <w:rPr>
          <w:sz w:val="28"/>
          <w:szCs w:val="28"/>
          <w:lang w:val="kk-KZ"/>
        </w:rPr>
        <w:t>А</w:t>
      </w:r>
      <w:r w:rsidRPr="00185BC0">
        <w:rPr>
          <w:sz w:val="28"/>
          <w:szCs w:val="28"/>
          <w:lang w:val="kk-KZ"/>
        </w:rPr>
        <w:t>вторы</w:t>
      </w:r>
      <w:r w:rsidR="003D1966" w:rsidRPr="00185BC0">
        <w:rPr>
          <w:sz w:val="28"/>
          <w:szCs w:val="28"/>
          <w:lang w:val="kk-KZ"/>
        </w:rPr>
        <w:t xml:space="preserve"> также</w:t>
      </w:r>
      <w:r w:rsidRPr="00185BC0">
        <w:rPr>
          <w:sz w:val="28"/>
          <w:szCs w:val="28"/>
          <w:lang w:val="kk-KZ"/>
        </w:rPr>
        <w:t xml:space="preserve"> сообщают</w:t>
      </w:r>
      <w:r w:rsidR="003D1966" w:rsidRPr="00185BC0">
        <w:rPr>
          <w:sz w:val="28"/>
          <w:szCs w:val="28"/>
          <w:lang w:val="kk-KZ"/>
        </w:rPr>
        <w:t>,</w:t>
      </w:r>
      <w:r w:rsidRPr="00185BC0">
        <w:rPr>
          <w:sz w:val="28"/>
          <w:szCs w:val="28"/>
          <w:lang w:val="kk-KZ"/>
        </w:rPr>
        <w:t xml:space="preserve"> что частичный паралич седалищного и малоберцового нерва прошел </w:t>
      </w:r>
      <w:r w:rsidR="003D1966" w:rsidRPr="00185BC0">
        <w:rPr>
          <w:sz w:val="28"/>
          <w:szCs w:val="28"/>
          <w:lang w:val="kk-KZ"/>
        </w:rPr>
        <w:t>в течение</w:t>
      </w:r>
      <w:r w:rsidRPr="00185BC0">
        <w:rPr>
          <w:sz w:val="28"/>
          <w:szCs w:val="28"/>
          <w:lang w:val="kk-KZ"/>
        </w:rPr>
        <w:t xml:space="preserve"> 6-12 месяцев. В заключени</w:t>
      </w:r>
      <w:r w:rsidR="003D1966" w:rsidRPr="00185BC0">
        <w:rPr>
          <w:sz w:val="28"/>
          <w:szCs w:val="28"/>
          <w:lang w:val="kk-KZ"/>
        </w:rPr>
        <w:t>и</w:t>
      </w:r>
      <w:r w:rsidRPr="00185BC0">
        <w:rPr>
          <w:sz w:val="28"/>
          <w:szCs w:val="28"/>
          <w:lang w:val="kk-KZ"/>
        </w:rPr>
        <w:t xml:space="preserve"> исследователи ссылаются на данные литературы, где большинство авторов подчеркивают следующие  преимущетсва ступенчатой остеотомии: 1) устойчивость к ротационным и осевым нагрузкам; 2) высокая вероятность консолидации за счет широким контактным поверхностям; 3) предотвращение нестабильности бедренного компонента эндопротеза благодаря уменьшение разницы диаметра остеотомированных отломков; 3) обеспечение стабильной фиксации в метафизарной области; 4) </w:t>
      </w:r>
      <w:r w:rsidR="003D1966" w:rsidRPr="00185BC0">
        <w:rPr>
          <w:sz w:val="28"/>
          <w:szCs w:val="28"/>
          <w:lang w:val="kk-KZ"/>
        </w:rPr>
        <w:t>возможность использования методики у пациентов с ранее выполненной остеотомией по Шанцу</w:t>
      </w:r>
      <w:r w:rsidRPr="00185BC0">
        <w:rPr>
          <w:sz w:val="28"/>
          <w:szCs w:val="28"/>
          <w:lang w:val="kk-KZ"/>
        </w:rPr>
        <w:t xml:space="preserve">. К основным недостатком </w:t>
      </w:r>
      <w:r w:rsidR="003D1966" w:rsidRPr="00185BC0">
        <w:rPr>
          <w:sz w:val="28"/>
          <w:szCs w:val="28"/>
          <w:lang w:val="kk-KZ"/>
        </w:rPr>
        <w:t xml:space="preserve">данной </w:t>
      </w:r>
      <w:r w:rsidRPr="00185BC0">
        <w:rPr>
          <w:sz w:val="28"/>
          <w:szCs w:val="28"/>
          <w:lang w:val="kk-KZ"/>
        </w:rPr>
        <w:t>техники можно отнести сложность и длительность выполнения, а также необходимость длительного обучения</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{"citationItems":[{"id":"ITEM-1","itemData":{"DOI":"10.1007/s43465-021-00567-3","ISSN":"19983727","abstract":"Objective: The purpose of this study was to evaluate the long-term results of sub-trochanteric step-cut shortening osteotomy (SSCO) used in the total hip arthroplasty (THA) procedure for treatment of Crowe type IV dysplastic hips. Materials and Methods: Crowe type IV dysplastic 35 hips of 31 patients were treated with cementless THA. Patients were followed up meanly 9.2 years (range 4–18). SSCO was applied to all hips to reduce the femoral head into the true acetabulum. Autologous bone grafts which were obtained by shortening the femur and cable cerclage wires were used for fixing the osteotomy site. The results were evaluated clinically and radiologically. In clinical evaluation, Harris hip score (HHS) and d'Aubigne hip evaluation criteria were used. Results: The mean HHS increased from 40.6 to 92.5. Merle d’Aubigne hip evaluation score was increased on average from 1.76 to 5.8 in terms of pain and from 2.9 to 5.5 in terms of range of motion. In 9 hips (25.7%), medialization was achieved by creating a controlled fracture in the acetabulum. The hip rotation center was lowered by an average of 5.7 cm. The average leg lengthening was 3.4 cm. No more than 4 cm lengthening was made. Dislocation did not develop in any of the patients. Conclusion: It was concluded that the long-term results were found to be successful in the THA with SSCO in Crowe type IV dysplastic hips, since nerve complications were reduced, leg-lengthening was achieved, and a painless and mobile hip joint could be achieved.","author":[{"dropping-particle":"","family":"Akıncı","given":"Orhan","non-dropping-particle":"","parse-names":false,"suffix":""},{"dropping-particle":"","family":"Turgut","given":"Ali","non-dropping-particle":"","parse-names":false,"suffix":""}],"container-title":"Indian Journal of Orthopaedics","id":"ITEM-1","issue":"4","issued":{"date-parts":[["2022"]]},"title":"Long-Term Results of Total Hip Arthroplasty with Step-Cut Osteotomy in Crowe Type IV Dysplastic Hips","type":"article-journal","volume":"56"},"uris":["http://www.mendeley.com/documents/?uuid=9045f48b-d3d5-3e42-8f57-10ce05c55367"]},{"id":"ITEM-2","itemData":{"DOI":"10.1016/j.arth.2012.06.014","ISSN":"08835403","abstract":"Midterm results of cementless total hip arthroplasty in patients with Crowe type IV congenital dislocation of the hip were evaluated. A modified oblique subtrochanteric shortening osteotomy was used in all patients. A cylindrical femoral stem was used in all patients to stabilize the osteotomy. Mean follow-up was 82 months in 20 hips of 16 patients. Mean Merle D'Aubigné pain score increased from 2.52 to 5.65 points, function score improved from 4.0 to 5.3 points, and mobility score improved from 3.95 to 5.35. Mean greater trochanter height relative to the estimated hip center was 6.8 ± 2.0 cm preoperatively and. 1 ± 0.2 cm postoperatively. Complications were dislocations in 3 patients, which were successfully managed without redislocation and fracture of greater trochanter in 3 patients, which healed uneventfully in 2 but with residual Trendelenburg gait in one. Total hip arthroplasty with modified oblique subtrochanteric shortening osteotomy is an effective technique for the treatment for Crowe type IV hip dislocation. © 2013 Elsevier Inc.","author":[{"dropping-particle":"","family":"Kiliçoǧlu","given":"Önder I.","non-dropping-particle":"","parse-names":false,"suffix":""},{"dropping-particle":"","family":"Türker","given":"Mehmet","non-dropping-particle":"","parse-names":false,"suffix":""},{"dropping-particle":"","family":"Akgül","given":"Turgut","non-dropping-particle":"","parse-names":false,"suffix":""},{"dropping-particle":"","family":"Yazicioǧlu","given":"Önder","non-dropping-particle":"","parse-names":false,"suffix":""}],"container-title":"Journal of Arthroplasty","id":"ITEM-2","issue":"1","issued":{"date-parts":[["2013"]]},"title":"Cementless Total Hip Arthroplasty With Modified Oblique Femoral Shortening Osteotomy in Crowe Type IV Congenital Hip Dislocation","type":"article-journal","volume":"28"},"uris":["http://www.mendeley.com/documents/?uuid=9de167a7-efbd-30e0-885e-3b12552cb2e7"]},{"id":"ITEM-3","itemData":{"DOI":"10.4103/0019-5413.177575","ISSN":"19983727","abstract":"Background: Developmental dysplasia of the hip (DDH) in adults with severe pain and disability is best treated by total hip arthroplasty (THA). The purpose of this study was to retrospectively evaluate the outcomes of subtrochanteric shortening osteotomy combined with THA using S-ROM stem for those severe patients with a special focus on the effect of two shapes in the subtrochanteric osteotomy ends: Oblique and transverse. Materials and Methods: Twenty one cases with mean age of 43.6 years who met inclusion criteria and were operated between February 2007 and February 2012 were included in the study. Those cases had been divided into two groups (oblique vs. transverse) and all records between the two groups were analyzed. Results: The Harris hip score significantly improved from 30.6 (range 18-59) preoperatively to 91.2 (range 87-98) postoperatively by the latest followup. Complications including one deep venous thrombosis, one intraoperative fracture of femur and two dislocations occurred while they were addressed properly afterward. The oblique group showed significant advantages in operative time, union time and additional fixation in comparison with the transverse group. Conclusions: In the primary THA for the treatment of irreducible DDH, subtrochanteric oblique osteotomy combined with the freely-rotatable S-ROM stem provided favorable short term outcomes by affording both morphological and functional advantages.","author":[{"dropping-particle":"","family":"Li","given":"Liangtao","non-dropping-particle":"","parse-names":false,"suffix":""},{"dropping-particle":"","family":"Yu","given":"Mingyang","non-dropping-particle":"","parse-names":false,"suffix":""},{"dropping-particle":"","family":"Yang","given":"Chen","non-dropping-particle":"","parse-names":false,"suffix":""},{"dropping-particle":"","family":"Gu","given":"Guishan","non-dropping-particle":"","parse-names":false,"suffix":""}],"container-title":"Indian Journal of Orthopaedics","id":"ITEM-3","issue":"2","issued":{"date-parts":[["2016"]]},"title":"Total hip arthroplasty (S-ROM stem) and subtrochanteric osteotomy for Crowe type IV developmental dysplasia of the hip","type":"article-journal","volume":"50"},"uris":["http://www.mendeley.com/documents/?uuid=d0aab395-f0ec-3e64-a574-f7e24bd3b168"]}],"mendeley":{"formattedCitation":"[57, 68, 83]","plainTextFormattedCitation":"[57, 68, 83]","previouslyFormattedCitation":"[57, 68, 83]"},"properties":{"noteIndex":0},"schema":"https://github.com/citation-style-language/schema/raw/master/csl-citation.json"}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[57, 68, 83]</w:t>
      </w:r>
      <w:r w:rsidR="003C0456" w:rsidRPr="00185BC0">
        <w:rPr>
          <w:sz w:val="28"/>
          <w:szCs w:val="28"/>
          <w:lang w:val="kk-KZ"/>
        </w:rPr>
        <w:fldChar w:fldCharType="end"/>
      </w:r>
      <w:r w:rsidRPr="00185BC0">
        <w:rPr>
          <w:sz w:val="28"/>
          <w:szCs w:val="28"/>
        </w:rPr>
        <w:t>.</w:t>
      </w:r>
    </w:p>
    <w:p w14:paraId="61CCFD09" w14:textId="1FF32273" w:rsidR="00BB1D05" w:rsidRPr="00185BC0" w:rsidRDefault="00BB1D05" w:rsidP="00BB1D05">
      <w:pPr>
        <w:ind w:firstLine="709"/>
        <w:jc w:val="both"/>
        <w:rPr>
          <w:sz w:val="28"/>
          <w:szCs w:val="28"/>
        </w:rPr>
      </w:pPr>
      <w:r w:rsidRPr="00185BC0">
        <w:rPr>
          <w:sz w:val="28"/>
          <w:szCs w:val="28"/>
          <w:lang w:val="kk-KZ"/>
        </w:rPr>
        <w:t xml:space="preserve">По мнению большинства авторов, для получения положительных результатов лечение ДК необходимо тщательное предоперационное планирование, </w:t>
      </w:r>
      <w:r w:rsidR="002B33EA" w:rsidRPr="00185BC0">
        <w:rPr>
          <w:sz w:val="28"/>
          <w:szCs w:val="28"/>
          <w:lang w:val="kk-KZ"/>
        </w:rPr>
        <w:t xml:space="preserve">при этом </w:t>
      </w:r>
      <w:r w:rsidRPr="00185BC0">
        <w:rPr>
          <w:sz w:val="28"/>
          <w:szCs w:val="28"/>
          <w:lang w:val="kk-KZ"/>
        </w:rPr>
        <w:t>следует обратить внимание на костный запас, длину нижних конечностей, ранее перенесенные операции</w:t>
      </w:r>
      <w:r w:rsidR="002B33EA" w:rsidRPr="00185BC0">
        <w:rPr>
          <w:sz w:val="28"/>
          <w:szCs w:val="28"/>
          <w:lang w:val="kk-KZ"/>
        </w:rPr>
        <w:t>,</w:t>
      </w:r>
      <w:r w:rsidRPr="00185BC0">
        <w:rPr>
          <w:sz w:val="28"/>
          <w:szCs w:val="28"/>
          <w:lang w:val="kk-KZ"/>
        </w:rPr>
        <w:t xml:space="preserve"> а также на модель компонентов эндопротеза, особенно </w:t>
      </w:r>
      <w:r w:rsidR="002B33EA" w:rsidRPr="00185BC0">
        <w:rPr>
          <w:sz w:val="28"/>
          <w:szCs w:val="28"/>
          <w:lang w:val="kk-KZ"/>
        </w:rPr>
        <w:t>–</w:t>
      </w:r>
      <w:r w:rsidRPr="00185BC0">
        <w:rPr>
          <w:sz w:val="28"/>
          <w:szCs w:val="28"/>
          <w:lang w:val="kk-KZ"/>
        </w:rPr>
        <w:t xml:space="preserve"> бедренный</w:t>
      </w:r>
      <w:r w:rsidRPr="00185BC0">
        <w:rPr>
          <w:sz w:val="28"/>
          <w:szCs w:val="28"/>
        </w:rPr>
        <w:t xml:space="preserve"> </w:t>
      </w:r>
      <w:r w:rsidRPr="00185BC0">
        <w:rPr>
          <w:sz w:val="28"/>
          <w:szCs w:val="28"/>
          <w:lang w:val="kk-KZ"/>
        </w:rPr>
        <w:t>компонент</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{"citationItems":[{"id":"ITEM-1","itemData":{"DOI":"10.3928/01477447-20110627-14","ISSN":"01477447","abstract":"We retrospectively evaluated the postoperative results Of total hip arthroplasty (THA) in patients presenting with Crowe group IV dislocated hips. Overall, results were compared with regard to the type of osteotomy performed (Z or oblique) to define the correct indications for surgical technique and choice of prosthetic implant. Thirty-three subtrochanteric shortening and derotational osteotomies in primary THA were performed in 26 patients secondary to congenital hip dislocation. A Z osteotomy was performed in 14 cases and an oblique osteotomy in 19. The surgical approach was direct lateral, and surgery was aimed at restoring the anatomic hip center. Femoral and acetabular fixation was uncemented. The most used stem was the S-ROM (DePuy, Leeds, United Kingdom), and the couplings used were ceramic-ceramic (7 cases), ceramic-polyethylene (3 cases), metal-polyethylene (15 cases), and metal-metal (3 cases). Mean follow-up was 88±45 months. According to the Merle D'Aubigné score, the overall clinical results were good in 23 cases, satisfactory in 6, and fair in 4. Union of the osteotomy occurred in 97% of cases, and the mean time required for osteotomy union was 6±2 months without significant differences between Z and oblique osteotomies. At last follow-up, there was loosening of 1 cup and 1 stem, and revision was necessary. Twelve percent of patients experienced postoperative dislocation and 9% developed neuropraxia of the femoral nerve. The clinical and radiological results were similar in both groups, with a high rate of pain relief, an improvement in limb-length discrepancy, and reduced limping, leading to a smaller or no insole. Currently, the more complex Z osteotomy has been abandoned, because a modular stem prosthesis with metaphyseal sleeve allows the oblique osteotomy to be used with an easier and shorter surgical procedure.","author":[{"dropping-particle":"","family":"Dallari","given":"Dante","non-dropping-particle":"","parse-names":false,"suffix":""},{"dropping-particle":"","family":"Pignatti","given":"Giovanni","non-dropping-particle":"","parse-names":false,"suffix":""},{"dropping-particle":"","family":"Stagni","given":"Cesare","non-dropping-particle":"","parse-names":false,"suffix":""},{"dropping-particle":"","family":"Giavaresi","given":"Gianluca","non-dropping-particle":"","parse-names":false,"suffix":""},{"dropping-particle":"","family":"Piccolo","given":"Nicolandrea","non-dropping-particle":"Del","parse-names":false,"suffix":""},{"dropping-particle":"","family":"Rani","given":"Nicola","non-dropping-particle":"","parse-names":false,"suffix":""},{"dropping-particle":"","family":"Veronesi","given":"Francesca","non-dropping-particle":"","parse-names":false,"suffix":""},{"dropping-particle":"","family":"Fini","given":"Milena","non-dropping-particle":"","parse-names":false,"suffix":""}],"container-title":"Orthopedics","id":"ITEM-1","issue":"8","issued":{"date-parts":[["2011"]]},"title":"Total hip arthroplasty with shortening osteotomy in congenital major hip dislocation sequelae","type":"article-journal","volume":"34"},"uris":["http://www.mendeley.com/documents/?uuid=9e3c20a6-4b17-3cbb-933a-453a840bee58"]}],"mendeley":{"formattedCitation":"[79]","plainTextFormattedCitation":"[79]","previouslyFormattedCitation":"[79]"},"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[79]</w:t>
      </w:r>
      <w:r w:rsidR="003C0456" w:rsidRPr="00185BC0">
        <w:rPr>
          <w:sz w:val="28"/>
          <w:szCs w:val="28"/>
          <w:lang w:val="kk-KZ"/>
        </w:rPr>
        <w:fldChar w:fldCharType="end"/>
      </w:r>
      <w:r w:rsidRPr="00185BC0">
        <w:rPr>
          <w:sz w:val="28"/>
          <w:szCs w:val="28"/>
        </w:rPr>
        <w:t xml:space="preserve">. </w:t>
      </w:r>
      <w:r w:rsidRPr="00185BC0">
        <w:rPr>
          <w:sz w:val="28"/>
          <w:szCs w:val="28"/>
          <w:lang w:val="kk-KZ"/>
        </w:rPr>
        <w:t>В следующем исследовании авторы опубликовали результаты исследования, где они подчеркивают влияние модел</w:t>
      </w:r>
      <w:r w:rsidR="002B33EA" w:rsidRPr="00185BC0">
        <w:rPr>
          <w:sz w:val="28"/>
          <w:szCs w:val="28"/>
          <w:lang w:val="kk-KZ"/>
        </w:rPr>
        <w:t>и</w:t>
      </w:r>
      <w:r w:rsidRPr="00185BC0">
        <w:rPr>
          <w:sz w:val="28"/>
          <w:szCs w:val="28"/>
          <w:lang w:val="kk-KZ"/>
        </w:rPr>
        <w:t xml:space="preserve"> бедренного компонента эндопротеза на его выж</w:t>
      </w:r>
      <w:r w:rsidR="002B33EA" w:rsidRPr="00185BC0">
        <w:rPr>
          <w:sz w:val="28"/>
          <w:szCs w:val="28"/>
          <w:lang w:val="kk-KZ"/>
        </w:rPr>
        <w:t>и</w:t>
      </w:r>
      <w:r w:rsidRPr="00185BC0">
        <w:rPr>
          <w:sz w:val="28"/>
          <w:szCs w:val="28"/>
          <w:lang w:val="kk-KZ"/>
        </w:rPr>
        <w:t>ваемость при ТЭТС с ступенчатой остеотомией.  Средний период наблюдения</w:t>
      </w:r>
      <w:r w:rsidR="002B33EA" w:rsidRPr="00185BC0">
        <w:rPr>
          <w:sz w:val="28"/>
          <w:szCs w:val="28"/>
          <w:lang w:val="kk-KZ"/>
        </w:rPr>
        <w:t xml:space="preserve"> состовляет </w:t>
      </w:r>
      <w:r w:rsidRPr="00185BC0">
        <w:rPr>
          <w:sz w:val="28"/>
          <w:szCs w:val="28"/>
        </w:rPr>
        <w:t xml:space="preserve">10 лет. </w:t>
      </w:r>
      <w:r w:rsidRPr="00185BC0">
        <w:rPr>
          <w:sz w:val="28"/>
          <w:szCs w:val="28"/>
          <w:lang w:val="kk-KZ"/>
        </w:rPr>
        <w:t>В ходе исследования они пришли к выводу</w:t>
      </w:r>
      <w:r w:rsidR="002B33EA" w:rsidRPr="00185BC0">
        <w:rPr>
          <w:sz w:val="28"/>
          <w:szCs w:val="28"/>
          <w:lang w:val="kk-KZ"/>
        </w:rPr>
        <w:t>,</w:t>
      </w:r>
      <w:r w:rsidRPr="00185BC0">
        <w:rPr>
          <w:sz w:val="28"/>
          <w:szCs w:val="28"/>
          <w:lang w:val="kk-KZ"/>
        </w:rPr>
        <w:t xml:space="preserve"> что цилиндрические бедренные компоненты с метафизарной фиксацией более оптимальные чем конические так</w:t>
      </w:r>
      <w:r w:rsidR="002B33EA" w:rsidRPr="00185BC0">
        <w:rPr>
          <w:sz w:val="28"/>
          <w:szCs w:val="28"/>
          <w:lang w:val="kk-KZ"/>
        </w:rPr>
        <w:t>,</w:t>
      </w:r>
      <w:r w:rsidRPr="00185BC0">
        <w:rPr>
          <w:sz w:val="28"/>
          <w:szCs w:val="28"/>
          <w:lang w:val="kk-KZ"/>
        </w:rPr>
        <w:t xml:space="preserve"> как  в этой группе отмечали больше осложн</w:t>
      </w:r>
      <w:r w:rsidR="002B33EA" w:rsidRPr="00185BC0">
        <w:rPr>
          <w:sz w:val="28"/>
          <w:szCs w:val="28"/>
          <w:lang w:val="kk-KZ"/>
        </w:rPr>
        <w:t>ений</w:t>
      </w:r>
      <w:r w:rsidRPr="00185BC0">
        <w:rPr>
          <w:sz w:val="28"/>
          <w:szCs w:val="28"/>
          <w:lang w:val="kk-KZ"/>
        </w:rPr>
        <w:t xml:space="preserve"> и низкие показатели выживаемости ТЭТС со ступенчатой остеотомией</w:t>
      </w:r>
      <w:r w:rsidR="007E60CC" w:rsidRPr="00185BC0">
        <w:rPr>
          <w:sz w:val="28"/>
          <w:szCs w:val="28"/>
          <w:lang w:val="kk-KZ"/>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{"citationItems":[{"id":"ITEM-1","itemData":{"DOI":"10.1016/j.jos.2017.01.017","ISSN":"14362023","abstract":"Background To evaluate the long-term clinical and radiological outcomes of cementless total hip arthroplasty (THA) in high riding hip dislocated patients with previous proximal femoral osteotomy. Methods Twenty-one consecutive patients with a mean age forty-two years were treated with cementless THA Step-cut subtrochanteric femoral osteotomy was performed in all twenty-eight hips. Metal on polyethylene (MoP) and ceramic on ceramic (CoC) bearings were used in two different consecutive time periods. The mean follow-up time was twelve years. Harris hip score, limb length discrepancy, complications, union status of the osteotomy, survivorship of constructs were the criteria for evaluation. Results The mean Harris hip score improved from 39.5 to 88.7 points. The mean limb length discrepancy in unilateral cases decreased from 54.5 mm to 12.3 mm. The mean amount of femoral shortening was 37 mm. The mean union time was 3.5 months and there were no delayed union and non-union. There were three cup and two femoral revisions due to osteolysis in patients who had MoP. There was only one femoral revision in patients who had CoC. The Kaplan Meier survivorship with an end point of any revision of the stem and the acetabular component was 94% (95% CI, 75%–98%) and 92% (95% CI, 74%–99%) at ten years respectively. Conclusions Total hip arthroplasty with subtrochanteric step-cut femoral shortening is a successful technique to improve the hip functions and reconstruct limb length discrepancy in young patients with proximal femoral deformities.","author":[{"dropping-particle":"","family":"Ozden","given":"Vahit Emre","non-dropping-particle":"","parse-names":false,"suffix":""},{"dropping-particle":"","family":"Dikmen","given":"Goksel","non-dropping-particle":"","parse-names":false,"suffix":""},{"dropping-particle":"","family":"Beksac","given":"Burak","non-dropping-particle":"","parse-names":false,"suffix":""},{"dropping-particle":"","family":"Tozun","given":"Ismail Remzi","non-dropping-particle":"","parse-names":false,"suffix":""}],"container-title":"Journal of Orthopaedic Science","id":"ITEM-1","issue":"3","issued":{"date-parts":[["2017"]]},"title":"Total hip arthroplasty with step-cut subtrochanteric femoral shortening osteotomy in high riding hip dislocated patients with previous femoral osteotomy","type":"article-journal","volume":"22"},"uris":["http://www.mendeley.com/documents/?uuid=5601864a-7f7d-3165-9859-371ae0ac8745"]}],"mendeley":{"formattedCitation":"[81]","plainTextFormattedCitation":"[81]","previouslyFormattedCitation":"[81]"},"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[81]</w:t>
      </w:r>
      <w:r w:rsidR="003C0456" w:rsidRPr="00185BC0">
        <w:rPr>
          <w:sz w:val="28"/>
          <w:szCs w:val="28"/>
          <w:lang w:val="kk-KZ"/>
        </w:rPr>
        <w:fldChar w:fldCharType="end"/>
      </w:r>
      <w:r w:rsidRPr="00185BC0">
        <w:rPr>
          <w:sz w:val="28"/>
          <w:szCs w:val="28"/>
        </w:rPr>
        <w:t>.</w:t>
      </w:r>
    </w:p>
    <w:p w14:paraId="70479BAB" w14:textId="28E5675E" w:rsidR="00BB1D05" w:rsidRPr="00185BC0" w:rsidRDefault="00BB1D05" w:rsidP="003E1719">
      <w:pPr>
        <w:ind w:firstLine="567"/>
        <w:jc w:val="both"/>
        <w:rPr>
          <w:sz w:val="28"/>
          <w:szCs w:val="28"/>
        </w:rPr>
      </w:pPr>
      <w:r w:rsidRPr="00185BC0">
        <w:rPr>
          <w:i/>
          <w:sz w:val="28"/>
          <w:szCs w:val="28"/>
          <w:lang w:val="kk-KZ"/>
        </w:rPr>
        <w:t xml:space="preserve">  </w:t>
      </w:r>
      <w:r w:rsidRPr="00185BC0">
        <w:rPr>
          <w:sz w:val="28"/>
          <w:szCs w:val="28"/>
          <w:lang w:val="kk-KZ"/>
        </w:rPr>
        <w:t>Применение двухшевронной остеотомии в комбинации с бесцементной ТЭТС у пациентов с врожденным вывихом бедра впервые было описано авторами Becker и Ramon</w:t>
      </w:r>
      <w:r w:rsidRPr="00185BC0">
        <w:rPr>
          <w:sz w:val="28"/>
          <w:szCs w:val="28"/>
        </w:rPr>
        <w:t xml:space="preserve"> </w:t>
      </w:r>
      <w:r w:rsidRPr="00185BC0">
        <w:rPr>
          <w:sz w:val="28"/>
          <w:szCs w:val="28"/>
          <w:lang w:val="kk-KZ"/>
        </w:rPr>
        <w:t xml:space="preserve">в 1995 году. </w:t>
      </w:r>
      <w:r w:rsidRPr="00185BC0">
        <w:rPr>
          <w:sz w:val="28"/>
          <w:szCs w:val="28"/>
        </w:rPr>
        <w:t xml:space="preserve">К преимуществам </w:t>
      </w:r>
      <w:proofErr w:type="spellStart"/>
      <w:r w:rsidRPr="00185BC0">
        <w:rPr>
          <w:sz w:val="28"/>
          <w:szCs w:val="28"/>
        </w:rPr>
        <w:t>подвертельной</w:t>
      </w:r>
      <w:proofErr w:type="spellEnd"/>
      <w:r w:rsidRPr="00185BC0">
        <w:rPr>
          <w:sz w:val="28"/>
          <w:szCs w:val="28"/>
        </w:rPr>
        <w:t xml:space="preserve"> укорачивающей двойной шевронной остеотомии можно отнести стабильность фрагментов при ротационных движениях и применение более коротких бедренных компонентов эндопротеза</w:t>
      </w:r>
      <w:r w:rsidR="003C0456" w:rsidRPr="00185BC0">
        <w:rPr>
          <w:sz w:val="28"/>
          <w:szCs w:val="28"/>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{"citationItems":[{"id":"ITEM-1","itemData":{"DOI":"10.1302/2058-5241.1.000026","ISSN":"20585241","abstract":"▪ Patients with neglected developmental dysplasia (DDH) face with early osteoarthritis of the hip, limb length inequality and marked disability while total hip reconstruction is the only available choice. ▪ DDH has severe morphologic consequences, with distorted bony anatomy and soft tissue contractures around the hip. It is critical to evaluate patients thoroughly before surgery. ▪ Anatomic reconstruction at the level of true acetabulum with uncemented implant is the mainstay of treatment. This requires a subtrochanteric shortening osteotomy, which can be realised using different osteotomy and fixation options. ▪ Although a demanding technique with a high rate of related complications, once anatomic reconstruction of the hip is achieved, patients have a remarkably good functional capacity and implant survival during long follow-up periods.","author":[{"dropping-particle":"","family":"Atilla","given":"Bülent","non-dropping-particle":"","parse-names":false,"suffix":""}],"container-title":"EFORT Open Reviews","id":"ITEM-1","issue":"3","issued":{"date-parts":[["2016"]]},"title":"Reconstruction of neglected developmental dysplasia by total hip arthroplasty with subtrochanteric shortening osteotomy","type":"article-journal","volume":"1"},"uris":["http://www.mendeley.com/documents/?uuid=d929e7b4-76b5-3c8d-bbe6-48e6b30290b9"]}],"mendeley":{"formattedCitation":"[84]","plainTextFormattedCitation":"[84]","previouslyFormattedCitation":"[84]"},"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[84]</w:t>
      </w:r>
      <w:r w:rsidR="003C0456" w:rsidRPr="00185BC0">
        <w:rPr>
          <w:sz w:val="28"/>
          <w:szCs w:val="28"/>
          <w:lang w:val="kk-KZ"/>
        </w:rPr>
        <w:fldChar w:fldCharType="end"/>
      </w:r>
      <w:r w:rsidRPr="00185BC0">
        <w:rPr>
          <w:sz w:val="28"/>
          <w:szCs w:val="28"/>
        </w:rPr>
        <w:t>.</w:t>
      </w:r>
    </w:p>
    <w:p w14:paraId="062BD1CE" w14:textId="67877E19" w:rsidR="00BB1D05" w:rsidRPr="00185BC0" w:rsidRDefault="00BB1D05" w:rsidP="00BB1D05">
      <w:pPr>
        <w:ind w:firstLine="709"/>
        <w:jc w:val="both"/>
        <w:rPr>
          <w:sz w:val="28"/>
          <w:szCs w:val="28"/>
        </w:rPr>
      </w:pPr>
      <w:r w:rsidRPr="00185BC0">
        <w:rPr>
          <w:sz w:val="28"/>
          <w:szCs w:val="28"/>
          <w:lang w:val="kk-KZ"/>
        </w:rPr>
        <w:t xml:space="preserve">Согласно исследованию Li X.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w:t>
      </w:r>
      <w:r w:rsidRPr="00185BC0">
        <w:rPr>
          <w:sz w:val="28"/>
          <w:szCs w:val="28"/>
          <w:lang w:val="kk-KZ"/>
        </w:rPr>
        <w:t xml:space="preserve"> выживаемость ножки эндопротеза у 22 пациентов с врожденным вывихом бедренной кости</w:t>
      </w:r>
      <w:r w:rsidR="002B33EA" w:rsidRPr="00185BC0">
        <w:rPr>
          <w:sz w:val="28"/>
          <w:szCs w:val="28"/>
          <w:lang w:val="kk-KZ"/>
        </w:rPr>
        <w:t>,</w:t>
      </w:r>
      <w:r w:rsidRPr="00185BC0">
        <w:rPr>
          <w:sz w:val="28"/>
          <w:szCs w:val="28"/>
          <w:lang w:val="kk-KZ"/>
        </w:rPr>
        <w:t xml:space="preserve"> перенесших первичный бесцементной ТЭТС с подвертельной двухшевронной укорачивающей остеотомией</w:t>
      </w:r>
      <w:r w:rsidR="002B33EA" w:rsidRPr="00185BC0">
        <w:rPr>
          <w:sz w:val="28"/>
          <w:szCs w:val="28"/>
          <w:lang w:val="kk-KZ"/>
        </w:rPr>
        <w:t>,</w:t>
      </w:r>
      <w:r w:rsidRPr="00185BC0">
        <w:rPr>
          <w:sz w:val="28"/>
          <w:szCs w:val="28"/>
          <w:lang w:val="kk-KZ"/>
        </w:rPr>
        <w:t xml:space="preserve"> составило 100</w:t>
      </w:r>
      <w:r w:rsidRPr="00185BC0">
        <w:rPr>
          <w:sz w:val="28"/>
          <w:szCs w:val="28"/>
          <w:lang w:val="tr-TR"/>
        </w:rPr>
        <w:t>%</w:t>
      </w:r>
      <w:r w:rsidRPr="00185BC0">
        <w:rPr>
          <w:sz w:val="28"/>
          <w:szCs w:val="28"/>
        </w:rPr>
        <w:t>. Средний срок наблюдения 6,5 месяцев</w:t>
      </w:r>
      <w:r w:rsidR="003C0456" w:rsidRPr="00185BC0">
        <w:rPr>
          <w:sz w:val="28"/>
          <w:szCs w:val="28"/>
        </w:rPr>
        <w:t xml:space="preserve"> </w:t>
      </w:r>
      <w:r w:rsidR="003C0456" w:rsidRPr="00185BC0">
        <w:rPr>
          <w:sz w:val="28"/>
          <w:szCs w:val="28"/>
          <w:lang w:val="kk-KZ"/>
        </w:rPr>
        <w:fldChar w:fldCharType="begin" w:fldLock="1"/>
      </w:r>
      <w:r w:rsidR="001D29A3" w:rsidRPr="00185BC0">
        <w:rPr>
          <w:sz w:val="28"/>
          <w:szCs w:val="28"/>
          <w:lang w:val="kk-KZ"/>
        </w:rPr>
        <w:instrText>ADDIN CSL_CITATION {"citationItems":[{"id":"ITEM-1","itemData":{"DOI":"10.1016/j.arth.2016.07.050","ISSN":"15328406","abstract":"Background The purpose of this study was to evaluate the functional and radiographic results of patients with Crowe type-IV hip dysplasia treated by cementless total hip arthroplasty and double chevron subtrochanteric osteotomy. Methods From January 2000 to February 2006, cementless total hip arthroplasty with a double chevron subtrochanteric shortening osteotomy was performed on 18 patients (22 hips) with Crowe type-IV dysplasia. The acetabular cup was placed in the position of the anatomic hip center, and subtrochanteric femoral shortening osteotomy was performed with the use of a double chevron design. The clinical and radiographic outcomes were reviewed with a mean follow-up of 6.5 years (5-10 years). Results The mean amount of femoral subtrochanteric shortening was 38 mm (25-60 mm). All osteotomy sites were healed by 3-6 months without complications. The mean Harris Hip Score improved significantly from 47 points (35-65 points) preoperatively to 88 points (75-97 points) at the final follow-up. The Trendelenburg sign was corrected from a positive preoperative status to a negative postoperative status in 12 of 22 hips. No acetabular and femoral components have loosened or required revision during the period of follow-up. Conclusion Cementless total hip arthroplasty using double chevron subtrochanteric osteotomy allowed for restoration of anatomic hip center with safely functional limb lengthening, achieved correction of preoperative limp, and good functional and radiographic outcomes for 22 Crowe type-IV dislocation hips at the time of the 5- to 10-year follow-up.","author":[{"dropping-particle":"","family":"Li","given":"Xigong","non-dropping-particle":"","parse-names":false,"suffix":""},{"dropping-particle":"","family":"Lu","given":"Yang","non-dropping-particle":"","parse-names":false,"suffix":""},{"dropping-particle":"","family":"Sun","given":"Junying","non-dropping-particle":"","parse-names":false,"suffix":""},{"dropping-particle":"","family":"Lin","given":"Xiangjin","non-dropping-particle":"","parse-names":false,"suffix":""},{"dropping-particle":"","family":"Tang","given":"Tiansi","non-dropping-particle":"","parse-names":false,"suffix":""}],"container-title":"Journal of Arthroplasty","id":"ITEM-1","issue":"2","issued":{"date-parts":[["2017"]]},"title":"Treatment of Crowe Type-IV Hip Dysplasia Using Cementless Total Hip Arthroplasty and Double Chevron Subtrochanteric Shortening Osteotomy: A 5- to 10-Year Follow-Up Study","type":"article-journal","volume":"32"},"uris":["http://www.mendeley.com/documents/?uuid=3b74d5e5-fc7d-3217-a62c-684d3d140a0f"]}],"mendeley":{"formattedCitation":"[85]","plainTextFormattedCitation":"[85]","previouslyFormattedCitation":"[85]"},"properties":{"noteIndex":0},"schema":"https://github.com/citation-style-language/schema/raw/master/csl-citation.json"}</w:instrText>
      </w:r>
      <w:r w:rsidR="003C0456" w:rsidRPr="00185BC0">
        <w:rPr>
          <w:sz w:val="28"/>
          <w:szCs w:val="28"/>
          <w:lang w:val="kk-KZ"/>
        </w:rPr>
        <w:fldChar w:fldCharType="separate"/>
      </w:r>
      <w:r w:rsidR="008A5983" w:rsidRPr="00185BC0">
        <w:rPr>
          <w:noProof/>
          <w:sz w:val="28"/>
          <w:szCs w:val="28"/>
          <w:lang w:val="kk-KZ"/>
        </w:rPr>
        <w:t>[85]</w:t>
      </w:r>
      <w:r w:rsidR="003C0456" w:rsidRPr="00185BC0">
        <w:rPr>
          <w:sz w:val="28"/>
          <w:szCs w:val="28"/>
          <w:lang w:val="kk-KZ"/>
        </w:rPr>
        <w:fldChar w:fldCharType="end"/>
      </w:r>
      <w:r w:rsidRPr="00185BC0">
        <w:rPr>
          <w:sz w:val="28"/>
          <w:szCs w:val="28"/>
        </w:rPr>
        <w:t>.</w:t>
      </w:r>
    </w:p>
    <w:p w14:paraId="5A1C87DA" w14:textId="2A16CE36" w:rsidR="00BB1D05" w:rsidRPr="00185BC0" w:rsidRDefault="00BB1D05" w:rsidP="00BB1D05">
      <w:pPr>
        <w:ind w:firstLine="709"/>
        <w:jc w:val="both"/>
        <w:rPr>
          <w:sz w:val="28"/>
          <w:szCs w:val="28"/>
        </w:rPr>
      </w:pPr>
      <w:proofErr w:type="spellStart"/>
      <w:r w:rsidRPr="00185BC0">
        <w:rPr>
          <w:sz w:val="28"/>
          <w:szCs w:val="28"/>
          <w:lang w:val="en-US"/>
        </w:rPr>
        <w:t>Sonohata</w:t>
      </w:r>
      <w:proofErr w:type="spellEnd"/>
      <w:r w:rsidRPr="00185BC0">
        <w:rPr>
          <w:sz w:val="28"/>
          <w:szCs w:val="28"/>
        </w:rPr>
        <w:t xml:space="preserve">, </w:t>
      </w:r>
      <w:r w:rsidRPr="00185BC0">
        <w:rPr>
          <w:sz w:val="28"/>
          <w:szCs w:val="28"/>
          <w:lang w:val="en-US"/>
        </w:rPr>
        <w:t>M</w:t>
      </w:r>
      <w:r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xml:space="preserve">. </w:t>
      </w:r>
      <w:r w:rsidRPr="00185BC0">
        <w:rPr>
          <w:sz w:val="28"/>
          <w:szCs w:val="28"/>
          <w:lang w:val="kk-KZ"/>
        </w:rPr>
        <w:t xml:space="preserve">описывают в проведенном исследовании в </w:t>
      </w:r>
      <w:r w:rsidRPr="00185BC0">
        <w:rPr>
          <w:sz w:val="28"/>
          <w:szCs w:val="28"/>
          <w:lang w:val="tr-TR"/>
        </w:rPr>
        <w:t>2012</w:t>
      </w:r>
      <w:r w:rsidRPr="00185BC0">
        <w:rPr>
          <w:sz w:val="28"/>
          <w:szCs w:val="28"/>
          <w:lang w:val="kk-KZ"/>
        </w:rPr>
        <w:t xml:space="preserve"> году применение модифицированной двухшевронной остеотомии в двух разных группах. Первую группу включили пациентов с врожденным вывихом бедра </w:t>
      </w:r>
      <w:r w:rsidRPr="00185BC0">
        <w:rPr>
          <w:sz w:val="28"/>
          <w:szCs w:val="28"/>
          <w:lang w:val="en-US"/>
        </w:rPr>
        <w:t>IV</w:t>
      </w:r>
      <w:r w:rsidRPr="00185BC0">
        <w:rPr>
          <w:sz w:val="28"/>
          <w:szCs w:val="28"/>
        </w:rPr>
        <w:t xml:space="preserve"> </w:t>
      </w:r>
      <w:r w:rsidRPr="00185BC0">
        <w:rPr>
          <w:sz w:val="28"/>
          <w:szCs w:val="28"/>
          <w:lang w:val="kk-KZ"/>
        </w:rPr>
        <w:lastRenderedPageBreak/>
        <w:t xml:space="preserve">типа по </w:t>
      </w:r>
      <w:r w:rsidRPr="00185BC0">
        <w:rPr>
          <w:sz w:val="28"/>
          <w:szCs w:val="28"/>
          <w:lang w:val="en-US"/>
        </w:rPr>
        <w:t>Crowe</w:t>
      </w:r>
      <w:r w:rsidRPr="00185BC0">
        <w:rPr>
          <w:sz w:val="28"/>
          <w:szCs w:val="28"/>
          <w:lang w:val="kk-KZ"/>
        </w:rPr>
        <w:t xml:space="preserve"> (13 тазобедренных суставов), а во втор</w:t>
      </w:r>
      <w:r w:rsidR="002B33EA" w:rsidRPr="00185BC0">
        <w:rPr>
          <w:sz w:val="28"/>
          <w:szCs w:val="28"/>
          <w:lang w:val="kk-KZ"/>
        </w:rPr>
        <w:t>ую,</w:t>
      </w:r>
      <w:r w:rsidRPr="00185BC0">
        <w:rPr>
          <w:sz w:val="28"/>
          <w:szCs w:val="28"/>
          <w:lang w:val="kk-KZ"/>
        </w:rPr>
        <w:t xml:space="preserve"> без вывиха бедра (9 тазобедренных суставов). Средний срок наблюдения составил 97 месяцев.</w:t>
      </w:r>
      <w:r w:rsidR="002B33EA" w:rsidRPr="00185BC0">
        <w:rPr>
          <w:sz w:val="28"/>
          <w:szCs w:val="28"/>
          <w:lang w:val="kk-KZ"/>
        </w:rPr>
        <w:t xml:space="preserve"> А</w:t>
      </w:r>
      <w:r w:rsidRPr="00185BC0">
        <w:rPr>
          <w:sz w:val="28"/>
          <w:szCs w:val="28"/>
          <w:lang w:val="kk-KZ"/>
        </w:rPr>
        <w:t>вторы сообщают</w:t>
      </w:r>
      <w:r w:rsidR="002B33EA" w:rsidRPr="00185BC0">
        <w:rPr>
          <w:sz w:val="28"/>
          <w:szCs w:val="28"/>
          <w:lang w:val="kk-KZ"/>
        </w:rPr>
        <w:t>,</w:t>
      </w:r>
      <w:r w:rsidRPr="00185BC0">
        <w:rPr>
          <w:sz w:val="28"/>
          <w:szCs w:val="28"/>
          <w:lang w:val="kk-KZ"/>
        </w:rPr>
        <w:t xml:space="preserve"> что они выполняли операции заднелатеральным доступом, так как оно позволяет перейти от стандартного ТЭТС к комбинированному, предотвращая псевдоартроз большого вертела. Однако, осложнений было больше в первой группе, чем во второй. Они подчеркивают такое  преимуществ</w:t>
      </w:r>
      <w:r w:rsidR="002B33EA" w:rsidRPr="00185BC0">
        <w:rPr>
          <w:sz w:val="28"/>
          <w:szCs w:val="28"/>
          <w:lang w:val="kk-KZ"/>
        </w:rPr>
        <w:t>о</w:t>
      </w:r>
      <w:r w:rsidRPr="00185BC0">
        <w:rPr>
          <w:sz w:val="28"/>
          <w:szCs w:val="28"/>
          <w:lang w:val="kk-KZ"/>
        </w:rPr>
        <w:t xml:space="preserve"> как возможность обойтись без инивидуальных и модульных бедренных компонентов эндопротеза, ротационная стабильность, простота выполнения и сокращение времени операции</w:t>
      </w:r>
      <w:r w:rsidRPr="00185BC0">
        <w:rPr>
          <w:sz w:val="28"/>
          <w:szCs w:val="28"/>
        </w:rPr>
        <w:t xml:space="preserve">  </w:t>
      </w:r>
      <w:r w:rsidR="003C0456" w:rsidRPr="00185BC0">
        <w:rPr>
          <w:sz w:val="28"/>
          <w:szCs w:val="28"/>
        </w:rPr>
        <w:fldChar w:fldCharType="begin" w:fldLock="1"/>
      </w:r>
      <w:r w:rsidR="001D29A3" w:rsidRPr="00185BC0">
        <w:rPr>
          <w:sz w:val="28"/>
          <w:szCs w:val="28"/>
        </w:rPr>
        <w:instrText>ADDIN CSL_CITATION {"citationItems":[{"id":"ITEM-1","itemData":{"DOI":"10.1007/s00776-012-0240-x","ISSN":"14362023","PMID":"22580867","abstract":"Background Subtrochanteric femoral shortening and corrective osteotomy are regarded as an integral part of total hip arthroplasty for a completely dislocated hip or severe deformity of the proximal femur. Alternative femoral osteotomy techniques - transverse, oblique, step-cut, and V-shaped, have been described. Methods In this series, we performed 22 cementless total hip arthroplasties combined with double-chevron subtrochanteric osteotomies between 1997 and 2002. There were 17 females and 2 males. Their average age at the time of the operation was 59 years (range 41-74 years). Thirteen hips were completely dislocated, 8 hips needed treatment after a proximal femoral osteotomy, and there was 1 case of hip ankylosis. Results The mean length of the operation was 128 min (range 80-215 min). Mean total blood loss was 1442 g (range 809-2007 g), which included both the intraoperative blood loss and postoperative blood loss. After an average of 7.6 years of follow-up, the Japanese Orthopaedic Association Hip Score improved from 48 to 79. Three types of complication were observed. There were 4 early dislocations, 3 proximal splits, and 1 nonunion at the osteotomy site. Conclusions Our study shows that acceptable results are obtained from double-chevron subtrochanteric osteotomy for subtrochanteric femoral shortening and corrective osteotomy. However, total hip arthroplasty combined with subtrochanteric osteotomy is a technically demanding treatment option. © The Japanese Orthopaedic Association 2012.","author":[{"dropping-particle":"","family":"Sonohata","given":"Motoki","non-dropping-particle":"","parse-names":false,"suffix":""},{"dropping-particle":"","family":"Tajima","given":"Tomonori","non-dropping-particle":"","parse-names":false,"suffix":""},{"dropping-particle":"","family":"Kitajima","given":"Masaru","non-dropping-particle":"","parse-names":false,"suffix":""},{"dropping-particle":"","family":"Ogawa","given":"Kenji","non-dropping-particle":"","parse-names":false,"suffix":""},{"dropping-particle":"","family":"Kawano","given":"Syunsuke","non-dropping-particle":"","parse-names":false,"suffix":""},{"dropping-particle":"","family":"Mawatari","given":"Masaaki","non-dropping-particle":"","parse-names":false,"suffix":""},{"dropping-particle":"","family":"Hotokebuchi","given":"Takao","non-dropping-particle":"","parse-names":false,"suffix":""}],"container-title":"Journal of Orthopaedic Science","id":"ITEM-1","issue":"4","issued":{"date-parts":[["2012"]]},"page":"382-389","title":"Total hip arthroplasty combined with double-chevron subtrochanteric osteotomy","type":"article-journal","volume":"17"},"uris":["http://www.mendeley.com/documents/?uuid=4b0087e1-86fc-4473-921f-c0b31c704186"]}],"mendeley":{"formattedCitation":"[86]","plainTextFormattedCitation":"[86]","previouslyFormattedCitation":"[86]"},"properties":{"noteIndex":0},"schema":"https://github.com/citation-style-language/schema/raw/master/csl-citation.json"}</w:instrText>
      </w:r>
      <w:r w:rsidR="003C0456" w:rsidRPr="00185BC0">
        <w:rPr>
          <w:sz w:val="28"/>
          <w:szCs w:val="28"/>
        </w:rPr>
        <w:fldChar w:fldCharType="separate"/>
      </w:r>
      <w:r w:rsidR="008A5983" w:rsidRPr="00185BC0">
        <w:rPr>
          <w:noProof/>
          <w:sz w:val="28"/>
          <w:szCs w:val="28"/>
        </w:rPr>
        <w:t>[86]</w:t>
      </w:r>
      <w:r w:rsidR="003C0456" w:rsidRPr="00185BC0">
        <w:rPr>
          <w:sz w:val="28"/>
          <w:szCs w:val="28"/>
        </w:rPr>
        <w:fldChar w:fldCharType="end"/>
      </w:r>
      <w:r w:rsidRPr="00185BC0">
        <w:rPr>
          <w:sz w:val="28"/>
          <w:szCs w:val="28"/>
        </w:rPr>
        <w:t>.</w:t>
      </w:r>
    </w:p>
    <w:p w14:paraId="1394A2FF" w14:textId="2E5C45F8" w:rsidR="00BB1D05" w:rsidRPr="00185BC0" w:rsidRDefault="002B33EA" w:rsidP="00BB1D05">
      <w:pPr>
        <w:ind w:firstLine="709"/>
        <w:jc w:val="both"/>
        <w:rPr>
          <w:sz w:val="28"/>
          <w:szCs w:val="28"/>
        </w:rPr>
      </w:pPr>
      <w:r w:rsidRPr="00185BC0">
        <w:rPr>
          <w:sz w:val="28"/>
          <w:szCs w:val="28"/>
          <w:lang w:val="kk-KZ"/>
        </w:rPr>
        <w:t>В</w:t>
      </w:r>
      <w:r w:rsidRPr="00185BC0">
        <w:rPr>
          <w:sz w:val="28"/>
          <w:szCs w:val="28"/>
        </w:rPr>
        <w:t xml:space="preserve"> другом своем исследовании </w:t>
      </w:r>
      <w:proofErr w:type="spellStart"/>
      <w:r w:rsidR="00BB1D05" w:rsidRPr="00185BC0">
        <w:rPr>
          <w:sz w:val="28"/>
          <w:szCs w:val="28"/>
          <w:lang w:val="en-US"/>
        </w:rPr>
        <w:t>Sonohata</w:t>
      </w:r>
      <w:proofErr w:type="spellEnd"/>
      <w:r w:rsidR="00BB1D05" w:rsidRPr="00185BC0">
        <w:rPr>
          <w:sz w:val="28"/>
          <w:szCs w:val="28"/>
        </w:rPr>
        <w:t xml:space="preserve">, </w:t>
      </w:r>
      <w:r w:rsidR="00BB1D05" w:rsidRPr="00185BC0">
        <w:rPr>
          <w:sz w:val="28"/>
          <w:szCs w:val="28"/>
          <w:lang w:val="en-US"/>
        </w:rPr>
        <w:t>M</w:t>
      </w:r>
      <w:r w:rsidR="00BB1D05" w:rsidRPr="00185BC0">
        <w:rPr>
          <w:sz w:val="28"/>
          <w:szCs w:val="28"/>
        </w:rPr>
        <w:t xml:space="preserve">. </w:t>
      </w:r>
      <w:r w:rsidR="008907FD" w:rsidRPr="00185BC0">
        <w:rPr>
          <w:sz w:val="28"/>
          <w:szCs w:val="28"/>
        </w:rPr>
        <w:t xml:space="preserve">и </w:t>
      </w:r>
      <w:proofErr w:type="spellStart"/>
      <w:r w:rsidR="008907FD" w:rsidRPr="00185BC0">
        <w:rPr>
          <w:sz w:val="28"/>
          <w:szCs w:val="28"/>
        </w:rPr>
        <w:t>соавт</w:t>
      </w:r>
      <w:proofErr w:type="spellEnd"/>
      <w:r w:rsidR="008907FD" w:rsidRPr="00185BC0">
        <w:rPr>
          <w:sz w:val="28"/>
          <w:szCs w:val="28"/>
          <w:lang w:val="kk-KZ"/>
        </w:rPr>
        <w:t xml:space="preserve">. </w:t>
      </w:r>
      <w:r w:rsidRPr="00185BC0">
        <w:rPr>
          <w:sz w:val="28"/>
          <w:szCs w:val="28"/>
          <w:lang w:val="kk-KZ"/>
        </w:rPr>
        <w:t>(</w:t>
      </w:r>
      <w:r w:rsidR="00BB1D05" w:rsidRPr="00185BC0">
        <w:rPr>
          <w:sz w:val="28"/>
          <w:szCs w:val="28"/>
          <w:lang w:val="tr-TR"/>
        </w:rPr>
        <w:t>2016</w:t>
      </w:r>
      <w:r w:rsidRPr="00185BC0">
        <w:rPr>
          <w:sz w:val="28"/>
          <w:szCs w:val="28"/>
          <w:lang w:val="kk-KZ"/>
        </w:rPr>
        <w:t xml:space="preserve"> г.)</w:t>
      </w:r>
      <w:r w:rsidR="00BB1D05" w:rsidRPr="00185BC0">
        <w:rPr>
          <w:sz w:val="28"/>
          <w:szCs w:val="28"/>
          <w:lang w:val="kk-KZ"/>
        </w:rPr>
        <w:t xml:space="preserve"> демонстрирует результаты подвертельной двухшевронной остеотомии с ТЭТС у пациентов с врожденным вывихом бедра</w:t>
      </w:r>
      <w:r w:rsidRPr="00185BC0">
        <w:rPr>
          <w:sz w:val="28"/>
          <w:szCs w:val="28"/>
          <w:lang w:val="kk-KZ"/>
        </w:rPr>
        <w:t>,</w:t>
      </w:r>
      <w:r w:rsidR="00BB1D05" w:rsidRPr="00185BC0">
        <w:rPr>
          <w:sz w:val="28"/>
          <w:szCs w:val="28"/>
          <w:lang w:val="kk-KZ"/>
        </w:rPr>
        <w:t xml:space="preserve"> перенесших остеотомию Шанца. Продолжительность наблюдения в среднем было 7,3 года. В исследование были включены 36 тазобедренных суставов, по ранее проведенным рентгенограммам все пациенты были разделены на 3 группы: в группе А – пациенты с поддерживающей остеотомией таза; </w:t>
      </w:r>
      <w:r w:rsidRPr="00185BC0">
        <w:rPr>
          <w:sz w:val="28"/>
          <w:szCs w:val="28"/>
          <w:lang w:val="kk-KZ"/>
        </w:rPr>
        <w:t xml:space="preserve">в </w:t>
      </w:r>
      <w:r w:rsidR="00BB1D05" w:rsidRPr="00185BC0">
        <w:rPr>
          <w:sz w:val="28"/>
          <w:szCs w:val="28"/>
          <w:lang w:val="kk-KZ"/>
        </w:rPr>
        <w:t>группе В – сильно вывихнутые бедра;</w:t>
      </w:r>
      <w:r w:rsidRPr="00185BC0">
        <w:rPr>
          <w:sz w:val="28"/>
          <w:szCs w:val="28"/>
          <w:lang w:val="kk-KZ"/>
        </w:rPr>
        <w:t xml:space="preserve"> в  </w:t>
      </w:r>
      <w:r w:rsidR="00BB1D05" w:rsidRPr="00185BC0">
        <w:rPr>
          <w:sz w:val="28"/>
          <w:szCs w:val="28"/>
          <w:lang w:val="kk-KZ"/>
        </w:rPr>
        <w:t>группе С – полностью вывихнутые бедра. Исследователи отмечают, что признаков глубоких инфекции не было, но в то же время указывают на следующие осложнения</w:t>
      </w:r>
      <w:r w:rsidRPr="00185BC0">
        <w:rPr>
          <w:sz w:val="28"/>
          <w:szCs w:val="28"/>
          <w:lang w:val="kk-KZ"/>
        </w:rPr>
        <w:t>:</w:t>
      </w:r>
      <w:r w:rsidR="00BB1D05" w:rsidRPr="00185BC0">
        <w:rPr>
          <w:sz w:val="28"/>
          <w:szCs w:val="28"/>
          <w:lang w:val="kk-KZ"/>
        </w:rPr>
        <w:t xml:space="preserve"> паралич, перелом, вывих, несращение. Указанные осложнения распределяли таким образом, в группе А</w:t>
      </w:r>
      <w:r w:rsidRPr="00185BC0">
        <w:rPr>
          <w:sz w:val="28"/>
          <w:szCs w:val="28"/>
          <w:lang w:val="kk-KZ"/>
        </w:rPr>
        <w:t xml:space="preserve"> –</w:t>
      </w:r>
      <w:r w:rsidR="00BB1D05" w:rsidRPr="00185BC0">
        <w:rPr>
          <w:sz w:val="28"/>
          <w:szCs w:val="28"/>
          <w:lang w:val="kk-KZ"/>
        </w:rPr>
        <w:t xml:space="preserve"> 17</w:t>
      </w:r>
      <w:r w:rsidR="00BB1D05" w:rsidRPr="00185BC0">
        <w:rPr>
          <w:sz w:val="28"/>
          <w:szCs w:val="28"/>
        </w:rPr>
        <w:t>%, в группе</w:t>
      </w:r>
      <w:r w:rsidRPr="00185BC0">
        <w:rPr>
          <w:sz w:val="28"/>
          <w:szCs w:val="28"/>
          <w:lang w:val="kk-KZ"/>
        </w:rPr>
        <w:t xml:space="preserve"> В – </w:t>
      </w:r>
      <w:r w:rsidR="00BB1D05" w:rsidRPr="00185BC0">
        <w:rPr>
          <w:sz w:val="28"/>
          <w:szCs w:val="28"/>
        </w:rPr>
        <w:t>17%, в группе</w:t>
      </w:r>
      <w:r w:rsidRPr="00185BC0">
        <w:rPr>
          <w:sz w:val="28"/>
          <w:szCs w:val="28"/>
          <w:lang w:val="kk-KZ"/>
        </w:rPr>
        <w:t xml:space="preserve"> С –</w:t>
      </w:r>
      <w:r w:rsidR="00BB1D05" w:rsidRPr="00185BC0">
        <w:rPr>
          <w:sz w:val="28"/>
          <w:szCs w:val="28"/>
        </w:rPr>
        <w:t xml:space="preserve"> 28%</w:t>
      </w:r>
      <w:r w:rsidR="007E60CC" w:rsidRPr="00185BC0">
        <w:rPr>
          <w:sz w:val="28"/>
          <w:szCs w:val="28"/>
          <w:lang w:val="kk-KZ"/>
        </w:rPr>
        <w:t xml:space="preserve"> </w:t>
      </w:r>
      <w:r w:rsidR="00BB5951" w:rsidRPr="00185BC0">
        <w:rPr>
          <w:sz w:val="28"/>
          <w:szCs w:val="28"/>
          <w:lang w:val="kk-KZ"/>
        </w:rPr>
        <w:fldChar w:fldCharType="begin" w:fldLock="1"/>
      </w:r>
      <w:r w:rsidR="001D29A3" w:rsidRPr="00185BC0">
        <w:rPr>
          <w:sz w:val="28"/>
          <w:szCs w:val="28"/>
          <w:lang w:val="kk-KZ"/>
        </w:rPr>
        <w:instrText>ADDIN CSL_CITATION {"citationItems":[{"id":"ITEM-1","itemData":{"DOI":"10.1016/j.jos.2016.02.012","ISSN":"14362023","abstract":"Background Schanz osteotomy is one of the options for the management of hip instability caused by congenital or septic arthritis. Following Schanz osteotomy, there is risk of hip pain secondary to hip arthritis. It may be necessary to perform subtrochanteric femoral osteotomy in conjunction with total hip arthroplasty (THA). This study evaluates the outcomes and complications associated with THA. Methods We performed 36 THA after Schanz osteotomy. Patients were divided into three groups: (1) successful Schanz osteotomy, (2) highly dislocated hip with contact between the femoral head and pelvis, and (3) completely dislocated hip without contact between the femur and pelvis. Clinical and radiological evaluations were completed for each group. Results In all three groups, hip function improved significantly (p &lt; 0.01). There were four types of complications: transient paralysis, femoral fracture, dislocation, and non-union. Complications occurred frequently in the completely dislocated hip group. Conclusions Our study shows that acceptable results may be obtained from THA with subtrochanteric femoral osteotomy after Schanz osteotomy. However, this procedure is a technically demanding treatment option, and there were characteristic complications intra and after surgery. Therefore, surgeons should treat hip osteoarthritis after Schanz operation with utmost care, especially completely dislocated hip.","author":[{"dropping-particle":"","family":"Sonohata","given":"Motoki","non-dropping-particle":"","parse-names":false,"suffix":""},{"dropping-particle":"","family":"Kitajima","given":"Masaru","non-dropping-particle":"","parse-names":false,"suffix":""},{"dropping-particle":"","family":"Kawano","given":"Shunsuke","non-dropping-particle":"","parse-names":false,"suffix":""},{"dropping-particle":"","family":"Tanaka","given":"Riki","non-dropping-particle":"","parse-names":false,"suffix":""},{"dropping-particle":"","family":"Mawatari","given":"Masaaki","non-dropping-particle":"","parse-names":false,"suffix":""}],"container-title":"Journal of Orthopaedic Science","id":"ITEM-1","issue":"4","issued":{"date-parts":[["2016"]]},"title":"Total hip arthroplasty with femoral subtrochanteric osteotomy after Schanz osteotomy","type":"article-journal","volume":"21"},"uris":["http://www.mendeley.com/documents/?uuid=f514ba65-c6b1-3432-bdca-e5072eb569c6"]}],"mendeley":{"formattedCitation":"[87]","plainTextFormattedCitation":"[87]","previouslyFormattedCitation":"[87]"},"properties":{"noteIndex":0},"schema":"https://github.com/citation-style-language/schema/raw/master/csl-citation.json"}</w:instrText>
      </w:r>
      <w:r w:rsidR="00BB5951" w:rsidRPr="00185BC0">
        <w:rPr>
          <w:sz w:val="28"/>
          <w:szCs w:val="28"/>
          <w:lang w:val="kk-KZ"/>
        </w:rPr>
        <w:fldChar w:fldCharType="separate"/>
      </w:r>
      <w:r w:rsidR="008A5983" w:rsidRPr="00185BC0">
        <w:rPr>
          <w:noProof/>
          <w:sz w:val="28"/>
          <w:szCs w:val="28"/>
          <w:lang w:val="kk-KZ"/>
        </w:rPr>
        <w:t>[87]</w:t>
      </w:r>
      <w:r w:rsidR="00BB5951" w:rsidRPr="00185BC0">
        <w:rPr>
          <w:sz w:val="28"/>
          <w:szCs w:val="28"/>
          <w:lang w:val="kk-KZ"/>
        </w:rPr>
        <w:fldChar w:fldCharType="end"/>
      </w:r>
      <w:r w:rsidR="00BB1D05" w:rsidRPr="00185BC0">
        <w:rPr>
          <w:sz w:val="28"/>
          <w:szCs w:val="28"/>
        </w:rPr>
        <w:t>.</w:t>
      </w:r>
    </w:p>
    <w:p w14:paraId="483DBA39" w14:textId="449C0E95" w:rsidR="00BB1D05" w:rsidRPr="00185BC0" w:rsidRDefault="00BB1D05" w:rsidP="00BB1D05">
      <w:pPr>
        <w:ind w:firstLine="709"/>
        <w:jc w:val="both"/>
        <w:rPr>
          <w:sz w:val="28"/>
          <w:szCs w:val="28"/>
        </w:rPr>
      </w:pPr>
      <w:r w:rsidRPr="00185BC0">
        <w:rPr>
          <w:sz w:val="28"/>
          <w:szCs w:val="28"/>
        </w:rPr>
        <w:t>Не</w:t>
      </w:r>
      <w:r w:rsidR="002B33EA" w:rsidRPr="00185BC0">
        <w:rPr>
          <w:sz w:val="28"/>
          <w:szCs w:val="28"/>
          <w:lang w:val="kk-KZ"/>
        </w:rPr>
        <w:t xml:space="preserve"> </w:t>
      </w:r>
      <w:r w:rsidRPr="00185BC0">
        <w:rPr>
          <w:sz w:val="28"/>
          <w:szCs w:val="28"/>
        </w:rPr>
        <w:t xml:space="preserve">смотря на то что в литературе </w:t>
      </w:r>
      <w:r w:rsidRPr="00185BC0">
        <w:rPr>
          <w:sz w:val="28"/>
          <w:szCs w:val="28"/>
          <w:lang w:val="kk-KZ"/>
        </w:rPr>
        <w:t>демонстрируется предв</w:t>
      </w:r>
      <w:r w:rsidR="002B33EA" w:rsidRPr="00185BC0">
        <w:rPr>
          <w:sz w:val="28"/>
          <w:szCs w:val="28"/>
          <w:lang w:val="kk-KZ"/>
        </w:rPr>
        <w:t>а</w:t>
      </w:r>
      <w:r w:rsidRPr="00185BC0">
        <w:rPr>
          <w:sz w:val="28"/>
          <w:szCs w:val="28"/>
          <w:lang w:val="kk-KZ"/>
        </w:rPr>
        <w:t>рительные обнадеживающие результаты данной техники,</w:t>
      </w:r>
      <w:r w:rsidR="002B33EA" w:rsidRPr="00185BC0">
        <w:rPr>
          <w:sz w:val="28"/>
          <w:szCs w:val="28"/>
          <w:lang w:val="kk-KZ"/>
        </w:rPr>
        <w:t xml:space="preserve"> но</w:t>
      </w:r>
      <w:r w:rsidRPr="00185BC0">
        <w:rPr>
          <w:sz w:val="28"/>
          <w:szCs w:val="28"/>
          <w:lang w:val="kk-KZ"/>
        </w:rPr>
        <w:t xml:space="preserve"> его применяли ограниченное количество исследователей, </w:t>
      </w:r>
      <w:r w:rsidR="002B33EA" w:rsidRPr="00185BC0">
        <w:rPr>
          <w:sz w:val="28"/>
          <w:szCs w:val="28"/>
          <w:lang w:val="kk-KZ"/>
        </w:rPr>
        <w:t>это</w:t>
      </w:r>
      <w:r w:rsidRPr="00185BC0">
        <w:rPr>
          <w:sz w:val="28"/>
          <w:szCs w:val="28"/>
          <w:lang w:val="kk-KZ"/>
        </w:rPr>
        <w:t xml:space="preserve"> объясняется необходимостью тщательного предоп</w:t>
      </w:r>
      <w:r w:rsidR="002B33EA" w:rsidRPr="00185BC0">
        <w:rPr>
          <w:sz w:val="28"/>
          <w:szCs w:val="28"/>
          <w:lang w:val="kk-KZ"/>
        </w:rPr>
        <w:t>е</w:t>
      </w:r>
      <w:r w:rsidRPr="00185BC0">
        <w:rPr>
          <w:sz w:val="28"/>
          <w:szCs w:val="28"/>
          <w:lang w:val="kk-KZ"/>
        </w:rPr>
        <w:t>рационного шаблонирования</w:t>
      </w:r>
      <w:r w:rsidR="002B33EA" w:rsidRPr="00185BC0">
        <w:rPr>
          <w:sz w:val="28"/>
          <w:szCs w:val="28"/>
          <w:lang w:val="kk-KZ"/>
        </w:rPr>
        <w:t>,</w:t>
      </w:r>
      <w:r w:rsidR="00BB5951" w:rsidRPr="00185BC0">
        <w:rPr>
          <w:sz w:val="28"/>
          <w:szCs w:val="28"/>
        </w:rPr>
        <w:t xml:space="preserve"> </w:t>
      </w:r>
      <w:r w:rsidRPr="00185BC0">
        <w:rPr>
          <w:sz w:val="28"/>
          <w:szCs w:val="28"/>
          <w:lang w:val="kk-KZ"/>
        </w:rPr>
        <w:t>а также невозможностью интероперационной корректировки после проведен</w:t>
      </w:r>
      <w:r w:rsidR="002B33EA" w:rsidRPr="00185BC0">
        <w:rPr>
          <w:sz w:val="28"/>
          <w:szCs w:val="28"/>
          <w:lang w:val="kk-KZ"/>
        </w:rPr>
        <w:t>ия</w:t>
      </w:r>
      <w:r w:rsidRPr="00185BC0">
        <w:rPr>
          <w:sz w:val="28"/>
          <w:szCs w:val="28"/>
          <w:lang w:val="kk-KZ"/>
        </w:rPr>
        <w:t xml:space="preserve"> остеотомии бедренной кости</w:t>
      </w:r>
      <w:r w:rsidR="00BB5951" w:rsidRPr="00185BC0">
        <w:rPr>
          <w:sz w:val="28"/>
          <w:szCs w:val="28"/>
        </w:rPr>
        <w:t xml:space="preserve"> </w:t>
      </w:r>
      <w:r w:rsidR="00BB5951" w:rsidRPr="00185BC0">
        <w:rPr>
          <w:sz w:val="28"/>
          <w:szCs w:val="28"/>
          <w:lang w:val="kk-KZ"/>
        </w:rPr>
        <w:fldChar w:fldCharType="begin" w:fldLock="1"/>
      </w:r>
      <w:r w:rsidR="001D29A3" w:rsidRPr="00185BC0">
        <w:rPr>
          <w:sz w:val="28"/>
          <w:szCs w:val="28"/>
          <w:lang w:val="kk-KZ"/>
        </w:rPr>
        <w:instrText>ADDIN CSL_CITATION {"citationItems":[{"id":"ITEM-1","itemData":{"ISSN":"00016462","abstract":"The authors describe a modified double chevron subtrochanteric shortening osteotomy combined with cementless total hip arthroplasty for Crowe type-IV hip dysplasia. Shortening the femur allows to relax the shortened musculature. This operation was performed in 18 patients (22 hips) between January 2000 and February 2006. The mean follow-up period was 5.6 years (range : 3 to 8 years). The mean amount of femoral subtrochanteric shortening was 38 mm (range : 25 to 60 mm). The mean Harris hip score improved from 47 (range : 35 to 65) preoperatively to 88 points (range : 75 to 97) at final follow-up. The Trendelenburg sign was corrected from positive to negative in 12 of 22 hips. No acetabular or femoral components loosened or required revision during the follow-up period. All osteotomy sites healed in 3 to 6 months without complications. Cementless total hip arthroplasty using the modified double chevron subtrochanteric osteotomy provided good short- to midterm results in all 22 Crowe type-IV hip dislocations. Moreover, it restored the anatomic hip center and the limb length, which contributed to correction of the preoperative limp. © 2013, Acta Orthopaedica Belgica.","author":[{"dropping-particle":"","family":"Li","given":"Xigong","non-dropping-particle":"","parse-names":false,"suffix":""},{"dropping-particle":"","family":"Sun","given":"Junying","non-dropping-particle":"","parse-names":false,"suffix":""},{"dropping-particle":"","family":"Lin","given":"Xiangjin","non-dropping-particle":"","parse-names":false,"suffix":""},{"dropping-particle":"","family":"Xu","given":"Sanzhong","non-dropping-particle":"","parse-names":false,"suffix":""},{"dropping-particle":"","family":"Tang","given":"Tiansi","non-dropping-particle":"","parse-names":false,"suffix":""}],"container-title":"Acta Orthopaedica Belgica","id":"ITEM-1","issue":"3","issued":{"date-parts":[["2013"]]},"title":"Cementless total hip arthroplasty with a double chevron subtrochanteric shortening osteotomy in patients with crowe type-iv hip dysplasia","type":"article-journal","volume":"79"},"uris":["http://www.mendeley.com/documents/?uuid=03de1d81-b872-3efe-bc75-9c9fd65df7a2"]}],"mendeley":{"formattedCitation":"[88]","plainTextFormattedCitation":"[88]","previouslyFormattedCitation":"[88]"},"properties":{"noteIndex":0},"schema":"https://github.com/citation-style-language/schema/raw/master/csl-citation.json"}</w:instrText>
      </w:r>
      <w:r w:rsidR="00BB5951" w:rsidRPr="00185BC0">
        <w:rPr>
          <w:sz w:val="28"/>
          <w:szCs w:val="28"/>
          <w:lang w:val="kk-KZ"/>
        </w:rPr>
        <w:fldChar w:fldCharType="separate"/>
      </w:r>
      <w:r w:rsidR="008A5983" w:rsidRPr="00185BC0">
        <w:rPr>
          <w:noProof/>
          <w:sz w:val="28"/>
          <w:szCs w:val="28"/>
          <w:lang w:val="kk-KZ"/>
        </w:rPr>
        <w:t>[88]</w:t>
      </w:r>
      <w:r w:rsidR="00BB5951" w:rsidRPr="00185BC0">
        <w:rPr>
          <w:sz w:val="28"/>
          <w:szCs w:val="28"/>
          <w:lang w:val="kk-KZ"/>
        </w:rPr>
        <w:fldChar w:fldCharType="end"/>
      </w:r>
      <w:r w:rsidRPr="00185BC0">
        <w:rPr>
          <w:sz w:val="28"/>
          <w:szCs w:val="28"/>
        </w:rPr>
        <w:t>.</w:t>
      </w:r>
    </w:p>
    <w:p w14:paraId="031DEF48" w14:textId="61B556D7" w:rsidR="00BB1D05" w:rsidRPr="00185BC0" w:rsidRDefault="00BB1D05" w:rsidP="00BB1D05">
      <w:pPr>
        <w:ind w:firstLine="709"/>
        <w:jc w:val="both"/>
        <w:rPr>
          <w:sz w:val="28"/>
          <w:szCs w:val="28"/>
        </w:rPr>
      </w:pPr>
      <w:r w:rsidRPr="00185BC0">
        <w:rPr>
          <w:sz w:val="28"/>
          <w:szCs w:val="28"/>
          <w:lang w:val="tr-TR"/>
        </w:rPr>
        <w:t>Caylak R. et al отмечает</w:t>
      </w:r>
      <w:r w:rsidR="002B33EA" w:rsidRPr="00185BC0">
        <w:rPr>
          <w:sz w:val="28"/>
          <w:szCs w:val="28"/>
          <w:lang w:val="kk-KZ"/>
        </w:rPr>
        <w:t>,</w:t>
      </w:r>
      <w:r w:rsidRPr="00185BC0">
        <w:rPr>
          <w:sz w:val="28"/>
          <w:szCs w:val="28"/>
          <w:lang w:val="tr-TR"/>
        </w:rPr>
        <w:t xml:space="preserve"> что целью выполнения ступенчатых, косых и двойных шевронных остеотомий является  повышение стабильности в зоне остеотомии, однако</w:t>
      </w:r>
      <w:r w:rsidR="002B33EA" w:rsidRPr="00185BC0">
        <w:rPr>
          <w:sz w:val="28"/>
          <w:szCs w:val="28"/>
          <w:lang w:val="kk-KZ"/>
        </w:rPr>
        <w:t>,</w:t>
      </w:r>
      <w:r w:rsidRPr="00185BC0">
        <w:rPr>
          <w:sz w:val="28"/>
          <w:szCs w:val="28"/>
          <w:lang w:val="tr-TR"/>
        </w:rPr>
        <w:t xml:space="preserve"> Muratli K.S. </w:t>
      </w:r>
      <w:r w:rsidR="008907FD" w:rsidRPr="00185BC0">
        <w:rPr>
          <w:sz w:val="28"/>
          <w:szCs w:val="28"/>
          <w:lang w:val="tr-TR"/>
        </w:rPr>
        <w:t>и соавт</w:t>
      </w:r>
      <w:r w:rsidR="008907FD" w:rsidRPr="00185BC0">
        <w:rPr>
          <w:sz w:val="28"/>
          <w:szCs w:val="28"/>
          <w:lang w:val="kk-KZ"/>
        </w:rPr>
        <w:t>.</w:t>
      </w:r>
      <w:r w:rsidRPr="00185BC0">
        <w:rPr>
          <w:sz w:val="28"/>
          <w:szCs w:val="28"/>
          <w:lang w:val="tr-TR"/>
        </w:rPr>
        <w:t xml:space="preserve"> пришли к выводу</w:t>
      </w:r>
      <w:r w:rsidR="002B33EA" w:rsidRPr="00185BC0">
        <w:rPr>
          <w:sz w:val="28"/>
          <w:szCs w:val="28"/>
          <w:lang w:val="kk-KZ"/>
        </w:rPr>
        <w:t>,</w:t>
      </w:r>
      <w:r w:rsidRPr="00185BC0">
        <w:rPr>
          <w:sz w:val="28"/>
          <w:szCs w:val="28"/>
          <w:lang w:val="tr-TR"/>
        </w:rPr>
        <w:t xml:space="preserve"> что нет особой разницы между вышеуказанными способами в плане стабильности</w:t>
      </w:r>
      <w:r w:rsidR="00947B82" w:rsidRPr="00185BC0">
        <w:rPr>
          <w:sz w:val="28"/>
          <w:szCs w:val="28"/>
          <w:lang w:val="kk-KZ"/>
        </w:rPr>
        <w:t xml:space="preserve"> в</w:t>
      </w:r>
      <w:r w:rsidRPr="00185BC0">
        <w:rPr>
          <w:sz w:val="28"/>
          <w:szCs w:val="28"/>
          <w:lang w:val="tr-TR"/>
        </w:rPr>
        <w:t xml:space="preserve"> области остеотомии</w:t>
      </w:r>
      <w:r w:rsidR="00BB5951" w:rsidRPr="00185BC0">
        <w:rPr>
          <w:sz w:val="28"/>
          <w:szCs w:val="28"/>
        </w:rPr>
        <w:t xml:space="preserve"> </w:t>
      </w:r>
      <w:r w:rsidR="00BB5951" w:rsidRPr="00185BC0">
        <w:rPr>
          <w:sz w:val="28"/>
          <w:szCs w:val="28"/>
        </w:rPr>
        <w:fldChar w:fldCharType="begin" w:fldLock="1"/>
      </w:r>
      <w:r w:rsidR="001D29A3" w:rsidRPr="00185BC0">
        <w:rPr>
          <w:sz w:val="28"/>
          <w:szCs w:val="28"/>
        </w:rPr>
        <w:instrText>ADDIN CSL_CITATION {"citationItems":[{"id":"ITEM-1","itemData":{"DOI":"10.1016/j.arth.2021.05.035","ISSN":"15328406","abstract":"Background: Total hip arthroplasty (THA) performed for developmental dysplasia of the hip is a technically difficult procedure with a high complication rate, especially in the presence of completely dislocated hips. This study aimed to evaluate at least 10 years of follow-up results of cementless, ceramic-on-ceramic (CoC) THA performed with transverse subtrochanteric osteotomy in Crowe type IV hips. Methods: We retrospectively reviewed 50 patients’ 67 hips that underwent CoC, cementless THA with transverse subtrochanteric osteotomy between 2008 and 2011. Clinical and radiological data of the hips were examined. Clinical results were evaluated using the Harris Hip Score and the Western Ontario and McMaster Universities Osteoarthritis Index. Results: The mean Harris Hip Score improved from 22.9 ± 9.9 preoperatively to 94.1 ± 8.1 at the final follow-up (P &lt; 0.001). The median Western Ontario and McMaster Universities Osteoarthritis Index score improved from 72 (interquartile range: 17) preoperatively to 2 (interquartile range: 17) postoperatively (P &lt; 0.001). The preoperative mean leg length discrepancy was improved from 4.9 ± 1 cm to 1.5 ± 1 cm in unilateral cases at the last follow-up (P &lt; 0.001). Revision surgery was required because of nonunion in two patients, prosthetic infection in one patient, and aseptic femoral loosening in the other patient. The overall ten-year survival rate was 94% for femoral stems and 98.5% for acetabular components as per Kaplan-Meier survival analysis. Conclusion: Transverse subtrochanteric shortening osteotomy combined with using cementless acetabular and femoral components with a CoC bearing surface promises successful clinical results and high prosthesis survival in the treatment of Crowe IV hips at long-term follow-up.","author":[{"dropping-particle":"","family":"Caylak","given":"Remzi","non-dropping-particle":"","parse-names":false,"suffix":""},{"dropping-particle":"","family":"Ors","given":"Cagri","non-dropping-particle":"","parse-names":false,"suffix":""},{"dropping-particle":"","family":"Togrul","given":"Emre","non-dropping-particle":"","parse-names":false,"suffix":""}],"container-title":"Journal of Arthroplasty","id":"ITEM-1","issue":"10","issued":{"date-parts":[["2021"]]},"title":"Minimum 10-Year Results of Cementless Ceramic-On-Ceramic Total Hip Arthroplasty Performed With Transverse Subtrochanteric Osteotomy in Crowe Type IV Hips","type":"article-journal","volume":"36"},"uris":["http://www.mendeley.com/documents/?uuid=869e79e5-4425-3cc7-aafb-fc980673ee36"]},{"id":"ITEM-2","itemData":{"DOI":"10.1155/2017/8361071","ISSN":"23146141","abstract":"Sciatic nerve palsies are rare but potentially devastating complications, accounting for more than 90% of neurologic injuries following total hip replacement. A systematic literature screening was carried out searching papers evaluating an exclusive population of postarthroplasty sciatic nerve palsies to ascertain (1) the influence of limb lengthening itself on sciatic nerve palsy, (2) the most important risk factors, (3) the long-term prognosis, and (4) the outcomes of different treatments. Fourteen manuscripts were finally included. The wide prevalence of retrospective case series decreased the global methodological quality of the retrieved papers. A hazardous lengthening threshold cannot be surely identified. Developmental dysplasia of the hip and previous hip surgeries are the most frequently recognized risk factors. Rate of full nerve function restoration approximates two-thirds of the cases, independently of the extent of initial neural damage. Poor evidences are available about the best treatment strategy. Well-structured multicentric prospective comparative studies are needed to substantiate or contrast the finding of this review. Anyway, since the onset of palsies is probably due to a combination of individual factors, risk of nerve damage and potential for nerve recovery should be evaluated on an individual basis.","author":[{"dropping-particle":"","family":"Fine","given":"Marcello","non-dropping-particle":"De","parse-names":false,"suffix":""},{"dropping-particle":"","family":"Romagnoli","given":"Matteo","non-dropping-particle":"","parse-names":false,"suffix":""},{"dropping-particle":"","family":"Zaffagnini","given":"Stefano","non-dropping-particle":"","parse-names":false,"suffix":""},{"dropping-particle":"","family":"Pignatti","given":"Giovanni","non-dropping-particle":"","parse-names":false,"suffix":""}],"container-title":"BioMed Research International","id":"ITEM-2","issued":{"date-parts":[["2017"]]},"title":"Sciatic nerve palsy following total hip replacement: Are patients personal characteristics more important than limb lengthening? A systematic review","type":"article","volume":"2017"},"uris":["http://www.mendeley.com/documents/?uuid=ceb6083d-a331-3197-8b6f-066832eda821"]}],"mendeley":{"formattedCitation":"[62, 63]","plainTextFormattedCitation":"[62, 63]","previouslyFormattedCitation":"[62, 63]"},"properties":{"noteIndex":0},"schema":"https://github.com/citation-style-language/schema/raw/master/csl-citation.json"}</w:instrText>
      </w:r>
      <w:r w:rsidR="00BB5951" w:rsidRPr="00185BC0">
        <w:rPr>
          <w:sz w:val="28"/>
          <w:szCs w:val="28"/>
        </w:rPr>
        <w:fldChar w:fldCharType="separate"/>
      </w:r>
      <w:r w:rsidR="008A5983" w:rsidRPr="00185BC0">
        <w:rPr>
          <w:noProof/>
          <w:sz w:val="28"/>
          <w:szCs w:val="28"/>
        </w:rPr>
        <w:t>[62, 63]</w:t>
      </w:r>
      <w:r w:rsidR="00BB5951" w:rsidRPr="00185BC0">
        <w:rPr>
          <w:sz w:val="28"/>
          <w:szCs w:val="28"/>
        </w:rPr>
        <w:fldChar w:fldCharType="end"/>
      </w:r>
      <w:r w:rsidRPr="00185BC0">
        <w:rPr>
          <w:sz w:val="28"/>
          <w:szCs w:val="28"/>
          <w:lang w:val="tr-TR"/>
        </w:rPr>
        <w:t xml:space="preserve">. </w:t>
      </w:r>
      <w:r w:rsidR="00947B82" w:rsidRPr="00185BC0">
        <w:rPr>
          <w:sz w:val="28"/>
          <w:szCs w:val="28"/>
          <w:lang w:val="kk-KZ"/>
        </w:rPr>
        <w:t>В</w:t>
      </w:r>
      <w:r w:rsidRPr="00185BC0">
        <w:rPr>
          <w:sz w:val="28"/>
          <w:szCs w:val="28"/>
          <w:lang w:val="tr-TR"/>
        </w:rPr>
        <w:t xml:space="preserve"> дополнении к этому Togrul E. </w:t>
      </w:r>
      <w:r w:rsidR="008907FD" w:rsidRPr="00185BC0">
        <w:rPr>
          <w:sz w:val="28"/>
          <w:szCs w:val="28"/>
          <w:lang w:val="tr-TR"/>
        </w:rPr>
        <w:t>и соавт</w:t>
      </w:r>
      <w:r w:rsidR="008907FD" w:rsidRPr="00185BC0">
        <w:rPr>
          <w:sz w:val="28"/>
          <w:szCs w:val="28"/>
          <w:lang w:val="kk-KZ"/>
        </w:rPr>
        <w:t xml:space="preserve">. </w:t>
      </w:r>
      <w:r w:rsidRPr="00185BC0">
        <w:rPr>
          <w:sz w:val="28"/>
          <w:szCs w:val="28"/>
          <w:lang w:val="tr-TR"/>
        </w:rPr>
        <w:t>сообщает</w:t>
      </w:r>
      <w:r w:rsidR="00947B82" w:rsidRPr="00185BC0">
        <w:rPr>
          <w:sz w:val="28"/>
          <w:szCs w:val="28"/>
          <w:lang w:val="kk-KZ"/>
        </w:rPr>
        <w:t>,</w:t>
      </w:r>
      <w:r w:rsidRPr="00185BC0">
        <w:rPr>
          <w:sz w:val="28"/>
          <w:szCs w:val="28"/>
          <w:lang w:val="tr-TR"/>
        </w:rPr>
        <w:t xml:space="preserve"> что выполнение шевронной и ступенчатой остеотомии технически сложно</w:t>
      </w:r>
      <w:r w:rsidR="00947B82" w:rsidRPr="00185BC0">
        <w:rPr>
          <w:sz w:val="28"/>
          <w:szCs w:val="28"/>
          <w:lang w:val="kk-KZ"/>
        </w:rPr>
        <w:t xml:space="preserve"> и</w:t>
      </w:r>
      <w:r w:rsidRPr="00185BC0">
        <w:rPr>
          <w:sz w:val="28"/>
          <w:szCs w:val="28"/>
          <w:lang w:val="tr-TR"/>
        </w:rPr>
        <w:t xml:space="preserve"> требует много интраоперационного времени и планировани</w:t>
      </w:r>
      <w:r w:rsidRPr="00185BC0">
        <w:rPr>
          <w:sz w:val="28"/>
          <w:szCs w:val="28"/>
          <w:lang w:val="kk-KZ"/>
        </w:rPr>
        <w:t>я</w:t>
      </w:r>
      <w:r w:rsidRPr="00185BC0">
        <w:rPr>
          <w:sz w:val="28"/>
          <w:szCs w:val="28"/>
          <w:lang w:val="tr-TR"/>
        </w:rPr>
        <w:t>, тем не менее ступенчатая остеотомия обеспечивает более стабильную фиксацию</w:t>
      </w:r>
      <w:r w:rsidR="00947B82" w:rsidRPr="00185BC0">
        <w:rPr>
          <w:sz w:val="28"/>
          <w:szCs w:val="28"/>
          <w:lang w:val="kk-KZ"/>
        </w:rPr>
        <w:t>,</w:t>
      </w:r>
      <w:r w:rsidRPr="00185BC0">
        <w:rPr>
          <w:sz w:val="28"/>
          <w:szCs w:val="28"/>
          <w:lang w:val="tr-TR"/>
        </w:rPr>
        <w:t xml:space="preserve"> чем другие. Однако, данная методика не дает полноценную посадку бедренного компонента и в результате ножка приобре</w:t>
      </w:r>
      <w:r w:rsidR="00947B82" w:rsidRPr="00185BC0">
        <w:rPr>
          <w:sz w:val="28"/>
          <w:szCs w:val="28"/>
          <w:lang w:val="kk-KZ"/>
        </w:rPr>
        <w:t>т</w:t>
      </w:r>
      <w:r w:rsidRPr="00185BC0">
        <w:rPr>
          <w:sz w:val="28"/>
          <w:szCs w:val="28"/>
          <w:lang w:val="tr-TR"/>
        </w:rPr>
        <w:t>ает варусное положени</w:t>
      </w:r>
      <w:r w:rsidRPr="00185BC0">
        <w:rPr>
          <w:sz w:val="28"/>
          <w:szCs w:val="28"/>
          <w:lang w:val="kk-KZ"/>
        </w:rPr>
        <w:t>е</w:t>
      </w:r>
      <w:r w:rsidR="007E60CC" w:rsidRPr="00185BC0">
        <w:rPr>
          <w:sz w:val="28"/>
          <w:szCs w:val="28"/>
          <w:lang w:val="kk-KZ"/>
        </w:rPr>
        <w:t xml:space="preserve"> </w:t>
      </w:r>
      <w:r w:rsidR="00BB5951" w:rsidRPr="00185BC0">
        <w:rPr>
          <w:sz w:val="28"/>
          <w:szCs w:val="28"/>
          <w:lang w:val="kk-KZ"/>
        </w:rPr>
        <w:fldChar w:fldCharType="begin" w:fldLock="1"/>
      </w:r>
      <w:r w:rsidR="002F5076" w:rsidRPr="00185BC0">
        <w:rPr>
          <w:sz w:val="28"/>
          <w:szCs w:val="28"/>
          <w:lang w:val="kk-KZ"/>
        </w:rPr>
        <w:instrText>ADDIN CSL_CITATION {"citationItems":[{"id":"ITEM-1","itemData":{"DOI":"10.1016/j.arth.2009.02.023","ISSN":"08835403","abstract":"A new technique of femoral fixation that uses a transverse osteotomy for subtrochanteric shortening and derotation in total hip arthroplasty for Crowe type 3 to 4 dysplasia of the hip is described. This series included 21 cases in 12 women and 2 men, with a mean age of 42.3 years. Follow-up averaged 41.2 months. Bone pegs prepared from the resected femoral segment were seated in the medullary canal around the stem for femoral fixation. Merle d'Aubigné scores for pain, motion, and walking improved from 2.9, 4.4, and 3.7 to 5.2, 5.4, and 5.5, respectively. Radiographic union was detected within 12 ± 3.4 (range, 6-24) weeks in all cases. Complications were early dislocation in 2 cases. This technique allows correction of anteversion, provides excellent rotational stability, and eliminates the need for additional osteosynthesis regardless of the stem design. © 2010 Elsevier Inc.","author":[{"dropping-particle":"","family":"Togrul","given":"Emre","non-dropping-particle":"","parse-names":false,"suffix":""},{"dropping-particle":"","family":"Özkan","given":"Cenk","non-dropping-particle":"","parse-names":false,"suffix":""},{"dropping-particle":"","family":"Kalaci","given":"Aydiner","non-dropping-particle":"","parse-names":false,"suffix":""},{"dropping-particle":"","family":"Gülşen","given":"Mahir","non-dropping-particle":"","parse-names":false,"suffix":""}],"container-title":"Journal of Arthroplasty","id":"ITEM-1","issue":"3","issued":{"date-parts":[["2010"]]},"title":"A new technique of subtrochanteric shortening in total hip replacement for crowe type 3 to 4 dysplasia of the hip","type":"article-journal","volume":"25"},"uris":["http://www.mendeley.com/documents/?uuid=d24913c4-948d-30f0-8e79-1deaa7e437f4"]}],"mendeley":{"formattedCitation":"[16]","plainTextFormattedCitation":"[16]","previouslyFormattedCitation":"[16]"},"properties":{"noteIndex":0},"schema":"https://github.com/citation-style-language/schema/raw/master/csl-citation.json"}</w:instrText>
      </w:r>
      <w:r w:rsidR="00BB5951" w:rsidRPr="00185BC0">
        <w:rPr>
          <w:sz w:val="28"/>
          <w:szCs w:val="28"/>
          <w:lang w:val="kk-KZ"/>
        </w:rPr>
        <w:fldChar w:fldCharType="separate"/>
      </w:r>
      <w:r w:rsidR="00371B3B" w:rsidRPr="00185BC0">
        <w:rPr>
          <w:noProof/>
          <w:sz w:val="28"/>
          <w:szCs w:val="28"/>
          <w:lang w:val="kk-KZ"/>
        </w:rPr>
        <w:t>[16]</w:t>
      </w:r>
      <w:r w:rsidR="00BB5951" w:rsidRPr="00185BC0">
        <w:rPr>
          <w:sz w:val="28"/>
          <w:szCs w:val="28"/>
          <w:lang w:val="kk-KZ"/>
        </w:rPr>
        <w:fldChar w:fldCharType="end"/>
      </w:r>
      <w:r w:rsidRPr="00185BC0">
        <w:rPr>
          <w:sz w:val="28"/>
          <w:szCs w:val="28"/>
        </w:rPr>
        <w:t xml:space="preserve">. </w:t>
      </w:r>
      <w:r w:rsidRPr="00185BC0">
        <w:rPr>
          <w:sz w:val="28"/>
          <w:szCs w:val="28"/>
          <w:lang w:val="tr-TR"/>
        </w:rPr>
        <w:t>В связи с этим поперечная подвертельная укорачивающая остеотомия считается более подходящим из</w:t>
      </w:r>
      <w:r w:rsidR="00947B82" w:rsidRPr="00185BC0">
        <w:rPr>
          <w:sz w:val="28"/>
          <w:szCs w:val="28"/>
          <w:lang w:val="kk-KZ"/>
        </w:rPr>
        <w:t xml:space="preserve"> –</w:t>
      </w:r>
      <w:r w:rsidRPr="00185BC0">
        <w:rPr>
          <w:sz w:val="28"/>
          <w:szCs w:val="28"/>
          <w:lang w:val="tr-TR"/>
        </w:rPr>
        <w:t xml:space="preserve"> за его простоты выполнения и регулирования антиверсии бедренной кости</w:t>
      </w:r>
      <w:r w:rsidR="007E60CC" w:rsidRPr="00185BC0">
        <w:rPr>
          <w:sz w:val="28"/>
          <w:szCs w:val="28"/>
          <w:lang w:val="kk-KZ"/>
        </w:rPr>
        <w:t xml:space="preserve"> </w:t>
      </w:r>
      <w:r w:rsidR="00BB5951" w:rsidRPr="00185BC0">
        <w:rPr>
          <w:sz w:val="28"/>
          <w:szCs w:val="28"/>
          <w:lang w:val="kk-KZ"/>
        </w:rPr>
        <w:fldChar w:fldCharType="begin" w:fldLock="1"/>
      </w:r>
      <w:r w:rsidR="001D29A3" w:rsidRPr="00185BC0">
        <w:rPr>
          <w:sz w:val="28"/>
          <w:szCs w:val="28"/>
          <w:lang w:val="kk-KZ"/>
        </w:rPr>
        <w:instrText>ADDIN CSL_CITATION {"citationItems":[{"id":"ITEM-1","itemData":{"DOI":"10.1016/j.artd.2019.03.002","ISSN":"23523441","abstract":"Background: The complexity of femoral and acetabular anatomy and restoring anatomic center of hip rotation in Crowe type IV developmental dysplasia of the hip (DDH) complicates standard reconstruction. The aim of this study is to evaluate surgical techniques and clinical outcomes of subtrochanteric transverse shortening osteotomy with the use of cementless rectangular cross-section femoral implants in Crowe IV dysplastic hips. Methods: A total of 26 hips of 25 consecutive patients with Crowe type IV DDH who underwent cementless total hip arthroplasty with subtrochanteric femoral transverse shortening osteotomy were retrospectively analyzed. The Harris Hip Score, Visual Analog Scale-pain, leg length discrepancy, and vertical and lateral migration of hip rotation center were recorded. Results: Mean age, follow-up, and time of union were 41 ± 9.7 years, 7.1 ± 1.2 years, and 3.7 ± 1.1 months, respectively. Mean Harris Hip Score significantly improved from 38 ± 5.7 to 86 ± 6.1 points postoperatively (P &lt; .01). Mean leg length discrepancy and Visual Analog Scale significantly decreased from 4.3 ± 1.3 to 1.2 ± 0.6 cm, and 6.4 ± 1.2 to 1.8 ± 0.8 points, respectively (P &lt; .01). One female patient had a dislocation due to acetabular liner wear, which was managed by liner and head change. One patient had Sudeck's atrophy, while another had pain on the lateral thigh, both of which were resolved with conservative management. Conclusions: Combined transverse subtrochanteric femoral osteotomy and cementless total hip arthroplasty with rectangular cross-section femoral implants is technically demanding, effective, and safe in femoral shortening for treatment of Crowe type IV DDH.","author":[{"dropping-particle":"","family":"Erdem","given":"Yusuf","non-dropping-particle":"","parse-names":false,"suffix":""},{"dropping-particle":"","family":"Bek","given":"Dogan","non-dropping-particle":"","parse-names":false,"suffix":""},{"dropping-particle":"","family":"Atbasi","given":"Zafer","non-dropping-particle":"","parse-names":false,"suffix":""},{"dropping-particle":"","family":"Neyisci","given":"Cagri","non-dropping-particle":"","parse-names":false,"suffix":""},{"dropping-particle":"","family":"Yildiz","given":"Cemil","non-dropping-particle":"","parse-names":false,"suffix":""},{"dropping-particle":"","family":"Basbozkurt","given":"Mustafa","non-dropping-particle":"","parse-names":false,"suffix":""}],"container-title":"Arthroplasty Today","id":"ITEM-1","issue":"2","issued":{"date-parts":[["2019"]]},"title":"Total hip arthroplasty with rectangular stems and subtrochanteric transverse shortening osteotomy in Crowe type IV hips: a retrospective study","type":"article-journal","volume":"5"},"uris":["http://www.mendeley.com/documents/?uuid=9d7f57da-1a6e-37be-97b4-4f03bffdd84c"]},{"id":"ITEM-2","itemData":{"DOI":"10.1186/1471-2474-15-331","ISSN":"14712474","abstract":"Background: Subtrochanteric femoral shortening osteotomy is a crucial procedure to prevent nerve injury in total hip arthroplasty for severe developmental dysplasia of the hip. Transverse osteotomy was first applied, and other modified methods have also been reported. Each has its own advantages and limitations, but no definitive conclusions regarding differences in outcomes have been reached to date. Methods: We therefore performed a comprehensive meta-analysis to compare the outcomes of different approaches. 37 studies (795 hips) were included in the final analysis. Meta-analysis, subgroup analysis and meta-regression were performed. Results: Meta-analysis and subgroup analysis showed no significant difference between transverse and modified method. This is further confirmed by meta-regression. Method of osteotomy was found to be not associated with nonunion rate (P = 0.472), as well as other post-operative outcomes including nerve palsy (P = 0.240), dislocation (P = 0.735), revision (P = 0.653) and Harris hip score improvement (P = 0.562). In addition, western countries (P = 0.010) and duration of follow-up more than 5 years (P = 0.014) were associated with higher revision rate. Conclusions: Transverse osteotomy and modified osteotomy appear to be equivalent in terms of nonunion, safety and efficacy. Transverse osteotomy may be recommended, due to its simplicity and convenience in adjusting the anteversion angle. Well-designed and large-sample-size randomized controlled trials are expected to confirm and update the findings of this analysis.","author":[{"dropping-particle":"","family":"Li","given":"Changchuan","non-dropping-particle":"","parse-names":false,"suffix":""},{"dropping-particle":"","family":"Zhang","given":"Chi","non-dropping-particle":"","parse-names":false,"suffix":""},{"dropping-particle":"","family":"Zhang","given":"Maolin","non-dropping-particle":"","parse-names":false,"suffix":""},{"dropping-particle":"","family":"Ding","given":"Yue","non-dropping-particle":"","parse-names":false,"suffix":""}],"container-title":"BMC Musculoskeletal Disorders","id":"ITEM-2","issue":"1","issued":{"date-parts":[["2014"]]},"title":"Comparison of transverse and modified subtrochanteric femoral shortening osteotomy in total hip arthroplasty for developmental dysplasia of hip: A meta-analysis","type":"article-journal","volume":"15"},"uris":["http://www.mendeley.com/documents/?uuid=6354b36c-6216-3a90-80ea-a5d9d83e20ca"]},{"id":"ITEM-3","itemData":{"DOI":"10.1111/os.12576","ISSN":"17577853","abstract":"Total hip arthroplasty (THA) of Crowe type IV developmental dysplasia of the hip (DDH) is challenging. Although traditional (lateral, posterolateral, and posterior) THA approaches have been used with great anatomic success, they damage periarticular muscles, which are already quite weak in type IV DDH. The recently developed direct anterior approach (DAA) can provide an inter-nerve and inter-muscle approach for THA of type IV dysplasia hips. However, femur exposure with the DAA could be difficult during surgery and it is hard to apply femoral shortening osteotomy. THA techniques used for type IV DDH include anatomic hip center techniques (true acetabular reconstruction) and high hip center techniques, wherein an acetabulum is reconstructed above the original one. Although anatomic construction of the hip center is considered “the gold standard” treatment, it is impossible if the anatomical acetabular is too small and shallow. Procedures used to support type IV DDH reduction with anatomic hip center techniques include greater trochanter osteotomy, lesser trochanter osteotomy, and subtrochanteric osteotomy. However, these techniques have yet to be standardized, and it is unclear which is best for type IV DDH. One-state and two-state non-osteotomy reduction techniques have also been introduced to treat type IV DDH. Potential complications of THA performed in patients with type IV DDH include leg length discrepancy (LLD), peri-operative femur fracture, nonunion of the osteotomy site, and nerve injury. It is worth noting that nowadays an increasing number of Crowe type IV DDH patients are more sensitive to postoperative LLD.","author":[{"dropping-particle":"","family":"Shi","given":"Xiao tong","non-dropping-particle":"","parse-names":false,"suffix":""},{"dropping-particle":"","family":"Li","given":"Chao feng","non-dropping-particle":"","parse-names":false,"suffix":""},{"dropping-particle":"","family":"Han","given":"Yu","non-dropping-particle":"","parse-names":false,"suffix":""},{"dropping-particle":"","family":"Song","given":"Ya","non-dropping-particle":"","parse-names":false,"suffix":""},{"dropping-particle":"","family":"Li","given":"Shu xuan","non-dropping-particle":"","parse-names":false,"suffix":""},{"dropping-particle":"","family":"Liu","given":"Jian guo","non-dropping-particle":"","parse-names":false,"suffix":""}],"container-title":"Orthopaedic Surgery","id":"ITEM-3","issue":"6","issued":{"date-parts":[["2019"]]},"title":"Total Hip Arthroplasty for Crowe Type IV Hip Dysplasia: Surgical Techniques and Postoperative Complications","type":"article","volume":"11"},"uris":["http://www.mendeley.com/documents/?uuid=52005101-5c30-31ad-8367-db0edc3c4e8a"]},{"id":"ITEM-4","itemData":{"DOI":"10.1016/j.arth.2016.11.005","ISSN":"15328406","abstract":"Background When surgeons reconstruct hips with a high dislocation related to severe developmental dysplasia of the hip (DDH) in total hip arthroplasty (THA), archiving long-term stable implant fixation and improving patient function and satisfaction remain challenging. The purpose of this study was to evaluate the 10-year outcomes of transverse subtrochanteric shortening osteotomy in cementless, modular THA in Crowe type IV-Hartofilakidis type III DDH. Methods We reviewed 62 patients (76 hips) who underwent cementless THA with transverse subtrochanteric shortening osteotomy from 2002-2010. There were 49 women and 13 men with a mean age of 38.8 years, all of whom had Crowe type IV DDH. Mean follow-up period was 10 years. The acetabular cup was implanted in placement of the anatomical hip center in all hips. Results The mean Harris Hip Score significantly improved from 38.8 points to 86.1 points. Similarly, modified Merle d'Aubigne and Postel Hip Score, Hip dysfunction and Osteoarthritis Outcome Score, and SF-12 also significantly improved. The mean limb length discrepancy was reduced from 4.3 cm to 1.0 cm. At mean follow-up of 10 years, there were 3 cases of postoperative dislocation, 2 cases of transient nerve palsy, 1 case of nonunion, and 4 cases of intraoperative fracture. Revision surgery was performed in 2 patients due to isolated loosening of acetabular component and femoral stem, respectively. Conclusion Our data demonstrated that the cementless, modular THA combined with transverse subtrochanteric shortening osteotomy was an effective and reliable technique with high rates of successful fixation of the implants and satisfactory clinical outcomes.","author":[{"dropping-particle":"","family":"Wang","given":"Duan","non-dropping-particle":"","parse-names":false,"suffix":""},{"dropping-particle":"","family":"Li","given":"Ling Li","non-dropping-particle":"","parse-names":false,"suffix":""},{"dropping-particle":"","family":"Wang","given":"Hao Yang","non-dropping-particle":"","parse-names":false,"suffix":""},{"dropping-particle":"","family":"Pei","given":"Fu Xing","non-dropping-particle":"","parse-names":false,"suffix":""},{"dropping-particle":"","family":"Zhou","given":"Zong Ke","non-dropping-particle":"","parse-names":false,"suffix":""}],"container-title":"Journal of Arthroplasty","id":"ITEM-4","issue":"4","issued":{"date-parts":[["2017"]]},"title":"Long-Term Results of Cementless Total Hip Arthroplasty With Subtrochanteric Shortening Osteotomy in Crowe Type IV Developmental Dysplasia","type":"article-journal","volume":"32"},"uris":["http://www.mendeley.com/documents/?uuid=cb6ff69c-5e65-36fc-855a-a2dc058bb876"]},{"id":"ITEM-5","itemData":{"abstract":"Objective  The aim of the present study is to investigate the biomechanical stability of different subtrochanteric osteotomy types and graft positions in cases of dysplastic coxarthrosis that require total hip arthroplasty with shortening osteotomy, as well as to find out the most effective osteotomy type and graft position. Method  Femur sawbones were used to compare different types of femoral shortening osteotomy (transverse, oblique, and step-cut). Strut grafts, which were prepared at the side of the subtrochanteric shortening osteotomy, were fixed in different positions (anterolateral, mediolateral, and anteroposterior). The fixation of the strut grafts was performed using two steel cables (with 2.0 mm of thickness) with the same strength. The failure values of composite femurs were recorded for axial and rotational loadings. Results  Biomechanically, there were no statistically significant differences between the types of femoral subtrochanteric shortening osteotomy and the positions of the applied strut graft. Conclusion  No superiority was observed between the types of femoral subtrochanteric shortening osteotomy regarding stability. Additionally, against stress, similar results were obtained for different strut graft positions. In conclusion, we believe that using the method in which the surgeon is experienced and that is the easiest to apply would be the best choice.","author":[{"dropping-particle":"","family":"Yazar","given":"Ethem Aytac","non-dropping-particle":"","parse-names":false,"suffix":""},{"dropping-particle":"","family":"Karakus","given":"Ozgun","non-dropping-particle":"","parse-names":false,"suffix":""},{"dropping-particle":"","family":"Saygi","given":"Baransel","non-dropping-particle":"","parse-names":false,"suffix":""}],"container-title":"Revista brasileira de ortopedia","id":"ITEM-5","issue":"4","issued":{"date-parts":[["2019"]]},"title":"The Effect of Graft Positions on the Stability of Total Hip Arthroplasty with Different Types of Subtrochanteric Shortening.","type":"article-journal","volume":"54"},"uris":["http://www.mendeley.com/documents/?uuid=f8d23853-ee9d-3d65-9e74-4ed438b37187"]}],"mendeley":{"formattedCitation":"[6, 7, 89–91]","plainTextFormattedCitation":"[6, 7, 89–91]","previouslyFormattedCitation":"[6, 7, 89–91]"},"properties":{"noteIndex":0},"schema":"https://github.com/citation-style-language/schema/raw/master/csl-citation.json"}</w:instrText>
      </w:r>
      <w:r w:rsidR="00BB5951" w:rsidRPr="00185BC0">
        <w:rPr>
          <w:sz w:val="28"/>
          <w:szCs w:val="28"/>
          <w:lang w:val="kk-KZ"/>
        </w:rPr>
        <w:fldChar w:fldCharType="separate"/>
      </w:r>
      <w:r w:rsidR="008A5983" w:rsidRPr="00185BC0">
        <w:rPr>
          <w:noProof/>
          <w:sz w:val="28"/>
          <w:szCs w:val="28"/>
          <w:lang w:val="kk-KZ"/>
        </w:rPr>
        <w:t>[6, 7, 89–91]</w:t>
      </w:r>
      <w:r w:rsidR="00BB5951" w:rsidRPr="00185BC0">
        <w:rPr>
          <w:sz w:val="28"/>
          <w:szCs w:val="28"/>
          <w:lang w:val="kk-KZ"/>
        </w:rPr>
        <w:fldChar w:fldCharType="end"/>
      </w:r>
      <w:r w:rsidRPr="00185BC0">
        <w:rPr>
          <w:sz w:val="28"/>
          <w:szCs w:val="28"/>
          <w:lang w:val="tr-TR"/>
        </w:rPr>
        <w:t>.</w:t>
      </w:r>
      <w:r w:rsidRPr="00185BC0">
        <w:rPr>
          <w:sz w:val="28"/>
          <w:szCs w:val="28"/>
        </w:rPr>
        <w:t xml:space="preserve"> </w:t>
      </w:r>
      <w:r w:rsidR="003E1719" w:rsidRPr="00185BC0">
        <w:rPr>
          <w:sz w:val="28"/>
          <w:szCs w:val="28"/>
        </w:rPr>
        <w:t xml:space="preserve">Клинико-технические особенности выполнения различных вариантов </w:t>
      </w:r>
      <w:proofErr w:type="spellStart"/>
      <w:r w:rsidR="003E1719" w:rsidRPr="00185BC0">
        <w:rPr>
          <w:sz w:val="28"/>
          <w:szCs w:val="28"/>
        </w:rPr>
        <w:t>подвертельной</w:t>
      </w:r>
      <w:proofErr w:type="spellEnd"/>
      <w:r w:rsidR="003E1719" w:rsidRPr="00185BC0">
        <w:rPr>
          <w:sz w:val="28"/>
          <w:szCs w:val="28"/>
        </w:rPr>
        <w:t xml:space="preserve"> укорачивающей остеотомии проанализированы и систематизированы в таблице 1</w:t>
      </w:r>
      <w:r w:rsidRPr="00185BC0">
        <w:rPr>
          <w:sz w:val="28"/>
          <w:szCs w:val="28"/>
        </w:rPr>
        <w:t>.</w:t>
      </w:r>
    </w:p>
    <w:p w14:paraId="4825A94C" w14:textId="77777777" w:rsidR="00FB6563" w:rsidRPr="00185BC0" w:rsidRDefault="00FB6563" w:rsidP="00736E87">
      <w:pPr>
        <w:jc w:val="both"/>
        <w:rPr>
          <w:b/>
          <w:bCs/>
          <w:sz w:val="28"/>
          <w:szCs w:val="28"/>
        </w:rPr>
      </w:pPr>
    </w:p>
    <w:p w14:paraId="76F6FE5A" w14:textId="6BDF77EA" w:rsidR="00FB6563" w:rsidRPr="00185BC0" w:rsidRDefault="00FB6563" w:rsidP="00736E87">
      <w:pPr>
        <w:jc w:val="both"/>
        <w:rPr>
          <w:b/>
          <w:bCs/>
          <w:sz w:val="28"/>
          <w:szCs w:val="28"/>
        </w:rPr>
      </w:pPr>
    </w:p>
    <w:p w14:paraId="77083EF2" w14:textId="77777777" w:rsidR="008907FD" w:rsidRPr="00185BC0" w:rsidRDefault="008907FD" w:rsidP="00736E87">
      <w:pPr>
        <w:jc w:val="both"/>
        <w:rPr>
          <w:b/>
          <w:bCs/>
          <w:sz w:val="28"/>
          <w:szCs w:val="28"/>
        </w:rPr>
      </w:pPr>
    </w:p>
    <w:p w14:paraId="7C5E203F" w14:textId="02AC073E" w:rsidR="00BB1D05" w:rsidRPr="00185BC0" w:rsidRDefault="003E1719" w:rsidP="00736E87">
      <w:pPr>
        <w:jc w:val="both"/>
        <w:rPr>
          <w:b/>
          <w:bCs/>
          <w:sz w:val="28"/>
          <w:szCs w:val="28"/>
          <w:lang w:val="kk-KZ"/>
        </w:rPr>
      </w:pPr>
      <w:r w:rsidRPr="00185BC0">
        <w:rPr>
          <w:b/>
          <w:bCs/>
          <w:sz w:val="28"/>
          <w:szCs w:val="28"/>
        </w:rPr>
        <w:lastRenderedPageBreak/>
        <w:t xml:space="preserve">Таблица 1 – </w:t>
      </w:r>
      <w:r w:rsidR="00A3675E" w:rsidRPr="00185BC0">
        <w:rPr>
          <w:b/>
          <w:bCs/>
          <w:sz w:val="28"/>
          <w:szCs w:val="28"/>
        </w:rPr>
        <w:t xml:space="preserve">Сопоставление клинико-технических особенностей различных вариантов остеотомии бедренной кости </w:t>
      </w:r>
      <w:r w:rsidR="000B606C" w:rsidRPr="00185BC0">
        <w:rPr>
          <w:b/>
          <w:bCs/>
          <w:sz w:val="28"/>
          <w:szCs w:val="28"/>
          <w:lang w:val="kk-KZ"/>
        </w:rPr>
        <w:fldChar w:fldCharType="begin" w:fldLock="1"/>
      </w:r>
      <w:r w:rsidR="001D29A3" w:rsidRPr="00185BC0">
        <w:rPr>
          <w:b/>
          <w:bCs/>
          <w:sz w:val="28"/>
          <w:szCs w:val="28"/>
          <w:lang w:val="kk-KZ"/>
        </w:rPr>
        <w:instrText>ADDIN CSL_CITATION {"citationItems":[{"id":"ITEM-1","itemData":{"ISBN":"9786018225222","id":"ITEM-1","issued":{"date-parts":[["2025"]]},"title":"Методика фиксации зоны подвертельной укорачивающей остеотомии при тэтс дисплазии тазобедренного сустава отечественными пластинами","type":"book"},"uris":["http://www.mendeley.com/documents/?uuid=486b762e-1e29-4c72-a955-0f593a9b5d8d"]}],"mendeley":{"formattedCitation":"[74]","plainTextFormattedCitation":"[74]","previouslyFormattedCitation":"[74]"},"properties":{"noteIndex":0},"schema":"https://github.com/citation-style-language/schema/raw/master/csl-citation.json"}</w:instrText>
      </w:r>
      <w:r w:rsidR="000B606C" w:rsidRPr="00185BC0">
        <w:rPr>
          <w:b/>
          <w:bCs/>
          <w:sz w:val="28"/>
          <w:szCs w:val="28"/>
          <w:lang w:val="kk-KZ"/>
        </w:rPr>
        <w:fldChar w:fldCharType="separate"/>
      </w:r>
      <w:r w:rsidR="008A5983" w:rsidRPr="00185BC0">
        <w:rPr>
          <w:bCs/>
          <w:noProof/>
          <w:sz w:val="28"/>
          <w:szCs w:val="28"/>
          <w:lang w:val="kk-KZ"/>
        </w:rPr>
        <w:t>[74]</w:t>
      </w:r>
      <w:r w:rsidR="000B606C" w:rsidRPr="00185BC0">
        <w:rPr>
          <w:b/>
          <w:bCs/>
          <w:sz w:val="28"/>
          <w:szCs w:val="28"/>
          <w:lang w:val="kk-KZ"/>
        </w:rPr>
        <w:fldChar w:fldCharType="end"/>
      </w:r>
    </w:p>
    <w:p w14:paraId="553A8D7F" w14:textId="77777777" w:rsidR="00FB6563" w:rsidRPr="00185BC0" w:rsidRDefault="00FB6563" w:rsidP="00736E87">
      <w:pPr>
        <w:jc w:val="both"/>
        <w:rPr>
          <w:b/>
          <w:bCs/>
          <w:sz w:val="28"/>
          <w:szCs w:val="28"/>
          <w:lang w:val="kk-KZ"/>
        </w:rPr>
      </w:pPr>
    </w:p>
    <w:tbl>
      <w:tblPr>
        <w:tblStyle w:val="af"/>
        <w:tblW w:w="0" w:type="auto"/>
        <w:tblLook w:val="04A0" w:firstRow="1" w:lastRow="0" w:firstColumn="1" w:lastColumn="0" w:noHBand="0" w:noVBand="1"/>
      </w:tblPr>
      <w:tblGrid>
        <w:gridCol w:w="1811"/>
        <w:gridCol w:w="1928"/>
        <w:gridCol w:w="1953"/>
        <w:gridCol w:w="1830"/>
        <w:gridCol w:w="2106"/>
      </w:tblGrid>
      <w:tr w:rsidR="00F05D0E" w:rsidRPr="00185BC0" w14:paraId="32CC59F3" w14:textId="77777777" w:rsidTr="00FB6563">
        <w:tc>
          <w:tcPr>
            <w:tcW w:w="1811" w:type="dxa"/>
            <w:hideMark/>
          </w:tcPr>
          <w:p w14:paraId="1AB6191E" w14:textId="77777777" w:rsidR="00A3675E" w:rsidRPr="00185BC0" w:rsidRDefault="00A3675E" w:rsidP="00F05D0E">
            <w:pPr>
              <w:widowControl/>
              <w:autoSpaceDE/>
              <w:autoSpaceDN/>
              <w:jc w:val="center"/>
              <w:rPr>
                <w:b/>
                <w:bCs/>
                <w:sz w:val="20"/>
                <w:szCs w:val="20"/>
                <w:lang w:eastAsia="ru-RU"/>
              </w:rPr>
            </w:pPr>
            <w:r w:rsidRPr="00185BC0">
              <w:rPr>
                <w:b/>
                <w:bCs/>
                <w:sz w:val="20"/>
                <w:szCs w:val="20"/>
                <w:lang w:eastAsia="ru-RU"/>
              </w:rPr>
              <w:t>Вариант остеотомии</w:t>
            </w:r>
          </w:p>
        </w:tc>
        <w:tc>
          <w:tcPr>
            <w:tcW w:w="1928" w:type="dxa"/>
            <w:hideMark/>
          </w:tcPr>
          <w:p w14:paraId="56EE6053" w14:textId="77777777" w:rsidR="00A3675E" w:rsidRPr="00185BC0" w:rsidRDefault="00A3675E" w:rsidP="00F05D0E">
            <w:pPr>
              <w:widowControl/>
              <w:autoSpaceDE/>
              <w:autoSpaceDN/>
              <w:jc w:val="center"/>
              <w:rPr>
                <w:b/>
                <w:bCs/>
                <w:sz w:val="20"/>
                <w:szCs w:val="20"/>
                <w:lang w:eastAsia="ru-RU"/>
              </w:rPr>
            </w:pPr>
            <w:r w:rsidRPr="00185BC0">
              <w:rPr>
                <w:b/>
                <w:bCs/>
                <w:sz w:val="20"/>
                <w:szCs w:val="20"/>
                <w:lang w:eastAsia="ru-RU"/>
              </w:rPr>
              <w:t>Поперечная</w:t>
            </w:r>
          </w:p>
        </w:tc>
        <w:tc>
          <w:tcPr>
            <w:tcW w:w="1953" w:type="dxa"/>
            <w:hideMark/>
          </w:tcPr>
          <w:p w14:paraId="11F2347C" w14:textId="77777777" w:rsidR="00A3675E" w:rsidRPr="00185BC0" w:rsidRDefault="00A3675E" w:rsidP="00F05D0E">
            <w:pPr>
              <w:widowControl/>
              <w:autoSpaceDE/>
              <w:autoSpaceDN/>
              <w:jc w:val="center"/>
              <w:rPr>
                <w:b/>
                <w:bCs/>
                <w:sz w:val="20"/>
                <w:szCs w:val="20"/>
                <w:lang w:eastAsia="ru-RU"/>
              </w:rPr>
            </w:pPr>
            <w:r w:rsidRPr="00185BC0">
              <w:rPr>
                <w:b/>
                <w:bCs/>
                <w:sz w:val="20"/>
                <w:szCs w:val="20"/>
                <w:lang w:eastAsia="ru-RU"/>
              </w:rPr>
              <w:t>Косая</w:t>
            </w:r>
          </w:p>
        </w:tc>
        <w:tc>
          <w:tcPr>
            <w:tcW w:w="1830" w:type="dxa"/>
            <w:hideMark/>
          </w:tcPr>
          <w:p w14:paraId="13D434D8" w14:textId="77777777" w:rsidR="00A3675E" w:rsidRPr="00185BC0" w:rsidRDefault="00A3675E" w:rsidP="00F05D0E">
            <w:pPr>
              <w:widowControl/>
              <w:autoSpaceDE/>
              <w:autoSpaceDN/>
              <w:jc w:val="center"/>
              <w:rPr>
                <w:b/>
                <w:bCs/>
                <w:sz w:val="20"/>
                <w:szCs w:val="20"/>
                <w:lang w:eastAsia="ru-RU"/>
              </w:rPr>
            </w:pPr>
            <w:r w:rsidRPr="00185BC0">
              <w:rPr>
                <w:b/>
                <w:bCs/>
                <w:sz w:val="20"/>
                <w:szCs w:val="20"/>
                <w:lang w:eastAsia="ru-RU"/>
              </w:rPr>
              <w:t>Z-образная (ступенчатая)</w:t>
            </w:r>
          </w:p>
        </w:tc>
        <w:tc>
          <w:tcPr>
            <w:tcW w:w="0" w:type="auto"/>
            <w:hideMark/>
          </w:tcPr>
          <w:p w14:paraId="4EFBF3FF" w14:textId="77777777" w:rsidR="00A3675E" w:rsidRPr="00185BC0" w:rsidRDefault="00A3675E" w:rsidP="00F05D0E">
            <w:pPr>
              <w:widowControl/>
              <w:autoSpaceDE/>
              <w:autoSpaceDN/>
              <w:jc w:val="center"/>
              <w:rPr>
                <w:b/>
                <w:bCs/>
                <w:sz w:val="20"/>
                <w:szCs w:val="20"/>
                <w:lang w:eastAsia="ru-RU"/>
              </w:rPr>
            </w:pPr>
            <w:r w:rsidRPr="00185BC0">
              <w:rPr>
                <w:b/>
                <w:bCs/>
                <w:sz w:val="20"/>
                <w:szCs w:val="20"/>
                <w:lang w:eastAsia="ru-RU"/>
              </w:rPr>
              <w:t>Шевронная (двойная)</w:t>
            </w:r>
          </w:p>
        </w:tc>
      </w:tr>
      <w:tr w:rsidR="00F05D0E" w:rsidRPr="00185BC0" w14:paraId="1F2FE226" w14:textId="77777777" w:rsidTr="00FB6563">
        <w:tc>
          <w:tcPr>
            <w:tcW w:w="1811" w:type="dxa"/>
            <w:hideMark/>
          </w:tcPr>
          <w:p w14:paraId="64A390B9"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Положительные стороны метода</w:t>
            </w:r>
          </w:p>
        </w:tc>
        <w:tc>
          <w:tcPr>
            <w:tcW w:w="1928" w:type="dxa"/>
            <w:hideMark/>
          </w:tcPr>
          <w:p w14:paraId="71F3F40D"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Техническая простота; уменьшение продолжительности операции; возможность коррекции </w:t>
            </w:r>
            <w:proofErr w:type="spellStart"/>
            <w:r w:rsidRPr="00185BC0">
              <w:rPr>
                <w:sz w:val="20"/>
                <w:szCs w:val="20"/>
                <w:lang w:eastAsia="ru-RU"/>
              </w:rPr>
              <w:t>антеверсии</w:t>
            </w:r>
            <w:proofErr w:type="spellEnd"/>
            <w:r w:rsidRPr="00185BC0">
              <w:rPr>
                <w:sz w:val="20"/>
                <w:szCs w:val="20"/>
                <w:lang w:eastAsia="ru-RU"/>
              </w:rPr>
              <w:t>; широкая клиническая применимость</w:t>
            </w:r>
          </w:p>
        </w:tc>
        <w:tc>
          <w:tcPr>
            <w:tcW w:w="1953" w:type="dxa"/>
            <w:hideMark/>
          </w:tcPr>
          <w:p w14:paraId="36E697AD"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Увеличение площади соприкосновения костных фрагментов; повышение ротационной устойчивости; сохранение объёма костной ткани</w:t>
            </w:r>
          </w:p>
        </w:tc>
        <w:tc>
          <w:tcPr>
            <w:tcW w:w="1830" w:type="dxa"/>
            <w:hideMark/>
          </w:tcPr>
          <w:p w14:paraId="4755928D"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Высокая механическая надёжность; устойчивость к ротационным и осевым нагрузкам; благоприятные условия для сращения; применима после остеотомии Шанца</w:t>
            </w:r>
          </w:p>
        </w:tc>
        <w:tc>
          <w:tcPr>
            <w:tcW w:w="0" w:type="auto"/>
            <w:hideMark/>
          </w:tcPr>
          <w:p w14:paraId="38E408BC"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Выраженная ротационная устойчивость; возможность имплантации укороченных бедренных компонентов; отсутствие необходимости в модульных системах</w:t>
            </w:r>
          </w:p>
        </w:tc>
      </w:tr>
      <w:tr w:rsidR="00F05D0E" w:rsidRPr="00185BC0" w14:paraId="5834A0F3" w14:textId="77777777" w:rsidTr="00FB6563">
        <w:tc>
          <w:tcPr>
            <w:tcW w:w="1811" w:type="dxa"/>
            <w:hideMark/>
          </w:tcPr>
          <w:p w14:paraId="0B039B15"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Отрицательные стороны метода</w:t>
            </w:r>
          </w:p>
        </w:tc>
        <w:tc>
          <w:tcPr>
            <w:tcW w:w="1928" w:type="dxa"/>
            <w:hideMark/>
          </w:tcPr>
          <w:p w14:paraId="24612EDA"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Вероятность ротационной нестабильности; необходимость дополнительной фиксации; риск </w:t>
            </w:r>
            <w:proofErr w:type="spellStart"/>
            <w:r w:rsidRPr="00185BC0">
              <w:rPr>
                <w:sz w:val="20"/>
                <w:szCs w:val="20"/>
                <w:lang w:eastAsia="ru-RU"/>
              </w:rPr>
              <w:t>несращения</w:t>
            </w:r>
            <w:proofErr w:type="spellEnd"/>
          </w:p>
        </w:tc>
        <w:tc>
          <w:tcPr>
            <w:tcW w:w="1953" w:type="dxa"/>
            <w:hideMark/>
          </w:tcPr>
          <w:p w14:paraId="3F4F19D7"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Высокие требования к предоперационному планированию; возможная потребность в дополнительной фиксации</w:t>
            </w:r>
          </w:p>
        </w:tc>
        <w:tc>
          <w:tcPr>
            <w:tcW w:w="1830" w:type="dxa"/>
            <w:hideMark/>
          </w:tcPr>
          <w:p w14:paraId="589F333B"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Техническая сложность; увеличение времени операции; необходимость специальной подготовки хирурга</w:t>
            </w:r>
          </w:p>
        </w:tc>
        <w:tc>
          <w:tcPr>
            <w:tcW w:w="0" w:type="auto"/>
            <w:hideMark/>
          </w:tcPr>
          <w:p w14:paraId="6E7D4E60"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Ограниченный спектр применения; сложность </w:t>
            </w:r>
            <w:proofErr w:type="spellStart"/>
            <w:r w:rsidRPr="00185BC0">
              <w:rPr>
                <w:sz w:val="20"/>
                <w:szCs w:val="20"/>
                <w:lang w:eastAsia="ru-RU"/>
              </w:rPr>
              <w:t>интраоперационной</w:t>
            </w:r>
            <w:proofErr w:type="spellEnd"/>
            <w:r w:rsidRPr="00185BC0">
              <w:rPr>
                <w:sz w:val="20"/>
                <w:szCs w:val="20"/>
                <w:lang w:eastAsia="ru-RU"/>
              </w:rPr>
              <w:t xml:space="preserve"> коррекции; высокая техническая трудоёмкость</w:t>
            </w:r>
          </w:p>
        </w:tc>
      </w:tr>
      <w:tr w:rsidR="00F05D0E" w:rsidRPr="00185BC0" w14:paraId="2F09EC5F" w14:textId="77777777" w:rsidTr="00FB6563">
        <w:tc>
          <w:tcPr>
            <w:tcW w:w="1811" w:type="dxa"/>
            <w:hideMark/>
          </w:tcPr>
          <w:p w14:paraId="760F6FA7"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Средние сроки костного сращения</w:t>
            </w:r>
          </w:p>
        </w:tc>
        <w:tc>
          <w:tcPr>
            <w:tcW w:w="1928" w:type="dxa"/>
            <w:hideMark/>
          </w:tcPr>
          <w:p w14:paraId="493B50A7"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Около 10 месяцев</w:t>
            </w:r>
          </w:p>
        </w:tc>
        <w:tc>
          <w:tcPr>
            <w:tcW w:w="1953" w:type="dxa"/>
            <w:hideMark/>
          </w:tcPr>
          <w:p w14:paraId="03920198"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 среднем 3,7 месяца</w:t>
            </w:r>
          </w:p>
        </w:tc>
        <w:tc>
          <w:tcPr>
            <w:tcW w:w="1830" w:type="dxa"/>
            <w:hideMark/>
          </w:tcPr>
          <w:p w14:paraId="1353DF6A"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Около 3,5 месяца</w:t>
            </w:r>
          </w:p>
        </w:tc>
        <w:tc>
          <w:tcPr>
            <w:tcW w:w="0" w:type="auto"/>
            <w:hideMark/>
          </w:tcPr>
          <w:p w14:paraId="13AEAC05"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 пределах 3,5–4 месяцев</w:t>
            </w:r>
          </w:p>
        </w:tc>
      </w:tr>
      <w:tr w:rsidR="00F05D0E" w:rsidRPr="00185BC0" w14:paraId="2C06108C" w14:textId="77777777" w:rsidTr="00FB6563">
        <w:tc>
          <w:tcPr>
            <w:tcW w:w="1811" w:type="dxa"/>
            <w:hideMark/>
          </w:tcPr>
          <w:p w14:paraId="2ABDC6F7"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Неврологические осложнения</w:t>
            </w:r>
          </w:p>
        </w:tc>
        <w:tc>
          <w:tcPr>
            <w:tcW w:w="1928" w:type="dxa"/>
            <w:hideMark/>
          </w:tcPr>
          <w:p w14:paraId="4D86AC06"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Отмечаются крайне редко</w:t>
            </w:r>
          </w:p>
        </w:tc>
        <w:tc>
          <w:tcPr>
            <w:tcW w:w="1953" w:type="dxa"/>
            <w:hideMark/>
          </w:tcPr>
          <w:p w14:paraId="42824828"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Как правило, отсутствуют</w:t>
            </w:r>
          </w:p>
        </w:tc>
        <w:tc>
          <w:tcPr>
            <w:tcW w:w="1830" w:type="dxa"/>
            <w:hideMark/>
          </w:tcPr>
          <w:p w14:paraId="1B17088A"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Возможны парезы или паралич седалищного нерва</w:t>
            </w:r>
          </w:p>
        </w:tc>
        <w:tc>
          <w:tcPr>
            <w:tcW w:w="0" w:type="auto"/>
            <w:hideMark/>
          </w:tcPr>
          <w:p w14:paraId="5DAF6016"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Паралитические осложнения чаще наблюдаются у пациентов с вывихом</w:t>
            </w:r>
          </w:p>
        </w:tc>
      </w:tr>
      <w:tr w:rsidR="00F05D0E" w:rsidRPr="00185BC0" w14:paraId="4FAD6A06" w14:textId="77777777" w:rsidTr="00FB6563">
        <w:tc>
          <w:tcPr>
            <w:tcW w:w="1811" w:type="dxa"/>
            <w:hideMark/>
          </w:tcPr>
          <w:p w14:paraId="7FB59B8E"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Частота повторных вмешательств и осложнений</w:t>
            </w:r>
          </w:p>
        </w:tc>
        <w:tc>
          <w:tcPr>
            <w:tcW w:w="1928" w:type="dxa"/>
            <w:hideMark/>
          </w:tcPr>
          <w:p w14:paraId="751D8879"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Зарегистрировано 5 ревизий и 2 случая </w:t>
            </w:r>
            <w:proofErr w:type="spellStart"/>
            <w:r w:rsidRPr="00185BC0">
              <w:rPr>
                <w:sz w:val="20"/>
                <w:szCs w:val="20"/>
                <w:lang w:eastAsia="ru-RU"/>
              </w:rPr>
              <w:t>несращения</w:t>
            </w:r>
            <w:proofErr w:type="spellEnd"/>
          </w:p>
        </w:tc>
        <w:tc>
          <w:tcPr>
            <w:tcW w:w="1953" w:type="dxa"/>
            <w:hideMark/>
          </w:tcPr>
          <w:p w14:paraId="09098DC2"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Низкая частота </w:t>
            </w:r>
            <w:proofErr w:type="spellStart"/>
            <w:r w:rsidRPr="00185BC0">
              <w:rPr>
                <w:sz w:val="20"/>
                <w:szCs w:val="20"/>
                <w:lang w:eastAsia="ru-RU"/>
              </w:rPr>
              <w:t>несращений</w:t>
            </w:r>
            <w:proofErr w:type="spellEnd"/>
          </w:p>
        </w:tc>
        <w:tc>
          <w:tcPr>
            <w:tcW w:w="1830" w:type="dxa"/>
            <w:hideMark/>
          </w:tcPr>
          <w:p w14:paraId="4E90126F" w14:textId="425315F5"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Выполнено 7 повторных вмешательств по поводу осложнений (парезы, </w:t>
            </w:r>
            <w:proofErr w:type="spellStart"/>
            <w:r w:rsidRPr="00185BC0">
              <w:rPr>
                <w:sz w:val="20"/>
                <w:szCs w:val="20"/>
                <w:lang w:eastAsia="ru-RU"/>
              </w:rPr>
              <w:t>нфекция</w:t>
            </w:r>
            <w:proofErr w:type="spellEnd"/>
            <w:r w:rsidRPr="00185BC0">
              <w:rPr>
                <w:sz w:val="20"/>
                <w:szCs w:val="20"/>
                <w:lang w:eastAsia="ru-RU"/>
              </w:rPr>
              <w:t>)</w:t>
            </w:r>
          </w:p>
        </w:tc>
        <w:tc>
          <w:tcPr>
            <w:tcW w:w="0" w:type="auto"/>
            <w:hideMark/>
          </w:tcPr>
          <w:p w14:paraId="082006B1"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Общая частота осложнений составляет 17–28% (параличи, переломы, </w:t>
            </w:r>
            <w:proofErr w:type="spellStart"/>
            <w:r w:rsidRPr="00185BC0">
              <w:rPr>
                <w:sz w:val="20"/>
                <w:szCs w:val="20"/>
                <w:lang w:eastAsia="ru-RU"/>
              </w:rPr>
              <w:t>несращения</w:t>
            </w:r>
            <w:proofErr w:type="spellEnd"/>
            <w:r w:rsidRPr="00185BC0">
              <w:rPr>
                <w:sz w:val="20"/>
                <w:szCs w:val="20"/>
                <w:lang w:eastAsia="ru-RU"/>
              </w:rPr>
              <w:t>)</w:t>
            </w:r>
          </w:p>
        </w:tc>
      </w:tr>
      <w:tr w:rsidR="00F05D0E" w:rsidRPr="00185BC0" w14:paraId="42E55F50" w14:textId="77777777" w:rsidTr="00FB6563">
        <w:tc>
          <w:tcPr>
            <w:tcW w:w="1811" w:type="dxa"/>
            <w:hideMark/>
          </w:tcPr>
          <w:p w14:paraId="4AC94B16"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Метод фиксации зоны остеотомии</w:t>
            </w:r>
          </w:p>
        </w:tc>
        <w:tc>
          <w:tcPr>
            <w:tcW w:w="1928" w:type="dxa"/>
            <w:hideMark/>
          </w:tcPr>
          <w:p w14:paraId="27525BD7"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Кабельная фиксация, спицы или пластины</w:t>
            </w:r>
          </w:p>
        </w:tc>
        <w:tc>
          <w:tcPr>
            <w:tcW w:w="1953" w:type="dxa"/>
            <w:hideMark/>
          </w:tcPr>
          <w:p w14:paraId="1D9A2093"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Фиксация не требуется либо используется кабель</w:t>
            </w:r>
          </w:p>
        </w:tc>
        <w:tc>
          <w:tcPr>
            <w:tcW w:w="1830" w:type="dxa"/>
            <w:hideMark/>
          </w:tcPr>
          <w:p w14:paraId="3CE0563C"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Костные распорки в сочетании с кабельной фиксацией</w:t>
            </w:r>
          </w:p>
        </w:tc>
        <w:tc>
          <w:tcPr>
            <w:tcW w:w="0" w:type="auto"/>
            <w:hideMark/>
          </w:tcPr>
          <w:p w14:paraId="0559036F"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Кабель применяется эпизодически, чаще фиксация не требуется</w:t>
            </w:r>
          </w:p>
        </w:tc>
      </w:tr>
      <w:tr w:rsidR="00F05D0E" w:rsidRPr="00185BC0" w14:paraId="77D76CAA" w14:textId="77777777" w:rsidTr="00FB6563">
        <w:tc>
          <w:tcPr>
            <w:tcW w:w="1811" w:type="dxa"/>
            <w:hideMark/>
          </w:tcPr>
          <w:p w14:paraId="74865D6C"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Используемые типы бедренных компонентов</w:t>
            </w:r>
          </w:p>
        </w:tc>
        <w:tc>
          <w:tcPr>
            <w:tcW w:w="1928" w:type="dxa"/>
            <w:hideMark/>
          </w:tcPr>
          <w:p w14:paraId="61BADE83"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Стандартные либо модульные</w:t>
            </w:r>
          </w:p>
        </w:tc>
        <w:tc>
          <w:tcPr>
            <w:tcW w:w="1953" w:type="dxa"/>
            <w:hideMark/>
          </w:tcPr>
          <w:p w14:paraId="58F71F2E"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Модульные системы (S-ROM)</w:t>
            </w:r>
          </w:p>
        </w:tc>
        <w:tc>
          <w:tcPr>
            <w:tcW w:w="1830" w:type="dxa"/>
            <w:hideMark/>
          </w:tcPr>
          <w:p w14:paraId="1B740E84"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Цилиндрический моноблочный компонент</w:t>
            </w:r>
          </w:p>
        </w:tc>
        <w:tc>
          <w:tcPr>
            <w:tcW w:w="0" w:type="auto"/>
            <w:hideMark/>
          </w:tcPr>
          <w:p w14:paraId="4E5D9985"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Укороченные модульные компоненты</w:t>
            </w:r>
          </w:p>
        </w:tc>
      </w:tr>
      <w:tr w:rsidR="00F05D0E" w:rsidRPr="00185BC0" w14:paraId="2DBBD87F" w14:textId="77777777" w:rsidTr="00FB6563">
        <w:tc>
          <w:tcPr>
            <w:tcW w:w="1811" w:type="dxa"/>
            <w:hideMark/>
          </w:tcPr>
          <w:p w14:paraId="1E709E6F"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Сложность хирургического вмешательства</w:t>
            </w:r>
          </w:p>
        </w:tc>
        <w:tc>
          <w:tcPr>
            <w:tcW w:w="1928" w:type="dxa"/>
            <w:hideMark/>
          </w:tcPr>
          <w:p w14:paraId="617AD8B8"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Низкая</w:t>
            </w:r>
          </w:p>
        </w:tc>
        <w:tc>
          <w:tcPr>
            <w:tcW w:w="1953" w:type="dxa"/>
            <w:hideMark/>
          </w:tcPr>
          <w:p w14:paraId="40D9073A"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Средняя</w:t>
            </w:r>
          </w:p>
        </w:tc>
        <w:tc>
          <w:tcPr>
            <w:tcW w:w="1830" w:type="dxa"/>
            <w:hideMark/>
          </w:tcPr>
          <w:p w14:paraId="60F703A0"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Высокая</w:t>
            </w:r>
          </w:p>
        </w:tc>
        <w:tc>
          <w:tcPr>
            <w:tcW w:w="0" w:type="auto"/>
            <w:hideMark/>
          </w:tcPr>
          <w:p w14:paraId="7F52FCDE"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Высокая</w:t>
            </w:r>
          </w:p>
        </w:tc>
      </w:tr>
      <w:tr w:rsidR="00F05D0E" w:rsidRPr="00185BC0" w14:paraId="370ECA16" w14:textId="77777777" w:rsidTr="00FB6563">
        <w:tc>
          <w:tcPr>
            <w:tcW w:w="1811" w:type="dxa"/>
            <w:hideMark/>
          </w:tcPr>
          <w:p w14:paraId="1A6D3FC1"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Ротационная устойчивость конструкции</w:t>
            </w:r>
          </w:p>
        </w:tc>
        <w:tc>
          <w:tcPr>
            <w:tcW w:w="1928" w:type="dxa"/>
            <w:hideMark/>
          </w:tcPr>
          <w:p w14:paraId="6C338AC1"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Низкая, требует дополнительной стабилизации</w:t>
            </w:r>
          </w:p>
        </w:tc>
        <w:tc>
          <w:tcPr>
            <w:tcW w:w="1953" w:type="dxa"/>
            <w:hideMark/>
          </w:tcPr>
          <w:p w14:paraId="105EFE6F"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Более высокая за счёт увеличенной площади контакта</w:t>
            </w:r>
          </w:p>
        </w:tc>
        <w:tc>
          <w:tcPr>
            <w:tcW w:w="1830" w:type="dxa"/>
            <w:hideMark/>
          </w:tcPr>
          <w:p w14:paraId="2753A697"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Высокая</w:t>
            </w:r>
          </w:p>
        </w:tc>
        <w:tc>
          <w:tcPr>
            <w:tcW w:w="0" w:type="auto"/>
            <w:hideMark/>
          </w:tcPr>
          <w:p w14:paraId="4F2AC685"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Высокая</w:t>
            </w:r>
          </w:p>
        </w:tc>
      </w:tr>
      <w:tr w:rsidR="00F05D0E" w:rsidRPr="00185BC0" w14:paraId="669AFB3C" w14:textId="77777777" w:rsidTr="00FB6563">
        <w:tc>
          <w:tcPr>
            <w:tcW w:w="1811" w:type="dxa"/>
            <w:hideMark/>
          </w:tcPr>
          <w:p w14:paraId="4D6B8BCD" w14:textId="77777777" w:rsidR="00A3675E" w:rsidRPr="00185BC0" w:rsidRDefault="00A3675E" w:rsidP="00F05D0E">
            <w:pPr>
              <w:widowControl/>
              <w:autoSpaceDE/>
              <w:autoSpaceDN/>
              <w:jc w:val="both"/>
              <w:rPr>
                <w:sz w:val="20"/>
                <w:szCs w:val="20"/>
                <w:lang w:eastAsia="ru-RU"/>
              </w:rPr>
            </w:pPr>
            <w:r w:rsidRPr="00185BC0">
              <w:rPr>
                <w:b/>
                <w:bCs/>
                <w:sz w:val="20"/>
                <w:szCs w:val="20"/>
                <w:lang w:eastAsia="ru-RU"/>
              </w:rPr>
              <w:t>Клинические показания</w:t>
            </w:r>
          </w:p>
        </w:tc>
        <w:tc>
          <w:tcPr>
            <w:tcW w:w="1928" w:type="dxa"/>
            <w:hideMark/>
          </w:tcPr>
          <w:p w14:paraId="31DF2133"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 xml:space="preserve">Выраженная </w:t>
            </w:r>
            <w:proofErr w:type="spellStart"/>
            <w:r w:rsidRPr="00185BC0">
              <w:rPr>
                <w:sz w:val="20"/>
                <w:szCs w:val="20"/>
                <w:lang w:eastAsia="ru-RU"/>
              </w:rPr>
              <w:t>антеверсия</w:t>
            </w:r>
            <w:proofErr w:type="spellEnd"/>
            <w:r w:rsidRPr="00185BC0">
              <w:rPr>
                <w:sz w:val="20"/>
                <w:szCs w:val="20"/>
                <w:lang w:eastAsia="ru-RU"/>
              </w:rPr>
              <w:t>; удобный хирургический доступ</w:t>
            </w:r>
          </w:p>
        </w:tc>
        <w:tc>
          <w:tcPr>
            <w:tcW w:w="1953" w:type="dxa"/>
            <w:hideMark/>
          </w:tcPr>
          <w:p w14:paraId="58096051"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Ротационные деформации при сохранённом костном резерве</w:t>
            </w:r>
          </w:p>
        </w:tc>
        <w:tc>
          <w:tcPr>
            <w:tcW w:w="1830" w:type="dxa"/>
            <w:hideMark/>
          </w:tcPr>
          <w:p w14:paraId="7AC0E581"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Нестабильность после ранее выполненных остеотомий</w:t>
            </w:r>
          </w:p>
        </w:tc>
        <w:tc>
          <w:tcPr>
            <w:tcW w:w="0" w:type="auto"/>
            <w:hideMark/>
          </w:tcPr>
          <w:p w14:paraId="55317D26" w14:textId="77777777" w:rsidR="00A3675E" w:rsidRPr="00185BC0" w:rsidRDefault="00A3675E" w:rsidP="00F05D0E">
            <w:pPr>
              <w:widowControl/>
              <w:autoSpaceDE/>
              <w:autoSpaceDN/>
              <w:jc w:val="both"/>
              <w:rPr>
                <w:sz w:val="20"/>
                <w:szCs w:val="20"/>
                <w:lang w:eastAsia="ru-RU"/>
              </w:rPr>
            </w:pPr>
            <w:r w:rsidRPr="00185BC0">
              <w:rPr>
                <w:sz w:val="20"/>
                <w:szCs w:val="20"/>
                <w:lang w:eastAsia="ru-RU"/>
              </w:rPr>
              <w:t>Деформации и нестабильность при использовании коротких ножек</w:t>
            </w:r>
          </w:p>
        </w:tc>
      </w:tr>
      <w:tr w:rsidR="00F05D0E" w:rsidRPr="00185BC0" w14:paraId="7C9609F3" w14:textId="77777777" w:rsidTr="00FB6563">
        <w:tc>
          <w:tcPr>
            <w:tcW w:w="1811" w:type="dxa"/>
            <w:hideMark/>
          </w:tcPr>
          <w:p w14:paraId="62A5243B" w14:textId="77777777" w:rsidR="00A3675E" w:rsidRPr="00185BC0" w:rsidRDefault="00A3675E" w:rsidP="00A3675E">
            <w:pPr>
              <w:widowControl/>
              <w:autoSpaceDE/>
              <w:autoSpaceDN/>
              <w:rPr>
                <w:sz w:val="20"/>
                <w:szCs w:val="20"/>
                <w:lang w:eastAsia="ru-RU"/>
              </w:rPr>
            </w:pPr>
            <w:r w:rsidRPr="00185BC0">
              <w:rPr>
                <w:b/>
                <w:bCs/>
                <w:sz w:val="20"/>
                <w:szCs w:val="20"/>
                <w:lang w:eastAsia="ru-RU"/>
              </w:rPr>
              <w:t>Факторы, ограничивающие применение</w:t>
            </w:r>
          </w:p>
        </w:tc>
        <w:tc>
          <w:tcPr>
            <w:tcW w:w="1928" w:type="dxa"/>
            <w:hideMark/>
          </w:tcPr>
          <w:p w14:paraId="746BD9CD" w14:textId="77777777" w:rsidR="00A3675E" w:rsidRPr="00185BC0" w:rsidRDefault="00A3675E" w:rsidP="00A3675E">
            <w:pPr>
              <w:widowControl/>
              <w:autoSpaceDE/>
              <w:autoSpaceDN/>
              <w:rPr>
                <w:sz w:val="20"/>
                <w:szCs w:val="20"/>
                <w:lang w:eastAsia="ru-RU"/>
              </w:rPr>
            </w:pPr>
            <w:r w:rsidRPr="00185BC0">
              <w:rPr>
                <w:sz w:val="20"/>
                <w:szCs w:val="20"/>
                <w:lang w:eastAsia="ru-RU"/>
              </w:rPr>
              <w:t>Склонность к ротационной нестабильности</w:t>
            </w:r>
          </w:p>
        </w:tc>
        <w:tc>
          <w:tcPr>
            <w:tcW w:w="1953" w:type="dxa"/>
            <w:hideMark/>
          </w:tcPr>
          <w:p w14:paraId="688F7CAA" w14:textId="77777777" w:rsidR="00A3675E" w:rsidRPr="00185BC0" w:rsidRDefault="00A3675E" w:rsidP="00A3675E">
            <w:pPr>
              <w:widowControl/>
              <w:autoSpaceDE/>
              <w:autoSpaceDN/>
              <w:rPr>
                <w:sz w:val="20"/>
                <w:szCs w:val="20"/>
                <w:lang w:eastAsia="ru-RU"/>
              </w:rPr>
            </w:pPr>
            <w:r w:rsidRPr="00185BC0">
              <w:rPr>
                <w:sz w:val="20"/>
                <w:szCs w:val="20"/>
                <w:lang w:eastAsia="ru-RU"/>
              </w:rPr>
              <w:t>Необходимость высокой точности выполнения</w:t>
            </w:r>
          </w:p>
        </w:tc>
        <w:tc>
          <w:tcPr>
            <w:tcW w:w="1830" w:type="dxa"/>
            <w:hideMark/>
          </w:tcPr>
          <w:p w14:paraId="63AE74E0" w14:textId="77777777" w:rsidR="00A3675E" w:rsidRPr="00185BC0" w:rsidRDefault="00A3675E" w:rsidP="00A3675E">
            <w:pPr>
              <w:widowControl/>
              <w:autoSpaceDE/>
              <w:autoSpaceDN/>
              <w:rPr>
                <w:sz w:val="20"/>
                <w:szCs w:val="20"/>
                <w:lang w:eastAsia="ru-RU"/>
              </w:rPr>
            </w:pPr>
            <w:r w:rsidRPr="00185BC0">
              <w:rPr>
                <w:sz w:val="20"/>
                <w:szCs w:val="20"/>
                <w:lang w:eastAsia="ru-RU"/>
              </w:rPr>
              <w:t>Длительный период обучения</w:t>
            </w:r>
          </w:p>
        </w:tc>
        <w:tc>
          <w:tcPr>
            <w:tcW w:w="0" w:type="auto"/>
            <w:hideMark/>
          </w:tcPr>
          <w:p w14:paraId="36C69D87" w14:textId="77777777" w:rsidR="00A3675E" w:rsidRPr="00185BC0" w:rsidRDefault="00A3675E" w:rsidP="00A3675E">
            <w:pPr>
              <w:widowControl/>
              <w:autoSpaceDE/>
              <w:autoSpaceDN/>
              <w:rPr>
                <w:sz w:val="20"/>
                <w:szCs w:val="20"/>
                <w:lang w:eastAsia="ru-RU"/>
              </w:rPr>
            </w:pPr>
            <w:r w:rsidRPr="00185BC0">
              <w:rPr>
                <w:sz w:val="20"/>
                <w:szCs w:val="20"/>
                <w:lang w:eastAsia="ru-RU"/>
              </w:rPr>
              <w:t>Зависимость от шаблонов; ограниченная универсальность метода</w:t>
            </w:r>
          </w:p>
        </w:tc>
      </w:tr>
    </w:tbl>
    <w:p w14:paraId="61839945" w14:textId="537C9EE5" w:rsidR="001C3DE8" w:rsidRPr="00185BC0" w:rsidRDefault="00F05D0E" w:rsidP="001C3DE8">
      <w:pPr>
        <w:ind w:firstLine="709"/>
        <w:jc w:val="both"/>
        <w:rPr>
          <w:sz w:val="28"/>
          <w:szCs w:val="28"/>
        </w:rPr>
      </w:pPr>
      <w:r w:rsidRPr="00185BC0">
        <w:rPr>
          <w:sz w:val="28"/>
          <w:szCs w:val="28"/>
        </w:rPr>
        <w:lastRenderedPageBreak/>
        <w:t xml:space="preserve">Результаты исследования указывают на необходимость дифференцированного подхода к выбору метода </w:t>
      </w:r>
      <w:proofErr w:type="spellStart"/>
      <w:r w:rsidRPr="00185BC0">
        <w:rPr>
          <w:sz w:val="28"/>
          <w:szCs w:val="28"/>
        </w:rPr>
        <w:t>подвертельной</w:t>
      </w:r>
      <w:proofErr w:type="spellEnd"/>
      <w:r w:rsidRPr="00185BC0">
        <w:rPr>
          <w:sz w:val="28"/>
          <w:szCs w:val="28"/>
        </w:rPr>
        <w:t xml:space="preserve"> остеотомии, поскольку каждая техника обладает специфическими преимуществами и ограничениями применения.</w:t>
      </w:r>
      <w:r w:rsidR="001C3DE8" w:rsidRPr="00185BC0">
        <w:rPr>
          <w:sz w:val="28"/>
          <w:szCs w:val="28"/>
        </w:rPr>
        <w:t xml:space="preserve"> Поперечная остеотомия остаётся наиболее распространённым методом вследствие технической простоты и меньшей продолжительности операции, тогда как Z-образная, косая и двойная шевронная остеотомии обеспечивают более высокую ротационную стабильность, но требу</w:t>
      </w:r>
      <w:r w:rsidR="00947B82" w:rsidRPr="00185BC0">
        <w:rPr>
          <w:sz w:val="28"/>
          <w:szCs w:val="28"/>
          <w:lang w:val="kk-KZ"/>
        </w:rPr>
        <w:t>е</w:t>
      </w:r>
      <w:r w:rsidR="001C3DE8" w:rsidRPr="00185BC0">
        <w:rPr>
          <w:sz w:val="28"/>
          <w:szCs w:val="28"/>
        </w:rPr>
        <w:t>т большего опыта и более сложного исполнения. Это подчёркивает необходимость индивидуального выбора техники с учётом анатомических особенностей пациента и целей хирургической коррекции.</w:t>
      </w:r>
    </w:p>
    <w:p w14:paraId="433DA45E" w14:textId="6F1B8305" w:rsidR="001C3DE8" w:rsidRPr="00185BC0" w:rsidRDefault="001C3DE8" w:rsidP="001C3DE8">
      <w:pPr>
        <w:ind w:firstLine="709"/>
        <w:jc w:val="both"/>
        <w:rPr>
          <w:sz w:val="28"/>
          <w:szCs w:val="28"/>
        </w:rPr>
      </w:pPr>
      <w:r w:rsidRPr="00185BC0">
        <w:rPr>
          <w:sz w:val="28"/>
          <w:szCs w:val="28"/>
        </w:rPr>
        <w:t xml:space="preserve">Несмотря на широкий спектр модификаций </w:t>
      </w:r>
      <w:proofErr w:type="spellStart"/>
      <w:r w:rsidRPr="00185BC0">
        <w:rPr>
          <w:sz w:val="28"/>
          <w:szCs w:val="28"/>
        </w:rPr>
        <w:t>подвертельных</w:t>
      </w:r>
      <w:proofErr w:type="spellEnd"/>
      <w:r w:rsidRPr="00185BC0">
        <w:rPr>
          <w:sz w:val="28"/>
          <w:szCs w:val="28"/>
        </w:rPr>
        <w:t xml:space="preserve"> остеотомий, оптимальная фиксация зоны остеотомии остаётся одной из наиболее сложных задач. Традиционные методы остеосинтеза демонстрируют различную степень стабильности и нередко сопровождаются риском ротационной нестабильности, </w:t>
      </w:r>
      <w:proofErr w:type="spellStart"/>
      <w:r w:rsidRPr="00185BC0">
        <w:rPr>
          <w:sz w:val="28"/>
          <w:szCs w:val="28"/>
        </w:rPr>
        <w:t>несращения</w:t>
      </w:r>
      <w:proofErr w:type="spellEnd"/>
      <w:r w:rsidRPr="00185BC0">
        <w:rPr>
          <w:sz w:val="28"/>
          <w:szCs w:val="28"/>
        </w:rPr>
        <w:t xml:space="preserve"> или необходимостью дополнительной фиксации. Дополнительную сложность создаёт наличие бедренной ножки эндопротеза, частично заполняющей костномозговой канал и ограничивающей </w:t>
      </w:r>
      <w:proofErr w:type="spellStart"/>
      <w:r w:rsidRPr="00185BC0">
        <w:rPr>
          <w:sz w:val="28"/>
          <w:szCs w:val="28"/>
        </w:rPr>
        <w:t>возможност</w:t>
      </w:r>
      <w:proofErr w:type="spellEnd"/>
      <w:r w:rsidR="00947B82" w:rsidRPr="00185BC0">
        <w:rPr>
          <w:sz w:val="28"/>
          <w:szCs w:val="28"/>
          <w:lang w:val="kk-KZ"/>
        </w:rPr>
        <w:t>ь</w:t>
      </w:r>
      <w:r w:rsidRPr="00185BC0">
        <w:rPr>
          <w:sz w:val="28"/>
          <w:szCs w:val="28"/>
        </w:rPr>
        <w:t xml:space="preserve"> проведения винтов и других элементов фиксации. Эти особенности подчёркивают необходимость совершенствования существующих подходов и разработки более надёжных конструкций, обеспечивающих устойчивую и предсказуемую стабилизацию зоны остеотомии.</w:t>
      </w:r>
    </w:p>
    <w:p w14:paraId="78A14E90" w14:textId="1B153EF2" w:rsidR="0077286A" w:rsidRPr="00185BC0" w:rsidRDefault="00104B67" w:rsidP="00104B67">
      <w:pPr>
        <w:ind w:firstLine="709"/>
        <w:jc w:val="both"/>
        <w:rPr>
          <w:sz w:val="28"/>
          <w:szCs w:val="28"/>
          <w:lang w:val="tr-TR"/>
        </w:rPr>
      </w:pPr>
      <w:r w:rsidRPr="00185BC0">
        <w:rPr>
          <w:sz w:val="28"/>
          <w:szCs w:val="28"/>
        </w:rPr>
        <w:t xml:space="preserve">За последнее десятилетие в клинической практике сформировался широкий спектр методов фиксации зоны </w:t>
      </w:r>
      <w:proofErr w:type="spellStart"/>
      <w:r w:rsidRPr="00185BC0">
        <w:rPr>
          <w:sz w:val="28"/>
          <w:szCs w:val="28"/>
        </w:rPr>
        <w:t>подвертельной</w:t>
      </w:r>
      <w:proofErr w:type="spellEnd"/>
      <w:r w:rsidRPr="00185BC0">
        <w:rPr>
          <w:sz w:val="28"/>
          <w:szCs w:val="28"/>
        </w:rPr>
        <w:t xml:space="preserve"> остеотомии, включающий </w:t>
      </w:r>
      <w:proofErr w:type="spellStart"/>
      <w:r w:rsidRPr="00185BC0">
        <w:rPr>
          <w:sz w:val="28"/>
          <w:szCs w:val="28"/>
        </w:rPr>
        <w:t>серкляжные</w:t>
      </w:r>
      <w:proofErr w:type="spellEnd"/>
      <w:r w:rsidRPr="00185BC0">
        <w:rPr>
          <w:sz w:val="28"/>
          <w:szCs w:val="28"/>
        </w:rPr>
        <w:t xml:space="preserve"> системы, пластины с кортикальными винтами, а также применение кортикальных костных трансплантатов (аутогенных или аллогенных, накостных и </w:t>
      </w:r>
      <w:proofErr w:type="spellStart"/>
      <w:r w:rsidRPr="00185BC0">
        <w:rPr>
          <w:sz w:val="28"/>
          <w:szCs w:val="28"/>
        </w:rPr>
        <w:t>интеркалярных</w:t>
      </w:r>
      <w:proofErr w:type="spellEnd"/>
      <w:r w:rsidRPr="00185BC0">
        <w:rPr>
          <w:sz w:val="28"/>
          <w:szCs w:val="28"/>
        </w:rPr>
        <w:t>), нередко в комбинированных вариантах</w:t>
      </w:r>
      <w:r w:rsidR="000560F0" w:rsidRPr="00185BC0">
        <w:rPr>
          <w:sz w:val="28"/>
          <w:szCs w:val="28"/>
        </w:rPr>
        <w:t xml:space="preserve"> </w:t>
      </w:r>
      <w:r w:rsidR="000560F0" w:rsidRPr="00185BC0">
        <w:rPr>
          <w:sz w:val="28"/>
          <w:szCs w:val="28"/>
        </w:rPr>
        <w:fldChar w:fldCharType="begin" w:fldLock="1"/>
      </w:r>
      <w:r w:rsidR="001D29A3" w:rsidRPr="00185BC0">
        <w:rPr>
          <w:sz w:val="28"/>
          <w:szCs w:val="28"/>
        </w:rPr>
        <w:instrText>ADDIN CSL_CITATION {"citationItems":[{"id":"ITEM-1","itemData":{"DOI":"10.4103/ortho.IJOrtho_445_16","ISSN":"19983727","abstract":"Background: Crowe type IV developmental dysplasia of hip (DDH), subtrochanteric shortening osteotomy is required to restore the hip joint. Several approaches have been described for subtrochanteric shortening osteotomy. Several osteotomy fixation techniques have been defined for Crowe type IV DDH. This study evaluates the outcomes of subtrochanteric shortening osteotomy fixed with a combination of split onlay autograft and distal fluted femoral stem. Materials and Methods: A retrospective study was carried out on 41 hips of 37 patients treated with total hip replacement for Crowe type IV developmental dysplasia of the hip by subtrochanteric transverse osteotomy and fixed with split intercalary autograft by two cables. A femoral stem with proximal coated and distally fluted was used. The patients were evaluated at a mean of 34 months (range 12-68 months) for union time, leg equalization, and clinical outcomes. Results: Mean time of union was 13.5 ± 4.6 weeks (range 6-24 weeks). Intraoperative instability of the osteotomy site (n = 16) that was encountered at the trial stage was restored properly by this surgical protocol. Leg length discrepancies were improved to 1.4 ± 0.8 cm (range 0-3 cm). Harris scores were improved from 47.7 ± 10.8 (range 30-68) to 88 ± 5.6 (range 72-98) (P &lt; 0.05) points. There was no nonunion. Conclusions: Distally well-fitted stem and strengthening of fixation with split intercalary autograft promote additional rotational stability and improve bone union.","author":[{"dropping-particle":"","family":"Altay","given":"Murat","non-dropping-particle":"","parse-names":false,"suffix":""},{"dropping-particle":"","family":"Demirkale","given":"İsmail","non-dropping-particle":"","parse-names":false,"suffix":""},{"dropping-particle":"","family":"Çatma","given":"Mehmet Faruk","non-dropping-particle":"","parse-names":false,"suffix":""},{"dropping-particle":"","family":"Şeşen","given":"Hakan","non-dropping-particle":"","parse-names":false,"suffix":""},{"dropping-particle":"","family":"Ünlü","given":"Serhan","non-dropping-particle":"","parse-names":false,"suffix":""},{"dropping-particle":"","family":"Karaduman","given":"Mert","non-dropping-particle":"","parse-names":false,"suffix":""}],"container-title":"Indian Journal of Orthopaedics","id":"ITEM-1","issue":"4","issued":{"date-parts":[["2018"]]},"title":"Results of crowe Type IV developmental dysplasia of hip treated by subtrochantric osteotomy and total hip arthroplasty","type":"article-journal","volume":"52"},"uris":["http://www.mendeley.com/documents/?uuid=7a879c68-8899-3f1a-b3ff-1e9d6884ad27"]},{"id":"ITEM-2","itemData":{"DOI":"10.5606/EHC.2020.73078","ISSN":"26874792","abstract":"Objectives: This study aims to evaluate the efficacy of proximal humerus plate in the fixation of subtrochanteric femoral shortening osteotomy (SFSO) during total hip arthroplasty. Patients and methods: Thirty female patients (mean age 49.8 years; range, 22 to 68 years) who underwent hip arthroplasty with a SFSO and fixed with a proximal humerus plate between January 2014 and June 2018 were evaluated retrospectively. Rate of fracture healing, the number of fixed cortices at both sides of the osteotomy, and complications were documented. Results: The mean follow-up period was 28 months (range, 12-68 months). The average time to union was 106 days (range, 45-229 days). The mean number of cortices fixed in the proximal segment of the osteotomy was 6.2 (range, 4-9), and the mean number of cortices fixed in the distal segment of the osteotomy was 4.0 (range, 3-7). None of the patients had implant irritation or implant failure at the control visits. We observed only one non-union and our non-union rate was 3.3%. Conclusion: In conclusion, the use of a proximal humerus plate for the fixation of SFSO can be an alternative procedure for achieving adequate rotational stability until a solid union.","author":[{"dropping-particle":"","family":"Çaglar","given":"Ömür","non-dropping-particle":"","parse-names":false,"suffix":""},{"dropping-particle":"","family":"Özdemir","given":"Erdi","non-dropping-particle":"","parse-names":false,"suffix":""},{"dropping-particle":"","family":"Tokgözoglu","given":"Ahmet Mazhar","non-dropping-particle":"","parse-names":false,"suffix":""},{"dropping-particle":"","family":"Atilla","given":"Bülent","non-dropping-particle":"","parse-names":false,"suffix":""}],"container-title":"Joint Diseases and Related Surgery","id":"ITEM-2","issue":"2","issued":{"date-parts":[["2020"]]},"title":"Use of proximal humerus plates for the fixation of the subtrochanteric femoral shortening osteotomy during total hip arthroplasty for Crowe type IV developmental dysplasia of the hip patients","type":"article-journal","volume":"31"},"uris":["http://www.mendeley.com/documents/?uuid=b44842e0-89b4-372d-8c59-7d23cf760196"]},{"id":"ITEM-3","itemData":{"DOI":"10.2147/TCRM.S381885","ISSN":"1178203X","abstract":"Aim: Subtrochanteric shortening osteotomy (SSO) is often applied during total hip arthroplasty (THA) in high hip dislocations. The aim of the present paper was to evaluate the results of fixation by autogenous cortical plate technique on sites of SSO in THA for patients with Crowe type IV developmental dysplasia of the hip (DDH). Methods: We conducted a historical prospective cohort study and reviewed 67 patients (82 THAs) with SSO performed between March 2016 and May 2020. Thirty-nine patients (48 hips) obtained stability by intramedullary pressure provided by the S-ROM modular prostheses and with or without prophylactic binding by stainless-steel wire after osteotomy and before stem implantation (group A). Twenty-eight patients (34 hips) were fixed with autogenous cortical plate technique and stainless-steel wire or cables (group B). Time of operations, complications, radiographic results and clinical scores were compared. Results: One intraoperative fracture and a dislocation occurred, while component loosening, ectopic ossification and osteolysis were not observed. Group B had a higher union rate at the 4th month than group A (P = 0.015) while there were no significant differences of union rates at the 8th (P = 0.811) and the 12th month (P = 0.722) and of the average healing time (P = 0.181). No significant differences were found in hip function scores (HHS and WOMAC Osteoarthritis Index) between two groups. Conclusion: Fixation with autogenous cortical plate from the cylinder of femoral bone contributes to early bone union of osteotomy ends in Crowe type IV DDH patients compared to those who do not apply the technique. Besides of application of autogenous cortical strut grafts, relevant measures are as well recommended to prevent nonunion after SSO.","author":[{"dropping-particle":"","family":"Liu","given":"Yubo","non-dropping-particle":"","parse-names":false,"suffix":""},{"dropping-particle":"","family":"Zhang","given":"Shuai","non-dropping-particle":"","parse-names":false,"suffix":""},{"dropping-particle":"","family":"Li","given":"Chao","non-dropping-particle":"","parse-names":false,"suffix":""},{"dropping-particle":"","family":"Ma","given":"Mingyang","non-dropping-particle":"","parse-names":false,"suffix":""},{"dropping-particle":"","family":"Yang","given":"Minzhi","non-dropping-particle":"","parse-names":false,"suffix":""},{"dropping-particle":"","family":"Guo","given":"Renwen","non-dropping-particle":"","parse-names":false,"suffix":""},{"dropping-particle":"","family":"Kong","given":"Xiangpeng","non-dropping-particle":"","parse-names":false,"suffix":""},{"dropping-particle":"","family":"Chai","given":"Wei","non-dropping-particle":"","parse-names":false,"suffix":""}],"container-title":"Therapeutics and Clinical Risk Management","id":"ITEM-3","issued":{"date-parts":[["2022"]]},"title":"Fixation by Autogenous Cortical Plate Technique on Sites of Subtrochanteric Shortening Osteotomy Contributes to Early Bone Union in Total Hip Arthroplasty for Crowe Type IV Developmental Dysplasia of the Hip","type":"article-journal","volume":"18"},"uris":["http://www.mendeley.com/documents/?uuid=2cfac37c-9323-39f5-9043-4f45184340e5"]}],"mendeley":{"formattedCitation":"[18, 92, 93]","plainTextFormattedCitation":"[18, 92, 93]","previouslyFormattedCitation":"[18, 92, 93]"},"properties":{"noteIndex":0},"schema":"https://github.com/citation-style-language/schema/raw/master/csl-citation.json"}</w:instrText>
      </w:r>
      <w:r w:rsidR="000560F0" w:rsidRPr="00185BC0">
        <w:rPr>
          <w:sz w:val="28"/>
          <w:szCs w:val="28"/>
        </w:rPr>
        <w:fldChar w:fldCharType="separate"/>
      </w:r>
      <w:r w:rsidR="008A5983" w:rsidRPr="00185BC0">
        <w:rPr>
          <w:noProof/>
          <w:sz w:val="28"/>
          <w:szCs w:val="28"/>
        </w:rPr>
        <w:t>[18, 92, 93]</w:t>
      </w:r>
      <w:r w:rsidR="000560F0" w:rsidRPr="00185BC0">
        <w:rPr>
          <w:sz w:val="28"/>
          <w:szCs w:val="28"/>
        </w:rPr>
        <w:fldChar w:fldCharType="end"/>
      </w:r>
      <w:r w:rsidR="000560F0" w:rsidRPr="00185BC0">
        <w:rPr>
          <w:sz w:val="28"/>
          <w:szCs w:val="28"/>
        </w:rPr>
        <w:t xml:space="preserve">. </w:t>
      </w:r>
      <w:r w:rsidR="00E36C0F" w:rsidRPr="00185BC0">
        <w:rPr>
          <w:sz w:val="28"/>
          <w:szCs w:val="28"/>
          <w:lang w:val="tr-TR"/>
        </w:rPr>
        <w:t>Эти методы различаются по конструкции, принципам стабилизации и техническим возможностям, что определяет их выбор в зависимости от анатомических особенностей пациента и характера выполненной остеотомии. Сравнительная характеристика наиболее используемых методов представлена в таблице 2.</w:t>
      </w:r>
    </w:p>
    <w:p w14:paraId="146E6CE6" w14:textId="77777777" w:rsidR="00FB6563" w:rsidRPr="00185BC0" w:rsidRDefault="00FB6563" w:rsidP="00104B67">
      <w:pPr>
        <w:ind w:firstLine="567"/>
        <w:jc w:val="both"/>
        <w:rPr>
          <w:b/>
          <w:sz w:val="28"/>
          <w:szCs w:val="28"/>
          <w:lang w:val="kk-KZ"/>
        </w:rPr>
      </w:pPr>
    </w:p>
    <w:p w14:paraId="1EA59F3B" w14:textId="77777777" w:rsidR="00FB6563" w:rsidRPr="00185BC0" w:rsidRDefault="00FB6563" w:rsidP="00104B67">
      <w:pPr>
        <w:ind w:firstLine="567"/>
        <w:jc w:val="both"/>
        <w:rPr>
          <w:b/>
          <w:sz w:val="28"/>
          <w:szCs w:val="28"/>
          <w:lang w:val="kk-KZ"/>
        </w:rPr>
      </w:pPr>
    </w:p>
    <w:p w14:paraId="1BDA7618" w14:textId="77777777" w:rsidR="00FB6563" w:rsidRPr="00185BC0" w:rsidRDefault="00FB6563" w:rsidP="00104B67">
      <w:pPr>
        <w:ind w:firstLine="567"/>
        <w:jc w:val="both"/>
        <w:rPr>
          <w:b/>
          <w:sz w:val="28"/>
          <w:szCs w:val="28"/>
          <w:lang w:val="kk-KZ"/>
        </w:rPr>
      </w:pPr>
    </w:p>
    <w:p w14:paraId="108FE7F0" w14:textId="77777777" w:rsidR="00FB6563" w:rsidRPr="00185BC0" w:rsidRDefault="00FB6563" w:rsidP="00104B67">
      <w:pPr>
        <w:ind w:firstLine="567"/>
        <w:jc w:val="both"/>
        <w:rPr>
          <w:b/>
          <w:sz w:val="28"/>
          <w:szCs w:val="28"/>
          <w:lang w:val="kk-KZ"/>
        </w:rPr>
      </w:pPr>
    </w:p>
    <w:p w14:paraId="4DA5A046" w14:textId="77777777" w:rsidR="00FB6563" w:rsidRPr="00185BC0" w:rsidRDefault="00FB6563" w:rsidP="00104B67">
      <w:pPr>
        <w:ind w:firstLine="567"/>
        <w:jc w:val="both"/>
        <w:rPr>
          <w:b/>
          <w:sz w:val="28"/>
          <w:szCs w:val="28"/>
          <w:lang w:val="kk-KZ"/>
        </w:rPr>
      </w:pPr>
    </w:p>
    <w:p w14:paraId="07056AFC" w14:textId="77777777" w:rsidR="00FB6563" w:rsidRPr="00185BC0" w:rsidRDefault="00FB6563" w:rsidP="00104B67">
      <w:pPr>
        <w:ind w:firstLine="567"/>
        <w:jc w:val="both"/>
        <w:rPr>
          <w:b/>
          <w:sz w:val="28"/>
          <w:szCs w:val="28"/>
          <w:lang w:val="kk-KZ"/>
        </w:rPr>
      </w:pPr>
    </w:p>
    <w:p w14:paraId="1294EC99" w14:textId="77777777" w:rsidR="00FB6563" w:rsidRPr="00185BC0" w:rsidRDefault="00FB6563" w:rsidP="00104B67">
      <w:pPr>
        <w:ind w:firstLine="567"/>
        <w:jc w:val="both"/>
        <w:rPr>
          <w:b/>
          <w:sz w:val="28"/>
          <w:szCs w:val="28"/>
          <w:lang w:val="kk-KZ"/>
        </w:rPr>
      </w:pPr>
    </w:p>
    <w:p w14:paraId="5CC2691F" w14:textId="77777777" w:rsidR="00FB6563" w:rsidRPr="00185BC0" w:rsidRDefault="00FB6563" w:rsidP="00104B67">
      <w:pPr>
        <w:ind w:firstLine="567"/>
        <w:jc w:val="both"/>
        <w:rPr>
          <w:b/>
          <w:sz w:val="28"/>
          <w:szCs w:val="28"/>
          <w:lang w:val="kk-KZ"/>
        </w:rPr>
      </w:pPr>
    </w:p>
    <w:p w14:paraId="3F0A2D1D" w14:textId="77777777" w:rsidR="00FB6563" w:rsidRPr="00185BC0" w:rsidRDefault="00FB6563" w:rsidP="00104B67">
      <w:pPr>
        <w:ind w:firstLine="567"/>
        <w:jc w:val="both"/>
        <w:rPr>
          <w:b/>
          <w:sz w:val="28"/>
          <w:szCs w:val="28"/>
          <w:lang w:val="kk-KZ"/>
        </w:rPr>
      </w:pPr>
    </w:p>
    <w:p w14:paraId="135E6F27" w14:textId="77777777" w:rsidR="00FB6563" w:rsidRPr="00185BC0" w:rsidRDefault="00FB6563" w:rsidP="00104B67">
      <w:pPr>
        <w:ind w:firstLine="567"/>
        <w:jc w:val="both"/>
        <w:rPr>
          <w:b/>
          <w:sz w:val="28"/>
          <w:szCs w:val="28"/>
          <w:lang w:val="kk-KZ"/>
        </w:rPr>
      </w:pPr>
    </w:p>
    <w:p w14:paraId="718A9B5E" w14:textId="77777777" w:rsidR="00FB6563" w:rsidRPr="00185BC0" w:rsidRDefault="00FB6563" w:rsidP="00104B67">
      <w:pPr>
        <w:ind w:firstLine="567"/>
        <w:jc w:val="both"/>
        <w:rPr>
          <w:b/>
          <w:sz w:val="28"/>
          <w:szCs w:val="28"/>
          <w:lang w:val="kk-KZ"/>
        </w:rPr>
      </w:pPr>
    </w:p>
    <w:p w14:paraId="15A95FC7" w14:textId="77777777" w:rsidR="00FB6563" w:rsidRPr="00185BC0" w:rsidRDefault="00FB6563" w:rsidP="00104B67">
      <w:pPr>
        <w:ind w:firstLine="567"/>
        <w:jc w:val="both"/>
        <w:rPr>
          <w:b/>
          <w:sz w:val="28"/>
          <w:szCs w:val="28"/>
          <w:lang w:val="kk-KZ"/>
        </w:rPr>
      </w:pPr>
    </w:p>
    <w:p w14:paraId="37A17D6E" w14:textId="77777777" w:rsidR="00FB6563" w:rsidRPr="00185BC0" w:rsidRDefault="00FB6563" w:rsidP="00104B67">
      <w:pPr>
        <w:ind w:firstLine="567"/>
        <w:jc w:val="both"/>
        <w:rPr>
          <w:b/>
          <w:sz w:val="28"/>
          <w:szCs w:val="28"/>
          <w:lang w:val="kk-KZ"/>
        </w:rPr>
      </w:pPr>
    </w:p>
    <w:p w14:paraId="768EB249" w14:textId="77777777" w:rsidR="00FB6563" w:rsidRPr="00185BC0" w:rsidRDefault="00FB6563" w:rsidP="00104B67">
      <w:pPr>
        <w:ind w:firstLine="567"/>
        <w:jc w:val="both"/>
        <w:rPr>
          <w:b/>
          <w:sz w:val="28"/>
          <w:szCs w:val="28"/>
          <w:lang w:val="kk-KZ"/>
        </w:rPr>
      </w:pPr>
    </w:p>
    <w:p w14:paraId="00BF7829" w14:textId="6D04E3AD" w:rsidR="00104B67" w:rsidRPr="00185BC0" w:rsidRDefault="00104B67" w:rsidP="00104B67">
      <w:pPr>
        <w:ind w:firstLine="567"/>
        <w:jc w:val="both"/>
        <w:rPr>
          <w:b/>
          <w:sz w:val="28"/>
          <w:szCs w:val="28"/>
          <w:lang w:val="kk-KZ"/>
        </w:rPr>
      </w:pPr>
      <w:r w:rsidRPr="00185BC0">
        <w:rPr>
          <w:b/>
          <w:sz w:val="28"/>
          <w:szCs w:val="28"/>
          <w:lang w:val="kk-KZ"/>
        </w:rPr>
        <w:lastRenderedPageBreak/>
        <w:t>Таблица 2</w:t>
      </w:r>
      <w:r w:rsidR="00EF5D1F" w:rsidRPr="00185BC0">
        <w:rPr>
          <w:b/>
          <w:sz w:val="28"/>
          <w:szCs w:val="28"/>
          <w:lang w:val="kk-KZ"/>
        </w:rPr>
        <w:t xml:space="preserve"> – </w:t>
      </w:r>
      <w:r w:rsidR="00F05D0E" w:rsidRPr="00185BC0">
        <w:rPr>
          <w:b/>
          <w:sz w:val="28"/>
          <w:szCs w:val="28"/>
          <w:lang w:val="kk-KZ"/>
        </w:rPr>
        <w:t xml:space="preserve">Особенности применения различных методов фиксации зоны остеотомии бедренной кости при высоких степенях дисплазии тазобедренного сустава </w:t>
      </w:r>
      <w:r w:rsidR="000B606C" w:rsidRPr="00185BC0">
        <w:rPr>
          <w:b/>
          <w:sz w:val="28"/>
          <w:szCs w:val="28"/>
          <w:lang w:val="kk-KZ"/>
        </w:rPr>
        <w:fldChar w:fldCharType="begin" w:fldLock="1"/>
      </w:r>
      <w:r w:rsidR="001D29A3" w:rsidRPr="00185BC0">
        <w:rPr>
          <w:b/>
          <w:sz w:val="28"/>
          <w:szCs w:val="28"/>
          <w:lang w:val="kk-KZ"/>
        </w:rPr>
        <w:instrText>ADDIN CSL_CITATION {"citationItems":[{"id":"ITEM-1","itemData":{"ISBN":"9786018225222","id":"ITEM-1","issued":{"date-parts":[["2025"]]},"title":"Методика фиксации зоны подвертельной укорачивающей остеотомии при тэтс дисплазии тазобедренного сустава отечественными пластинами","type":"book"},"uris":["http://www.mendeley.com/documents/?uuid=486b762e-1e29-4c72-a955-0f593a9b5d8d"]}],"mendeley":{"formattedCitation":"[74]","plainTextFormattedCitation":"[74]","previouslyFormattedCitation":"[74]"},"properties":{"noteIndex":0},"schema":"https://github.com/citation-style-language/schema/raw/master/csl-citation.json"}</w:instrText>
      </w:r>
      <w:r w:rsidR="000B606C" w:rsidRPr="00185BC0">
        <w:rPr>
          <w:b/>
          <w:sz w:val="28"/>
          <w:szCs w:val="28"/>
          <w:lang w:val="kk-KZ"/>
        </w:rPr>
        <w:fldChar w:fldCharType="separate"/>
      </w:r>
      <w:r w:rsidR="008A5983" w:rsidRPr="00185BC0">
        <w:rPr>
          <w:noProof/>
          <w:sz w:val="28"/>
          <w:szCs w:val="28"/>
          <w:lang w:val="kk-KZ"/>
        </w:rPr>
        <w:t>[74]</w:t>
      </w:r>
      <w:r w:rsidR="000B606C" w:rsidRPr="00185BC0">
        <w:rPr>
          <w:b/>
          <w:sz w:val="28"/>
          <w:szCs w:val="28"/>
          <w:lang w:val="kk-KZ"/>
        </w:rPr>
        <w:fldChar w:fldCharType="end"/>
      </w:r>
    </w:p>
    <w:p w14:paraId="4C717757" w14:textId="77777777" w:rsidR="00104B67" w:rsidRPr="00185BC0" w:rsidRDefault="00104B67" w:rsidP="00104B67">
      <w:pPr>
        <w:ind w:firstLine="567"/>
        <w:jc w:val="both"/>
        <w:rPr>
          <w:bCs/>
          <w:sz w:val="28"/>
          <w:szCs w:val="28"/>
          <w:lang w:val="kk-KZ"/>
        </w:rPr>
      </w:pPr>
    </w:p>
    <w:tbl>
      <w:tblPr>
        <w:tblStyle w:val="af"/>
        <w:tblW w:w="0" w:type="auto"/>
        <w:tblLook w:val="04A0" w:firstRow="1" w:lastRow="0" w:firstColumn="1" w:lastColumn="0" w:noHBand="0" w:noVBand="1"/>
      </w:tblPr>
      <w:tblGrid>
        <w:gridCol w:w="402"/>
        <w:gridCol w:w="1694"/>
        <w:gridCol w:w="1645"/>
        <w:gridCol w:w="1089"/>
        <w:gridCol w:w="1291"/>
        <w:gridCol w:w="1793"/>
        <w:gridCol w:w="1714"/>
      </w:tblGrid>
      <w:tr w:rsidR="00FB6563" w:rsidRPr="00185BC0" w14:paraId="351B02C8" w14:textId="77777777" w:rsidTr="00BA0BFE">
        <w:tc>
          <w:tcPr>
            <w:tcW w:w="0" w:type="auto"/>
            <w:hideMark/>
          </w:tcPr>
          <w:p w14:paraId="620AD21D"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w:t>
            </w:r>
          </w:p>
        </w:tc>
        <w:tc>
          <w:tcPr>
            <w:tcW w:w="0" w:type="auto"/>
            <w:hideMark/>
          </w:tcPr>
          <w:p w14:paraId="542B86A3"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Метод фиксации</w:t>
            </w:r>
          </w:p>
        </w:tc>
        <w:tc>
          <w:tcPr>
            <w:tcW w:w="0" w:type="auto"/>
            <w:hideMark/>
          </w:tcPr>
          <w:p w14:paraId="24D90ED5"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Ротационная стабильность</w:t>
            </w:r>
          </w:p>
        </w:tc>
        <w:tc>
          <w:tcPr>
            <w:tcW w:w="0" w:type="auto"/>
            <w:hideMark/>
          </w:tcPr>
          <w:p w14:paraId="361ABF45"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Частота сращения, %</w:t>
            </w:r>
          </w:p>
        </w:tc>
        <w:tc>
          <w:tcPr>
            <w:tcW w:w="0" w:type="auto"/>
            <w:hideMark/>
          </w:tcPr>
          <w:p w14:paraId="3B289541"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Техническая сложность</w:t>
            </w:r>
          </w:p>
        </w:tc>
        <w:tc>
          <w:tcPr>
            <w:tcW w:w="0" w:type="auto"/>
            <w:hideMark/>
          </w:tcPr>
          <w:p w14:paraId="1EF2BAA1"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Основные осложнения</w:t>
            </w:r>
          </w:p>
        </w:tc>
        <w:tc>
          <w:tcPr>
            <w:tcW w:w="0" w:type="auto"/>
            <w:hideMark/>
          </w:tcPr>
          <w:p w14:paraId="60EE680F" w14:textId="77777777" w:rsidR="003904E5" w:rsidRPr="00185BC0" w:rsidRDefault="003904E5" w:rsidP="003904E5">
            <w:pPr>
              <w:widowControl/>
              <w:autoSpaceDE/>
              <w:autoSpaceDN/>
              <w:jc w:val="center"/>
              <w:rPr>
                <w:b/>
                <w:bCs/>
                <w:sz w:val="20"/>
                <w:szCs w:val="20"/>
                <w:lang w:eastAsia="ru-RU"/>
              </w:rPr>
            </w:pPr>
            <w:r w:rsidRPr="00185BC0">
              <w:rPr>
                <w:b/>
                <w:bCs/>
                <w:sz w:val="20"/>
                <w:szCs w:val="20"/>
                <w:lang w:eastAsia="ru-RU"/>
              </w:rPr>
              <w:t>Наиболее эффективен при условиях</w:t>
            </w:r>
          </w:p>
        </w:tc>
      </w:tr>
      <w:tr w:rsidR="00FB6563" w:rsidRPr="00185BC0" w14:paraId="5B98FAF6" w14:textId="77777777" w:rsidTr="00BA0BFE">
        <w:tc>
          <w:tcPr>
            <w:tcW w:w="0" w:type="auto"/>
            <w:hideMark/>
          </w:tcPr>
          <w:p w14:paraId="68468BBE"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1</w:t>
            </w:r>
          </w:p>
        </w:tc>
        <w:tc>
          <w:tcPr>
            <w:tcW w:w="0" w:type="auto"/>
            <w:hideMark/>
          </w:tcPr>
          <w:p w14:paraId="756BF719" w14:textId="77777777" w:rsidR="003904E5" w:rsidRPr="00185BC0" w:rsidRDefault="003904E5" w:rsidP="003904E5">
            <w:pPr>
              <w:widowControl/>
              <w:autoSpaceDE/>
              <w:autoSpaceDN/>
              <w:jc w:val="both"/>
              <w:rPr>
                <w:sz w:val="20"/>
                <w:szCs w:val="20"/>
                <w:lang w:eastAsia="ru-RU"/>
              </w:rPr>
            </w:pPr>
            <w:proofErr w:type="spellStart"/>
            <w:r w:rsidRPr="00185BC0">
              <w:rPr>
                <w:sz w:val="20"/>
                <w:szCs w:val="20"/>
                <w:lang w:eastAsia="ru-RU"/>
              </w:rPr>
              <w:t>Серкляжная</w:t>
            </w:r>
            <w:proofErr w:type="spellEnd"/>
            <w:r w:rsidRPr="00185BC0">
              <w:rPr>
                <w:sz w:val="20"/>
                <w:szCs w:val="20"/>
                <w:lang w:eastAsia="ru-RU"/>
              </w:rPr>
              <w:t xml:space="preserve"> фиксация (проволока, кабели)</w:t>
            </w:r>
          </w:p>
        </w:tc>
        <w:tc>
          <w:tcPr>
            <w:tcW w:w="0" w:type="auto"/>
            <w:hideMark/>
          </w:tcPr>
          <w:p w14:paraId="49F37CAF"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Низкая, определяется геометрией бедренного компонента</w:t>
            </w:r>
          </w:p>
        </w:tc>
        <w:tc>
          <w:tcPr>
            <w:tcW w:w="0" w:type="auto"/>
            <w:hideMark/>
          </w:tcPr>
          <w:p w14:paraId="1D031021"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95–98</w:t>
            </w:r>
          </w:p>
        </w:tc>
        <w:tc>
          <w:tcPr>
            <w:tcW w:w="0" w:type="auto"/>
            <w:hideMark/>
          </w:tcPr>
          <w:p w14:paraId="198E9191"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Низкая</w:t>
            </w:r>
          </w:p>
        </w:tc>
        <w:tc>
          <w:tcPr>
            <w:tcW w:w="0" w:type="auto"/>
            <w:hideMark/>
          </w:tcPr>
          <w:p w14:paraId="0D731769"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Замедленное сращение, ротационная нестабильность</w:t>
            </w:r>
          </w:p>
        </w:tc>
        <w:tc>
          <w:tcPr>
            <w:tcW w:w="0" w:type="auto"/>
            <w:hideMark/>
          </w:tcPr>
          <w:p w14:paraId="1355BF4F"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Поперечная остеотомия при корректном позиционировании бедренного компонента</w:t>
            </w:r>
          </w:p>
        </w:tc>
      </w:tr>
      <w:tr w:rsidR="00FB6563" w:rsidRPr="00185BC0" w14:paraId="7BC01086" w14:textId="77777777" w:rsidTr="00BA0BFE">
        <w:tc>
          <w:tcPr>
            <w:tcW w:w="0" w:type="auto"/>
            <w:hideMark/>
          </w:tcPr>
          <w:p w14:paraId="16E0913A"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2</w:t>
            </w:r>
          </w:p>
        </w:tc>
        <w:tc>
          <w:tcPr>
            <w:tcW w:w="0" w:type="auto"/>
            <w:hideMark/>
          </w:tcPr>
          <w:p w14:paraId="40301A17"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Фиксация с применением кортикальных костных трансплантатов (</w:t>
            </w:r>
            <w:proofErr w:type="spellStart"/>
            <w:r w:rsidRPr="00185BC0">
              <w:rPr>
                <w:sz w:val="20"/>
                <w:szCs w:val="20"/>
                <w:lang w:eastAsia="ru-RU"/>
              </w:rPr>
              <w:t>аутотрансплантат</w:t>
            </w:r>
            <w:proofErr w:type="spellEnd"/>
            <w:r w:rsidRPr="00185BC0">
              <w:rPr>
                <w:sz w:val="20"/>
                <w:szCs w:val="20"/>
                <w:lang w:eastAsia="ru-RU"/>
              </w:rPr>
              <w:t xml:space="preserve"> или </w:t>
            </w:r>
            <w:proofErr w:type="spellStart"/>
            <w:r w:rsidRPr="00185BC0">
              <w:rPr>
                <w:sz w:val="20"/>
                <w:szCs w:val="20"/>
                <w:lang w:eastAsia="ru-RU"/>
              </w:rPr>
              <w:t>аллотрансплантат</w:t>
            </w:r>
            <w:proofErr w:type="spellEnd"/>
            <w:r w:rsidRPr="00185BC0">
              <w:rPr>
                <w:sz w:val="20"/>
                <w:szCs w:val="20"/>
                <w:lang w:eastAsia="ru-RU"/>
              </w:rPr>
              <w:t>)</w:t>
            </w:r>
          </w:p>
        </w:tc>
        <w:tc>
          <w:tcPr>
            <w:tcW w:w="0" w:type="auto"/>
            <w:hideMark/>
          </w:tcPr>
          <w:p w14:paraId="1065AACB"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От умеренной до высокой, повышение стабильности за счёт трансплантата</w:t>
            </w:r>
          </w:p>
        </w:tc>
        <w:tc>
          <w:tcPr>
            <w:tcW w:w="0" w:type="auto"/>
            <w:hideMark/>
          </w:tcPr>
          <w:p w14:paraId="2755D755"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98–100</w:t>
            </w:r>
          </w:p>
        </w:tc>
        <w:tc>
          <w:tcPr>
            <w:tcW w:w="0" w:type="auto"/>
            <w:hideMark/>
          </w:tcPr>
          <w:p w14:paraId="2332AA74"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Средняя</w:t>
            </w:r>
          </w:p>
        </w:tc>
        <w:tc>
          <w:tcPr>
            <w:tcW w:w="0" w:type="auto"/>
            <w:hideMark/>
          </w:tcPr>
          <w:p w14:paraId="69C1DE0F"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Увеличение продолжительности операции, замедленная интеграция трансплантата</w:t>
            </w:r>
          </w:p>
        </w:tc>
        <w:tc>
          <w:tcPr>
            <w:tcW w:w="0" w:type="auto"/>
            <w:hideMark/>
          </w:tcPr>
          <w:p w14:paraId="4D70CEF3"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Повышение частоты сращения и биологическая стимуляция остеогенеза</w:t>
            </w:r>
          </w:p>
        </w:tc>
      </w:tr>
      <w:tr w:rsidR="00FB6563" w:rsidRPr="00185BC0" w14:paraId="56091B7A" w14:textId="77777777" w:rsidTr="00BA0BFE">
        <w:tc>
          <w:tcPr>
            <w:tcW w:w="0" w:type="auto"/>
            <w:hideMark/>
          </w:tcPr>
          <w:p w14:paraId="1246D321"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3</w:t>
            </w:r>
          </w:p>
        </w:tc>
        <w:tc>
          <w:tcPr>
            <w:tcW w:w="0" w:type="auto"/>
            <w:hideMark/>
          </w:tcPr>
          <w:p w14:paraId="421E4293"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Фиксация пластиной с винтами</w:t>
            </w:r>
          </w:p>
        </w:tc>
        <w:tc>
          <w:tcPr>
            <w:tcW w:w="0" w:type="auto"/>
            <w:hideMark/>
          </w:tcPr>
          <w:p w14:paraId="1DECD3FA"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Высокая, особенно при использовании блокируемых винтов</w:t>
            </w:r>
          </w:p>
        </w:tc>
        <w:tc>
          <w:tcPr>
            <w:tcW w:w="0" w:type="auto"/>
            <w:hideMark/>
          </w:tcPr>
          <w:p w14:paraId="218CD7BE"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96–100</w:t>
            </w:r>
          </w:p>
        </w:tc>
        <w:tc>
          <w:tcPr>
            <w:tcW w:w="0" w:type="auto"/>
            <w:hideMark/>
          </w:tcPr>
          <w:p w14:paraId="333D5729"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Высокая</w:t>
            </w:r>
          </w:p>
        </w:tc>
        <w:tc>
          <w:tcPr>
            <w:tcW w:w="0" w:type="auto"/>
            <w:hideMark/>
          </w:tcPr>
          <w:p w14:paraId="53459024"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Боль в области большого вертела, раздражение мягких тканей</w:t>
            </w:r>
          </w:p>
        </w:tc>
        <w:tc>
          <w:tcPr>
            <w:tcW w:w="0" w:type="auto"/>
            <w:hideMark/>
          </w:tcPr>
          <w:p w14:paraId="2EB7A386"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Ситуации, требующие строгого ротационного контроля</w:t>
            </w:r>
          </w:p>
        </w:tc>
      </w:tr>
      <w:tr w:rsidR="00FB6563" w:rsidRPr="00185BC0" w14:paraId="09DAE44E" w14:textId="77777777" w:rsidTr="00BA0BFE">
        <w:tc>
          <w:tcPr>
            <w:tcW w:w="0" w:type="auto"/>
            <w:hideMark/>
          </w:tcPr>
          <w:p w14:paraId="36700252"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4</w:t>
            </w:r>
          </w:p>
        </w:tc>
        <w:tc>
          <w:tcPr>
            <w:tcW w:w="0" w:type="auto"/>
            <w:hideMark/>
          </w:tcPr>
          <w:p w14:paraId="0215C5F4"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Комбинированные методы фиксации (кабельная фиксация в сочетании с пластиной и костным трансплантатом)</w:t>
            </w:r>
          </w:p>
        </w:tc>
        <w:tc>
          <w:tcPr>
            <w:tcW w:w="0" w:type="auto"/>
            <w:hideMark/>
          </w:tcPr>
          <w:p w14:paraId="1857E408"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Очень высокая за счёт комбинированной механической поддержки</w:t>
            </w:r>
          </w:p>
        </w:tc>
        <w:tc>
          <w:tcPr>
            <w:tcW w:w="0" w:type="auto"/>
            <w:hideMark/>
          </w:tcPr>
          <w:p w14:paraId="7ED3B7D5"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98–100</w:t>
            </w:r>
          </w:p>
        </w:tc>
        <w:tc>
          <w:tcPr>
            <w:tcW w:w="0" w:type="auto"/>
            <w:hideMark/>
          </w:tcPr>
          <w:p w14:paraId="1B406EAD"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Высокая</w:t>
            </w:r>
          </w:p>
        </w:tc>
        <w:tc>
          <w:tcPr>
            <w:tcW w:w="0" w:type="auto"/>
            <w:hideMark/>
          </w:tcPr>
          <w:p w14:paraId="11E2A5E9"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Увеличение продолжительности хирургического вмешательства</w:t>
            </w:r>
          </w:p>
        </w:tc>
        <w:tc>
          <w:tcPr>
            <w:tcW w:w="0" w:type="auto"/>
            <w:hideMark/>
          </w:tcPr>
          <w:p w14:paraId="3F03A4ED" w14:textId="77777777" w:rsidR="003904E5" w:rsidRPr="00185BC0" w:rsidRDefault="003904E5" w:rsidP="003904E5">
            <w:pPr>
              <w:widowControl/>
              <w:autoSpaceDE/>
              <w:autoSpaceDN/>
              <w:jc w:val="both"/>
              <w:rPr>
                <w:sz w:val="20"/>
                <w:szCs w:val="20"/>
                <w:lang w:eastAsia="ru-RU"/>
              </w:rPr>
            </w:pPr>
            <w:r w:rsidRPr="00185BC0">
              <w:rPr>
                <w:sz w:val="20"/>
                <w:szCs w:val="20"/>
                <w:lang w:eastAsia="ru-RU"/>
              </w:rPr>
              <w:t>Сложные клинические случаи при сниженных показателях качества костной ткани</w:t>
            </w:r>
          </w:p>
        </w:tc>
      </w:tr>
    </w:tbl>
    <w:p w14:paraId="161B9031" w14:textId="3A775DE6" w:rsidR="0077286A" w:rsidRPr="00185BC0" w:rsidRDefault="0077286A" w:rsidP="001C3DE8">
      <w:pPr>
        <w:ind w:firstLine="709"/>
        <w:jc w:val="both"/>
        <w:rPr>
          <w:sz w:val="28"/>
          <w:szCs w:val="28"/>
        </w:rPr>
      </w:pPr>
    </w:p>
    <w:p w14:paraId="3E0F5C13" w14:textId="77777777" w:rsidR="00BB1D05" w:rsidRPr="00185BC0" w:rsidRDefault="00BB1D05" w:rsidP="00BB1D05">
      <w:pPr>
        <w:ind w:firstLine="709"/>
        <w:jc w:val="both"/>
        <w:rPr>
          <w:sz w:val="28"/>
          <w:szCs w:val="28"/>
          <w:lang w:val="tr-TR"/>
        </w:rPr>
      </w:pPr>
      <w:r w:rsidRPr="00185BC0">
        <w:rPr>
          <w:sz w:val="28"/>
          <w:szCs w:val="28"/>
          <w:lang w:val="tr-TR"/>
        </w:rPr>
        <w:t xml:space="preserve">Применение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ляжной фиксации с использованием металлических проволок или кабелей представляет собой один из наиболее простых и широко используемых методов стабилизации поперечной остеотомии. После укорачивания бедренной кости прочные металлические кабели или проволоки обвиваются вокруг проксимального и дистального фрагментов, фиксируя их между собой, зачастую уже после установки бедренного компонента эндопротеза</w:t>
      </w:r>
      <w:r w:rsidRPr="00185BC0">
        <w:rPr>
          <w:sz w:val="28"/>
          <w:szCs w:val="28"/>
        </w:rPr>
        <w:t xml:space="preserve"> (рисунок 6)</w:t>
      </w:r>
      <w:r w:rsidRPr="00185BC0">
        <w:rPr>
          <w:sz w:val="28"/>
          <w:szCs w:val="28"/>
          <w:lang w:val="tr-TR"/>
        </w:rPr>
        <w:t xml:space="preserve">. </w:t>
      </w:r>
    </w:p>
    <w:p w14:paraId="6E4C2987" w14:textId="77777777" w:rsidR="00BB1D05" w:rsidRPr="00185BC0" w:rsidRDefault="00BB1D05" w:rsidP="00BB1D05">
      <w:pPr>
        <w:ind w:firstLine="709"/>
        <w:jc w:val="both"/>
        <w:rPr>
          <w:sz w:val="28"/>
          <w:szCs w:val="28"/>
          <w:lang w:val="tr-TR"/>
        </w:rPr>
      </w:pPr>
    </w:p>
    <w:p w14:paraId="7AE21E12" w14:textId="77777777" w:rsidR="00BB1D05" w:rsidRPr="00185BC0" w:rsidRDefault="00BB1D05" w:rsidP="00BB1D05">
      <w:pPr>
        <w:jc w:val="center"/>
        <w:rPr>
          <w:sz w:val="28"/>
          <w:szCs w:val="28"/>
          <w:lang w:val="tr-TR"/>
        </w:rPr>
      </w:pPr>
      <w:r w:rsidRPr="00185BC0">
        <w:rPr>
          <w:noProof/>
          <w:sz w:val="28"/>
          <w:szCs w:val="28"/>
          <w:lang w:val="tr-TR"/>
        </w:rPr>
        <w:lastRenderedPageBreak/>
        <w:drawing>
          <wp:inline distT="0" distB="0" distL="0" distR="0" wp14:anchorId="5A43800A" wp14:editId="6A93E815">
            <wp:extent cx="4274892" cy="347603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86153" cy="3485192"/>
                    </a:xfrm>
                    <a:prstGeom prst="rect">
                      <a:avLst/>
                    </a:prstGeom>
                  </pic:spPr>
                </pic:pic>
              </a:graphicData>
            </a:graphic>
          </wp:inline>
        </w:drawing>
      </w:r>
    </w:p>
    <w:p w14:paraId="4FA88675" w14:textId="77777777" w:rsidR="00BB1D05" w:rsidRPr="00185BC0" w:rsidRDefault="00BB1D05" w:rsidP="00BB1D05">
      <w:pPr>
        <w:ind w:firstLine="709"/>
        <w:jc w:val="both"/>
        <w:rPr>
          <w:sz w:val="28"/>
          <w:szCs w:val="28"/>
          <w:lang w:val="tr-TR"/>
        </w:rPr>
      </w:pPr>
    </w:p>
    <w:p w14:paraId="0F3B2254" w14:textId="0476CA99" w:rsidR="00BB1D05" w:rsidRPr="00185BC0" w:rsidRDefault="00BB1D05" w:rsidP="00EF5D1F">
      <w:pPr>
        <w:ind w:firstLine="709"/>
        <w:jc w:val="center"/>
        <w:rPr>
          <w:sz w:val="28"/>
          <w:szCs w:val="28"/>
        </w:rPr>
      </w:pPr>
      <w:r w:rsidRPr="00185BC0">
        <w:rPr>
          <w:sz w:val="28"/>
          <w:szCs w:val="28"/>
          <w:lang w:val="tr-TR"/>
        </w:rPr>
        <w:t xml:space="preserve">Рисунок </w:t>
      </w:r>
      <w:r w:rsidRPr="00185BC0">
        <w:rPr>
          <w:sz w:val="28"/>
          <w:szCs w:val="28"/>
        </w:rPr>
        <w:t>6</w:t>
      </w:r>
      <w:r w:rsidR="00EF5D1F" w:rsidRPr="00185BC0">
        <w:rPr>
          <w:sz w:val="28"/>
          <w:szCs w:val="28"/>
          <w:lang w:val="kk-KZ"/>
        </w:rPr>
        <w:t xml:space="preserve"> –</w:t>
      </w:r>
      <w:r w:rsidR="00EF5D1F" w:rsidRPr="00185BC0">
        <w:rPr>
          <w:b/>
          <w:bCs/>
          <w:sz w:val="28"/>
          <w:szCs w:val="28"/>
        </w:rPr>
        <w:t xml:space="preserve"> </w:t>
      </w:r>
      <w:r w:rsidRPr="00185BC0">
        <w:rPr>
          <w:sz w:val="28"/>
          <w:szCs w:val="28"/>
          <w:lang w:val="tr-TR"/>
        </w:rPr>
        <w:t xml:space="preserve"> </w:t>
      </w:r>
      <w:r w:rsidR="003904E5" w:rsidRPr="00185BC0">
        <w:rPr>
          <w:sz w:val="28"/>
          <w:szCs w:val="28"/>
          <w:lang w:val="tr-TR"/>
        </w:rPr>
        <w:t>Серкляжная фиксация зоны остеотомии бедренной кости (рентгенограмма)</w:t>
      </w:r>
      <w:r w:rsidR="000B606C" w:rsidRPr="00185BC0">
        <w:rPr>
          <w:sz w:val="28"/>
          <w:szCs w:val="28"/>
          <w:lang w:val="kk-KZ"/>
        </w:rPr>
        <w:t xml:space="preserve"> </w:t>
      </w:r>
      <w:r w:rsidR="000B606C" w:rsidRPr="00185BC0">
        <w:rPr>
          <w:sz w:val="28"/>
          <w:szCs w:val="28"/>
          <w:lang w:val="kk-KZ"/>
        </w:rPr>
        <w:fldChar w:fldCharType="begin" w:fldLock="1"/>
      </w:r>
      <w:r w:rsidR="001D29A3" w:rsidRPr="00185BC0">
        <w:rPr>
          <w:sz w:val="28"/>
          <w:szCs w:val="28"/>
          <w:lang w:val="kk-KZ"/>
        </w:rPr>
        <w:instrText>ADDIN CSL_CITATION {"citationItems":[{"id":"ITEM-1","itemData":{"DOI":"10.3906/sag-2102-217","ISSN":"13036165","abstract":"Background/aim: Total hip arthroplasty (THA) is technically more difficult and has higher complication rates in patients with Crowe type 3–4 developmental dysplasia of the hip (DDH). Due to the difficulties and different treatment options, there is still no consensus on the optimal treatment. We aimed to evaluate the mid-term results of our patients who had undergone subtrochanteric femoral shortening Z-osteotomy. Materials and methods: This study included 37 hips of 29 patients with the diagnosis of Crowe 3-4 DDH between June 2010 and December 2016 and who underwent femoral shortening Z-osteotomy with cementless total hip arthroplasty. Acetabular component was determined according to the patient’s age and functional capacity and all patients were operated with a posterior approach. Functional results, postoperative complications, Harris and visual analogue scale (VAS) scores were evaluated. Results: The average Harris hip score was 41.3 ± 3.1 preoperatively and 84.7 ± 4.3 postoperatively (p &lt; 0.05). The mean preoperative hip pain score on the VAS was 7.9 (range: 6–9) and this was significantly lower at the last follow-up (mean: 3.4; range: 2–4) (p &lt; 0.05). The final mean limb-length discrepancy was 1.3 cm. The average amount of femoral shortening was 3.2 cm. Regarding complications, 3 (10.3%) patients had dislocations. These patients underwent closed reduction. Sciatic palsy developed in 1 (3.4%) patient. The patient was reoperated on for sciatic nerve dissection in the early period. Conclusion: Subtrochanteric shortening Z-osteotomy combined with cementless total hip replacement can be considered an effective and successful method in selected patients with Crowe 3-4 coxarthrosis.","author":[{"dropping-particle":"","family":"Biçici","given":"Vedat","non-dropping-particle":"","parse-names":false,"suffix":""},{"dropping-particle":"","family":"Bingöl","given":"İzzet","non-dropping-particle":"","parse-names":false,"suffix":""},{"dropping-particle":"","family":"Sazak","given":"Tamer","non-dropping-particle":"","parse-names":false,"suffix":""}],"container-title":"Turkish Journal of Medical Sciences","id":"ITEM-1","issue":"4","issued":{"date-parts":[["2021"]]},"title":"Mid-term results of total hip arthroplasty with subtrochanteric Z-osteotomy in crowe type 3-4 developmental hip dysplasia","type":"article-journal","volume":"51"},"uris":["http://www.mendeley.com/documents/?uuid=895ee888-e5e7-32a6-836c-0bfa169505ac"]}],"mendeley":{"formattedCitation":"[94]","plainTextFormattedCitation":"[94]","previouslyFormattedCitation":"[94]"},"properties":{"noteIndex":0},"schema":"https://github.com/citation-style-language/schema/raw/master/csl-citation.json"}</w:instrText>
      </w:r>
      <w:r w:rsidR="000B606C" w:rsidRPr="00185BC0">
        <w:rPr>
          <w:sz w:val="28"/>
          <w:szCs w:val="28"/>
          <w:lang w:val="kk-KZ"/>
        </w:rPr>
        <w:fldChar w:fldCharType="separate"/>
      </w:r>
      <w:r w:rsidR="008A5983" w:rsidRPr="00185BC0">
        <w:rPr>
          <w:noProof/>
          <w:sz w:val="28"/>
          <w:szCs w:val="28"/>
          <w:lang w:val="kk-KZ"/>
        </w:rPr>
        <w:t>[94]</w:t>
      </w:r>
      <w:r w:rsidR="000B606C" w:rsidRPr="00185BC0">
        <w:rPr>
          <w:sz w:val="28"/>
          <w:szCs w:val="28"/>
          <w:lang w:val="kk-KZ"/>
        </w:rPr>
        <w:fldChar w:fldCharType="end"/>
      </w:r>
    </w:p>
    <w:p w14:paraId="6AA0B29A" w14:textId="77777777" w:rsidR="00BB1D05" w:rsidRPr="00185BC0" w:rsidRDefault="00BB1D05" w:rsidP="00BB1D05">
      <w:pPr>
        <w:ind w:firstLine="709"/>
        <w:jc w:val="both"/>
        <w:rPr>
          <w:sz w:val="28"/>
          <w:szCs w:val="28"/>
          <w:lang w:val="tr-TR"/>
        </w:rPr>
      </w:pPr>
    </w:p>
    <w:p w14:paraId="31F09FBA" w14:textId="65554437" w:rsidR="00BB1D05" w:rsidRPr="00185BC0" w:rsidRDefault="00BB1D05" w:rsidP="00BB1D05">
      <w:pPr>
        <w:ind w:firstLine="709"/>
        <w:jc w:val="both"/>
        <w:rPr>
          <w:sz w:val="28"/>
          <w:szCs w:val="28"/>
          <w:lang w:val="tr-TR"/>
        </w:rPr>
      </w:pPr>
      <w:r w:rsidRPr="00185BC0">
        <w:rPr>
          <w:sz w:val="28"/>
          <w:szCs w:val="28"/>
          <w:lang w:val="tr-TR"/>
        </w:rPr>
        <w:t xml:space="preserve">Основными преимуществами данного метода являются техническая простота исполнения и отсутствие необходимости в использовании громоздкой дополнительной фиксации.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 xml:space="preserve">ляж позволяет достичь циркулярной компрессии в зоне остеотомии без необходимости установки винтов в условиях узкого и анатомически деформированного бедренного канала. Особенно </w:t>
      </w:r>
      <w:r w:rsidR="00947B82" w:rsidRPr="00185BC0">
        <w:rPr>
          <w:sz w:val="28"/>
          <w:szCs w:val="28"/>
          <w:lang w:val="kk-KZ"/>
        </w:rPr>
        <w:t xml:space="preserve">это </w:t>
      </w:r>
      <w:r w:rsidRPr="00185BC0">
        <w:rPr>
          <w:sz w:val="28"/>
          <w:szCs w:val="28"/>
          <w:lang w:val="tr-TR"/>
        </w:rPr>
        <w:t>ценно в ситуациях, когда в бедренной кости уже установлен бесцементный компонент</w:t>
      </w:r>
      <w:r w:rsidR="00947B82" w:rsidRPr="00185BC0">
        <w:rPr>
          <w:sz w:val="28"/>
          <w:szCs w:val="28"/>
          <w:lang w:val="kk-KZ"/>
        </w:rPr>
        <w:t>, а</w:t>
      </w:r>
      <w:r w:rsidRPr="00185BC0">
        <w:rPr>
          <w:sz w:val="28"/>
          <w:szCs w:val="28"/>
          <w:lang w:val="tr-TR"/>
        </w:rPr>
        <w:t xml:space="preserve"> применение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ляжа позволяет избежать дополнительных отверстий под винты, которые могут ослабить костную ткань и повысить риск осложнений.</w:t>
      </w:r>
    </w:p>
    <w:p w14:paraId="772C7DFB" w14:textId="44CA451D" w:rsidR="00BB1D05" w:rsidRPr="00185BC0" w:rsidRDefault="00BB1D05" w:rsidP="00BB1D05">
      <w:pPr>
        <w:ind w:firstLine="709"/>
        <w:jc w:val="both"/>
        <w:rPr>
          <w:sz w:val="28"/>
          <w:szCs w:val="28"/>
        </w:rPr>
      </w:pPr>
      <w:r w:rsidRPr="00185BC0">
        <w:rPr>
          <w:sz w:val="28"/>
          <w:szCs w:val="28"/>
          <w:lang w:val="tr-TR"/>
        </w:rPr>
        <w:t xml:space="preserve">Характеристики ротационной стабильности при применении исключительно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 xml:space="preserve">ляжной фиксации остаются предметом дискуссии. Вместе с тем, результаты ряда клинических наблюдений подтверждают удовлетворительную консолидацию остеотомии при использовании кабелей, особенно в сочетании с точно адаптированным бесцементным бедренным компонентом. Так, в исследовании Zhu </w:t>
      </w:r>
      <w:r w:rsidR="008907FD" w:rsidRPr="00185BC0">
        <w:rPr>
          <w:sz w:val="28"/>
          <w:szCs w:val="28"/>
          <w:lang w:val="tr-TR"/>
        </w:rPr>
        <w:t>и соавт</w:t>
      </w:r>
      <w:r w:rsidRPr="00185BC0">
        <w:rPr>
          <w:sz w:val="28"/>
          <w:szCs w:val="28"/>
          <w:lang w:val="tr-TR"/>
        </w:rPr>
        <w:t>. (2015) проведена фиксация поперечной остеотомии профилактическим кабелем у 21 пациента с дисплазией тазобедренного сустава IV типа по Crowe, где использовался конический</w:t>
      </w:r>
      <w:r w:rsidRPr="00185BC0">
        <w:rPr>
          <w:sz w:val="28"/>
          <w:szCs w:val="28"/>
        </w:rPr>
        <w:t xml:space="preserve"> бедренный компонент </w:t>
      </w:r>
      <w:r w:rsidRPr="00185BC0">
        <w:rPr>
          <w:sz w:val="28"/>
          <w:szCs w:val="28"/>
          <w:lang w:val="tr-TR"/>
        </w:rPr>
        <w:t>Wagner. Консолидация остеотомии была достигнута в 95 % случаев (20 из 21), при этом лишь в одном наблюдении зафиксирована отсроченная консолидация. Средний срок сращения составил 3,3 месяца, что подтверждает возможность надёжного остеогенеза при условии обеспечения аксиальной стабильности имплантатом</w:t>
      </w:r>
      <w:r w:rsidR="000560F0" w:rsidRPr="00185BC0">
        <w:rPr>
          <w:sz w:val="28"/>
          <w:szCs w:val="28"/>
          <w:lang w:val="tr-TR"/>
        </w:rPr>
        <w:t xml:space="preserve"> </w:t>
      </w:r>
      <w:r w:rsidR="000560F0" w:rsidRPr="00185BC0">
        <w:rPr>
          <w:sz w:val="28"/>
          <w:szCs w:val="28"/>
          <w:lang w:val="tr-TR"/>
        </w:rPr>
        <w:fldChar w:fldCharType="begin" w:fldLock="1"/>
      </w:r>
      <w:r w:rsidR="002F5076" w:rsidRPr="00185BC0">
        <w:rPr>
          <w:sz w:val="28"/>
          <w:szCs w:val="28"/>
          <w:lang w:val="tr-TR"/>
        </w:rPr>
        <w:instrText>ADDIN CSL_CITATION {"citationItems":[{"id":"ITEM-1","itemData":{"DOI":"10.1016/j.artd.2019.03.002","ISSN":"23523441","abstract":"Background: The complexity of femoral and acetabular anatomy and restoring anatomic center of hip rotation in Crowe type IV developmental dysplasia of the hip (DDH) complicates standard reconstruction. The aim of this study is to evaluate surgical techniques and clinical outcomes of subtrochanteric transverse shortening osteotomy with the use of cementless rectangular cross-section femoral implants in Crowe IV dysplastic hips. Methods: A total of 26 hips of 25 consecutive patients with Crowe type IV DDH who underwent cementless total hip arthroplasty with subtrochanteric femoral transverse shortening osteotomy were retrospectively analyzed. The Harris Hip Score, Visual Analog Scale-pain, leg length discrepancy, and vertical and lateral migration of hip rotation center were recorded. Results: Mean age, follow-up, and time of union were 41 ± 9.7 years, 7.1 ± 1.2 years, and 3.7 ± 1.1 months, respectively. Mean Harris Hip Score significantly improved from 38 ± 5.7 to 86 ± 6.1 points postoperatively (P &lt; .01). Mean leg length discrepancy and Visual Analog Scale significantly decreased from 4.3 ± 1.3 to 1.2 ± 0.6 cm, and 6.4 ± 1.2 to 1.8 ± 0.8 points, respectively (P &lt; .01). One female patient had a dislocation due to acetabular liner wear, which was managed by liner and head change. One patient had Sudeck's atrophy, while another had pain on the lateral thigh, both of which were resolved with conservative management. Conclusions: Combined transverse subtrochanteric femoral osteotomy and cementless total hip arthroplasty with rectangular cross-section femoral implants is technically demanding, effective, and safe in femoral shortening for treatment of Crowe type IV DDH.","author":[{"dropping-particle":"","family":"Erdem","given":"Yusuf","non-dropping-particle":"","parse-names":false,"suffix":""},{"dropping-particle":"","family":"Bek","given":"Dogan","non-dropping-particle":"","parse-names":false,"suffix":""},{"dropping-particle":"","family":"Atbasi","given":"Zafer","non-dropping-particle":"","parse-names":false,"suffix":""},{"dropping-particle":"","family":"Neyisci","given":"Cagri","non-dropping-particle":"","parse-names":false,"suffix":""},{"dropping-particle":"","family":"Yildiz","given":"Cemil","non-dropping-particle":"","parse-names":false,"suffix":""},{"dropping-particle":"","family":"Basbozkurt","given":"Mustafa","non-dropping-particle":"","parse-names":false,"suffix":""}],"container-title":"Arthroplasty Today","id":"ITEM-1","issue":"2","issued":{"date-parts":[["2019"]]},"title":"Total hip arthroplasty with rectangular stems and subtrochanteric transverse shortening osteotomy in Crowe type IV hips: a retrospective study","type":"article-journal","volume":"5"},"uris":["http://www.mendeley.com/documents/?uuid=9d7f57da-1a6e-37be-97b4-4f03bffdd84c"]}],"mendeley":{"formattedCitation":"[6]","plainTextFormattedCitation":"[6]","previouslyFormattedCitation":"[6]"},"properties":{"noteIndex":0},"schema":"https://github.com/citation-style-language/schema/raw/master/csl-citation.json"}</w:instrText>
      </w:r>
      <w:r w:rsidR="000560F0" w:rsidRPr="00185BC0">
        <w:rPr>
          <w:sz w:val="28"/>
          <w:szCs w:val="28"/>
          <w:lang w:val="tr-TR"/>
        </w:rPr>
        <w:fldChar w:fldCharType="separate"/>
      </w:r>
      <w:r w:rsidR="00371B3B" w:rsidRPr="00185BC0">
        <w:rPr>
          <w:noProof/>
          <w:sz w:val="28"/>
          <w:szCs w:val="28"/>
          <w:lang w:val="tr-TR"/>
        </w:rPr>
        <w:t>[6]</w:t>
      </w:r>
      <w:r w:rsidR="000560F0" w:rsidRPr="00185BC0">
        <w:rPr>
          <w:sz w:val="28"/>
          <w:szCs w:val="28"/>
          <w:lang w:val="tr-TR"/>
        </w:rPr>
        <w:fldChar w:fldCharType="end"/>
      </w:r>
      <w:r w:rsidRPr="00185BC0">
        <w:rPr>
          <w:sz w:val="28"/>
          <w:szCs w:val="28"/>
          <w:lang w:val="tr-TR"/>
        </w:rPr>
        <w:t>.</w:t>
      </w:r>
      <w:r w:rsidRPr="00185BC0">
        <w:rPr>
          <w:sz w:val="28"/>
          <w:szCs w:val="28"/>
        </w:rPr>
        <w:t xml:space="preserve"> </w:t>
      </w:r>
    </w:p>
    <w:p w14:paraId="00E9F71B" w14:textId="0EEE9403" w:rsidR="00BB1D05" w:rsidRPr="00185BC0" w:rsidRDefault="00BB1D05" w:rsidP="00BB1D05">
      <w:pPr>
        <w:ind w:firstLine="709"/>
        <w:jc w:val="both"/>
        <w:rPr>
          <w:sz w:val="28"/>
          <w:szCs w:val="28"/>
        </w:rPr>
      </w:pPr>
      <w:r w:rsidRPr="00185BC0">
        <w:rPr>
          <w:sz w:val="28"/>
          <w:szCs w:val="28"/>
          <w:lang w:val="tr-TR"/>
        </w:rPr>
        <w:t xml:space="preserve">Несмотря на техническую простоту, фиксация поперечной остеотомии с </w:t>
      </w:r>
      <w:r w:rsidRPr="00185BC0">
        <w:rPr>
          <w:sz w:val="28"/>
          <w:szCs w:val="28"/>
          <w:lang w:val="tr-TR"/>
        </w:rPr>
        <w:lastRenderedPageBreak/>
        <w:t xml:space="preserve">использованием исключительно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 xml:space="preserve">ляжных проволок или кабелей имеет существенное ограничение </w:t>
      </w:r>
      <w:r w:rsidR="00947B82" w:rsidRPr="00185BC0">
        <w:rPr>
          <w:sz w:val="28"/>
          <w:szCs w:val="28"/>
          <w:lang w:val="kk-KZ"/>
        </w:rPr>
        <w:t>из – за</w:t>
      </w:r>
      <w:r w:rsidRPr="00185BC0">
        <w:rPr>
          <w:sz w:val="28"/>
          <w:szCs w:val="28"/>
          <w:lang w:val="tr-TR"/>
        </w:rPr>
        <w:t xml:space="preserve"> недостаточн</w:t>
      </w:r>
      <w:r w:rsidR="00947B82" w:rsidRPr="00185BC0">
        <w:rPr>
          <w:sz w:val="28"/>
          <w:szCs w:val="28"/>
          <w:lang w:val="kk-KZ"/>
        </w:rPr>
        <w:t>ой</w:t>
      </w:r>
      <w:r w:rsidRPr="00185BC0">
        <w:rPr>
          <w:sz w:val="28"/>
          <w:szCs w:val="28"/>
          <w:lang w:val="tr-TR"/>
        </w:rPr>
        <w:t xml:space="preserve"> ротационн</w:t>
      </w:r>
      <w:r w:rsidR="00947B82" w:rsidRPr="00185BC0">
        <w:rPr>
          <w:sz w:val="28"/>
          <w:szCs w:val="28"/>
          <w:lang w:val="kk-KZ"/>
        </w:rPr>
        <w:t>ой</w:t>
      </w:r>
      <w:r w:rsidRPr="00185BC0">
        <w:rPr>
          <w:sz w:val="28"/>
          <w:szCs w:val="28"/>
          <w:lang w:val="tr-TR"/>
        </w:rPr>
        <w:t xml:space="preserve"> стабильност</w:t>
      </w:r>
      <w:r w:rsidR="00947B82" w:rsidRPr="00185BC0">
        <w:rPr>
          <w:sz w:val="28"/>
          <w:szCs w:val="28"/>
          <w:lang w:val="kk-KZ"/>
        </w:rPr>
        <w:t>и</w:t>
      </w:r>
      <w:r w:rsidRPr="00185BC0">
        <w:rPr>
          <w:sz w:val="28"/>
          <w:szCs w:val="28"/>
          <w:lang w:val="tr-TR"/>
        </w:rPr>
        <w:t>. Плоские костные поверхности, формирующиеся при такой остеотомии, склонны к микродвижениям вокруг бедренного компонента эндопротеза, особенно при отсутствии у него антиротационных элементов таких</w:t>
      </w:r>
      <w:r w:rsidR="00947B82" w:rsidRPr="00185BC0">
        <w:rPr>
          <w:sz w:val="28"/>
          <w:szCs w:val="28"/>
          <w:lang w:val="kk-KZ"/>
        </w:rPr>
        <w:t>,</w:t>
      </w:r>
      <w:r w:rsidRPr="00185BC0">
        <w:rPr>
          <w:sz w:val="28"/>
          <w:szCs w:val="28"/>
          <w:lang w:val="tr-TR"/>
        </w:rPr>
        <w:t xml:space="preserve"> как шлицы или прямоугольное сечение. Биомеханические исследования показывают, что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 xml:space="preserve">ляжная фиксация обеспечивает значительно меньшую устойчивость к </w:t>
      </w:r>
      <w:r w:rsidRPr="00185BC0">
        <w:rPr>
          <w:sz w:val="28"/>
          <w:szCs w:val="28"/>
        </w:rPr>
        <w:t>ротации</w:t>
      </w:r>
      <w:r w:rsidRPr="00185BC0">
        <w:rPr>
          <w:sz w:val="28"/>
          <w:szCs w:val="28"/>
          <w:lang w:val="tr-TR"/>
        </w:rPr>
        <w:t xml:space="preserve"> по сравнению с конструкциями, включающими винты или пластины. Так, в работе Dennis </w:t>
      </w:r>
      <w:r w:rsidR="008907FD" w:rsidRPr="00185BC0">
        <w:rPr>
          <w:sz w:val="28"/>
          <w:szCs w:val="28"/>
          <w:lang w:val="tr-TR"/>
        </w:rPr>
        <w:t>и соавт</w:t>
      </w:r>
      <w:r w:rsidRPr="00185BC0">
        <w:rPr>
          <w:sz w:val="28"/>
          <w:szCs w:val="28"/>
          <w:lang w:val="tr-TR"/>
        </w:rPr>
        <w:t>. продемонстрировано, что однокортикальная винтовая фиксация превосходит кабельную по торсионной жёсткости, что может повышать риск несращения или отсроченной консолидации при использовании исключительно кабельной стабилизации</w:t>
      </w:r>
      <w:r w:rsidR="002673D1" w:rsidRPr="00185BC0">
        <w:rPr>
          <w:sz w:val="28"/>
          <w:szCs w:val="28"/>
          <w:lang w:val="tr-TR"/>
        </w:rPr>
        <w:t xml:space="preserve"> </w:t>
      </w:r>
      <w:r w:rsidR="002673D1" w:rsidRPr="00185BC0">
        <w:rPr>
          <w:sz w:val="28"/>
          <w:szCs w:val="28"/>
          <w:lang w:val="tr-TR"/>
        </w:rPr>
        <w:fldChar w:fldCharType="begin" w:fldLock="1"/>
      </w:r>
      <w:r w:rsidR="002F5076" w:rsidRPr="00185BC0">
        <w:rPr>
          <w:sz w:val="28"/>
          <w:szCs w:val="28"/>
          <w:lang w:val="tr-TR"/>
        </w:rPr>
        <w:instrText>ADDIN CSL_CITATION {"citationItems":[{"id":"ITEM-1","itemData":{"DOI":"10.5606/EHC.2020.73078","ISSN":"26874792","abstract":"Objectives: This study aims to evaluate the efficacy of proximal humerus plate in the fixation of subtrochanteric femoral shortening osteotomy (SFSO) during total hip arthroplasty. Patients and methods: Thirty female patients (mean age 49.8 years; range, 22 to 68 years) who underwent hip arthroplasty with a SFSO and fixed with a proximal humerus plate between January 2014 and June 2018 were evaluated retrospectively. Rate of fracture healing, the number of fixed cortices at both sides of the osteotomy, and complications were documented. Results: The mean follow-up period was 28 months (range, 12-68 months). The average time to union was 106 days (range, 45-229 days). The mean number of cortices fixed in the proximal segment of the osteotomy was 6.2 (range, 4-9), and the mean number of cortices fixed in the distal segment of the osteotomy was 4.0 (range, 3-7). None of the patients had implant irritation or implant failure at the control visits. We observed only one non-union and our non-union rate was 3.3%. Conclusion: In conclusion, the use of a proximal humerus plate for the fixation of SFSO can be an alternative procedure for achieving adequate rotational stability until a solid union.","author":[{"dropping-particle":"","family":"Çaglar","given":"Ömür","non-dropping-particle":"","parse-names":false,"suffix":""},{"dropping-particle":"","family":"Özdemir","given":"Erdi","non-dropping-particle":"","parse-names":false,"suffix":""},{"dropping-particle":"","family":"Tokgözoglu","given":"Ahmet Mazhar","non-dropping-particle":"","parse-names":false,"suffix":""},{"dropping-particle":"","family":"Atilla","given":"Bülent","non-dropping-particle":"","parse-names":false,"suffix":""}],"container-title":"Joint Diseases and Related Surgery","id":"ITEM-1","issue":"2","issued":{"date-parts":[["2020"]]},"title":"Use of proximal humerus plates for the fixation of the subtrochanteric femoral shortening osteotomy during total hip arthroplasty for Crowe type IV developmental dysplasia of the hip patients","type":"article-journal","volume":"31"},"uris":["http://www.mendeley.com/documents/?uuid=b44842e0-89b4-372d-8c59-7d23cf760196"]}],"mendeley":{"formattedCitation":"[18]","plainTextFormattedCitation":"[18]","previouslyFormattedCitation":"[18]"},"properties":{"noteIndex":0},"schema":"https://github.com/citation-style-language/schema/raw/master/csl-citation.json"}</w:instrText>
      </w:r>
      <w:r w:rsidR="002673D1" w:rsidRPr="00185BC0">
        <w:rPr>
          <w:sz w:val="28"/>
          <w:szCs w:val="28"/>
          <w:lang w:val="tr-TR"/>
        </w:rPr>
        <w:fldChar w:fldCharType="separate"/>
      </w:r>
      <w:r w:rsidR="00371B3B" w:rsidRPr="00185BC0">
        <w:rPr>
          <w:noProof/>
          <w:sz w:val="28"/>
          <w:szCs w:val="28"/>
          <w:lang w:val="tr-TR"/>
        </w:rPr>
        <w:t>[18]</w:t>
      </w:r>
      <w:r w:rsidR="002673D1" w:rsidRPr="00185BC0">
        <w:rPr>
          <w:sz w:val="28"/>
          <w:szCs w:val="28"/>
          <w:lang w:val="tr-TR"/>
        </w:rPr>
        <w:fldChar w:fldCharType="end"/>
      </w:r>
      <w:r w:rsidRPr="00185BC0">
        <w:rPr>
          <w:sz w:val="28"/>
          <w:szCs w:val="28"/>
          <w:lang w:val="tr-TR"/>
        </w:rPr>
        <w:t>.</w:t>
      </w:r>
      <w:r w:rsidRPr="00185BC0">
        <w:rPr>
          <w:sz w:val="28"/>
          <w:szCs w:val="28"/>
        </w:rPr>
        <w:t xml:space="preserve"> </w:t>
      </w:r>
    </w:p>
    <w:p w14:paraId="2AB97019" w14:textId="6F67C036" w:rsidR="00BB1D05" w:rsidRPr="00185BC0" w:rsidRDefault="00BB1D05" w:rsidP="00BB1D05">
      <w:pPr>
        <w:ind w:firstLine="709"/>
        <w:jc w:val="both"/>
        <w:rPr>
          <w:sz w:val="28"/>
          <w:szCs w:val="28"/>
        </w:rPr>
      </w:pPr>
      <w:r w:rsidRPr="00185BC0">
        <w:rPr>
          <w:sz w:val="28"/>
          <w:szCs w:val="28"/>
          <w:lang w:val="tr-TR"/>
        </w:rPr>
        <w:t xml:space="preserve">Так, согласно данным Kawai </w:t>
      </w:r>
      <w:r w:rsidR="008907FD" w:rsidRPr="00185BC0">
        <w:rPr>
          <w:sz w:val="28"/>
          <w:szCs w:val="28"/>
          <w:lang w:val="tr-TR"/>
        </w:rPr>
        <w:t>и соавт</w:t>
      </w:r>
      <w:r w:rsidR="008907FD" w:rsidRPr="00185BC0">
        <w:rPr>
          <w:sz w:val="28"/>
          <w:szCs w:val="28"/>
          <w:lang w:val="kk-KZ"/>
        </w:rPr>
        <w:t>.</w:t>
      </w:r>
      <w:r w:rsidRPr="00185BC0">
        <w:rPr>
          <w:sz w:val="28"/>
          <w:szCs w:val="28"/>
          <w:lang w:val="tr-TR"/>
        </w:rPr>
        <w:t xml:space="preserve"> частота несращения в остеотомиях бедренной кости при Crowe IV варьировала от 1,3 % до 20 %, что, по мнению авторов, обусловлено различиями в применяемых методах фиксации</w:t>
      </w:r>
      <w:r w:rsidR="000560F0" w:rsidRPr="00185BC0">
        <w:rPr>
          <w:sz w:val="28"/>
          <w:szCs w:val="28"/>
          <w:lang w:val="tr-TR"/>
        </w:rPr>
        <w:t xml:space="preserve"> </w:t>
      </w:r>
      <w:r w:rsidR="002673D1" w:rsidRPr="00185BC0">
        <w:rPr>
          <w:sz w:val="28"/>
          <w:szCs w:val="28"/>
          <w:lang w:val="tr-TR"/>
        </w:rPr>
        <w:fldChar w:fldCharType="begin" w:fldLock="1"/>
      </w:r>
      <w:r w:rsidR="001D29A3" w:rsidRPr="00185BC0">
        <w:rPr>
          <w:sz w:val="28"/>
          <w:szCs w:val="28"/>
          <w:lang w:val="tr-TR"/>
        </w:rPr>
        <w:instrText>ADDIN CSL_CITATION {"citationItems":[{"id":"ITEM-1","itemData":{"DOI":"10.5435/JAAOSGlobal-D-20-00056","ISSN":"24747661","abstract":"Background: Total hip arthroplasty (THA) with subtrochanteric shortening osteotomy for Crowe type IV hips poses the risk of nonunion at the osteotomy site. The aim of this study was to analyze the factors that affect the bone union rate at the osteotomy site. Methods: We retrospectively reviewed a consecutive series of 27 THAs with subtrochanteric transverse shortening osteotomy performed for Crowe type IV hips. The effects of patient-related and surgery-related factors on the risk of delayed union were analyzed using univariate and multivariate regression analyses. Results: The mean follow-up period was 10.0 (1.4 to 19.1) years. The implant survival rate was 87.8% (95% confidence interval: 60.2% to 97.2%) at 10 years. The length of femoral bone resection was the only factor associated with the risk of delayed union. Longer bone resection lengths were significantly correlated with the reduced risk of delayed union (odds ratio: 0.63 [0.030 to 0.90], P = 0.0013). Other variables, including the use of a cement stem (P = 0.34) and the presence of a gap &gt;1 mm at the osteotomy site (P = 0.98), were not associated with the risk of delayed union. Discussion: THA with subtrochanteric transverse osteotomy provides satisfactory long-term results for Crowe type IV hips. For shorter required femoral resection lengths, the risk of delayed union was higher. A longer resection could permit fabrication of longer autologous longitudinal bone struts and likely contributes to enhanced stability at the osteotomy site.","author":[{"dropping-particle":"","family":"Kawai","given":"Toshiyuki","non-dropping-particle":"","parse-names":false,"suffix":""},{"dropping-particle":"","family":"Goto","given":"Koji","non-dropping-particle":"","parse-names":false,"suffix":""},{"dropping-particle":"","family":"Kuroda","given":"Yutaka","non-dropping-particle":"","parse-names":false,"suffix":""},{"dropping-particle":"","family":"Matsuda","given":"Shuichi","non-dropping-particle":"","parse-names":false,"suffix":""}],"container-title":"Journal of the American Academy of Orthopaedic Surgeons Global Research and Reviews","id":"ITEM-1","issue":"8","issued":{"date-parts":[["2020"]]},"title":"Total Hip Arthroplasty Combined With Subtrochanteric Transverse Shortening Osteotomy: Factors Associated With Delayed Union at the Osteotomy Site","type":"article-journal","volume":"4"},"uris":["http://www.mendeley.com/documents/?uuid=d1d65a40-eea9-3149-8f73-5ebd3ce508f6"]}],"mendeley":{"formattedCitation":"[95]","plainTextFormattedCitation":"[95]","previouslyFormattedCitation":"[95]"},"properties":{"noteIndex":0},"schema":"https://github.com/citation-style-language/schema/raw/master/csl-citation.json"}</w:instrText>
      </w:r>
      <w:r w:rsidR="002673D1" w:rsidRPr="00185BC0">
        <w:rPr>
          <w:sz w:val="28"/>
          <w:szCs w:val="28"/>
          <w:lang w:val="tr-TR"/>
        </w:rPr>
        <w:fldChar w:fldCharType="separate"/>
      </w:r>
      <w:r w:rsidR="008A5983" w:rsidRPr="00185BC0">
        <w:rPr>
          <w:noProof/>
          <w:sz w:val="28"/>
          <w:szCs w:val="28"/>
          <w:lang w:val="tr-TR"/>
        </w:rPr>
        <w:t>[95]</w:t>
      </w:r>
      <w:r w:rsidR="002673D1" w:rsidRPr="00185BC0">
        <w:rPr>
          <w:sz w:val="28"/>
          <w:szCs w:val="28"/>
          <w:lang w:val="tr-TR"/>
        </w:rPr>
        <w:fldChar w:fldCharType="end"/>
      </w:r>
      <w:r w:rsidRPr="00185BC0">
        <w:rPr>
          <w:sz w:val="28"/>
          <w:szCs w:val="28"/>
          <w:lang w:val="tr-TR"/>
        </w:rPr>
        <w:t>. Особенно высокая частота осложнений отмечена в сериях, где применялась только кабельная стабилизация без дополнительного усиления.</w:t>
      </w:r>
      <w:r w:rsidRPr="00185BC0">
        <w:rPr>
          <w:sz w:val="28"/>
          <w:szCs w:val="28"/>
        </w:rPr>
        <w:t xml:space="preserve"> </w:t>
      </w:r>
    </w:p>
    <w:p w14:paraId="270E25C8" w14:textId="27C37A63" w:rsidR="00BB1D05" w:rsidRPr="00185BC0" w:rsidRDefault="00BB1D05" w:rsidP="00BB1D05">
      <w:pPr>
        <w:ind w:firstLine="709"/>
        <w:jc w:val="both"/>
        <w:rPr>
          <w:sz w:val="28"/>
          <w:szCs w:val="28"/>
          <w:lang w:val="tr-TR"/>
        </w:rPr>
      </w:pPr>
      <w:r w:rsidRPr="00185BC0">
        <w:rPr>
          <w:sz w:val="28"/>
          <w:szCs w:val="28"/>
          <w:lang w:val="tr-TR"/>
        </w:rPr>
        <w:t xml:space="preserve">В аспекте возможных осложнений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ляжная фиксация имеет как очевидные преимущества, так и потенциальные ограничения. Одним из её ключевых достоинств является отсутствие необходимости создания винтовых отверстий, которые могут служить зонами концентрации напряжения и сниж</w:t>
      </w:r>
      <w:r w:rsidR="00947B82" w:rsidRPr="00185BC0">
        <w:rPr>
          <w:sz w:val="28"/>
          <w:szCs w:val="28"/>
          <w:lang w:val="kk-KZ"/>
        </w:rPr>
        <w:t>ения</w:t>
      </w:r>
      <w:r w:rsidRPr="00185BC0">
        <w:rPr>
          <w:sz w:val="28"/>
          <w:szCs w:val="28"/>
          <w:lang w:val="tr-TR"/>
        </w:rPr>
        <w:t xml:space="preserve"> прочност</w:t>
      </w:r>
      <w:r w:rsidR="00947B82" w:rsidRPr="00185BC0">
        <w:rPr>
          <w:sz w:val="28"/>
          <w:szCs w:val="28"/>
          <w:lang w:val="kk-KZ"/>
        </w:rPr>
        <w:t>и</w:t>
      </w:r>
      <w:r w:rsidRPr="00185BC0">
        <w:rPr>
          <w:sz w:val="28"/>
          <w:szCs w:val="28"/>
          <w:lang w:val="tr-TR"/>
        </w:rPr>
        <w:t xml:space="preserve"> кости. Вместе с тем, недостаточное натяжение кабелей может привести к их смещению или ослаблению. Расположенные поднадкостнично кабели могут вызывать раздражение мягких тканей, однако благодаря низкому профилю они, как правило, вызывают меньше болевых ощущений в области большого вертела по сравнению с громоздкими латеральными пластинами. С технической точки зрения </w:t>
      </w:r>
      <w:r w:rsidRPr="00185BC0">
        <w:rPr>
          <w:sz w:val="28"/>
          <w:szCs w:val="28"/>
        </w:rPr>
        <w:t>с</w:t>
      </w:r>
      <w:r w:rsidRPr="00185BC0">
        <w:rPr>
          <w:sz w:val="28"/>
          <w:szCs w:val="28"/>
          <w:lang w:val="tr-TR"/>
        </w:rPr>
        <w:t>ер</w:t>
      </w:r>
      <w:r w:rsidRPr="00185BC0">
        <w:rPr>
          <w:sz w:val="28"/>
          <w:szCs w:val="28"/>
        </w:rPr>
        <w:t>к</w:t>
      </w:r>
      <w:r w:rsidRPr="00185BC0">
        <w:rPr>
          <w:sz w:val="28"/>
          <w:szCs w:val="28"/>
          <w:lang w:val="tr-TR"/>
        </w:rPr>
        <w:t>ляж считается относительно простой методикой, однако</w:t>
      </w:r>
      <w:r w:rsidR="00947B82" w:rsidRPr="00185BC0">
        <w:rPr>
          <w:sz w:val="28"/>
          <w:szCs w:val="28"/>
          <w:lang w:val="kk-KZ"/>
        </w:rPr>
        <w:t>,</w:t>
      </w:r>
      <w:r w:rsidRPr="00185BC0">
        <w:rPr>
          <w:sz w:val="28"/>
          <w:szCs w:val="28"/>
          <w:lang w:val="tr-TR"/>
        </w:rPr>
        <w:t xml:space="preserve"> требует высокой точности позиционирования костных фрагментов до окончательного натяжения, поскольку коррекция после фиксации затруднена. Учитывая ограниченную ротационную устойчивость, многие хирурги ограничивают раннюю нагрузку на оперированную конечность при использовании изолированной кабельной фиксации, чтобы обеспечить оптимальные условия для сращения.</w:t>
      </w:r>
    </w:p>
    <w:p w14:paraId="015A974C" w14:textId="343C5370" w:rsidR="00BB1D05" w:rsidRPr="00185BC0" w:rsidRDefault="00BB1D05" w:rsidP="00BB1D05">
      <w:pPr>
        <w:ind w:firstLine="709"/>
        <w:jc w:val="both"/>
        <w:rPr>
          <w:sz w:val="28"/>
          <w:szCs w:val="28"/>
          <w:lang w:val="tr-TR"/>
        </w:rPr>
      </w:pPr>
      <w:r w:rsidRPr="00185BC0">
        <w:rPr>
          <w:sz w:val="28"/>
          <w:szCs w:val="28"/>
          <w:lang w:val="tr-TR"/>
        </w:rPr>
        <w:t xml:space="preserve">Одним из эффективных подходов к повышению стабильности и ускорению сращения при подвертельной остеотомии у пациентов с тяжёлой дисплазией тазобедренного сустава (Crowe III–IV) является использование кортикальных костных аутотрансплантатов, полученных из резецированного сегмента бедра. </w:t>
      </w:r>
      <w:r w:rsidR="005206BD" w:rsidRPr="00185BC0">
        <w:rPr>
          <w:sz w:val="28"/>
          <w:szCs w:val="28"/>
          <w:lang w:val="tr-TR"/>
        </w:rPr>
        <w:t xml:space="preserve">Полученные костные трансплантаты при необходимости рассекаются продольно и фиксируются либо по наружному контуру диафиза бедренной кости в виде накостных штифтовых графтов </w:t>
      </w:r>
      <w:r w:rsidRPr="00185BC0">
        <w:rPr>
          <w:sz w:val="28"/>
          <w:szCs w:val="28"/>
          <w:lang w:val="tr-TR"/>
        </w:rPr>
        <w:t>(</w:t>
      </w:r>
      <w:r w:rsidRPr="00185BC0">
        <w:rPr>
          <w:sz w:val="28"/>
          <w:szCs w:val="28"/>
        </w:rPr>
        <w:t>рисунок 7)</w:t>
      </w:r>
      <w:r w:rsidRPr="00185BC0">
        <w:rPr>
          <w:sz w:val="28"/>
          <w:szCs w:val="28"/>
          <w:lang w:val="tr-TR"/>
        </w:rPr>
        <w:t>, либо в виде интеркалярных элементов внутри костного канала</w:t>
      </w:r>
      <w:r w:rsidRPr="00185BC0">
        <w:rPr>
          <w:sz w:val="28"/>
          <w:szCs w:val="28"/>
        </w:rPr>
        <w:t xml:space="preserve"> (рисунок 8)</w:t>
      </w:r>
      <w:r w:rsidRPr="00185BC0">
        <w:rPr>
          <w:sz w:val="28"/>
          <w:szCs w:val="28"/>
          <w:lang w:val="tr-TR"/>
        </w:rPr>
        <w:t xml:space="preserve"> </w:t>
      </w:r>
      <w:r w:rsidR="00DA5A93" w:rsidRPr="00185BC0">
        <w:rPr>
          <w:sz w:val="28"/>
          <w:szCs w:val="28"/>
          <w:lang w:val="tr-TR"/>
        </w:rPr>
        <w:t>–</w:t>
      </w:r>
      <w:r w:rsidRPr="00185BC0">
        <w:rPr>
          <w:sz w:val="28"/>
          <w:szCs w:val="28"/>
          <w:lang w:val="tr-TR"/>
        </w:rPr>
        <w:t xml:space="preserve"> с последующей фиксацией церкляжными кабелями или проволокой. </w:t>
      </w:r>
    </w:p>
    <w:p w14:paraId="1E802291" w14:textId="64332D65" w:rsidR="00BB1D05" w:rsidRPr="00185BC0" w:rsidRDefault="00BB1D05" w:rsidP="00BB1D05">
      <w:pPr>
        <w:ind w:firstLine="567"/>
        <w:jc w:val="center"/>
        <w:rPr>
          <w:noProof/>
          <w:sz w:val="28"/>
          <w:szCs w:val="28"/>
          <w:lang w:val="tr-TR"/>
        </w:rPr>
      </w:pPr>
    </w:p>
    <w:p w14:paraId="01142066" w14:textId="7AC7BB7B" w:rsidR="00112717" w:rsidRPr="00185BC0" w:rsidRDefault="00112717" w:rsidP="00112717">
      <w:pPr>
        <w:jc w:val="center"/>
        <w:rPr>
          <w:noProof/>
          <w:sz w:val="28"/>
          <w:szCs w:val="28"/>
          <w:lang w:val="kk-KZ"/>
        </w:rPr>
      </w:pPr>
      <w:r w:rsidRPr="00185BC0">
        <w:rPr>
          <w:noProof/>
          <w:sz w:val="28"/>
          <w:szCs w:val="28"/>
          <w:lang w:val="tr-TR"/>
        </w:rPr>
        <w:lastRenderedPageBreak/>
        <w:drawing>
          <wp:inline distT="0" distB="0" distL="0" distR="0" wp14:anchorId="5B70569E" wp14:editId="4F7B7667">
            <wp:extent cx="3737113" cy="20027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7542" r="21367" b="52154"/>
                    <a:stretch/>
                  </pic:blipFill>
                  <pic:spPr bwMode="auto">
                    <a:xfrm>
                      <a:off x="0" y="0"/>
                      <a:ext cx="3738865" cy="2003729"/>
                    </a:xfrm>
                    <a:prstGeom prst="rect">
                      <a:avLst/>
                    </a:prstGeom>
                    <a:ln>
                      <a:noFill/>
                    </a:ln>
                    <a:extLst>
                      <a:ext uri="{53640926-AAD7-44D8-BBD7-CCE9431645EC}">
                        <a14:shadowObscured xmlns:a14="http://schemas.microsoft.com/office/drawing/2010/main"/>
                      </a:ext>
                    </a:extLst>
                  </pic:spPr>
                </pic:pic>
              </a:graphicData>
            </a:graphic>
          </wp:inline>
        </w:drawing>
      </w:r>
    </w:p>
    <w:p w14:paraId="34BAE064" w14:textId="77777777" w:rsidR="00BB1D05" w:rsidRPr="00185BC0" w:rsidRDefault="00BB1D05" w:rsidP="00BB1D05">
      <w:pPr>
        <w:ind w:firstLine="567"/>
        <w:jc w:val="center"/>
        <w:rPr>
          <w:sz w:val="28"/>
          <w:szCs w:val="28"/>
          <w:lang w:val="tr-TR"/>
        </w:rPr>
      </w:pPr>
    </w:p>
    <w:p w14:paraId="003F3802" w14:textId="7029F956" w:rsidR="00BB1D05" w:rsidRPr="00185BC0" w:rsidRDefault="00BB1D05" w:rsidP="0087556C">
      <w:pPr>
        <w:ind w:firstLine="709"/>
        <w:jc w:val="both"/>
        <w:rPr>
          <w:sz w:val="28"/>
          <w:szCs w:val="28"/>
          <w:lang w:val="kk-KZ"/>
        </w:rPr>
      </w:pPr>
      <w:r w:rsidRPr="00185BC0">
        <w:rPr>
          <w:sz w:val="28"/>
          <w:szCs w:val="28"/>
          <w:lang w:val="tr-TR"/>
        </w:rPr>
        <w:t xml:space="preserve">Рисунок </w:t>
      </w:r>
      <w:r w:rsidR="0087556C" w:rsidRPr="00185BC0">
        <w:rPr>
          <w:sz w:val="28"/>
          <w:szCs w:val="28"/>
          <w:lang w:val="kk-KZ"/>
        </w:rPr>
        <w:t xml:space="preserve">7 </w:t>
      </w:r>
      <w:r w:rsidR="00EF5D1F" w:rsidRPr="00185BC0">
        <w:rPr>
          <w:sz w:val="28"/>
          <w:szCs w:val="28"/>
          <w:lang w:val="tr-TR"/>
        </w:rPr>
        <w:t xml:space="preserve">– </w:t>
      </w:r>
      <w:r w:rsidR="0087556C" w:rsidRPr="00185BC0">
        <w:rPr>
          <w:sz w:val="28"/>
          <w:szCs w:val="28"/>
          <w:lang w:val="tr-TR"/>
        </w:rPr>
        <w:t>Использование кортикальных костных аутотрансплантатов при подвертельной укорачивающей остеотомии бедренной кости</w:t>
      </w:r>
      <w:r w:rsidRPr="00185BC0">
        <w:rPr>
          <w:sz w:val="28"/>
          <w:szCs w:val="28"/>
          <w:lang w:val="kk-KZ"/>
        </w:rPr>
        <w:t xml:space="preserve">: </w:t>
      </w:r>
      <w:r w:rsidR="0087556C" w:rsidRPr="00185BC0">
        <w:rPr>
          <w:sz w:val="28"/>
          <w:szCs w:val="28"/>
          <w:lang w:val="kk-KZ"/>
        </w:rPr>
        <w:t xml:space="preserve">A) резецированные кортикальные костные фрагменты; Б) послеоперационная рентгенограмма с серкляжной фиксацией зоны остеотомии и кортикальными костными аутотрансплантатами </w:t>
      </w:r>
      <w:r w:rsidR="000B606C" w:rsidRPr="00185BC0">
        <w:rPr>
          <w:sz w:val="28"/>
          <w:szCs w:val="28"/>
          <w:lang w:val="kk-KZ"/>
        </w:rPr>
        <w:fldChar w:fldCharType="begin" w:fldLock="1"/>
      </w:r>
      <w:r w:rsidR="001D29A3" w:rsidRPr="00185BC0">
        <w:rPr>
          <w:sz w:val="28"/>
          <w:szCs w:val="28"/>
          <w:lang w:val="kk-KZ"/>
        </w:rPr>
        <w:instrText>ADDIN CSL_CITATION {"citationItems":[{"id":"ITEM-1","itemData":{"DOI":"10.2147/TCRM.S381885","ISSN":"1178203X","abstract":"Aim: Subtrochanteric shortening osteotomy (SSO) is often applied during total hip arthroplasty (THA) in high hip dislocations. The aim of the present paper was to evaluate the results of fixation by autogenous cortical plate technique on sites of SSO in THA for patients with Crowe type IV developmental dysplasia of the hip (DDH). Methods: We conducted a historical prospective cohort study and reviewed 67 patients (82 THAs) with SSO performed between March 2016 and May 2020. Thirty-nine patients (48 hips) obtained stability by intramedullary pressure provided by the S-ROM modular prostheses and with or without prophylactic binding by stainless-steel wire after osteotomy and before stem implantation (group A). Twenty-eight patients (34 hips) were fixed with autogenous cortical plate technique and stainless-steel wire or cables (group B). Time of operations, complications, radiographic results and clinical scores were compared. Results: One intraoperative fracture and a dislocation occurred, while component loosening, ectopic ossification and osteolysis were not observed. Group B had a higher union rate at the 4th month than group A (P = 0.015) while there were no significant differences of union rates at the 8th (P = 0.811) and the 12th month (P = 0.722) and of the average healing time (P = 0.181). No significant differences were found in hip function scores (HHS and WOMAC Osteoarthritis Index) between two groups. Conclusion: Fixation with autogenous cortical plate from the cylinder of femoral bone contributes to early bone union of osteotomy ends in Crowe type IV DDH patients compared to those who do not apply the technique. Besides of application of autogenous cortical strut grafts, relevant measures are as well recommended to prevent nonunion after SSO.","author":[{"dropping-particle":"","family":"Liu","given":"Yubo","non-dropping-particle":"","parse-names":false,"suffix":""},{"dropping-particle":"","family":"Zhang","given":"Shuai","non-dropping-particle":"","parse-names":false,"suffix":""},{"dropping-particle":"","family":"Li","given":"Chao","non-dropping-particle":"","parse-names":false,"suffix":""},{"dropping-particle":"","family":"Ma","given":"Mingyang","non-dropping-particle":"","parse-names":false,"suffix":""},{"dropping-particle":"","family":"Yang","given":"Minzhi","non-dropping-particle":"","parse-names":false,"suffix":""},{"dropping-particle":"","family":"Guo","given":"Renwen","non-dropping-particle":"","parse-names":false,"suffix":""},{"dropping-particle":"","family":"Kong","given":"Xiangpeng","non-dropping-particle":"","parse-names":false,"suffix":""},{"dropping-particle":"","family":"Chai","given":"Wei","non-dropping-particle":"","parse-names":false,"suffix":""}],"container-title":"Therapeutics and Clinical Risk Management","id":"ITEM-1","issued":{"date-parts":[["2022"]]},"title":"Fixation by Autogenous Cortical Plate Technique on Sites of Subtrochanteric Shortening Osteotomy Contributes to Early Bone Union in Total Hip Arthroplasty for Crowe Type IV Developmental Dysplasia of the Hip","type":"article-journal","volume":"18"},"uris":["http://www.mendeley.com/documents/?uuid=f2c0c615-4eed-391f-8c20-5efaf4ee3700"]}],"mendeley":{"formattedCitation":"[93]","plainTextFormattedCitation":"[93]","previouslyFormattedCitation":"[93]"},"properties":{"noteIndex":0},"schema":"https://github.com/citation-style-language/schema/raw/master/csl-citation.json"}</w:instrText>
      </w:r>
      <w:r w:rsidR="000B606C" w:rsidRPr="00185BC0">
        <w:rPr>
          <w:sz w:val="28"/>
          <w:szCs w:val="28"/>
          <w:lang w:val="kk-KZ"/>
        </w:rPr>
        <w:fldChar w:fldCharType="separate"/>
      </w:r>
      <w:r w:rsidR="008A5983" w:rsidRPr="00185BC0">
        <w:rPr>
          <w:noProof/>
          <w:sz w:val="28"/>
          <w:szCs w:val="28"/>
          <w:lang w:val="kk-KZ"/>
        </w:rPr>
        <w:t>[93]</w:t>
      </w:r>
      <w:r w:rsidR="000B606C" w:rsidRPr="00185BC0">
        <w:rPr>
          <w:sz w:val="28"/>
          <w:szCs w:val="28"/>
          <w:lang w:val="kk-KZ"/>
        </w:rPr>
        <w:fldChar w:fldCharType="end"/>
      </w:r>
      <w:r w:rsidR="000B606C" w:rsidRPr="00185BC0">
        <w:rPr>
          <w:sz w:val="28"/>
          <w:szCs w:val="28"/>
          <w:lang w:val="kk-KZ"/>
        </w:rPr>
        <w:t>.</w:t>
      </w:r>
    </w:p>
    <w:p w14:paraId="14544E21" w14:textId="77777777" w:rsidR="00BB1D05" w:rsidRPr="00185BC0" w:rsidRDefault="00BB1D05" w:rsidP="00BB1D05">
      <w:pPr>
        <w:ind w:firstLine="709"/>
        <w:jc w:val="both"/>
        <w:rPr>
          <w:i/>
          <w:iCs/>
          <w:sz w:val="28"/>
          <w:szCs w:val="28"/>
          <w:lang w:val="kk-KZ"/>
        </w:rPr>
      </w:pPr>
    </w:p>
    <w:p w14:paraId="0145F5F6" w14:textId="77777777" w:rsidR="00BB1D05" w:rsidRPr="00185BC0" w:rsidRDefault="00BB1D05" w:rsidP="00BB1D05">
      <w:pPr>
        <w:ind w:firstLine="709"/>
        <w:jc w:val="center"/>
        <w:rPr>
          <w:sz w:val="28"/>
          <w:szCs w:val="28"/>
          <w:lang w:val="tr-TR"/>
        </w:rPr>
      </w:pPr>
      <w:r w:rsidRPr="00185BC0">
        <w:rPr>
          <w:noProof/>
          <w:sz w:val="28"/>
          <w:szCs w:val="28"/>
          <w:lang w:val="tr-TR"/>
        </w:rPr>
        <w:drawing>
          <wp:inline distT="0" distB="0" distL="0" distR="0" wp14:anchorId="5AD31A80" wp14:editId="4B769710">
            <wp:extent cx="3338756" cy="4244454"/>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3394" cy="4263063"/>
                    </a:xfrm>
                    <a:prstGeom prst="rect">
                      <a:avLst/>
                    </a:prstGeom>
                    <a:noFill/>
                  </pic:spPr>
                </pic:pic>
              </a:graphicData>
            </a:graphic>
          </wp:inline>
        </w:drawing>
      </w:r>
    </w:p>
    <w:p w14:paraId="73F99DC6" w14:textId="77777777" w:rsidR="00BB1D05" w:rsidRPr="00185BC0" w:rsidRDefault="00BB1D05" w:rsidP="00BB1D05">
      <w:pPr>
        <w:ind w:firstLine="709"/>
        <w:jc w:val="center"/>
        <w:rPr>
          <w:sz w:val="28"/>
          <w:szCs w:val="28"/>
          <w:lang w:val="tr-TR"/>
        </w:rPr>
      </w:pPr>
    </w:p>
    <w:p w14:paraId="4A26A08C" w14:textId="325C150D" w:rsidR="00BB1D05" w:rsidRPr="00185BC0" w:rsidRDefault="00BB1D05" w:rsidP="00EF5D1F">
      <w:pPr>
        <w:ind w:firstLine="709"/>
        <w:jc w:val="center"/>
        <w:rPr>
          <w:sz w:val="28"/>
          <w:szCs w:val="28"/>
          <w:lang w:val="tr-TR"/>
        </w:rPr>
      </w:pPr>
      <w:r w:rsidRPr="00185BC0">
        <w:rPr>
          <w:sz w:val="28"/>
          <w:szCs w:val="28"/>
          <w:lang w:val="tr-TR"/>
        </w:rPr>
        <w:t xml:space="preserve">Рисунок </w:t>
      </w:r>
      <w:r w:rsidR="001922F6" w:rsidRPr="00185BC0">
        <w:rPr>
          <w:sz w:val="28"/>
          <w:szCs w:val="28"/>
          <w:lang w:val="kk-KZ"/>
        </w:rPr>
        <w:t xml:space="preserve">8 </w:t>
      </w:r>
      <w:r w:rsidR="00EF5D1F" w:rsidRPr="00185BC0">
        <w:rPr>
          <w:sz w:val="28"/>
          <w:szCs w:val="28"/>
          <w:lang w:val="tr-TR"/>
        </w:rPr>
        <w:t xml:space="preserve">– </w:t>
      </w:r>
      <w:r w:rsidR="00EF5D1F" w:rsidRPr="00185BC0">
        <w:rPr>
          <w:sz w:val="28"/>
          <w:szCs w:val="28"/>
          <w:lang w:val="kk-KZ"/>
        </w:rPr>
        <w:t xml:space="preserve"> </w:t>
      </w:r>
      <w:r w:rsidR="001922F6" w:rsidRPr="00185BC0">
        <w:rPr>
          <w:sz w:val="28"/>
          <w:szCs w:val="28"/>
          <w:lang w:val="tr-TR"/>
        </w:rPr>
        <w:t>Интеркалярные цилиндрические костные аутотрансплантаты: формирование и установка</w:t>
      </w:r>
      <w:r w:rsidR="000B606C" w:rsidRPr="00185BC0">
        <w:rPr>
          <w:sz w:val="28"/>
          <w:szCs w:val="28"/>
          <w:lang w:val="kk-KZ"/>
        </w:rPr>
        <w:t xml:space="preserve"> </w:t>
      </w:r>
      <w:r w:rsidR="000B606C" w:rsidRPr="00185BC0">
        <w:rPr>
          <w:sz w:val="28"/>
          <w:szCs w:val="28"/>
          <w:lang w:val="kk-KZ"/>
        </w:rPr>
        <w:fldChar w:fldCharType="begin" w:fldLock="1"/>
      </w:r>
      <w:r w:rsidR="002F5076" w:rsidRPr="00185BC0">
        <w:rPr>
          <w:sz w:val="28"/>
          <w:szCs w:val="28"/>
          <w:lang w:val="kk-KZ"/>
        </w:rPr>
        <w:instrText>ADDIN CSL_CITATION {"citationItems":[{"id":"ITEM-1","itemData":{"DOI":"10.1016/j.arth.2009.02.023","ISSN":"08835403","abstract":"A new technique of femoral fixation that uses a transverse osteotomy for subtrochanteric shortening and derotation in total hip arthroplasty for Crowe type 3 to 4 dysplasia of the hip is described. This series included 21 cases in 12 women and 2 men, with a mean age of 42.3 years. Follow-up averaged 41.2 months. Bone pegs prepared from the resected femoral segment were seated in the medullary canal around the stem for femoral fixation. Merle d'Aubigné scores for pain, motion, and walking improved from 2.9, 4.4, and 3.7 to 5.2, 5.4, and 5.5, respectively. Radiographic union was detected within 12 ± 3.4 (range, 6-24) weeks in all cases. Complications were early dislocation in 2 cases. This technique allows correction of anteversion, provides excellent rotational stability, and eliminates the need for additional osteosynthesis regardless of the stem design. © 2010 Elsevier Inc.","author":[{"dropping-particle":"","family":"Togrul","given":"Emre","non-dropping-particle":"","parse-names":false,"suffix":""},{"dropping-particle":"","family":"Özkan","given":"Cenk","non-dropping-particle":"","parse-names":false,"suffix":""},{"dropping-particle":"","family":"Kalaci","given":"Aydiner","non-dropping-particle":"","parse-names":false,"suffix":""},{"dropping-particle":"","family":"Gülşen","given":"Mahir","non-dropping-particle":"","parse-names":false,"suffix":""}],"container-title":"Journal of Arthroplasty","id":"ITEM-1","issue":"3","issued":{"date-parts":[["2010"]]},"title":"A new technique of subtrochanteric shortening in total hip replacement for crowe type 3 to 4 dysplasia of the hip","type":"article-journal","volume":"25"},"uris":["http://www.mendeley.com/documents/?uuid=d24913c4-948d-30f0-8e79-1deaa7e437f4"]}],"mendeley":{"formattedCitation":"[16]","plainTextFormattedCitation":"[16]","previouslyFormattedCitation":"[16]"},"properties":{"noteIndex":0},"schema":"https://github.com/citation-style-language/schema/raw/master/csl-citation.json"}</w:instrText>
      </w:r>
      <w:r w:rsidR="000B606C" w:rsidRPr="00185BC0">
        <w:rPr>
          <w:sz w:val="28"/>
          <w:szCs w:val="28"/>
          <w:lang w:val="kk-KZ"/>
        </w:rPr>
        <w:fldChar w:fldCharType="separate"/>
      </w:r>
      <w:r w:rsidR="00371B3B" w:rsidRPr="00185BC0">
        <w:rPr>
          <w:noProof/>
          <w:sz w:val="28"/>
          <w:szCs w:val="28"/>
          <w:lang w:val="kk-KZ"/>
        </w:rPr>
        <w:t>[16]</w:t>
      </w:r>
      <w:r w:rsidR="000B606C" w:rsidRPr="00185BC0">
        <w:rPr>
          <w:sz w:val="28"/>
          <w:szCs w:val="28"/>
          <w:lang w:val="kk-KZ"/>
        </w:rPr>
        <w:fldChar w:fldCharType="end"/>
      </w:r>
      <w:r w:rsidRPr="00185BC0">
        <w:rPr>
          <w:sz w:val="28"/>
          <w:szCs w:val="28"/>
          <w:lang w:val="tr-TR"/>
        </w:rPr>
        <w:t>.</w:t>
      </w:r>
    </w:p>
    <w:p w14:paraId="47CDABE3" w14:textId="77777777" w:rsidR="00671823" w:rsidRPr="00185BC0" w:rsidRDefault="00671823" w:rsidP="00BB1D05">
      <w:pPr>
        <w:ind w:firstLine="709"/>
        <w:jc w:val="both"/>
        <w:rPr>
          <w:sz w:val="28"/>
          <w:szCs w:val="28"/>
          <w:lang w:val="tr-TR"/>
        </w:rPr>
      </w:pPr>
    </w:p>
    <w:p w14:paraId="2860C423" w14:textId="6FEF6035" w:rsidR="00BB1D05" w:rsidRPr="00185BC0" w:rsidRDefault="00BB1D05" w:rsidP="00BB1D05">
      <w:pPr>
        <w:ind w:firstLine="709"/>
        <w:jc w:val="both"/>
        <w:rPr>
          <w:sz w:val="28"/>
          <w:szCs w:val="28"/>
        </w:rPr>
      </w:pPr>
      <w:r w:rsidRPr="00185BC0">
        <w:rPr>
          <w:sz w:val="28"/>
          <w:szCs w:val="28"/>
          <w:lang w:val="tr-TR"/>
        </w:rPr>
        <w:t xml:space="preserve">Такой метод обеспечивает не только дополнительную механическую стабильность за счёт «шинирования» зоны остеотомии, но и увеличивает площадь костного контакта, способствуя более интенсивному биологическому </w:t>
      </w:r>
      <w:r w:rsidRPr="00185BC0">
        <w:rPr>
          <w:sz w:val="28"/>
          <w:szCs w:val="28"/>
          <w:lang w:val="tr-TR"/>
        </w:rPr>
        <w:lastRenderedPageBreak/>
        <w:t>заживлению благодаря остеокондуктивным свойствам трансплантата</w:t>
      </w:r>
      <w:r w:rsidR="000560F0" w:rsidRPr="00185BC0">
        <w:rPr>
          <w:sz w:val="28"/>
          <w:szCs w:val="28"/>
          <w:lang w:val="tr-TR"/>
        </w:rPr>
        <w:t xml:space="preserve"> </w:t>
      </w:r>
      <w:r w:rsidR="002673D1" w:rsidRPr="00185BC0">
        <w:rPr>
          <w:sz w:val="28"/>
          <w:szCs w:val="28"/>
          <w:lang w:val="tr-TR"/>
        </w:rPr>
        <w:fldChar w:fldCharType="begin" w:fldLock="1"/>
      </w:r>
      <w:r w:rsidR="001D29A3" w:rsidRPr="00185BC0">
        <w:rPr>
          <w:sz w:val="28"/>
          <w:szCs w:val="28"/>
          <w:lang w:val="tr-TR"/>
        </w:rPr>
        <w:instrText>ADDIN CSL_CITATION {"citationItems":[{"id":"ITEM-1","itemData":{"DOI":"10.35702/surg.10001","author":[{"dropping-particle":"","family":"Anastasopoulos","given":"Panagiotis P","non-dropping-particle":"","parse-names":false,"suffix":""},{"dropping-particle":"","family":"Lepetsos","given":"Panagiotis","non-dropping-particle":"","parse-names":false,"suffix":""},{"dropping-particle":"","family":"Baxevanos","given":"Nikolaos","non-dropping-particle":"","parse-names":false,"suffix":""},{"dropping-particle":"","family":"Liarakos","given":"Nikolaos","non-dropping-particle":"","parse-names":false,"suffix":""},{"dropping-particle":"","family":"Korre","given":"Marianna","non-dropping-particle":"","parse-names":false,"suffix":""},{"dropping-particle":"","family":"Gketsos","given":"Anastasios","non-dropping-particle":"","parse-names":false,"suffix":""}],"container-title":"SURGERIES","id":"ITEM-1","issue":"1","issued":{"date-parts":[["2019"]]},"title":"Shortening Osteotomies for Total Hip Replacement in High Congenital Dislocation of the Hip","type":"article-journal","volume":"1"},"uris":["http://www.mendeley.com/documents/?uuid=7438013d-d6df-3586-a637-28d9146a1af2"]},{"id":"ITEM-2","itemData":{"DOI":"10.2147/TCRM.S381885","ISSN":"1178203X","abstract":"Aim: Subtrochanteric shortening osteotomy (SSO) is often applied during total hip arthroplasty (THA) in high hip dislocations. The aim of the present paper was to evaluate the results of fixation by autogenous cortical plate technique on sites of SSO in THA for patients with Crowe type IV developmental dysplasia of the hip (DDH). Methods: We conducted a historical prospective cohort study and reviewed 67 patients (82 THAs) with SSO performed between March 2016 and May 2020. Thirty-nine patients (48 hips) obtained stability by intramedullary pressure provided by the S-ROM modular prostheses and with or without prophylactic binding by stainless-steel wire after osteotomy and before stem implantation (group A). Twenty-eight patients (34 hips) were fixed with autogenous cortical plate technique and stainless-steel wire or cables (group B). Time of operations, complications, radiographic results and clinical scores were compared. Results: One intraoperative fracture and a dislocation occurred, while component loosening, ectopic ossification and osteolysis were not observed. Group B had a higher union rate at the 4th month than group A (P = 0.015) while there were no significant differences of union rates at the 8th (P = 0.811) and the 12th month (P = 0.722) and of the average healing time (P = 0.181). No significant differences were found in hip function scores (HHS and WOMAC Osteoarthritis Index) between two groups. Conclusion: Fixation with autogenous cortical plate from the cylinder of femoral bone contributes to early bone union of osteotomy ends in Crowe type IV DDH patients compared to those who do not apply the technique. Besides of application of autogenous cortical strut grafts, relevant measures are as well recommended to prevent nonunion after SSO.","author":[{"dropping-particle":"","family":"Liu","given":"Yubo","non-dropping-particle":"","parse-names":false,"suffix":""},{"dropping-particle":"","family":"Zhang","given":"Shuai","non-dropping-particle":"","parse-names":false,"suffix":""},{"dropping-particle":"","family":"Li","given":"Chao","non-dropping-particle":"","parse-names":false,"suffix":""},{"dropping-particle":"","family":"Ma","given":"Mingyang","non-dropping-particle":"","parse-names":false,"suffix":""},{"dropping-particle":"","family":"Yang","given":"Minzhi","non-dropping-particle":"","parse-names":false,"suffix":""},{"dropping-particle":"","family":"Guo","given":"Renwen","non-dropping-particle":"","parse-names":false,"suffix":""},{"dropping-particle":"","family":"Kong","given":"Xiangpeng","non-dropping-particle":"","parse-names":false,"suffix":""},{"dropping-particle":"","family":"Chai","given":"Wei","non-dropping-particle":"","parse-names":false,"suffix":""}],"container-title":"Therapeutics and Clinical Risk Management","id":"ITEM-2","issued":{"date-parts":[["2022"]]},"title":"Fixation by Autogenous Cortical Plate Technique on Sites of Subtrochanteric Shortening Osteotomy Contributes to Early Bone Union in Total Hip Arthroplasty for Crowe Type IV Developmental Dysplasia of the Hip","type":"article-journal","volume":"18"},"uris":["http://www.mendeley.com/documents/?uuid=2cfac37c-9323-39f5-9043-4f45184340e5"]},{"id":"ITEM-3","itemData":{"DOI":"10.1186/s13018-020-01947-5","ISSN":"1749799X","abstract":"Background: Whether satisfactory clinical and radiological outcomes of total hip arthroplasty (THA) with subtrochanteric shortening osteotomy (SSO) in high hip dislocation after childhood pyogenic infection can be achieved as in Crowe IV developmental dysplasia of the hip (DDH) remains unclear. Methods: Between September 2009 and December 2016, 151 primary THAs performed at our institution using similar SSO technique and prosthetic design were retrospectively reviewed. After excluding patients who met exclusion criteria, 29 patients were identified as high dislocation (Crowe IV) after childhood infection (HDACI) and 107 as Crowe IV developmental dysplasia of the hip (DDH). Propensity score matching was used to select 29 Crowe IV DDH patients as a control group for the HDACI group with comparable preoperative conditions. Clinical and radiological outcomes and complication were compared and analyzed. The mean follow-up duration of the 2 groups was 5.0 years. Results: The mean Harris hip score (HHS) and the mean score in range of motion (ROM) domain of the modified Merle d'Aubigné-Postel (MAP) were 84.6 and 4.5 in the HDACI group, compared with 88.3 and 4.9 in the DDH group; there was significant difference between the 2 groups in these parameters (P = 0.015 and 0.035, respectively). Meanwhile, in the HDACI group, the median time of osteotomy union was 4 months and osteotomy nonunion rate was 3%; no significant difference was detected in the median time of osteotomy union and osteotomy nonunion rate between the 2 groups (P = 0.388 and 1.000, respectively). And no significant difference was found in the rate of complications between two groups. Conclusions: HDACI patients who received THA combined with SSO could achieve similar satisfactory results as DDH patients in Crowe type IV. The fixation technique of autogenous cortical bone struts had a positive influence on osteotomy healing of SSO in this specific setting.","author":[{"dropping-particle":"","family":"Zhao","given":"Enze","non-dropping-particle":"","parse-names":false,"suffix":""},{"dropping-particle":"","family":"Liu","given":"Zunhan","non-dropping-particle":"","parse-names":false,"suffix":""},{"dropping-particle":"","family":"Ding","given":"Zichuan","non-dropping-particle":"","parse-names":false,"suffix":""},{"dropping-particle":"","family":"Luo","given":"Zhenyu","non-dropping-particle":"","parse-names":false,"suffix":""},{"dropping-particle":"","family":"Li","given":"Hao","non-dropping-particle":"","parse-names":false,"suffix":""},{"dropping-particle":"","family":"Zhou","given":"Zongke","non-dropping-particle":"","parse-names":false,"suffix":""}],"container-title":"Journal of Orthopaedic Surgery and Research","id":"ITEM-3","issue":"1","issued":{"date-parts":[["2020"]]},"title":"A propensity score-matched analysis between patients with high hip dislocation after childhood pyogenic infection and Crowe IV developmental dysplasia of the hip in total hip arthroplasty with subtrochanteric shortening osteotomy","type":"article-journal","volume":"15"},"uris":["http://www.mendeley.com/documents/?uuid=644270c3-4861-3aea-8202-79e6d9b22272"]}],"mendeley":{"formattedCitation":"[93, 96, 97]","plainTextFormattedCitation":"[93, 96, 97]","previouslyFormattedCitation":"[93, 96, 97]"},"properties":{"noteIndex":0},"schema":"https://github.com/citation-style-language/schema/raw/master/csl-citation.json"}</w:instrText>
      </w:r>
      <w:r w:rsidR="002673D1" w:rsidRPr="00185BC0">
        <w:rPr>
          <w:sz w:val="28"/>
          <w:szCs w:val="28"/>
          <w:lang w:val="tr-TR"/>
        </w:rPr>
        <w:fldChar w:fldCharType="separate"/>
      </w:r>
      <w:r w:rsidR="008A5983" w:rsidRPr="00185BC0">
        <w:rPr>
          <w:noProof/>
          <w:sz w:val="28"/>
          <w:szCs w:val="28"/>
          <w:lang w:val="tr-TR"/>
        </w:rPr>
        <w:t>[93, 96, 97]</w:t>
      </w:r>
      <w:r w:rsidR="002673D1" w:rsidRPr="00185BC0">
        <w:rPr>
          <w:sz w:val="28"/>
          <w:szCs w:val="28"/>
          <w:lang w:val="tr-TR"/>
        </w:rPr>
        <w:fldChar w:fldCharType="end"/>
      </w:r>
      <w:r w:rsidRPr="00185BC0">
        <w:rPr>
          <w:sz w:val="28"/>
          <w:szCs w:val="28"/>
        </w:rPr>
        <w:t>.</w:t>
      </w:r>
    </w:p>
    <w:p w14:paraId="23513434" w14:textId="0532EB46" w:rsidR="00BB1D05" w:rsidRPr="00185BC0" w:rsidRDefault="00BB1D05" w:rsidP="00BB1D05">
      <w:pPr>
        <w:ind w:firstLine="709"/>
        <w:jc w:val="both"/>
        <w:rPr>
          <w:sz w:val="28"/>
          <w:szCs w:val="28"/>
          <w:lang w:val="kk-KZ"/>
        </w:rPr>
      </w:pPr>
      <w:r w:rsidRPr="00185BC0">
        <w:rPr>
          <w:sz w:val="28"/>
          <w:szCs w:val="28"/>
          <w:lang w:val="kk-KZ"/>
        </w:rPr>
        <w:t xml:space="preserve">Эффективность данной техники была подтверждена в исследовании Altay </w:t>
      </w:r>
      <w:r w:rsidR="008907FD" w:rsidRPr="00185BC0">
        <w:rPr>
          <w:sz w:val="28"/>
          <w:szCs w:val="28"/>
          <w:lang w:val="tr-TR"/>
        </w:rPr>
        <w:t>и соавт</w:t>
      </w:r>
      <w:r w:rsidRPr="00185BC0">
        <w:rPr>
          <w:sz w:val="28"/>
          <w:szCs w:val="28"/>
          <w:lang w:val="kk-KZ"/>
        </w:rPr>
        <w:t>. (2018), в котор</w:t>
      </w:r>
      <w:r w:rsidR="00947B82" w:rsidRPr="00185BC0">
        <w:rPr>
          <w:sz w:val="28"/>
          <w:szCs w:val="28"/>
          <w:lang w:val="kk-KZ"/>
        </w:rPr>
        <w:t>й</w:t>
      </w:r>
      <w:r w:rsidRPr="00185BC0">
        <w:rPr>
          <w:sz w:val="28"/>
          <w:szCs w:val="28"/>
          <w:lang w:val="kk-KZ"/>
        </w:rPr>
        <w:t xml:space="preserve"> поперечная подвертельная остеотомия у пациентов с Crowe IV DDH фиксировалась с помощью расщеплённого интеркалярного аутотрансплантата</w:t>
      </w:r>
      <w:r w:rsidR="00947B82" w:rsidRPr="00185BC0">
        <w:rPr>
          <w:sz w:val="28"/>
          <w:szCs w:val="28"/>
          <w:lang w:val="kk-KZ"/>
        </w:rPr>
        <w:t xml:space="preserve"> и </w:t>
      </w:r>
      <w:r w:rsidRPr="00185BC0">
        <w:rPr>
          <w:sz w:val="28"/>
          <w:szCs w:val="28"/>
          <w:lang w:val="kk-KZ"/>
        </w:rPr>
        <w:t>закреплённого двумя церкляжными кабелями. В исследование были включены 41 тазобедренный сустав у 37 пациентов, всем была выполнена установка бесцементного бедренного компонента с проксимальным пористым покрытием и дистальной рифлёной частью. Сращение остеотомии достигнуто во всех случаях, средний срок консолидации составил 13,5 ± 4,6 недели, а применение трансплантатов обеспечивало дополнительную ротационную стабильность, особенно в условиях нестабильности при пробной репозиции</w:t>
      </w:r>
      <w:r w:rsidR="000560F0" w:rsidRPr="00185BC0">
        <w:rPr>
          <w:sz w:val="28"/>
          <w:szCs w:val="28"/>
        </w:rPr>
        <w:t xml:space="preserve"> </w:t>
      </w:r>
      <w:r w:rsidR="002673D1" w:rsidRPr="00185BC0">
        <w:rPr>
          <w:sz w:val="28"/>
          <w:szCs w:val="28"/>
        </w:rPr>
        <w:fldChar w:fldCharType="begin" w:fldLock="1"/>
      </w:r>
      <w:r w:rsidR="001D29A3" w:rsidRPr="00185BC0">
        <w:rPr>
          <w:sz w:val="28"/>
          <w:szCs w:val="28"/>
        </w:rPr>
        <w:instrText>ADDIN CSL_CITATION {"citationItems":[{"id":"ITEM-1","itemData":{"DOI":"10.4103/ortho.IJOrtho_445_16","ISSN":"19983727","abstract":"Background: Crowe type IV developmental dysplasia of hip (DDH), subtrochanteric shortening osteotomy is required to restore the hip joint. Several approaches have been described for subtrochanteric shortening osteotomy. Several osteotomy fixation techniques have been defined for Crowe type IV DDH. This study evaluates the outcomes of subtrochanteric shortening osteotomy fixed with a combination of split onlay autograft and distal fluted femoral stem. Materials and Methods: A retrospective study was carried out on 41 hips of 37 patients treated with total hip replacement for Crowe type IV developmental dysplasia of the hip by subtrochanteric transverse osteotomy and fixed with split intercalary autograft by two cables. A femoral stem with proximal coated and distally fluted was used. The patients were evaluated at a mean of 34 months (range 12-68 months) for union time, leg equalization, and clinical outcomes. Results: Mean time of union was 13.5 ± 4.6 weeks (range 6-24 weeks). Intraoperative instability of the osteotomy site (n = 16) that was encountered at the trial stage was restored properly by this surgical protocol. Leg length discrepancies were improved to 1.4 ± 0.8 cm (range 0-3 cm). Harris scores were improved from 47.7 ± 10.8 (range 30-68) to 88 ± 5.6 (range 72-98) (P &lt; 0.05) points. There was no nonunion. Conclusions: Distally well-fitted stem and strengthening of fixation with split intercalary autograft promote additional rotational stability and improve bone union.","author":[{"dropping-particle":"","family":"Altay","given":"Murat","non-dropping-particle":"","parse-names":false,"suffix":""},{"dropping-particle":"","family":"Demirkale","given":"İsmail","non-dropping-particle":"","parse-names":false,"suffix":""},{"dropping-particle":"","family":"Çatma","given":"Mehmet Faruk","non-dropping-particle":"","parse-names":false,"suffix":""},{"dropping-particle":"","family":"Şeşen","given":"Hakan","non-dropping-particle":"","parse-names":false,"suffix":""},{"dropping-particle":"","family":"Ünlü","given":"Serhan","non-dropping-particle":"","parse-names":false,"suffix":""},{"dropping-particle":"","family":"Karaduman","given":"Mert","non-dropping-particle":"","parse-names":false,"suffix":""}],"container-title":"Indian Journal of Orthopaedics","id":"ITEM-1","issue":"4","issued":{"date-parts":[["2018"]]},"title":"Results of crowe Type IV developmental dysplasia of hip treated by subtrochantric osteotomy and total hip arthroplasty","type":"article-journal","volume":"52"},"uris":["http://www.mendeley.com/documents/?uuid=7a879c68-8899-3f1a-b3ff-1e9d6884ad27"]}],"mendeley":{"formattedCitation":"[92]","plainTextFormattedCitation":"[92]","previouslyFormattedCitation":"[92]"},"properties":{"noteIndex":0},"schema":"https://github.com/citation-style-language/schema/raw/master/csl-citation.json"}</w:instrText>
      </w:r>
      <w:r w:rsidR="002673D1" w:rsidRPr="00185BC0">
        <w:rPr>
          <w:sz w:val="28"/>
          <w:szCs w:val="28"/>
        </w:rPr>
        <w:fldChar w:fldCharType="separate"/>
      </w:r>
      <w:r w:rsidR="008A5983" w:rsidRPr="00185BC0">
        <w:rPr>
          <w:noProof/>
          <w:sz w:val="28"/>
          <w:szCs w:val="28"/>
        </w:rPr>
        <w:t>[92]</w:t>
      </w:r>
      <w:r w:rsidR="002673D1" w:rsidRPr="00185BC0">
        <w:rPr>
          <w:sz w:val="28"/>
          <w:szCs w:val="28"/>
        </w:rPr>
        <w:fldChar w:fldCharType="end"/>
      </w:r>
      <w:r w:rsidRPr="00185BC0">
        <w:rPr>
          <w:sz w:val="28"/>
          <w:szCs w:val="28"/>
          <w:lang w:val="kk-KZ"/>
        </w:rPr>
        <w:t>.</w:t>
      </w:r>
    </w:p>
    <w:p w14:paraId="7D4C7F49" w14:textId="4AC061D1" w:rsidR="00BB1D05" w:rsidRPr="00185BC0" w:rsidRDefault="00BB1D05" w:rsidP="00BB1D05">
      <w:pPr>
        <w:ind w:firstLine="709"/>
        <w:jc w:val="both"/>
        <w:rPr>
          <w:sz w:val="28"/>
          <w:szCs w:val="28"/>
          <w:lang w:val="tr-TR"/>
        </w:rPr>
      </w:pPr>
      <w:r w:rsidRPr="00185BC0">
        <w:rPr>
          <w:sz w:val="28"/>
          <w:szCs w:val="28"/>
          <w:lang w:val="tr-TR"/>
        </w:rPr>
        <w:t xml:space="preserve">Дополнительные доказательства в пользу использования аутотрансплантатов представлены в когортном исследовании Liu </w:t>
      </w:r>
      <w:r w:rsidR="008907FD" w:rsidRPr="00185BC0">
        <w:rPr>
          <w:sz w:val="28"/>
          <w:szCs w:val="28"/>
          <w:lang w:val="tr-TR"/>
        </w:rPr>
        <w:t>и соавт</w:t>
      </w:r>
      <w:r w:rsidRPr="00185BC0">
        <w:rPr>
          <w:sz w:val="28"/>
          <w:szCs w:val="28"/>
          <w:lang w:val="tr-TR"/>
        </w:rPr>
        <w:t>. (2022), включившем 67 пациентов (82 тазобедренных сустава) с Crowe IV DDH, которым выполнялось тотальное эндопротезирование с подвертельной остеотомией. В основной группе (</w:t>
      </w:r>
      <w:r w:rsidRPr="00185BC0">
        <w:rPr>
          <w:sz w:val="28"/>
          <w:szCs w:val="28"/>
          <w:lang w:val="en-US"/>
        </w:rPr>
        <w:t>n</w:t>
      </w:r>
      <w:r w:rsidRPr="00185BC0">
        <w:rPr>
          <w:sz w:val="28"/>
          <w:szCs w:val="28"/>
        </w:rPr>
        <w:t>=</w:t>
      </w:r>
      <w:r w:rsidRPr="00185BC0">
        <w:rPr>
          <w:sz w:val="28"/>
          <w:szCs w:val="28"/>
          <w:lang w:val="tr-TR"/>
        </w:rPr>
        <w:t>34) применялись расщеплённые кортикальные аутотрансплантаты, фиксированные одним-двумя титановыми церкляжными кабелями. В контрольной группе (n=48) дополнительная фиксация зоны остеотомии не использовалась, а стабильность достигалась исключительно за счёт внутриканального размещения модульного бедренного компонента. Уже к четвёртому месяцу послеоперационного периода в основной группе была зафиксирована значительно более высокая частота сращения остеотомии (76,5 % против 50 %; p = 0,015), тогда как к восьмому и двенадцатому месяцам различия между группами нивелировались. При этом частота послеоперационных осложнений и показатели функционального восстановления (HHS) не различались, что свидетельствует о преимуществе применения трансплантатов на этапе ранней репарации</w:t>
      </w:r>
      <w:r w:rsidR="000560F0" w:rsidRPr="00185BC0">
        <w:rPr>
          <w:sz w:val="28"/>
          <w:szCs w:val="28"/>
          <w:lang w:val="tr-TR"/>
        </w:rPr>
        <w:t xml:space="preserve"> </w:t>
      </w:r>
      <w:r w:rsidR="002673D1" w:rsidRPr="00185BC0">
        <w:rPr>
          <w:sz w:val="28"/>
          <w:szCs w:val="28"/>
          <w:lang w:val="tr-TR"/>
        </w:rPr>
        <w:fldChar w:fldCharType="begin" w:fldLock="1"/>
      </w:r>
      <w:r w:rsidR="001D29A3" w:rsidRPr="00185BC0">
        <w:rPr>
          <w:sz w:val="28"/>
          <w:szCs w:val="28"/>
          <w:lang w:val="tr-TR"/>
        </w:rPr>
        <w:instrText>ADDIN CSL_CITATION {"citationItems":[{"id":"ITEM-1","itemData":{"DOI":"10.2147/TCRM.S381885","ISSN":"1178203X","abstract":"Aim: Subtrochanteric shortening osteotomy (SSO) is often applied during total hip arthroplasty (THA) in high hip dislocations. The aim of the present paper was to evaluate the results of fixation by autogenous cortical plate technique on sites of SSO in THA for patients with Crowe type IV developmental dysplasia of the hip (DDH). Methods: We conducted a historical prospective cohort study and reviewed 67 patients (82 THAs) with SSO performed between March 2016 and May 2020. Thirty-nine patients (48 hips) obtained stability by intramedullary pressure provided by the S-ROM modular prostheses and with or without prophylactic binding by stainless-steel wire after osteotomy and before stem implantation (group A). Twenty-eight patients (34 hips) were fixed with autogenous cortical plate technique and stainless-steel wire or cables (group B). Time of operations, complications, radiographic results and clinical scores were compared. Results: One intraoperative fracture and a dislocation occurred, while component loosening, ectopic ossification and osteolysis were not observed. Group B had a higher union rate at the 4th month than group A (P = 0.015) while there were no significant differences of union rates at the 8th (P = 0.811) and the 12th month (P = 0.722) and of the average healing time (P = 0.181). No significant differences were found in hip function scores (HHS and WOMAC Osteoarthritis Index) between two groups. Conclusion: Fixation with autogenous cortical plate from the cylinder of femoral bone contributes to early bone union of osteotomy ends in Crowe type IV DDH patients compared to those who do not apply the technique. Besides of application of autogenous cortical strut grafts, relevant measures are as well recommended to prevent nonunion after SSO.","author":[{"dropping-particle":"","family":"Liu","given":"Yubo","non-dropping-particle":"","parse-names":false,"suffix":""},{"dropping-particle":"","family":"Zhang","given":"Shuai","non-dropping-particle":"","parse-names":false,"suffix":""},{"dropping-particle":"","family":"Li","given":"Chao","non-dropping-particle":"","parse-names":false,"suffix":""},{"dropping-particle":"","family":"Ma","given":"Mingyang","non-dropping-particle":"","parse-names":false,"suffix":""},{"dropping-particle":"","family":"Yang","given":"Minzhi","non-dropping-particle":"","parse-names":false,"suffix":""},{"dropping-particle":"","family":"Guo","given":"Renwen","non-dropping-particle":"","parse-names":false,"suffix":""},{"dropping-particle":"","family":"Kong","given":"Xiangpeng","non-dropping-particle":"","parse-names":false,"suffix":""},{"dropping-particle":"","family":"Chai","given":"Wei","non-dropping-particle":"","parse-names":false,"suffix":""}],"container-title":"Therapeutics and Clinical Risk Management","id":"ITEM-1","issued":{"date-parts":[["2022"]]},"title":"Fixation by Autogenous Cortical Plate Technique on Sites of Subtrochanteric Shortening Osteotomy Contributes to Early Bone Union in Total Hip Arthroplasty for Crowe Type IV Developmental Dysplasia of the Hip","type":"article-journal","volume":"18"},"uris":["http://www.mendeley.com/documents/?uuid=2cfac37c-9323-39f5-9043-4f45184340e5"]}],"mendeley":{"formattedCitation":"[93]","plainTextFormattedCitation":"[93]","previouslyFormattedCitation":"[93]"},"properties":{"noteIndex":0},"schema":"https://github.com/citation-style-language/schema/raw/master/csl-citation.json"}</w:instrText>
      </w:r>
      <w:r w:rsidR="002673D1" w:rsidRPr="00185BC0">
        <w:rPr>
          <w:sz w:val="28"/>
          <w:szCs w:val="28"/>
          <w:lang w:val="tr-TR"/>
        </w:rPr>
        <w:fldChar w:fldCharType="separate"/>
      </w:r>
      <w:r w:rsidR="008A5983" w:rsidRPr="00185BC0">
        <w:rPr>
          <w:noProof/>
          <w:sz w:val="28"/>
          <w:szCs w:val="28"/>
          <w:lang w:val="tr-TR"/>
        </w:rPr>
        <w:t>[93]</w:t>
      </w:r>
      <w:r w:rsidR="002673D1" w:rsidRPr="00185BC0">
        <w:rPr>
          <w:sz w:val="28"/>
          <w:szCs w:val="28"/>
          <w:lang w:val="tr-TR"/>
        </w:rPr>
        <w:fldChar w:fldCharType="end"/>
      </w:r>
      <w:r w:rsidRPr="00185BC0">
        <w:rPr>
          <w:sz w:val="28"/>
          <w:szCs w:val="28"/>
          <w:lang w:val="tr-TR"/>
        </w:rPr>
        <w:t>.</w:t>
      </w:r>
    </w:p>
    <w:p w14:paraId="7ABC0FE6" w14:textId="74D55F55" w:rsidR="00BB1D05" w:rsidRPr="00185BC0" w:rsidRDefault="00BB1D05" w:rsidP="00BB1D05">
      <w:pPr>
        <w:ind w:firstLine="709"/>
        <w:jc w:val="both"/>
        <w:rPr>
          <w:sz w:val="28"/>
          <w:szCs w:val="28"/>
          <w:lang w:val="kk-KZ"/>
        </w:rPr>
      </w:pPr>
      <w:r w:rsidRPr="00185BC0">
        <w:rPr>
          <w:sz w:val="28"/>
          <w:szCs w:val="28"/>
          <w:lang w:val="tr-TR"/>
        </w:rPr>
        <w:t xml:space="preserve">Сходные результаты получены и при использовании кортикальных аллографтов. Так, Ollivier </w:t>
      </w:r>
      <w:r w:rsidR="008907FD" w:rsidRPr="00185BC0">
        <w:rPr>
          <w:sz w:val="28"/>
          <w:szCs w:val="28"/>
          <w:lang w:val="tr-TR"/>
        </w:rPr>
        <w:t>и соавт</w:t>
      </w:r>
      <w:r w:rsidRPr="00185BC0">
        <w:rPr>
          <w:sz w:val="28"/>
          <w:szCs w:val="28"/>
          <w:lang w:val="tr-TR"/>
        </w:rPr>
        <w:t>. (2016) в исследовании с 10-летним наблюдением за пациентами с Crowe IV DDH после ТЭТС и подвертельной остеотомии продемонстрировали высокий процент консолидации (93 %) при применении кортикальных штифтовых аллографтов. Осложнения, связанные непосредственно с трансплантатами, не наблюдались, а все случаи несращения (n=2) были обусловлены техническими особенностями остеотомии и неэффективностью первичной фиксации, а не свойствами трансплантата</w:t>
      </w:r>
      <w:r w:rsidR="000560F0" w:rsidRPr="00185BC0">
        <w:rPr>
          <w:sz w:val="28"/>
          <w:szCs w:val="28"/>
          <w:lang w:val="tr-TR"/>
        </w:rPr>
        <w:t xml:space="preserve"> </w:t>
      </w:r>
      <w:r w:rsidR="002673D1" w:rsidRPr="00185BC0">
        <w:rPr>
          <w:sz w:val="28"/>
          <w:szCs w:val="28"/>
          <w:lang w:val="tr-TR"/>
        </w:rPr>
        <w:fldChar w:fldCharType="begin" w:fldLock="1"/>
      </w:r>
      <w:r w:rsidR="001D29A3" w:rsidRPr="00185BC0">
        <w:rPr>
          <w:sz w:val="28"/>
          <w:szCs w:val="28"/>
          <w:lang w:val="tr-TR"/>
        </w:rPr>
        <w:instrText>ADDIN CSL_CITATION {"citationItems":[{"id":"ITEM-1","itemData":{"DOI":"10.1016/j.arth.2016.01.049","ISSN":"15328406","PMID":"26952206","abstract":"Background Numerous series have documented short-term successes with cementless total hip arthroplasty (THA) and subtrochanteric shortening osteotomy for Crowe IV developmental dysplasia of the hip (DDH). However, data are lacking regarding long-term implant fixation and patient function. In this study, we aimed to evaluate the 10-year results of cementless THA with simultaneous subtrochanteric shortening osteotomy for Crowe IV DDH. Methods We retrospectively reviewed 28 consecutive primaries cementless THAs performed in 24 patients with Crowe IV DDH between 1992 and 2005. Evaluation was performed through Harris Hip Scores, physical examination, and radiographic analysis. Results At mean follow-up 10 years, 5 hips were revised, and 3 patients had died leaving 20 hips for clinical analysis. Harris Hip Score was significantly improved compared to preoperative values (43 vs 87 P &lt;.0001). The 10-year survivorship free from revision for aseptic loosening was 89%. Twenty-nine percent patients had an early complication, but these did not have long-term deleterious effects on the reconstruction, and there were no reoperations for any reason after 7 years. Conclusions In the longest series to date, cementless THA combined with a subtrochanteric femoral shortening osteotomy in patients with a high hip dislocation secondary to dysplasia was associated with high rates of successful implant fixation and stable clinical improvement.","author":[{"dropping-particle":"","family":"Ollivier","given":"Matthieu","non-dropping-particle":"","parse-names":false,"suffix":""},{"dropping-particle":"","family":"Abdel","given":"Matthew P.","non-dropping-particle":"","parse-names":false,"suffix":""},{"dropping-particle":"","family":"Krych","given":"Aaron J.","non-dropping-particle":"","parse-names":false,"suffix":""},{"dropping-particle":"","family":"Trousdale","given":"Robert T.","non-dropping-particle":"","parse-names":false,"suffix":""},{"dropping-particle":"","family":"Berry","given":"Daniel J.","non-dropping-particle":"","parse-names":false,"suffix":""}],"container-title":"Journal of Arthroplasty","id":"ITEM-1","issue":"8","issued":{"date-parts":[["2016","8","1"]]},"page":"1756-1760","publisher":"Churchill Livingstone Inc.","title":"Long-Term Results of Total Hip Arthroplasty With Shortening Subtrochanteric Osteotomy in Crowe IV Developmental Dysplasia","type":"article-journal","volume":"31"},"uris":["http://www.mendeley.com/documents/?uuid=f23ba7ce-8535-3dc8-b41d-ad35056b31d1"]}],"mendeley":{"formattedCitation":"[77]","plainTextFormattedCitation":"[77]","previouslyFormattedCitation":"[77]"},"properties":{"noteIndex":0},"schema":"https://github.com/citation-style-language/schema/raw/master/csl-citation.json"}</w:instrText>
      </w:r>
      <w:r w:rsidR="002673D1" w:rsidRPr="00185BC0">
        <w:rPr>
          <w:sz w:val="28"/>
          <w:szCs w:val="28"/>
          <w:lang w:val="tr-TR"/>
        </w:rPr>
        <w:fldChar w:fldCharType="separate"/>
      </w:r>
      <w:r w:rsidR="008A5983" w:rsidRPr="00185BC0">
        <w:rPr>
          <w:noProof/>
          <w:sz w:val="28"/>
          <w:szCs w:val="28"/>
          <w:lang w:val="tr-TR"/>
        </w:rPr>
        <w:t>[77]</w:t>
      </w:r>
      <w:r w:rsidR="002673D1" w:rsidRPr="00185BC0">
        <w:rPr>
          <w:sz w:val="28"/>
          <w:szCs w:val="28"/>
          <w:lang w:val="tr-TR"/>
        </w:rPr>
        <w:fldChar w:fldCharType="end"/>
      </w:r>
      <w:r w:rsidRPr="00185BC0">
        <w:rPr>
          <w:sz w:val="28"/>
          <w:szCs w:val="28"/>
          <w:lang w:val="kk-KZ"/>
        </w:rPr>
        <w:t>.</w:t>
      </w:r>
    </w:p>
    <w:p w14:paraId="1BBAD87A" w14:textId="38D65892" w:rsidR="00BB1D05" w:rsidRPr="00185BC0" w:rsidRDefault="00BB1D05" w:rsidP="00BB1D05">
      <w:pPr>
        <w:ind w:firstLine="709"/>
        <w:jc w:val="both"/>
        <w:rPr>
          <w:sz w:val="28"/>
          <w:szCs w:val="28"/>
          <w:lang w:val="tr-TR"/>
        </w:rPr>
      </w:pPr>
      <w:r w:rsidRPr="00185BC0">
        <w:rPr>
          <w:sz w:val="28"/>
          <w:szCs w:val="28"/>
          <w:lang w:val="kk-KZ"/>
        </w:rPr>
        <w:t xml:space="preserve">Альтернативным вариантом биологического усиления фиксации подвертельной остеотомии является применение интеркалярных костных штифтов, размещаемых внутри костномозгового канала. Методика, предложенная Togrul </w:t>
      </w:r>
      <w:r w:rsidR="008907FD" w:rsidRPr="00185BC0">
        <w:rPr>
          <w:sz w:val="28"/>
          <w:szCs w:val="28"/>
          <w:lang w:val="tr-TR"/>
        </w:rPr>
        <w:t>и соавт</w:t>
      </w:r>
      <w:r w:rsidRPr="00185BC0">
        <w:rPr>
          <w:sz w:val="28"/>
          <w:szCs w:val="28"/>
          <w:lang w:val="kk-KZ"/>
        </w:rPr>
        <w:t xml:space="preserve">. (2010), предполагает использование цилиндрических аутотрансплантатов, полученных из резецированного сегмента бедренной кости, которые внедряются в интрамедуллярный канал на уровне остеотомии с плотной посадкой. Такая техника обеспечивает надёжную первичную стабилизацию без дополнительной внешней фиксации и </w:t>
      </w:r>
      <w:r w:rsidRPr="00185BC0">
        <w:rPr>
          <w:sz w:val="28"/>
          <w:szCs w:val="28"/>
          <w:lang w:val="kk-KZ"/>
        </w:rPr>
        <w:lastRenderedPageBreak/>
        <w:t>способствует высокой частоте консолидации. В ретроспективной серии, включившей 21 пациентку с тяжёлой дисплазией (Crowe III-IV), было достигнуто 100 % сращения остеотомий при среднем сроке консолидации 12 недель. Авторы подчёркивают простоту выполнения метода и его эффективность при условии точной подгонки трансплантата к каналу, что делает технику ценной альтернативой при ограниченном использовании церкляжа или при невозможности установки накостных графтов</w:t>
      </w:r>
      <w:r w:rsidR="000560F0" w:rsidRPr="00185BC0">
        <w:rPr>
          <w:sz w:val="28"/>
          <w:szCs w:val="28"/>
        </w:rPr>
        <w:t xml:space="preserve"> </w:t>
      </w:r>
      <w:r w:rsidR="002673D1" w:rsidRPr="00185BC0">
        <w:rPr>
          <w:sz w:val="28"/>
          <w:szCs w:val="28"/>
        </w:rPr>
        <w:fldChar w:fldCharType="begin" w:fldLock="1"/>
      </w:r>
      <w:r w:rsidR="002F5076" w:rsidRPr="00185BC0">
        <w:rPr>
          <w:sz w:val="28"/>
          <w:szCs w:val="28"/>
        </w:rPr>
        <w:instrText>ADDIN CSL_CITATION {"citationItems":[{"id":"ITEM-1","itemData":{"DOI":"10.1016/j.arth.2009.02.023","ISSN":"08835403","abstract":"A new technique of femoral fixation that uses a transverse osteotomy for subtrochanteric shortening and derotation in total hip arthroplasty for Crowe type 3 to 4 dysplasia of the hip is described. This series included 21 cases in 12 women and 2 men, with a mean age of 42.3 years. Follow-up averaged 41.2 months. Bone pegs prepared from the resected femoral segment were seated in the medullary canal around the stem for femoral fixation. Merle d'Aubigné scores for pain, motion, and walking improved from 2.9, 4.4, and 3.7 to 5.2, 5.4, and 5.5, respectively. Radiographic union was detected within 12 ± 3.4 (range, 6-24) weeks in all cases. Complications were early dislocation in 2 cases. This technique allows correction of anteversion, provides excellent rotational stability, and eliminates the need for additional osteosynthesis regardless of the stem design. © 2010 Elsevier Inc.","author":[{"dropping-particle":"","family":"Togrul","given":"Emre","non-dropping-particle":"","parse-names":false,"suffix":""},{"dropping-particle":"","family":"Özkan","given":"Cenk","non-dropping-particle":"","parse-names":false,"suffix":""},{"dropping-particle":"","family":"Kalaci","given":"Aydiner","non-dropping-particle":"","parse-names":false,"suffix":""},{"dropping-particle":"","family":"Gülşen","given":"Mahir","non-dropping-particle":"","parse-names":false,"suffix":""}],"container-title":"Journal of Arthroplasty","id":"ITEM-1","issue":"3","issued":{"date-parts":[["2010"]]},"title":"A new technique of subtrochanteric shortening in total hip replacement for crowe type 3 to 4 dysplasia of the hip","type":"article-journal","volume":"25"},"uris":["http://www.mendeley.com/documents/?uuid=d24913c4-948d-30f0-8e79-1deaa7e437f4"]}],"mendeley":{"formattedCitation":"[16]","plainTextFormattedCitation":"[16]","previouslyFormattedCitation":"[16]"},"properties":{"noteIndex":0},"schema":"https://github.com/citation-style-language/schema/raw/master/csl-citation.json"}</w:instrText>
      </w:r>
      <w:r w:rsidR="002673D1" w:rsidRPr="00185BC0">
        <w:rPr>
          <w:sz w:val="28"/>
          <w:szCs w:val="28"/>
        </w:rPr>
        <w:fldChar w:fldCharType="separate"/>
      </w:r>
      <w:r w:rsidR="00371B3B" w:rsidRPr="00185BC0">
        <w:rPr>
          <w:noProof/>
          <w:sz w:val="28"/>
          <w:szCs w:val="28"/>
        </w:rPr>
        <w:t>[16]</w:t>
      </w:r>
      <w:r w:rsidR="002673D1" w:rsidRPr="00185BC0">
        <w:rPr>
          <w:sz w:val="28"/>
          <w:szCs w:val="28"/>
        </w:rPr>
        <w:fldChar w:fldCharType="end"/>
      </w:r>
      <w:r w:rsidRPr="00185BC0">
        <w:rPr>
          <w:sz w:val="28"/>
          <w:szCs w:val="28"/>
          <w:lang w:val="tr-TR"/>
        </w:rPr>
        <w:t>.</w:t>
      </w:r>
    </w:p>
    <w:p w14:paraId="13A10F54" w14:textId="77777777" w:rsidR="00BB1D05" w:rsidRPr="00185BC0" w:rsidRDefault="00BB1D05" w:rsidP="00BB1D05">
      <w:pPr>
        <w:ind w:firstLine="709"/>
        <w:jc w:val="both"/>
        <w:rPr>
          <w:sz w:val="28"/>
          <w:szCs w:val="28"/>
          <w:lang w:val="tr-TR"/>
        </w:rPr>
      </w:pPr>
      <w:r w:rsidRPr="00185BC0">
        <w:rPr>
          <w:sz w:val="28"/>
          <w:szCs w:val="28"/>
          <w:lang w:val="tr-TR"/>
        </w:rPr>
        <w:t>Фиксация зоны остеотомии с применением пластины и винтов является одним из надёжных способов повышения стабильности, особенно в плане ротационной и аксиальной жёсткости. Установка металлической пластины по латеральной поверхности бедренной кости с проведением винтов проксимальнее и дистальнее линии остеотомии позволяет создать углово-устойчивую конструкцию, более эффективно противостоящую силам кручения и изгиба по сравнению с изолированным церкляжем. По своей сути данный подход представляет собой метод внутреннего остеосинтеза, аналогичный лечению переломов бедренной кости.</w:t>
      </w:r>
    </w:p>
    <w:p w14:paraId="43E00D39" w14:textId="77777777" w:rsidR="00426487" w:rsidRPr="00185BC0" w:rsidRDefault="00BB1D05" w:rsidP="00BB1D05">
      <w:pPr>
        <w:ind w:firstLine="709"/>
        <w:jc w:val="both"/>
        <w:rPr>
          <w:sz w:val="28"/>
          <w:szCs w:val="28"/>
          <w:lang w:val="tr-TR"/>
        </w:rPr>
      </w:pPr>
      <w:r w:rsidRPr="00185BC0">
        <w:rPr>
          <w:sz w:val="28"/>
          <w:szCs w:val="28"/>
          <w:lang w:val="tr-TR"/>
        </w:rPr>
        <w:t>В литературе описано множество вариантов пластин, используемых для фиксации остеотомий при дисплазии тазобедренного сустава IV типа по Crowe, включая пластины с блокируемыми винтами (LCP) и комбинированные конструкции типа "cable-plate"</w:t>
      </w:r>
      <w:r w:rsidRPr="00185BC0">
        <w:rPr>
          <w:sz w:val="28"/>
          <w:szCs w:val="28"/>
        </w:rPr>
        <w:t xml:space="preserve"> </w:t>
      </w:r>
      <w:r w:rsidRPr="00185BC0">
        <w:rPr>
          <w:sz w:val="28"/>
          <w:szCs w:val="28"/>
          <w:lang w:val="tr-TR"/>
        </w:rPr>
        <w:t>(</w:t>
      </w:r>
      <w:r w:rsidRPr="00185BC0">
        <w:rPr>
          <w:sz w:val="28"/>
          <w:szCs w:val="28"/>
        </w:rPr>
        <w:t xml:space="preserve">рисунок </w:t>
      </w:r>
      <w:r w:rsidRPr="00185BC0">
        <w:rPr>
          <w:sz w:val="28"/>
          <w:szCs w:val="28"/>
          <w:lang w:val="tr-TR"/>
        </w:rPr>
        <w:t xml:space="preserve">9). </w:t>
      </w:r>
    </w:p>
    <w:p w14:paraId="1E6DC36B" w14:textId="77777777" w:rsidR="00426487" w:rsidRPr="00185BC0" w:rsidRDefault="00426487" w:rsidP="00426487">
      <w:pPr>
        <w:ind w:firstLine="709"/>
        <w:jc w:val="both"/>
        <w:rPr>
          <w:sz w:val="28"/>
          <w:szCs w:val="28"/>
          <w:lang w:val="tr-TR"/>
        </w:rPr>
      </w:pPr>
    </w:p>
    <w:p w14:paraId="73EEB549" w14:textId="77777777" w:rsidR="00426487" w:rsidRPr="00185BC0" w:rsidRDefault="00426487" w:rsidP="00426487">
      <w:pPr>
        <w:jc w:val="both"/>
        <w:rPr>
          <w:sz w:val="28"/>
          <w:szCs w:val="28"/>
          <w:lang w:val="tr-TR"/>
        </w:rPr>
      </w:pPr>
      <w:r w:rsidRPr="00185BC0">
        <w:rPr>
          <w:noProof/>
          <w:sz w:val="28"/>
          <w:szCs w:val="28"/>
          <w:lang w:val="tr-TR"/>
        </w:rPr>
        <w:drawing>
          <wp:inline distT="0" distB="0" distL="0" distR="0" wp14:anchorId="715B700F" wp14:editId="5BE6ED67">
            <wp:extent cx="5876331" cy="166551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18163" cy="1705713"/>
                    </a:xfrm>
                    <a:prstGeom prst="rect">
                      <a:avLst/>
                    </a:prstGeom>
                    <a:noFill/>
                  </pic:spPr>
                </pic:pic>
              </a:graphicData>
            </a:graphic>
          </wp:inline>
        </w:drawing>
      </w:r>
    </w:p>
    <w:p w14:paraId="27ADB46C" w14:textId="77777777" w:rsidR="00426487" w:rsidRPr="00185BC0" w:rsidRDefault="00426487" w:rsidP="00426487">
      <w:pPr>
        <w:jc w:val="both"/>
        <w:rPr>
          <w:sz w:val="28"/>
          <w:szCs w:val="28"/>
          <w:lang w:val="tr-TR"/>
        </w:rPr>
      </w:pPr>
    </w:p>
    <w:p w14:paraId="4DEF534C" w14:textId="013281C1" w:rsidR="00426487" w:rsidRPr="00185BC0" w:rsidRDefault="00426487" w:rsidP="00426487">
      <w:pPr>
        <w:ind w:firstLine="567"/>
        <w:jc w:val="both"/>
        <w:rPr>
          <w:sz w:val="28"/>
          <w:szCs w:val="28"/>
          <w:lang w:val="kk-KZ"/>
        </w:rPr>
      </w:pPr>
      <w:r w:rsidRPr="00185BC0">
        <w:rPr>
          <w:sz w:val="28"/>
          <w:szCs w:val="28"/>
          <w:lang w:val="tr-TR"/>
        </w:rPr>
        <w:t>Рис</w:t>
      </w:r>
      <w:r w:rsidRPr="00185BC0">
        <w:rPr>
          <w:sz w:val="28"/>
          <w:szCs w:val="28"/>
          <w:lang w:val="kk-KZ"/>
        </w:rPr>
        <w:t>унок 9</w:t>
      </w:r>
      <w:r w:rsidR="00EF5D1F" w:rsidRPr="00185BC0">
        <w:rPr>
          <w:sz w:val="28"/>
          <w:szCs w:val="28"/>
          <w:lang w:val="kk-KZ"/>
        </w:rPr>
        <w:t xml:space="preserve"> – </w:t>
      </w:r>
      <w:r w:rsidR="009C671C" w:rsidRPr="00185BC0">
        <w:rPr>
          <w:sz w:val="28"/>
          <w:szCs w:val="28"/>
          <w:lang w:val="tr-TR"/>
        </w:rPr>
        <w:t xml:space="preserve">Хирургическая техника поперечной укорачивающей остеотомии с использованием кабельно-пластинчатой фиксации при ТЭТС </w:t>
      </w:r>
      <w:r w:rsidR="000B606C" w:rsidRPr="00185BC0">
        <w:rPr>
          <w:sz w:val="28"/>
          <w:szCs w:val="28"/>
          <w:lang w:val="kk-KZ"/>
        </w:rPr>
        <w:fldChar w:fldCharType="begin" w:fldLock="1"/>
      </w:r>
      <w:r w:rsidR="002F5076" w:rsidRPr="00185BC0">
        <w:rPr>
          <w:sz w:val="28"/>
          <w:szCs w:val="28"/>
          <w:lang w:val="kk-KZ"/>
        </w:rPr>
        <w:instrText>ADDIN CSL_CITATION {"citationItems":[{"id":"ITEM-1","itemData":{"DOI":"10.1016/j.arth.2015.01.045","ISSN":"15328406","abstract":"The purpose of this study was to review the outcomes of transverse subtrochanteric shortening osteotomy during cementless total hip arthroplasty in Crowe Type-III or IV developmental dysplasia. Seventy-three osteotomies were included in our study. Mean follow-up was 61. months. Harris hip score, leg length discrepancy, neurological status, union status of the osteotomy, and femoral component stability were the criteria for evaluation. All complications were noted. The mean Harris hip score improved from 38.6 points to 83.7 points. The mean leg length discrepancy decreased from 56.5. mm to 10.7 at the latest follow-up. The mean union time was 5.2. months. We observed 4 non-unions. Transverse subtrochanteric shortening osteotomy is an effective and reliable method in restoration of a more normal limb.","author":[{"dropping-particle":"","family":"Sofu","given":"Hakan","non-dropping-particle":"","parse-names":false,"suffix":""},{"dropping-particle":"","family":"Kockara","given":"Nizamettin","non-dropping-particle":"","parse-names":false,"suffix":""},{"dropping-particle":"","family":"Gursu","given":"Sarper","non-dropping-particle":"","parse-names":false,"suffix":""},{"dropping-particle":"","family":"Issin","given":"Ahmet","non-dropping-particle":"","parse-names":false,"suffix":""},{"dropping-particle":"","family":"Oner","given":"Ali","non-dropping-particle":"","parse-names":false,"suffix":""},{"dropping-particle":"","family":"Sahin","given":"Vedat","non-dropping-particle":"","parse-names":false,"suffix":""}],"container-title":"Journal of Arthroplasty","id":"ITEM-1","issue":"6","issued":{"date-parts":[["2015"]]},"title":"Transverse Subtrochanteric Shortening Osteotomy During Cementless Total Hip Arthroplasty in Crowe Type-III or IV Developmental Dysplasia","type":"article-journal","volume":"30"},"uris":["http://www.mendeley.com/documents/?uuid=7e2cf486-7204-3087-ae48-f04d22e9b017"]}],"mendeley":{"formattedCitation":"[52]","plainTextFormattedCitation":"[52]","previouslyFormattedCitation":"[52]"},"properties":{"noteIndex":0},"schema":"https://github.com/citation-style-language/schema/raw/master/csl-citation.json"}</w:instrText>
      </w:r>
      <w:r w:rsidR="000B606C" w:rsidRPr="00185BC0">
        <w:rPr>
          <w:sz w:val="28"/>
          <w:szCs w:val="28"/>
          <w:lang w:val="kk-KZ"/>
        </w:rPr>
        <w:fldChar w:fldCharType="separate"/>
      </w:r>
      <w:r w:rsidR="00371B3B" w:rsidRPr="00185BC0">
        <w:rPr>
          <w:noProof/>
          <w:sz w:val="28"/>
          <w:szCs w:val="28"/>
          <w:lang w:val="kk-KZ"/>
        </w:rPr>
        <w:t>[52]</w:t>
      </w:r>
      <w:r w:rsidR="000B606C" w:rsidRPr="00185BC0">
        <w:rPr>
          <w:sz w:val="28"/>
          <w:szCs w:val="28"/>
          <w:lang w:val="kk-KZ"/>
        </w:rPr>
        <w:fldChar w:fldCharType="end"/>
      </w:r>
      <w:r w:rsidRPr="00185BC0">
        <w:rPr>
          <w:sz w:val="28"/>
          <w:szCs w:val="28"/>
          <w:lang w:val="kk-KZ"/>
        </w:rPr>
        <w:t xml:space="preserve">. </w:t>
      </w:r>
    </w:p>
    <w:p w14:paraId="191F10AD" w14:textId="77777777" w:rsidR="00426487" w:rsidRPr="00185BC0" w:rsidRDefault="00426487" w:rsidP="00BB1D05">
      <w:pPr>
        <w:ind w:firstLine="709"/>
        <w:jc w:val="both"/>
        <w:rPr>
          <w:sz w:val="28"/>
          <w:szCs w:val="28"/>
          <w:lang w:val="tr-TR"/>
        </w:rPr>
      </w:pPr>
    </w:p>
    <w:p w14:paraId="28378BE8" w14:textId="6ADCF544" w:rsidR="00BB1D05" w:rsidRPr="00185BC0" w:rsidRDefault="00BB1D05" w:rsidP="00426487">
      <w:pPr>
        <w:ind w:firstLine="709"/>
        <w:jc w:val="both"/>
        <w:rPr>
          <w:b/>
          <w:sz w:val="28"/>
          <w:szCs w:val="28"/>
        </w:rPr>
      </w:pPr>
      <w:r w:rsidRPr="00185BC0">
        <w:rPr>
          <w:sz w:val="28"/>
          <w:szCs w:val="28"/>
          <w:lang w:val="tr-TR"/>
        </w:rPr>
        <w:t>В отдельных случаях применяются адаптированные малофрагментные пластины или блокируемые пластины, предназначенные для проксимального отдела плечевой кости</w:t>
      </w:r>
      <w:r w:rsidR="000560F0" w:rsidRPr="00185BC0">
        <w:rPr>
          <w:sz w:val="28"/>
          <w:szCs w:val="28"/>
          <w:lang w:val="tr-TR"/>
        </w:rPr>
        <w:t xml:space="preserve"> </w:t>
      </w:r>
      <w:r w:rsidR="002673D1" w:rsidRPr="00185BC0">
        <w:rPr>
          <w:sz w:val="28"/>
          <w:szCs w:val="28"/>
          <w:lang w:val="tr-TR"/>
        </w:rPr>
        <w:fldChar w:fldCharType="begin" w:fldLock="1"/>
      </w:r>
      <w:r w:rsidR="002F5076" w:rsidRPr="00185BC0">
        <w:rPr>
          <w:sz w:val="28"/>
          <w:szCs w:val="28"/>
          <w:lang w:val="tr-TR"/>
        </w:rPr>
        <w:instrText>ADDIN CSL_CITATION {"citationItems":[{"id":"ITEM-1","itemData":{"DOI":"10.5606/EHC.2020.73078","ISSN":"26874792","abstract":"Objectives: This study aims to evaluate the efficacy of proximal humerus plate in the fixation of subtrochanteric femoral shortening osteotomy (SFSO) during total hip arthroplasty. Patients and methods: Thirty female patients (mean age 49.8 years; range, 22 to 68 years) who underwent hip arthroplasty with a SFSO and fixed with a proximal humerus plate between January 2014 and June 2018 were evaluated retrospectively. Rate of fracture healing, the number of fixed cortices at both sides of the osteotomy, and complications were documented. Results: The mean follow-up period was 28 months (range, 12-68 months). The average time to union was 106 days (range, 45-229 days). The mean number of cortices fixed in the proximal segment of the osteotomy was 6.2 (range, 4-9), and the mean number of cortices fixed in the distal segment of the osteotomy was 4.0 (range, 3-7). None of the patients had implant irritation or implant failure at the control visits. We observed only one non-union and our non-union rate was 3.3%. Conclusion: In conclusion, the use of a proximal humerus plate for the fixation of SFSO can be an alternative procedure for achieving adequate rotational stability until a solid union.","author":[{"dropping-particle":"","family":"Çaglar","given":"Ömür","non-dropping-particle":"","parse-names":false,"suffix":""},{"dropping-particle":"","family":"Özdemir","given":"Erdi","non-dropping-particle":"","parse-names":false,"suffix":""},{"dropping-particle":"","family":"Tokgözoglu","given":"Ahmet Mazhar","non-dropping-particle":"","parse-names":false,"suffix":""},{"dropping-particle":"","family":"Atilla","given":"Bülent","non-dropping-particle":"","parse-names":false,"suffix":""}],"container-title":"Joint Diseases and Related Surgery","id":"ITEM-1","issue":"2","issued":{"date-parts":[["2020"]]},"title":"Use of proximal humerus plates for the fixation of the subtrochanteric femoral shortening osteotomy during total hip arthroplasty for Crowe type IV developmental dysplasia of the hip patients","type":"article-journal","volume":"31"},"uris":["http://www.mendeley.com/documents/?uuid=b44842e0-89b4-372d-8c59-7d23cf760196"]}],"mendeley":{"formattedCitation":"[18]","plainTextFormattedCitation":"[18]","previouslyFormattedCitation":"[18]"},"properties":{"noteIndex":0},"schema":"https://github.com/citation-style-language/schema/raw/master/csl-citation.json"}</w:instrText>
      </w:r>
      <w:r w:rsidR="002673D1" w:rsidRPr="00185BC0">
        <w:rPr>
          <w:sz w:val="28"/>
          <w:szCs w:val="28"/>
          <w:lang w:val="tr-TR"/>
        </w:rPr>
        <w:fldChar w:fldCharType="separate"/>
      </w:r>
      <w:r w:rsidR="00371B3B" w:rsidRPr="00185BC0">
        <w:rPr>
          <w:noProof/>
          <w:sz w:val="28"/>
          <w:szCs w:val="28"/>
          <w:lang w:val="tr-TR"/>
        </w:rPr>
        <w:t>[18]</w:t>
      </w:r>
      <w:r w:rsidR="002673D1" w:rsidRPr="00185BC0">
        <w:rPr>
          <w:sz w:val="28"/>
          <w:szCs w:val="28"/>
          <w:lang w:val="tr-TR"/>
        </w:rPr>
        <w:fldChar w:fldCharType="end"/>
      </w:r>
      <w:r w:rsidRPr="00185BC0">
        <w:rPr>
          <w:sz w:val="28"/>
          <w:szCs w:val="28"/>
          <w:lang w:val="tr-TR"/>
        </w:rPr>
        <w:t>.</w:t>
      </w:r>
      <w:r w:rsidR="00426487" w:rsidRPr="00185BC0">
        <w:rPr>
          <w:sz w:val="28"/>
          <w:szCs w:val="28"/>
          <w:lang w:val="kk-KZ"/>
        </w:rPr>
        <w:t xml:space="preserve"> </w:t>
      </w:r>
      <w:r w:rsidRPr="00185BC0">
        <w:rPr>
          <w:sz w:val="28"/>
          <w:szCs w:val="28"/>
          <w:lang w:val="tr-TR"/>
        </w:rPr>
        <w:t xml:space="preserve">Применение блокируемой пластины и винтов для стабилизации зоны подвертельной остеотомии при тотальном эндопротезировании у пациентов с дисплазией тазобедренного сустава IV типа по Crowe продемонстрировало высокую клиническую эффективность. В исследовании Baz </w:t>
      </w:r>
      <w:r w:rsidR="008907FD" w:rsidRPr="00185BC0">
        <w:rPr>
          <w:sz w:val="28"/>
          <w:szCs w:val="28"/>
          <w:lang w:val="tr-TR"/>
        </w:rPr>
        <w:t>и соавт</w:t>
      </w:r>
      <w:r w:rsidRPr="00185BC0">
        <w:rPr>
          <w:sz w:val="28"/>
          <w:szCs w:val="28"/>
          <w:lang w:val="tr-TR"/>
        </w:rPr>
        <w:t>. (2012) во всех случаях была достигнута консолидация, а функциональные показатели значительно улучшились (Harris Hip Score: с 36,2 до 90,8</w:t>
      </w:r>
      <w:r w:rsidR="00947B82" w:rsidRPr="00185BC0">
        <w:rPr>
          <w:sz w:val="28"/>
          <w:szCs w:val="28"/>
          <w:lang w:val="kk-KZ"/>
        </w:rPr>
        <w:t xml:space="preserve"> балла</w:t>
      </w:r>
      <w:r w:rsidRPr="00185BC0">
        <w:rPr>
          <w:sz w:val="28"/>
          <w:szCs w:val="28"/>
          <w:lang w:val="tr-TR"/>
        </w:rPr>
        <w:t>). Метод обеспечивает надёжную ротационную стабильность, допускает ран</w:t>
      </w:r>
      <w:r w:rsidR="00947B82" w:rsidRPr="00185BC0">
        <w:rPr>
          <w:sz w:val="28"/>
          <w:szCs w:val="28"/>
          <w:lang w:val="kk-KZ"/>
        </w:rPr>
        <w:t>н</w:t>
      </w:r>
      <w:r w:rsidRPr="00185BC0">
        <w:rPr>
          <w:sz w:val="28"/>
          <w:szCs w:val="28"/>
          <w:lang w:val="tr-TR"/>
        </w:rPr>
        <w:t>юю нагрузку и может рассматриваться как оптимальный вариант стабилизации при выраженной деформации проксимального отдела бедра</w:t>
      </w:r>
      <w:r w:rsidR="000560F0" w:rsidRPr="00185BC0">
        <w:rPr>
          <w:sz w:val="28"/>
          <w:szCs w:val="28"/>
          <w:lang w:val="tr-TR"/>
        </w:rPr>
        <w:t xml:space="preserve"> </w:t>
      </w:r>
      <w:r w:rsidR="002673D1" w:rsidRPr="00185BC0">
        <w:rPr>
          <w:sz w:val="28"/>
          <w:szCs w:val="28"/>
          <w:lang w:val="tr-TR"/>
        </w:rPr>
        <w:fldChar w:fldCharType="begin" w:fldLock="1"/>
      </w:r>
      <w:r w:rsidR="001D29A3" w:rsidRPr="00185BC0">
        <w:rPr>
          <w:sz w:val="28"/>
          <w:szCs w:val="28"/>
          <w:lang w:val="tr-TR"/>
        </w:rPr>
        <w:instrText>ADDIN CSL_CITATION {"citationItems":[{"id":"ITEM-1","itemData":{"DOI":"10.1007/s00402-012-1560-1","ISSN":"09368051","abstract":"Introduction :The purpose of this study was to review the clinical and radiographic outcomes and report the major complications in a group of hips with Crowe type IV developmental dysplasia that underwent reconstruction with a cementless total hip arthroplasty and a transverse subtrochanteric shortening osteotomy fixed with locking compression plate and screws. Method :Fifteen consecutive patients (21 hips) who had coxarthrosis secondary to Crowe Group IV developmental dysplasia of the hip were treated with a cementless prosthesis and a transverse subtrochanteric osteotomy fixed with locking compression plates at a mean age of 41. The mean follow-up period was 5 years. The acetabular cup was placed in the position of the anatomical hip center in every patient. Subtrochanteric femoral shortening osteotomy was fixed with plates and screws in all patients. Results:The mean Harris hip score improved from 36.2 ± 9.8 points to 90.8 ± 2.5 points. Trendelenburg sign was positive in seven hips and two patients complained about continuing anterior thigh pain at the final follow-up. There was no infection. No cases of nonunion were encountered. Two patients had dislocation on early postoperative period (15th and 20th postoperative day). Of these patients, femoral head was changed to 28 mm with stem revision in one patient, and one had acetabular component revision with use of constrained acetabular liner. There was one permanent sciatic nerve palsy. One patient had implant related pain during lying laterally. Plate and screws were removed at postoperative 16th month. Conclusion :Cementless total hip arthroplasty combined with subtrochanteric osteotomy for the treatment of patients with Crowe Group IV developmental dysplasia of the hip is an effective technique to reduce the hip to its original acetabular location and restore the rotational deformities. Plate and screw fixation is a viable option for a secure and stable fixation of femoral stem after subtrochanteric osteotomy. © Springer-Verlag 2012.","author":[{"dropping-particle":"","family":"Bulent Baz","given":"Ali","non-dropping-particle":"","parse-names":false,"suffix":""},{"dropping-particle":"","family":"Senol","given":"Volkan","non-dropping-particle":"","parse-names":false,"suffix":""},{"dropping-particle":"","family":"Akalin","given":"Serdar","non-dropping-particle":"","parse-names":false,"suffix":""},{"dropping-particle":"","family":"Kose","given":"Ozkan","non-dropping-particle":"","parse-names":false,"suffix":""},{"dropping-particle":"","family":"Guler","given":"Ferhat","non-dropping-particle":"","parse-names":false,"suffix":""},{"dropping-particle":"","family":"Turan","given":"Adil","non-dropping-particle":"","parse-names":false,"suffix":""}],"container-title":"Archives of Orthopaedic and Trauma Surgery","id":"ITEM-1","issue":"10","issued":{"date-parts":[["2012"]]},"title":"Treatment of high hip dislocation with a cementless stem combined with a shortening osteotomy","type":"article-journal","volume":"132"},"uris":["http://www.mendeley.com/documents/?uuid=7457e25f-5faa-37de-b120-dd69c3428349"]}],"mendeley":{"formattedCitation":"[98]","plainTextFormattedCitation":"[98]","previouslyFormattedCitation":"[98]"},"properties":{"noteIndex":0},"schema":"https://github.com/citation-style-language/schema/raw/master/csl-citation.json"}</w:instrText>
      </w:r>
      <w:r w:rsidR="002673D1" w:rsidRPr="00185BC0">
        <w:rPr>
          <w:sz w:val="28"/>
          <w:szCs w:val="28"/>
          <w:lang w:val="tr-TR"/>
        </w:rPr>
        <w:fldChar w:fldCharType="separate"/>
      </w:r>
      <w:r w:rsidR="008A5983" w:rsidRPr="00185BC0">
        <w:rPr>
          <w:noProof/>
          <w:sz w:val="28"/>
          <w:szCs w:val="28"/>
          <w:lang w:val="tr-TR"/>
        </w:rPr>
        <w:t>[98]</w:t>
      </w:r>
      <w:r w:rsidR="002673D1" w:rsidRPr="00185BC0">
        <w:rPr>
          <w:sz w:val="28"/>
          <w:szCs w:val="28"/>
          <w:lang w:val="tr-TR"/>
        </w:rPr>
        <w:fldChar w:fldCharType="end"/>
      </w:r>
      <w:r w:rsidRPr="00185BC0">
        <w:rPr>
          <w:sz w:val="28"/>
          <w:szCs w:val="28"/>
          <w:lang w:val="tr-TR"/>
        </w:rPr>
        <w:t>.</w:t>
      </w:r>
      <w:r w:rsidRPr="00185BC0">
        <w:rPr>
          <w:sz w:val="28"/>
          <w:szCs w:val="28"/>
        </w:rPr>
        <w:t xml:space="preserve"> </w:t>
      </w:r>
    </w:p>
    <w:p w14:paraId="75FF15ED" w14:textId="41E927EF" w:rsidR="00BB1D05" w:rsidRPr="00185BC0" w:rsidRDefault="009C671C" w:rsidP="00BB1D05">
      <w:pPr>
        <w:ind w:firstLine="567"/>
        <w:jc w:val="both"/>
        <w:rPr>
          <w:bCs/>
          <w:sz w:val="28"/>
          <w:szCs w:val="28"/>
          <w:lang w:val="kk-KZ"/>
        </w:rPr>
      </w:pPr>
      <w:r w:rsidRPr="00185BC0">
        <w:rPr>
          <w:bCs/>
          <w:sz w:val="28"/>
          <w:szCs w:val="28"/>
          <w:lang w:val="kk-KZ"/>
        </w:rPr>
        <w:lastRenderedPageBreak/>
        <w:t>Современные блокируемые пластины расширяют возможности стабилизации за счёт поливекторного введения винтов, что приобретает особое значение при недостаточном объёме проксимального метафизарного отдела бедренной кости. Использование пластин увеличенной длины обеспечивает адекватное перекрытие зоны остеотомии и многоопорную фиксацию дистального фрагмента, способствуя перераспределению нагрузок и повышению механической надёжности конструкции.</w:t>
      </w:r>
      <w:r w:rsidR="00BB1D05" w:rsidRPr="00185BC0">
        <w:rPr>
          <w:bCs/>
          <w:sz w:val="28"/>
          <w:szCs w:val="28"/>
          <w:lang w:val="kk-KZ"/>
        </w:rPr>
        <w:t xml:space="preserve"> При использовании бесцементного бедренного компонента блокируемые винты обеспечивают прочную однокортикальную фиксацию, устраняя необходимость в дополнительных серкляжных элементах.</w:t>
      </w:r>
    </w:p>
    <w:p w14:paraId="55F90C59" w14:textId="77777777" w:rsidR="00BB1D05" w:rsidRPr="00185BC0" w:rsidRDefault="00BB1D05" w:rsidP="00BB1D05">
      <w:pPr>
        <w:ind w:firstLine="567"/>
        <w:jc w:val="both"/>
        <w:rPr>
          <w:bCs/>
          <w:sz w:val="28"/>
          <w:szCs w:val="28"/>
          <w:lang w:val="kk-KZ"/>
        </w:rPr>
      </w:pPr>
      <w:r w:rsidRPr="00185BC0">
        <w:rPr>
          <w:bCs/>
          <w:sz w:val="28"/>
          <w:szCs w:val="28"/>
          <w:lang w:val="kk-KZ"/>
        </w:rPr>
        <w:t>Следует отметить, что применение массивных, неадаптированных пластин сопровождается рядом недостатков: необходимость более широкого хирургического доступа, повышение травматизации мягких тканей, увеличение продолжительности операции и риск раздражения имплантом в послеоперационном периоде. Кроме того, такие конструкции могут затруднять заживление раны и повышать частоту местных осложнений. В связи с этим, особую ценность приобретают низкопрофильные анатомически совместимые пластины, позволяющие минимизировать хирургическую агрессию при сохранении надёжной стабилизации остеотомии.</w:t>
      </w:r>
    </w:p>
    <w:p w14:paraId="4E5B97DC" w14:textId="59D5A8EF" w:rsidR="00BB1D05" w:rsidRPr="00185BC0" w:rsidRDefault="00BB1D05" w:rsidP="00BB1D05">
      <w:pPr>
        <w:ind w:firstLine="567"/>
        <w:jc w:val="both"/>
        <w:rPr>
          <w:bCs/>
          <w:sz w:val="28"/>
          <w:szCs w:val="28"/>
          <w:lang w:val="kk-KZ"/>
        </w:rPr>
      </w:pPr>
      <w:r w:rsidRPr="00185BC0">
        <w:rPr>
          <w:bCs/>
          <w:sz w:val="28"/>
          <w:szCs w:val="28"/>
          <w:lang w:val="kk-KZ"/>
        </w:rPr>
        <w:t>Для доступа к бедренной кости при установке пластины, как правило, используется стандартный латеральный или заднелатеральный доступ, который при необходимости может быть расширен. Важно соблюдать бережную технику мобилизации мышцы</w:t>
      </w:r>
      <w:r w:rsidR="00947B82" w:rsidRPr="00185BC0">
        <w:rPr>
          <w:bCs/>
          <w:sz w:val="28"/>
          <w:szCs w:val="28"/>
          <w:lang w:val="kk-KZ"/>
        </w:rPr>
        <w:t>,</w:t>
      </w:r>
      <w:r w:rsidRPr="00185BC0">
        <w:rPr>
          <w:bCs/>
          <w:sz w:val="28"/>
          <w:szCs w:val="28"/>
          <w:lang w:val="kk-KZ"/>
        </w:rPr>
        <w:t xml:space="preserve"> чтобы минимизировать повреждение мягких тканей. В некоторых случаях применяется отдельный малый латеральный разрез с целью снижения натяжения на проксимальный фрагмент, особенно</w:t>
      </w:r>
      <w:r w:rsidR="00947B82" w:rsidRPr="00185BC0">
        <w:rPr>
          <w:bCs/>
          <w:sz w:val="28"/>
          <w:szCs w:val="28"/>
          <w:lang w:val="kk-KZ"/>
        </w:rPr>
        <w:t>,</w:t>
      </w:r>
      <w:r w:rsidRPr="00185BC0">
        <w:rPr>
          <w:bCs/>
          <w:sz w:val="28"/>
          <w:szCs w:val="28"/>
          <w:lang w:val="kk-KZ"/>
        </w:rPr>
        <w:t xml:space="preserve"> при выраженной дислокации.</w:t>
      </w:r>
    </w:p>
    <w:p w14:paraId="2ADDB17C" w14:textId="535ADC34" w:rsidR="00BB1D05" w:rsidRPr="00185BC0" w:rsidRDefault="00BB1D05" w:rsidP="00BB1D05">
      <w:pPr>
        <w:ind w:firstLine="567"/>
        <w:jc w:val="both"/>
        <w:rPr>
          <w:bCs/>
          <w:sz w:val="28"/>
          <w:szCs w:val="28"/>
          <w:lang w:val="kk-KZ"/>
        </w:rPr>
      </w:pPr>
      <w:r w:rsidRPr="00185BC0">
        <w:rPr>
          <w:bCs/>
          <w:sz w:val="28"/>
          <w:szCs w:val="28"/>
          <w:lang w:val="kk-KZ"/>
        </w:rPr>
        <w:t xml:space="preserve">Преимуществом подвертельной остеотомии является возможность сохранения прикреплений отводящих мышц и сохранение кровоснабжения в области остеотомии, что существенно способствует её сращению. Благодаря этому вмешательство позволяет избежать расщепления большого вертела, как это бывает при трохантерной остеотомии, и тем самым снижает риск нарушения целостности мышечно-сухожильных структур. </w:t>
      </w:r>
      <w:r w:rsidR="00FE2C0B" w:rsidRPr="00185BC0">
        <w:rPr>
          <w:bCs/>
          <w:sz w:val="28"/>
          <w:szCs w:val="28"/>
          <w:lang w:val="kk-KZ"/>
        </w:rPr>
        <w:t>В совокупности с минимально инвазивной установкой анатомически адаптированных низкопрофильных пластин данный подход будет способствовать более благоприятному заживлению, снижению частоты осложнений и ускорению реабилитации</w:t>
      </w:r>
      <w:r w:rsidRPr="00185BC0">
        <w:rPr>
          <w:bCs/>
          <w:sz w:val="28"/>
          <w:szCs w:val="28"/>
          <w:lang w:val="kk-KZ"/>
        </w:rPr>
        <w:t>.</w:t>
      </w:r>
    </w:p>
    <w:p w14:paraId="2362CD53" w14:textId="45877084" w:rsidR="005D7511" w:rsidRPr="00185BC0" w:rsidRDefault="00962426" w:rsidP="005D7511">
      <w:pPr>
        <w:ind w:firstLine="567"/>
        <w:jc w:val="both"/>
        <w:rPr>
          <w:sz w:val="28"/>
          <w:szCs w:val="28"/>
        </w:rPr>
      </w:pPr>
      <w:r w:rsidRPr="00185BC0">
        <w:rPr>
          <w:sz w:val="28"/>
          <w:szCs w:val="28"/>
        </w:rPr>
        <w:t xml:space="preserve">Таким образом, анализ </w:t>
      </w:r>
      <w:r w:rsidR="00FE2C0B" w:rsidRPr="00185BC0">
        <w:rPr>
          <w:sz w:val="28"/>
          <w:szCs w:val="28"/>
          <w:lang w:val="kk-KZ"/>
        </w:rPr>
        <w:t xml:space="preserve">научной </w:t>
      </w:r>
      <w:r w:rsidRPr="00185BC0">
        <w:rPr>
          <w:sz w:val="28"/>
          <w:szCs w:val="28"/>
        </w:rPr>
        <w:t>литературы показывает, что при дисплазии тазобедренного сустава IV</w:t>
      </w:r>
      <w:r w:rsidRPr="00185BC0">
        <w:rPr>
          <w:sz w:val="28"/>
          <w:szCs w:val="28"/>
          <w:lang w:val="kk-KZ"/>
        </w:rPr>
        <w:t xml:space="preserve"> типа по </w:t>
      </w:r>
      <w:proofErr w:type="spellStart"/>
      <w:r w:rsidRPr="00185BC0">
        <w:rPr>
          <w:sz w:val="28"/>
          <w:szCs w:val="28"/>
        </w:rPr>
        <w:t>Crowe</w:t>
      </w:r>
      <w:proofErr w:type="spellEnd"/>
      <w:r w:rsidRPr="00185BC0">
        <w:rPr>
          <w:sz w:val="28"/>
          <w:szCs w:val="28"/>
        </w:rPr>
        <w:t xml:space="preserve"> сохраняется комплекс нерешённых вопросов, связанных как с выбором оптимального варианта </w:t>
      </w:r>
      <w:proofErr w:type="spellStart"/>
      <w:r w:rsidRPr="00185BC0">
        <w:rPr>
          <w:sz w:val="28"/>
          <w:szCs w:val="28"/>
        </w:rPr>
        <w:t>подвертельной</w:t>
      </w:r>
      <w:proofErr w:type="spellEnd"/>
      <w:r w:rsidRPr="00185BC0">
        <w:rPr>
          <w:sz w:val="28"/>
          <w:szCs w:val="28"/>
        </w:rPr>
        <w:t xml:space="preserve"> остеотомии, так и с обеспечением её стабильной фиксации. Существующие методики демонстрируют ограничения в достижении ротационной и осевой стабильности, зависят от анатомических особенностей проксимального отдела бедренной кости, нарушенной биомеханики и наличия ножки эндопротеза, затрудняющей проведение элементов фиксации. Недостаточная возможность </w:t>
      </w:r>
      <w:proofErr w:type="spellStart"/>
      <w:r w:rsidRPr="00185BC0">
        <w:rPr>
          <w:sz w:val="28"/>
          <w:szCs w:val="28"/>
        </w:rPr>
        <w:t>двукортикальной</w:t>
      </w:r>
      <w:proofErr w:type="spellEnd"/>
      <w:r w:rsidRPr="00185BC0">
        <w:rPr>
          <w:sz w:val="28"/>
          <w:szCs w:val="28"/>
        </w:rPr>
        <w:t xml:space="preserve"> опоры, вариабельность технического исполнения и риск осложнений подчёркивают необходимость создания специализированного </w:t>
      </w:r>
      <w:r w:rsidRPr="00185BC0">
        <w:rPr>
          <w:sz w:val="28"/>
          <w:szCs w:val="28"/>
        </w:rPr>
        <w:lastRenderedPageBreak/>
        <w:t xml:space="preserve">устройства, позволяющего обеспечить надёжную стабилизацию </w:t>
      </w:r>
      <w:proofErr w:type="spellStart"/>
      <w:r w:rsidRPr="00185BC0">
        <w:rPr>
          <w:sz w:val="28"/>
          <w:szCs w:val="28"/>
        </w:rPr>
        <w:t>остеотомированных</w:t>
      </w:r>
      <w:proofErr w:type="spellEnd"/>
      <w:r w:rsidRPr="00185BC0">
        <w:rPr>
          <w:sz w:val="28"/>
          <w:szCs w:val="28"/>
        </w:rPr>
        <w:t xml:space="preserve"> фрагментов, минуя конструктивные ограничения традиционных систем</w:t>
      </w:r>
      <w:r w:rsidR="005D7511" w:rsidRPr="00185BC0">
        <w:rPr>
          <w:sz w:val="28"/>
          <w:szCs w:val="28"/>
        </w:rPr>
        <w:t>.</w:t>
      </w:r>
    </w:p>
    <w:p w14:paraId="0A806ADB" w14:textId="3A2E6826" w:rsidR="00BB1D05" w:rsidRPr="00185BC0" w:rsidRDefault="00BB1D05" w:rsidP="00BB1D05">
      <w:pPr>
        <w:ind w:firstLine="567"/>
        <w:jc w:val="both"/>
        <w:rPr>
          <w:sz w:val="28"/>
          <w:szCs w:val="28"/>
          <w:lang w:val="kk-KZ"/>
        </w:rPr>
      </w:pPr>
    </w:p>
    <w:p w14:paraId="215E5585" w14:textId="3B038F61" w:rsidR="00FB6563" w:rsidRPr="00185BC0" w:rsidRDefault="00FB6563" w:rsidP="00BB1D05">
      <w:pPr>
        <w:ind w:firstLine="567"/>
        <w:jc w:val="both"/>
        <w:rPr>
          <w:sz w:val="28"/>
          <w:szCs w:val="28"/>
          <w:lang w:val="kk-KZ"/>
        </w:rPr>
      </w:pPr>
    </w:p>
    <w:p w14:paraId="12A061B2" w14:textId="583F196B" w:rsidR="00FB6563" w:rsidRPr="00185BC0" w:rsidRDefault="00FB6563" w:rsidP="00BB1D05">
      <w:pPr>
        <w:ind w:firstLine="567"/>
        <w:jc w:val="both"/>
        <w:rPr>
          <w:sz w:val="28"/>
          <w:szCs w:val="28"/>
          <w:lang w:val="kk-KZ"/>
        </w:rPr>
      </w:pPr>
    </w:p>
    <w:p w14:paraId="07BF0739" w14:textId="0C251C22" w:rsidR="00FB6563" w:rsidRPr="00185BC0" w:rsidRDefault="00FB6563" w:rsidP="00BB1D05">
      <w:pPr>
        <w:ind w:firstLine="567"/>
        <w:jc w:val="both"/>
        <w:rPr>
          <w:sz w:val="28"/>
          <w:szCs w:val="28"/>
          <w:lang w:val="kk-KZ"/>
        </w:rPr>
      </w:pPr>
    </w:p>
    <w:p w14:paraId="06B4E9BF" w14:textId="2104CC9F" w:rsidR="00FB6563" w:rsidRPr="00185BC0" w:rsidRDefault="00FB6563" w:rsidP="00BB1D05">
      <w:pPr>
        <w:ind w:firstLine="567"/>
        <w:jc w:val="both"/>
        <w:rPr>
          <w:sz w:val="28"/>
          <w:szCs w:val="28"/>
          <w:lang w:val="kk-KZ"/>
        </w:rPr>
      </w:pPr>
    </w:p>
    <w:p w14:paraId="502AC567" w14:textId="7DBFF040" w:rsidR="00FB6563" w:rsidRPr="00185BC0" w:rsidRDefault="00FB6563" w:rsidP="00BB1D05">
      <w:pPr>
        <w:ind w:firstLine="567"/>
        <w:jc w:val="both"/>
        <w:rPr>
          <w:sz w:val="28"/>
          <w:szCs w:val="28"/>
          <w:lang w:val="kk-KZ"/>
        </w:rPr>
      </w:pPr>
    </w:p>
    <w:p w14:paraId="4770BEC3" w14:textId="1B81D33D" w:rsidR="00FB6563" w:rsidRPr="00185BC0" w:rsidRDefault="00FB6563" w:rsidP="00BB1D05">
      <w:pPr>
        <w:ind w:firstLine="567"/>
        <w:jc w:val="both"/>
        <w:rPr>
          <w:sz w:val="28"/>
          <w:szCs w:val="28"/>
          <w:lang w:val="kk-KZ"/>
        </w:rPr>
      </w:pPr>
    </w:p>
    <w:p w14:paraId="5E9189CC" w14:textId="49B7BAFF" w:rsidR="00FB6563" w:rsidRPr="00185BC0" w:rsidRDefault="00FB6563" w:rsidP="00BB1D05">
      <w:pPr>
        <w:ind w:firstLine="567"/>
        <w:jc w:val="both"/>
        <w:rPr>
          <w:sz w:val="28"/>
          <w:szCs w:val="28"/>
          <w:lang w:val="kk-KZ"/>
        </w:rPr>
      </w:pPr>
    </w:p>
    <w:p w14:paraId="288DA0C1" w14:textId="1E938352" w:rsidR="00FB6563" w:rsidRPr="00185BC0" w:rsidRDefault="00FB6563" w:rsidP="00BB1D05">
      <w:pPr>
        <w:ind w:firstLine="567"/>
        <w:jc w:val="both"/>
        <w:rPr>
          <w:sz w:val="28"/>
          <w:szCs w:val="28"/>
          <w:lang w:val="kk-KZ"/>
        </w:rPr>
      </w:pPr>
    </w:p>
    <w:p w14:paraId="1C21B0E4" w14:textId="6E95EE62" w:rsidR="00FB6563" w:rsidRPr="00185BC0" w:rsidRDefault="00FB6563" w:rsidP="00BB1D05">
      <w:pPr>
        <w:ind w:firstLine="567"/>
        <w:jc w:val="both"/>
        <w:rPr>
          <w:sz w:val="28"/>
          <w:szCs w:val="28"/>
          <w:lang w:val="kk-KZ"/>
        </w:rPr>
      </w:pPr>
    </w:p>
    <w:p w14:paraId="08E7152C" w14:textId="7B1CC57F" w:rsidR="00FB6563" w:rsidRPr="00185BC0" w:rsidRDefault="00FB6563" w:rsidP="00BB1D05">
      <w:pPr>
        <w:ind w:firstLine="567"/>
        <w:jc w:val="both"/>
        <w:rPr>
          <w:sz w:val="28"/>
          <w:szCs w:val="28"/>
          <w:lang w:val="kk-KZ"/>
        </w:rPr>
      </w:pPr>
    </w:p>
    <w:p w14:paraId="19D19A2A" w14:textId="0E9A7851" w:rsidR="00FB6563" w:rsidRPr="00185BC0" w:rsidRDefault="00FB6563" w:rsidP="00BB1D05">
      <w:pPr>
        <w:ind w:firstLine="567"/>
        <w:jc w:val="both"/>
        <w:rPr>
          <w:sz w:val="28"/>
          <w:szCs w:val="28"/>
          <w:lang w:val="kk-KZ"/>
        </w:rPr>
      </w:pPr>
    </w:p>
    <w:p w14:paraId="57066130" w14:textId="70C98901" w:rsidR="00FB6563" w:rsidRPr="00185BC0" w:rsidRDefault="00FB6563" w:rsidP="00BB1D05">
      <w:pPr>
        <w:ind w:firstLine="567"/>
        <w:jc w:val="both"/>
        <w:rPr>
          <w:sz w:val="28"/>
          <w:szCs w:val="28"/>
          <w:lang w:val="kk-KZ"/>
        </w:rPr>
      </w:pPr>
    </w:p>
    <w:p w14:paraId="7E99D5C2" w14:textId="43FED25F" w:rsidR="00FB6563" w:rsidRPr="00185BC0" w:rsidRDefault="00FB6563" w:rsidP="00BB1D05">
      <w:pPr>
        <w:ind w:firstLine="567"/>
        <w:jc w:val="both"/>
        <w:rPr>
          <w:sz w:val="28"/>
          <w:szCs w:val="28"/>
          <w:lang w:val="kk-KZ"/>
        </w:rPr>
      </w:pPr>
    </w:p>
    <w:p w14:paraId="21D97076" w14:textId="39F7C8F4" w:rsidR="00FB6563" w:rsidRPr="00185BC0" w:rsidRDefault="00FB6563" w:rsidP="00BB1D05">
      <w:pPr>
        <w:ind w:firstLine="567"/>
        <w:jc w:val="both"/>
        <w:rPr>
          <w:sz w:val="28"/>
          <w:szCs w:val="28"/>
          <w:lang w:val="kk-KZ"/>
        </w:rPr>
      </w:pPr>
    </w:p>
    <w:p w14:paraId="71E50E81" w14:textId="56ADF533" w:rsidR="00FB6563" w:rsidRPr="00185BC0" w:rsidRDefault="00FB6563" w:rsidP="00BB1D05">
      <w:pPr>
        <w:ind w:firstLine="567"/>
        <w:jc w:val="both"/>
        <w:rPr>
          <w:sz w:val="28"/>
          <w:szCs w:val="28"/>
          <w:lang w:val="kk-KZ"/>
        </w:rPr>
      </w:pPr>
    </w:p>
    <w:p w14:paraId="6AA49551" w14:textId="17B6F3D9" w:rsidR="00FB6563" w:rsidRPr="00185BC0" w:rsidRDefault="00FB6563" w:rsidP="00BB1D05">
      <w:pPr>
        <w:ind w:firstLine="567"/>
        <w:jc w:val="both"/>
        <w:rPr>
          <w:sz w:val="28"/>
          <w:szCs w:val="28"/>
          <w:lang w:val="kk-KZ"/>
        </w:rPr>
      </w:pPr>
    </w:p>
    <w:p w14:paraId="60B59B8E" w14:textId="02AD8C97" w:rsidR="00FB6563" w:rsidRPr="00185BC0" w:rsidRDefault="00FB6563" w:rsidP="00BB1D05">
      <w:pPr>
        <w:ind w:firstLine="567"/>
        <w:jc w:val="both"/>
        <w:rPr>
          <w:sz w:val="28"/>
          <w:szCs w:val="28"/>
          <w:lang w:val="kk-KZ"/>
        </w:rPr>
      </w:pPr>
    </w:p>
    <w:p w14:paraId="56F7314E" w14:textId="27252032" w:rsidR="00FB6563" w:rsidRPr="00185BC0" w:rsidRDefault="00FB6563" w:rsidP="00BB1D05">
      <w:pPr>
        <w:ind w:firstLine="567"/>
        <w:jc w:val="both"/>
        <w:rPr>
          <w:sz w:val="28"/>
          <w:szCs w:val="28"/>
          <w:lang w:val="kk-KZ"/>
        </w:rPr>
      </w:pPr>
    </w:p>
    <w:p w14:paraId="5650E352" w14:textId="2E0F63BC" w:rsidR="00FB6563" w:rsidRPr="00185BC0" w:rsidRDefault="00FB6563" w:rsidP="00BB1D05">
      <w:pPr>
        <w:ind w:firstLine="567"/>
        <w:jc w:val="both"/>
        <w:rPr>
          <w:sz w:val="28"/>
          <w:szCs w:val="28"/>
          <w:lang w:val="kk-KZ"/>
        </w:rPr>
      </w:pPr>
    </w:p>
    <w:p w14:paraId="1F71DC8B" w14:textId="2E573D3B" w:rsidR="00FB6563" w:rsidRPr="00185BC0" w:rsidRDefault="00FB6563" w:rsidP="00BB1D05">
      <w:pPr>
        <w:ind w:firstLine="567"/>
        <w:jc w:val="both"/>
        <w:rPr>
          <w:sz w:val="28"/>
          <w:szCs w:val="28"/>
          <w:lang w:val="kk-KZ"/>
        </w:rPr>
      </w:pPr>
    </w:p>
    <w:p w14:paraId="63D4D780" w14:textId="49869777" w:rsidR="00FB6563" w:rsidRPr="00185BC0" w:rsidRDefault="00FB6563" w:rsidP="00BB1D05">
      <w:pPr>
        <w:ind w:firstLine="567"/>
        <w:jc w:val="both"/>
        <w:rPr>
          <w:sz w:val="28"/>
          <w:szCs w:val="28"/>
          <w:lang w:val="kk-KZ"/>
        </w:rPr>
      </w:pPr>
    </w:p>
    <w:p w14:paraId="4B6D8B31" w14:textId="397DB0FE" w:rsidR="00FB6563" w:rsidRPr="00185BC0" w:rsidRDefault="00FB6563" w:rsidP="00BB1D05">
      <w:pPr>
        <w:ind w:firstLine="567"/>
        <w:jc w:val="both"/>
        <w:rPr>
          <w:sz w:val="28"/>
          <w:szCs w:val="28"/>
          <w:lang w:val="kk-KZ"/>
        </w:rPr>
      </w:pPr>
    </w:p>
    <w:p w14:paraId="25FBE3EE" w14:textId="287330BB" w:rsidR="00FB6563" w:rsidRPr="00185BC0" w:rsidRDefault="00FB6563" w:rsidP="00BB1D05">
      <w:pPr>
        <w:ind w:firstLine="567"/>
        <w:jc w:val="both"/>
        <w:rPr>
          <w:sz w:val="28"/>
          <w:szCs w:val="28"/>
          <w:lang w:val="kk-KZ"/>
        </w:rPr>
      </w:pPr>
    </w:p>
    <w:p w14:paraId="662140B6" w14:textId="4C6D81B6" w:rsidR="00FB6563" w:rsidRPr="00185BC0" w:rsidRDefault="00FB6563" w:rsidP="00BB1D05">
      <w:pPr>
        <w:ind w:firstLine="567"/>
        <w:jc w:val="both"/>
        <w:rPr>
          <w:sz w:val="28"/>
          <w:szCs w:val="28"/>
          <w:lang w:val="kk-KZ"/>
        </w:rPr>
      </w:pPr>
    </w:p>
    <w:p w14:paraId="20160041" w14:textId="2F475D4F" w:rsidR="00FB6563" w:rsidRPr="00185BC0" w:rsidRDefault="00FB6563" w:rsidP="00BB1D05">
      <w:pPr>
        <w:ind w:firstLine="567"/>
        <w:jc w:val="both"/>
        <w:rPr>
          <w:sz w:val="28"/>
          <w:szCs w:val="28"/>
          <w:lang w:val="kk-KZ"/>
        </w:rPr>
      </w:pPr>
    </w:p>
    <w:p w14:paraId="5FD369F4" w14:textId="62FF411E" w:rsidR="00FB6563" w:rsidRPr="00185BC0" w:rsidRDefault="00FB6563" w:rsidP="00BB1D05">
      <w:pPr>
        <w:ind w:firstLine="567"/>
        <w:jc w:val="both"/>
        <w:rPr>
          <w:sz w:val="28"/>
          <w:szCs w:val="28"/>
          <w:lang w:val="kk-KZ"/>
        </w:rPr>
      </w:pPr>
    </w:p>
    <w:p w14:paraId="7572119C" w14:textId="5B13FB76" w:rsidR="00FB6563" w:rsidRPr="00185BC0" w:rsidRDefault="00FB6563" w:rsidP="00BB1D05">
      <w:pPr>
        <w:ind w:firstLine="567"/>
        <w:jc w:val="both"/>
        <w:rPr>
          <w:sz w:val="28"/>
          <w:szCs w:val="28"/>
          <w:lang w:val="kk-KZ"/>
        </w:rPr>
      </w:pPr>
    </w:p>
    <w:p w14:paraId="28A2C233" w14:textId="74CB1685" w:rsidR="00FB6563" w:rsidRPr="00185BC0" w:rsidRDefault="00FB6563" w:rsidP="00BB1D05">
      <w:pPr>
        <w:ind w:firstLine="567"/>
        <w:jc w:val="both"/>
        <w:rPr>
          <w:sz w:val="28"/>
          <w:szCs w:val="28"/>
          <w:lang w:val="kk-KZ"/>
        </w:rPr>
      </w:pPr>
    </w:p>
    <w:p w14:paraId="2E2BE421" w14:textId="38531561" w:rsidR="00FB6563" w:rsidRPr="00185BC0" w:rsidRDefault="00FB6563" w:rsidP="00BB1D05">
      <w:pPr>
        <w:ind w:firstLine="567"/>
        <w:jc w:val="both"/>
        <w:rPr>
          <w:sz w:val="28"/>
          <w:szCs w:val="28"/>
          <w:lang w:val="kk-KZ"/>
        </w:rPr>
      </w:pPr>
    </w:p>
    <w:p w14:paraId="66680127" w14:textId="6540B815" w:rsidR="00FB6563" w:rsidRPr="00185BC0" w:rsidRDefault="00FB6563" w:rsidP="00BB1D05">
      <w:pPr>
        <w:ind w:firstLine="567"/>
        <w:jc w:val="both"/>
        <w:rPr>
          <w:sz w:val="28"/>
          <w:szCs w:val="28"/>
          <w:lang w:val="kk-KZ"/>
        </w:rPr>
      </w:pPr>
    </w:p>
    <w:p w14:paraId="7EE2DFA2" w14:textId="285A36EB" w:rsidR="00FB6563" w:rsidRPr="00185BC0" w:rsidRDefault="00FB6563" w:rsidP="00BB1D05">
      <w:pPr>
        <w:ind w:firstLine="567"/>
        <w:jc w:val="both"/>
        <w:rPr>
          <w:sz w:val="28"/>
          <w:szCs w:val="28"/>
          <w:lang w:val="kk-KZ"/>
        </w:rPr>
      </w:pPr>
    </w:p>
    <w:p w14:paraId="27F99CEE" w14:textId="7BB5662D" w:rsidR="00FB6563" w:rsidRPr="00185BC0" w:rsidRDefault="00FB6563" w:rsidP="00BB1D05">
      <w:pPr>
        <w:ind w:firstLine="567"/>
        <w:jc w:val="both"/>
        <w:rPr>
          <w:sz w:val="28"/>
          <w:szCs w:val="28"/>
          <w:lang w:val="kk-KZ"/>
        </w:rPr>
      </w:pPr>
    </w:p>
    <w:p w14:paraId="791DCDBF" w14:textId="52D5AF5C" w:rsidR="00FB6563" w:rsidRPr="00185BC0" w:rsidRDefault="00FB6563" w:rsidP="00BB1D05">
      <w:pPr>
        <w:ind w:firstLine="567"/>
        <w:jc w:val="both"/>
        <w:rPr>
          <w:sz w:val="28"/>
          <w:szCs w:val="28"/>
          <w:lang w:val="kk-KZ"/>
        </w:rPr>
      </w:pPr>
    </w:p>
    <w:p w14:paraId="6AB538CE" w14:textId="4B7749CD" w:rsidR="00FB6563" w:rsidRPr="00185BC0" w:rsidRDefault="00FB6563" w:rsidP="00BB1D05">
      <w:pPr>
        <w:ind w:firstLine="567"/>
        <w:jc w:val="both"/>
        <w:rPr>
          <w:sz w:val="28"/>
          <w:szCs w:val="28"/>
          <w:lang w:val="kk-KZ"/>
        </w:rPr>
      </w:pPr>
    </w:p>
    <w:p w14:paraId="3A572AF2" w14:textId="5B214549" w:rsidR="00FB6563" w:rsidRPr="00185BC0" w:rsidRDefault="00FB6563" w:rsidP="00BB1D05">
      <w:pPr>
        <w:ind w:firstLine="567"/>
        <w:jc w:val="both"/>
        <w:rPr>
          <w:sz w:val="28"/>
          <w:szCs w:val="28"/>
          <w:lang w:val="kk-KZ"/>
        </w:rPr>
      </w:pPr>
    </w:p>
    <w:p w14:paraId="266BF1B0" w14:textId="4D51C0D2" w:rsidR="00FB6563" w:rsidRPr="00185BC0" w:rsidRDefault="00FB6563" w:rsidP="00BB1D05">
      <w:pPr>
        <w:ind w:firstLine="567"/>
        <w:jc w:val="both"/>
        <w:rPr>
          <w:sz w:val="28"/>
          <w:szCs w:val="28"/>
          <w:lang w:val="kk-KZ"/>
        </w:rPr>
      </w:pPr>
    </w:p>
    <w:p w14:paraId="545F1CEB" w14:textId="1A527B72" w:rsidR="00FB6563" w:rsidRPr="00185BC0" w:rsidRDefault="00FB6563" w:rsidP="00BB1D05">
      <w:pPr>
        <w:ind w:firstLine="567"/>
        <w:jc w:val="both"/>
        <w:rPr>
          <w:sz w:val="28"/>
          <w:szCs w:val="28"/>
          <w:lang w:val="kk-KZ"/>
        </w:rPr>
      </w:pPr>
    </w:p>
    <w:p w14:paraId="695687C6" w14:textId="2EA61E0B" w:rsidR="00FB6563" w:rsidRPr="00185BC0" w:rsidRDefault="00FB6563" w:rsidP="00BB1D05">
      <w:pPr>
        <w:ind w:firstLine="567"/>
        <w:jc w:val="both"/>
        <w:rPr>
          <w:sz w:val="28"/>
          <w:szCs w:val="28"/>
          <w:lang w:val="kk-KZ"/>
        </w:rPr>
      </w:pPr>
    </w:p>
    <w:p w14:paraId="35DB4611" w14:textId="4C0292CE" w:rsidR="00FB6563" w:rsidRPr="00185BC0" w:rsidRDefault="00FB6563" w:rsidP="00BB1D05">
      <w:pPr>
        <w:ind w:firstLine="567"/>
        <w:jc w:val="both"/>
        <w:rPr>
          <w:sz w:val="28"/>
          <w:szCs w:val="28"/>
          <w:lang w:val="kk-KZ"/>
        </w:rPr>
      </w:pPr>
    </w:p>
    <w:p w14:paraId="19C6D7F5" w14:textId="58662AA3" w:rsidR="00FB6563" w:rsidRPr="00185BC0" w:rsidRDefault="00FB6563" w:rsidP="00BB1D05">
      <w:pPr>
        <w:ind w:firstLine="567"/>
        <w:jc w:val="both"/>
        <w:rPr>
          <w:sz w:val="28"/>
          <w:szCs w:val="28"/>
          <w:lang w:val="kk-KZ"/>
        </w:rPr>
      </w:pPr>
    </w:p>
    <w:p w14:paraId="627EA59A" w14:textId="77777777" w:rsidR="00FB6563" w:rsidRPr="00185BC0" w:rsidRDefault="00FB6563" w:rsidP="00BB1D05">
      <w:pPr>
        <w:ind w:firstLine="567"/>
        <w:jc w:val="both"/>
        <w:rPr>
          <w:sz w:val="28"/>
          <w:szCs w:val="28"/>
          <w:lang w:val="kk-KZ"/>
        </w:rPr>
      </w:pPr>
    </w:p>
    <w:p w14:paraId="420C8C0F" w14:textId="040E7869" w:rsidR="00BB1D05" w:rsidRPr="00185BC0" w:rsidRDefault="00BB1D05" w:rsidP="00D47CC4">
      <w:pPr>
        <w:pStyle w:val="1"/>
        <w:numPr>
          <w:ilvl w:val="0"/>
          <w:numId w:val="16"/>
        </w:numPr>
        <w:rPr>
          <w:lang w:val="kk-KZ"/>
        </w:rPr>
      </w:pPr>
      <w:bookmarkStart w:id="22" w:name="_Toc217561928"/>
      <w:r w:rsidRPr="00185BC0">
        <w:rPr>
          <w:lang w:val="kk-KZ"/>
        </w:rPr>
        <w:lastRenderedPageBreak/>
        <w:t>МАТЕРИАЛЫ И МЕТОДЫ ИССЛЕДОВАНИЯ</w:t>
      </w:r>
      <w:bookmarkEnd w:id="22"/>
      <w:r w:rsidRPr="00185BC0">
        <w:rPr>
          <w:lang w:val="kk-KZ"/>
        </w:rPr>
        <w:t xml:space="preserve"> </w:t>
      </w:r>
    </w:p>
    <w:p w14:paraId="397CCE98" w14:textId="77777777" w:rsidR="00BB1D05" w:rsidRPr="00185BC0" w:rsidRDefault="00BB1D05" w:rsidP="00BB1D05">
      <w:pPr>
        <w:rPr>
          <w:lang w:val="kk-KZ"/>
        </w:rPr>
      </w:pPr>
    </w:p>
    <w:p w14:paraId="766602D9" w14:textId="56B4C0CD" w:rsidR="00BB1D05" w:rsidRPr="00185BC0" w:rsidRDefault="00962426" w:rsidP="00962426">
      <w:pPr>
        <w:ind w:firstLine="567"/>
        <w:jc w:val="both"/>
        <w:rPr>
          <w:sz w:val="28"/>
          <w:szCs w:val="28"/>
          <w:lang w:val="kk-KZ"/>
        </w:rPr>
      </w:pPr>
      <w:r w:rsidRPr="00185BC0">
        <w:rPr>
          <w:sz w:val="28"/>
          <w:szCs w:val="28"/>
          <w:lang w:val="kk-KZ"/>
        </w:rPr>
        <w:t xml:space="preserve">Настоящее исследование выполнено на клинической базе Республиканского центра эндопротезирования крупных суставов РГП на ПХВ «Национальный научный центр травматологии и ортопедии имени академика Н.Д. Батпенова» Министерства здравоохранения Республики Казахстан. Работа соответствовала требованиям законодательства Республики Казахстан в сфере здравоохранения, науки и образования и была проведена с соблюдением этических норм, установленных Хельсинской декларацией (редакция 2013 года, с учётом обновлений, утверждённых 75-й Генеральной Ассамблеей ВМА, Хельсинки, 19 октября 2024 года), Кодексом Республики Казахстан «О здоровье народа и системе здравоохранения» от 07.01.2020 № 360-VI ЗРК, а также приказом МЗ РК от 21.12.2022 № ҚР ДСМ-310/2020 «Об утверждении правил проведения биомедицинских исследований и требований к исследовательским центрам». Исследование было одобрено локальными этическими комитетами НАО «Медицинский университет Астана» и РГП на ПХВ «ННЦТО им. академика Н.Д. Батпенова» (выписки из протоколов № </w:t>
      </w:r>
      <w:r w:rsidR="00587901" w:rsidRPr="00587901">
        <w:rPr>
          <w:sz w:val="28"/>
          <w:szCs w:val="28"/>
        </w:rPr>
        <w:t>45</w:t>
      </w:r>
      <w:r w:rsidRPr="00185BC0">
        <w:rPr>
          <w:sz w:val="28"/>
          <w:szCs w:val="28"/>
          <w:lang w:val="kk-KZ"/>
        </w:rPr>
        <w:t xml:space="preserve"> от </w:t>
      </w:r>
      <w:r w:rsidR="00587901" w:rsidRPr="00587901">
        <w:rPr>
          <w:sz w:val="28"/>
          <w:szCs w:val="28"/>
        </w:rPr>
        <w:t>25</w:t>
      </w:r>
      <w:r w:rsidRPr="00185BC0">
        <w:rPr>
          <w:sz w:val="28"/>
          <w:szCs w:val="28"/>
          <w:lang w:val="kk-KZ"/>
        </w:rPr>
        <w:t>.</w:t>
      </w:r>
      <w:r w:rsidR="00587901" w:rsidRPr="00587901">
        <w:rPr>
          <w:sz w:val="28"/>
          <w:szCs w:val="28"/>
        </w:rPr>
        <w:t>11</w:t>
      </w:r>
      <w:r w:rsidRPr="00185BC0">
        <w:rPr>
          <w:sz w:val="28"/>
          <w:szCs w:val="28"/>
          <w:lang w:val="kk-KZ"/>
        </w:rPr>
        <w:t xml:space="preserve">.2025 г.), включая Локальную этическую комиссию по биоэтике ННЦТО (протокол № 8 от 08.12.2021 г.). </w:t>
      </w:r>
      <w:r w:rsidR="00F121D2" w:rsidRPr="00185BC0">
        <w:rPr>
          <w:sz w:val="28"/>
          <w:szCs w:val="28"/>
          <w:lang w:val="kk-KZ"/>
        </w:rPr>
        <w:t>До включения в исследование каждому участнику была предоставлена полная информация о целях и условиях проведения исследования. Участие осуществлялось на основании добровольного письменного информированного согласия</w:t>
      </w:r>
      <w:r w:rsidRPr="00185BC0">
        <w:rPr>
          <w:sz w:val="28"/>
          <w:szCs w:val="28"/>
          <w:lang w:val="kk-KZ"/>
        </w:rPr>
        <w:t>. Конфиденциальность персональных данных, включая сведения о состоянии здоровья, была обеспечена, а доступ к ним ограничен в соответствии с действующими нормативно-правовыми актами.</w:t>
      </w:r>
      <w:r w:rsidR="005C0C17" w:rsidRPr="00185BC0">
        <w:rPr>
          <w:sz w:val="28"/>
          <w:szCs w:val="28"/>
          <w:lang w:val="kk-KZ"/>
        </w:rPr>
        <w:t xml:space="preserve"> </w:t>
      </w:r>
      <w:r w:rsidRPr="00185BC0">
        <w:rPr>
          <w:sz w:val="28"/>
          <w:szCs w:val="28"/>
          <w:lang w:val="kk-KZ"/>
        </w:rPr>
        <w:t>Пациенты основной группы были застрахованы в соответствии с договором страхования №</w:t>
      </w:r>
      <w:r w:rsidR="005C0C17" w:rsidRPr="00185BC0">
        <w:rPr>
          <w:sz w:val="28"/>
          <w:szCs w:val="28"/>
          <w:lang w:val="kk-KZ"/>
        </w:rPr>
        <w:t xml:space="preserve"> 357-23-11984860/394027</w:t>
      </w:r>
      <w:r w:rsidRPr="00185BC0">
        <w:rPr>
          <w:sz w:val="28"/>
          <w:szCs w:val="28"/>
          <w:lang w:val="kk-KZ"/>
        </w:rPr>
        <w:t>ДС от 14.12.2023</w:t>
      </w:r>
      <w:r w:rsidR="005C0C17" w:rsidRPr="00185BC0">
        <w:rPr>
          <w:sz w:val="28"/>
          <w:szCs w:val="28"/>
          <w:lang w:val="kk-KZ"/>
        </w:rPr>
        <w:t>г.</w:t>
      </w:r>
      <w:r w:rsidRPr="00185BC0">
        <w:rPr>
          <w:sz w:val="28"/>
          <w:szCs w:val="28"/>
          <w:lang w:val="kk-KZ"/>
        </w:rPr>
        <w:t>, что обеспечивало дополнительную правовую защиту и соблюдение требований безопасности при проведении исследования.</w:t>
      </w:r>
    </w:p>
    <w:p w14:paraId="671348DE" w14:textId="77777777" w:rsidR="00BB1D05" w:rsidRPr="00185BC0" w:rsidRDefault="00BB1D05" w:rsidP="00BB1D05">
      <w:pPr>
        <w:ind w:firstLine="567"/>
        <w:jc w:val="both"/>
        <w:rPr>
          <w:sz w:val="28"/>
          <w:szCs w:val="28"/>
          <w:lang w:val="kk-KZ"/>
        </w:rPr>
      </w:pPr>
    </w:p>
    <w:p w14:paraId="3E2FE27B" w14:textId="42883226" w:rsidR="00BB1D05" w:rsidRPr="00185BC0" w:rsidRDefault="00BB1D05" w:rsidP="00BB1D05">
      <w:pPr>
        <w:pStyle w:val="1"/>
        <w:rPr>
          <w:lang w:val="kk-KZ"/>
        </w:rPr>
      </w:pPr>
      <w:r w:rsidRPr="00185BC0">
        <w:rPr>
          <w:lang w:val="kk-KZ"/>
        </w:rPr>
        <w:t xml:space="preserve"> </w:t>
      </w:r>
      <w:bookmarkStart w:id="23" w:name="_Toc217561929"/>
      <w:r w:rsidRPr="00185BC0">
        <w:rPr>
          <w:lang w:val="kk-KZ"/>
        </w:rPr>
        <w:t>2.1 Характеристика исследуемой группы</w:t>
      </w:r>
      <w:bookmarkEnd w:id="23"/>
    </w:p>
    <w:p w14:paraId="51EFD19E" w14:textId="77777777" w:rsidR="00671823" w:rsidRPr="00185BC0" w:rsidRDefault="00671823" w:rsidP="00671823">
      <w:pPr>
        <w:ind w:firstLine="567"/>
        <w:jc w:val="both"/>
        <w:rPr>
          <w:i/>
          <w:iCs/>
          <w:sz w:val="28"/>
          <w:szCs w:val="28"/>
          <w:lang w:val="kk-KZ"/>
        </w:rPr>
      </w:pPr>
      <w:r w:rsidRPr="00185BC0">
        <w:rPr>
          <w:i/>
          <w:iCs/>
          <w:sz w:val="28"/>
          <w:szCs w:val="28"/>
          <w:lang w:val="kk-KZ"/>
        </w:rPr>
        <w:t>Дизайн исследования</w:t>
      </w:r>
    </w:p>
    <w:p w14:paraId="784969E5" w14:textId="7677F3C0" w:rsidR="00671823" w:rsidRPr="00185BC0" w:rsidRDefault="00671823" w:rsidP="00671823">
      <w:pPr>
        <w:ind w:firstLine="567"/>
        <w:jc w:val="both"/>
        <w:rPr>
          <w:sz w:val="28"/>
          <w:szCs w:val="28"/>
          <w:lang w:val="kk-KZ"/>
        </w:rPr>
      </w:pPr>
      <w:r w:rsidRPr="00185BC0">
        <w:rPr>
          <w:sz w:val="28"/>
          <w:szCs w:val="28"/>
          <w:lang w:val="kk-KZ"/>
        </w:rPr>
        <w:t>Настоящая работа представляет собой открытое, нерандомизированное, смешанное (проспективно</w:t>
      </w:r>
      <w:r w:rsidR="00A32526" w:rsidRPr="00185BC0">
        <w:rPr>
          <w:sz w:val="28"/>
          <w:szCs w:val="28"/>
          <w:lang w:val="kk-KZ"/>
        </w:rPr>
        <w:t xml:space="preserve"> </w:t>
      </w:r>
      <w:r w:rsidRPr="00185BC0">
        <w:rPr>
          <w:sz w:val="28"/>
          <w:szCs w:val="28"/>
          <w:lang w:val="kk-KZ"/>
        </w:rPr>
        <w:t>–</w:t>
      </w:r>
      <w:r w:rsidR="00A32526" w:rsidRPr="00185BC0">
        <w:rPr>
          <w:sz w:val="28"/>
          <w:szCs w:val="28"/>
          <w:lang w:val="kk-KZ"/>
        </w:rPr>
        <w:t xml:space="preserve"> </w:t>
      </w:r>
      <w:r w:rsidRPr="00185BC0">
        <w:rPr>
          <w:sz w:val="28"/>
          <w:szCs w:val="28"/>
          <w:lang w:val="kk-KZ"/>
        </w:rPr>
        <w:t>ретроспективное), моноцентровое, сравнительное исследование, проведённое на базе Республиканского центра эндопротезирования при Национальном научном центре травматологии и ортопедии имени академика Н.Д. Батпенова</w:t>
      </w:r>
      <w:r w:rsidR="00426487" w:rsidRPr="00185BC0">
        <w:rPr>
          <w:sz w:val="28"/>
          <w:szCs w:val="28"/>
          <w:lang w:val="kk-KZ"/>
        </w:rPr>
        <w:t>.</w:t>
      </w:r>
    </w:p>
    <w:p w14:paraId="64337A00" w14:textId="6E735FFD" w:rsidR="00BB1D05" w:rsidRPr="00185BC0" w:rsidRDefault="00671823" w:rsidP="00671823">
      <w:pPr>
        <w:ind w:firstLine="567"/>
        <w:jc w:val="both"/>
        <w:rPr>
          <w:sz w:val="28"/>
          <w:szCs w:val="28"/>
          <w:lang w:val="kk-KZ"/>
        </w:rPr>
      </w:pPr>
      <w:r w:rsidRPr="00185BC0">
        <w:rPr>
          <w:sz w:val="28"/>
          <w:szCs w:val="28"/>
          <w:lang w:val="kk-KZ"/>
        </w:rPr>
        <w:t>Основная группа формировалась проспективно с применением инновационного метода фиксации зоны остеотомии (деротационная пластина), в то время как контрольная группа включала пациентов, ранее оперированных по стандартной методике (ретроспективный анализ). Деление на группы осуществлялось без использования методов рандомизации или ослепления, что было обусловлено особенностями клинической ситуации, необходимостью использования определённого вида имплантата и наличием ограниченного числа пациентов с редкой формой диспластического коксартроза (Crowe IV)</w:t>
      </w:r>
      <w:r w:rsidR="00426487" w:rsidRPr="00185BC0">
        <w:rPr>
          <w:sz w:val="28"/>
          <w:szCs w:val="28"/>
          <w:lang w:val="kk-KZ"/>
        </w:rPr>
        <w:t xml:space="preserve"> (рисунок 10).</w:t>
      </w:r>
    </w:p>
    <w:p w14:paraId="68A44B19" w14:textId="77777777" w:rsidR="00671823" w:rsidRPr="00185BC0" w:rsidRDefault="00671823" w:rsidP="00671823">
      <w:pPr>
        <w:ind w:firstLine="709"/>
        <w:jc w:val="both"/>
        <w:rPr>
          <w:bCs/>
          <w:sz w:val="28"/>
          <w:szCs w:val="28"/>
          <w:lang w:val="kk-KZ"/>
        </w:rPr>
      </w:pPr>
    </w:p>
    <w:p w14:paraId="01E1EC61" w14:textId="63757700" w:rsidR="00671823" w:rsidRPr="00185BC0" w:rsidRDefault="00612BAD" w:rsidP="00671823">
      <w:pPr>
        <w:jc w:val="both"/>
        <w:rPr>
          <w:bCs/>
          <w:sz w:val="28"/>
          <w:szCs w:val="28"/>
          <w:lang w:val="kk-KZ"/>
        </w:rPr>
      </w:pPr>
      <w:r w:rsidRPr="00185BC0">
        <w:rPr>
          <w:bCs/>
          <w:noProof/>
          <w:sz w:val="28"/>
          <w:szCs w:val="28"/>
          <w:lang w:val="kk-KZ"/>
        </w:rPr>
        <w:drawing>
          <wp:inline distT="0" distB="0" distL="0" distR="0" wp14:anchorId="2C6330B7" wp14:editId="0AB6A85E">
            <wp:extent cx="5939790" cy="3606800"/>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3606800"/>
                    </a:xfrm>
                    <a:prstGeom prst="rect">
                      <a:avLst/>
                    </a:prstGeom>
                  </pic:spPr>
                </pic:pic>
              </a:graphicData>
            </a:graphic>
          </wp:inline>
        </w:drawing>
      </w:r>
    </w:p>
    <w:p w14:paraId="53360719" w14:textId="77777777" w:rsidR="00671823" w:rsidRPr="00185BC0" w:rsidRDefault="00671823" w:rsidP="00671823">
      <w:pPr>
        <w:ind w:firstLine="709"/>
        <w:jc w:val="both"/>
        <w:rPr>
          <w:bCs/>
          <w:sz w:val="28"/>
          <w:szCs w:val="28"/>
          <w:lang w:val="kk-KZ"/>
        </w:rPr>
      </w:pPr>
    </w:p>
    <w:p w14:paraId="5C2C7191" w14:textId="65863A8A" w:rsidR="00671823" w:rsidRPr="00185BC0" w:rsidRDefault="00671823" w:rsidP="00671823">
      <w:pPr>
        <w:ind w:firstLine="709"/>
        <w:jc w:val="center"/>
        <w:rPr>
          <w:bCs/>
          <w:sz w:val="28"/>
          <w:szCs w:val="28"/>
          <w:lang w:val="kk-KZ"/>
        </w:rPr>
      </w:pPr>
      <w:r w:rsidRPr="00185BC0">
        <w:rPr>
          <w:bCs/>
          <w:sz w:val="28"/>
          <w:szCs w:val="28"/>
          <w:lang w:val="kk-KZ"/>
        </w:rPr>
        <w:t>Рисунок 10</w:t>
      </w:r>
      <w:r w:rsidR="00EF5D1F" w:rsidRPr="00185BC0">
        <w:rPr>
          <w:bCs/>
          <w:sz w:val="28"/>
          <w:szCs w:val="28"/>
          <w:lang w:val="kk-KZ"/>
        </w:rPr>
        <w:t xml:space="preserve"> – </w:t>
      </w:r>
      <w:r w:rsidRPr="00185BC0">
        <w:rPr>
          <w:bCs/>
          <w:sz w:val="28"/>
          <w:szCs w:val="28"/>
          <w:lang w:val="kk-KZ"/>
        </w:rPr>
        <w:t xml:space="preserve"> Блок-схема дизайна исследования</w:t>
      </w:r>
    </w:p>
    <w:p w14:paraId="501EF936" w14:textId="77777777" w:rsidR="00426487" w:rsidRPr="00185BC0" w:rsidRDefault="00426487" w:rsidP="00D16B1C">
      <w:pPr>
        <w:ind w:firstLine="567"/>
        <w:contextualSpacing/>
        <w:jc w:val="both"/>
        <w:rPr>
          <w:bCs/>
          <w:i/>
          <w:iCs/>
          <w:sz w:val="28"/>
          <w:szCs w:val="28"/>
          <w:lang w:val="kk-KZ"/>
        </w:rPr>
      </w:pPr>
    </w:p>
    <w:p w14:paraId="0F981AB2" w14:textId="5B366073" w:rsidR="00D16B1C" w:rsidRPr="00185BC0" w:rsidRDefault="00D16B1C" w:rsidP="00D16B1C">
      <w:pPr>
        <w:ind w:firstLine="567"/>
        <w:contextualSpacing/>
        <w:jc w:val="both"/>
        <w:rPr>
          <w:bCs/>
          <w:i/>
          <w:iCs/>
          <w:sz w:val="28"/>
          <w:szCs w:val="28"/>
          <w:lang w:val="kk-KZ"/>
        </w:rPr>
      </w:pPr>
      <w:r w:rsidRPr="00185BC0">
        <w:rPr>
          <w:bCs/>
          <w:i/>
          <w:iCs/>
          <w:sz w:val="28"/>
          <w:szCs w:val="28"/>
          <w:lang w:val="kk-KZ"/>
        </w:rPr>
        <w:t>Объекты исследования</w:t>
      </w:r>
    </w:p>
    <w:p w14:paraId="400DA2F3" w14:textId="77777777" w:rsidR="00D16B1C" w:rsidRPr="00185BC0" w:rsidRDefault="00D16B1C" w:rsidP="00D16B1C">
      <w:pPr>
        <w:ind w:firstLine="567"/>
        <w:jc w:val="both"/>
        <w:rPr>
          <w:bCs/>
          <w:sz w:val="28"/>
          <w:szCs w:val="28"/>
          <w:lang w:val="kk-KZ"/>
        </w:rPr>
      </w:pPr>
      <w:r w:rsidRPr="00185BC0">
        <w:rPr>
          <w:bCs/>
          <w:sz w:val="28"/>
          <w:szCs w:val="28"/>
          <w:lang w:val="kk-KZ"/>
        </w:rPr>
        <w:t>Объектом настоящего исследования стали пациенты с диспластическим коксартрозом IV типа по классификации Crowe, проходившие хирургическое лечение в условиях Республиканского центра эндопротезирования крупных суставов на базе «ННЦТО им. академика Н.Д. Батпенова». Возраст пациентов составлял от 18 до 6</w:t>
      </w:r>
      <w:r w:rsidRPr="00185BC0">
        <w:rPr>
          <w:bCs/>
          <w:sz w:val="28"/>
          <w:szCs w:val="28"/>
          <w:lang w:val="tr-TR"/>
        </w:rPr>
        <w:t>0</w:t>
      </w:r>
      <w:r w:rsidRPr="00185BC0">
        <w:rPr>
          <w:bCs/>
          <w:sz w:val="28"/>
          <w:szCs w:val="28"/>
          <w:lang w:val="kk-KZ"/>
        </w:rPr>
        <w:t xml:space="preserve"> лет, в исследование были включены как мужчины, так и женщины. Всем пациентам проводилось тотальное эндопротезирование тазобедренного сустава с подвертельной поперечной укорачивающей остеотомией бедренной кости.</w:t>
      </w:r>
    </w:p>
    <w:p w14:paraId="4BCD1774" w14:textId="77777777" w:rsidR="00D16B1C" w:rsidRPr="00185BC0" w:rsidRDefault="00D16B1C" w:rsidP="00D16B1C">
      <w:pPr>
        <w:ind w:firstLine="567"/>
        <w:jc w:val="both"/>
        <w:rPr>
          <w:b/>
          <w:sz w:val="28"/>
          <w:szCs w:val="28"/>
          <w:lang w:val="kk-KZ"/>
        </w:rPr>
      </w:pPr>
      <w:r w:rsidRPr="00185BC0">
        <w:rPr>
          <w:bCs/>
          <w:sz w:val="28"/>
          <w:szCs w:val="28"/>
          <w:lang w:val="kk-KZ"/>
        </w:rPr>
        <w:t>Все включённые пациенты имели выраженные анатомические деформации, характерные для тяжёлых форм врождённой патологии тазобедренного сустава: высокорасположенную головку бедренной кости, выраженную гипоплазию вертлужной впадины, деформации проксимального отдела бедра и укорочение нижней конечности. Эти морфологические особенности соответствовали IV типу по классификации Crowe и определяли высокую степень технической сложности планируемого оперативного вмешательства.</w:t>
      </w:r>
    </w:p>
    <w:p w14:paraId="044C22DC" w14:textId="4E23BB16" w:rsidR="00D16B1C" w:rsidRPr="00185BC0" w:rsidRDefault="00D16B1C" w:rsidP="00D16B1C">
      <w:pPr>
        <w:ind w:firstLine="567"/>
        <w:jc w:val="both"/>
        <w:rPr>
          <w:bCs/>
          <w:i/>
          <w:iCs/>
          <w:sz w:val="28"/>
          <w:szCs w:val="28"/>
          <w:lang w:val="kk-KZ"/>
        </w:rPr>
      </w:pPr>
      <w:r w:rsidRPr="00185BC0">
        <w:rPr>
          <w:bCs/>
          <w:i/>
          <w:iCs/>
          <w:sz w:val="28"/>
          <w:szCs w:val="28"/>
          <w:lang w:val="kk-KZ"/>
        </w:rPr>
        <w:t>Критерии включения</w:t>
      </w:r>
    </w:p>
    <w:p w14:paraId="36127EED" w14:textId="77777777" w:rsidR="00D16B1C" w:rsidRPr="00185BC0" w:rsidRDefault="00D16B1C" w:rsidP="00D16B1C">
      <w:pPr>
        <w:ind w:firstLine="567"/>
        <w:jc w:val="both"/>
        <w:rPr>
          <w:bCs/>
          <w:sz w:val="28"/>
          <w:szCs w:val="28"/>
        </w:rPr>
      </w:pPr>
      <w:r w:rsidRPr="00185BC0">
        <w:rPr>
          <w:bCs/>
          <w:sz w:val="28"/>
          <w:szCs w:val="28"/>
        </w:rPr>
        <w:t>В исследование включались пациенты, соответствующие следующим критериям:</w:t>
      </w:r>
    </w:p>
    <w:p w14:paraId="7E9C0B35" w14:textId="08008EB4"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н</w:t>
      </w:r>
      <w:proofErr w:type="spellStart"/>
      <w:r w:rsidR="00D16B1C" w:rsidRPr="00185BC0">
        <w:rPr>
          <w:sz w:val="28"/>
          <w:szCs w:val="28"/>
        </w:rPr>
        <w:t>аличие</w:t>
      </w:r>
      <w:proofErr w:type="spellEnd"/>
      <w:r w:rsidR="00D16B1C" w:rsidRPr="00185BC0">
        <w:rPr>
          <w:sz w:val="28"/>
          <w:szCs w:val="28"/>
        </w:rPr>
        <w:t xml:space="preserve"> диспластического коксартроза IV типа по классификации </w:t>
      </w:r>
      <w:proofErr w:type="spellStart"/>
      <w:r w:rsidR="00D16B1C" w:rsidRPr="00185BC0">
        <w:rPr>
          <w:sz w:val="28"/>
          <w:szCs w:val="28"/>
        </w:rPr>
        <w:t>Crowe</w:t>
      </w:r>
      <w:proofErr w:type="spellEnd"/>
      <w:r w:rsidR="00D16B1C" w:rsidRPr="00185BC0">
        <w:rPr>
          <w:sz w:val="28"/>
          <w:szCs w:val="28"/>
        </w:rPr>
        <w:t xml:space="preserve">, подтверждённого клинико-рентгенологическим и </w:t>
      </w:r>
      <w:proofErr w:type="spellStart"/>
      <w:r w:rsidR="00D16B1C" w:rsidRPr="00185BC0">
        <w:rPr>
          <w:sz w:val="28"/>
          <w:szCs w:val="28"/>
        </w:rPr>
        <w:t>томографическим</w:t>
      </w:r>
      <w:proofErr w:type="spellEnd"/>
      <w:r w:rsidR="00D16B1C" w:rsidRPr="00185BC0">
        <w:rPr>
          <w:sz w:val="28"/>
          <w:szCs w:val="28"/>
        </w:rPr>
        <w:t xml:space="preserve"> обследованием;</w:t>
      </w:r>
    </w:p>
    <w:p w14:paraId="4366EA89" w14:textId="01D1F464"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в</w:t>
      </w:r>
      <w:proofErr w:type="spellStart"/>
      <w:r w:rsidR="00D16B1C" w:rsidRPr="00185BC0">
        <w:rPr>
          <w:sz w:val="28"/>
          <w:szCs w:val="28"/>
        </w:rPr>
        <w:t>озраст</w:t>
      </w:r>
      <w:proofErr w:type="spellEnd"/>
      <w:r w:rsidR="00D16B1C" w:rsidRPr="00185BC0">
        <w:rPr>
          <w:sz w:val="28"/>
          <w:szCs w:val="28"/>
        </w:rPr>
        <w:t xml:space="preserve"> от 18 до 60 лет на момент включения в исследование;</w:t>
      </w:r>
    </w:p>
    <w:p w14:paraId="5E407464" w14:textId="09F4A5BD"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lastRenderedPageBreak/>
        <w:t>п</w:t>
      </w:r>
      <w:proofErr w:type="spellStart"/>
      <w:r w:rsidR="00D16B1C" w:rsidRPr="00185BC0">
        <w:rPr>
          <w:sz w:val="28"/>
          <w:szCs w:val="28"/>
        </w:rPr>
        <w:t>роведение</w:t>
      </w:r>
      <w:proofErr w:type="spellEnd"/>
      <w:r w:rsidR="00D16B1C" w:rsidRPr="00185BC0">
        <w:rPr>
          <w:sz w:val="28"/>
          <w:szCs w:val="28"/>
        </w:rPr>
        <w:t xml:space="preserve"> тотального эндопротезирования тазобедренного сустава с необходимостью выполнения </w:t>
      </w:r>
      <w:proofErr w:type="spellStart"/>
      <w:r w:rsidR="00D16B1C" w:rsidRPr="00185BC0">
        <w:rPr>
          <w:sz w:val="28"/>
          <w:szCs w:val="28"/>
        </w:rPr>
        <w:t>подвертельной</w:t>
      </w:r>
      <w:proofErr w:type="spellEnd"/>
      <w:r w:rsidR="00D16B1C" w:rsidRPr="00185BC0">
        <w:rPr>
          <w:sz w:val="28"/>
          <w:szCs w:val="28"/>
        </w:rPr>
        <w:t xml:space="preserve"> поперечной укорачивающей остеотомии бедренной кости;</w:t>
      </w:r>
    </w:p>
    <w:p w14:paraId="69BE0C5F" w14:textId="1C19B07D"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с</w:t>
      </w:r>
      <w:proofErr w:type="spellStart"/>
      <w:r w:rsidR="00D16B1C" w:rsidRPr="00185BC0">
        <w:rPr>
          <w:sz w:val="28"/>
          <w:szCs w:val="28"/>
        </w:rPr>
        <w:t>огласие</w:t>
      </w:r>
      <w:proofErr w:type="spellEnd"/>
      <w:r w:rsidR="00D16B1C" w:rsidRPr="00185BC0">
        <w:rPr>
          <w:sz w:val="28"/>
          <w:szCs w:val="28"/>
        </w:rPr>
        <w:t xml:space="preserve"> на участие в исследовании и подписание формы информированного добровольного согласия.</w:t>
      </w:r>
    </w:p>
    <w:p w14:paraId="479B3B11" w14:textId="25D8220F" w:rsidR="00D16B1C" w:rsidRPr="00185BC0" w:rsidRDefault="00D16B1C" w:rsidP="00D16B1C">
      <w:pPr>
        <w:ind w:firstLine="567"/>
        <w:contextualSpacing/>
        <w:jc w:val="both"/>
        <w:rPr>
          <w:bCs/>
          <w:i/>
          <w:iCs/>
          <w:sz w:val="28"/>
          <w:szCs w:val="28"/>
          <w:lang w:val="kk-KZ"/>
        </w:rPr>
      </w:pPr>
      <w:r w:rsidRPr="00185BC0">
        <w:rPr>
          <w:bCs/>
          <w:i/>
          <w:iCs/>
          <w:sz w:val="28"/>
          <w:szCs w:val="28"/>
          <w:lang w:val="kk-KZ"/>
        </w:rPr>
        <w:t>Критерии исключения</w:t>
      </w:r>
    </w:p>
    <w:p w14:paraId="11A14779" w14:textId="77777777" w:rsidR="00D16B1C" w:rsidRPr="00185BC0" w:rsidRDefault="00D16B1C" w:rsidP="00D16B1C">
      <w:pPr>
        <w:ind w:firstLine="567"/>
        <w:jc w:val="both"/>
        <w:rPr>
          <w:bCs/>
          <w:sz w:val="28"/>
          <w:szCs w:val="28"/>
        </w:rPr>
      </w:pPr>
      <w:r w:rsidRPr="00185BC0">
        <w:rPr>
          <w:bCs/>
          <w:sz w:val="28"/>
          <w:szCs w:val="28"/>
        </w:rPr>
        <w:t>Из участия в исследовании исключались пациенты при наличии следующих факторов:</w:t>
      </w:r>
    </w:p>
    <w:p w14:paraId="733FA513" w14:textId="2FD0199E"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к</w:t>
      </w:r>
      <w:proofErr w:type="spellStart"/>
      <w:r w:rsidR="00D16B1C" w:rsidRPr="00185BC0">
        <w:rPr>
          <w:sz w:val="28"/>
          <w:szCs w:val="28"/>
        </w:rPr>
        <w:t>оксартроз</w:t>
      </w:r>
      <w:proofErr w:type="spellEnd"/>
      <w:r w:rsidR="00D16B1C" w:rsidRPr="00185BC0">
        <w:rPr>
          <w:sz w:val="28"/>
          <w:szCs w:val="28"/>
        </w:rPr>
        <w:t>, не связанный с врождённой дисплазией тазобедренного сустава (посттравматический, ревматоидный вследствие асептического некроза и др.);</w:t>
      </w:r>
    </w:p>
    <w:p w14:paraId="6BACCBFA" w14:textId="7CACD105"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д</w:t>
      </w:r>
      <w:proofErr w:type="spellStart"/>
      <w:r w:rsidR="00D16B1C" w:rsidRPr="00185BC0">
        <w:rPr>
          <w:sz w:val="28"/>
          <w:szCs w:val="28"/>
        </w:rPr>
        <w:t>исплазия</w:t>
      </w:r>
      <w:proofErr w:type="spellEnd"/>
      <w:r w:rsidR="00D16B1C" w:rsidRPr="00185BC0">
        <w:rPr>
          <w:sz w:val="28"/>
          <w:szCs w:val="28"/>
        </w:rPr>
        <w:t xml:space="preserve"> тазобедренного сустава I–III типа по классификации </w:t>
      </w:r>
      <w:proofErr w:type="spellStart"/>
      <w:r w:rsidR="00D16B1C" w:rsidRPr="00185BC0">
        <w:rPr>
          <w:sz w:val="28"/>
          <w:szCs w:val="28"/>
        </w:rPr>
        <w:t>Crowe</w:t>
      </w:r>
      <w:proofErr w:type="spellEnd"/>
      <w:r w:rsidR="00D16B1C" w:rsidRPr="00185BC0">
        <w:rPr>
          <w:sz w:val="28"/>
          <w:szCs w:val="28"/>
        </w:rPr>
        <w:t>;</w:t>
      </w:r>
    </w:p>
    <w:p w14:paraId="5F1A1C3F" w14:textId="5FC92A52"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в</w:t>
      </w:r>
      <w:proofErr w:type="spellStart"/>
      <w:r w:rsidR="00D16B1C" w:rsidRPr="00185BC0">
        <w:rPr>
          <w:sz w:val="28"/>
          <w:szCs w:val="28"/>
        </w:rPr>
        <w:t>озраст</w:t>
      </w:r>
      <w:proofErr w:type="spellEnd"/>
      <w:r w:rsidR="00D16B1C" w:rsidRPr="00185BC0">
        <w:rPr>
          <w:sz w:val="28"/>
          <w:szCs w:val="28"/>
        </w:rPr>
        <w:t xml:space="preserve"> младше 18 лет и старше 60 лет;</w:t>
      </w:r>
    </w:p>
    <w:p w14:paraId="07BA826B" w14:textId="414696CD"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н</w:t>
      </w:r>
      <w:proofErr w:type="spellStart"/>
      <w:r w:rsidR="00D16B1C" w:rsidRPr="00185BC0">
        <w:rPr>
          <w:sz w:val="28"/>
          <w:szCs w:val="28"/>
        </w:rPr>
        <w:t>аличие</w:t>
      </w:r>
      <w:proofErr w:type="spellEnd"/>
      <w:r w:rsidR="00D16B1C" w:rsidRPr="00185BC0">
        <w:rPr>
          <w:sz w:val="28"/>
          <w:szCs w:val="28"/>
        </w:rPr>
        <w:t xml:space="preserve"> тяжёлых декомпенсированных соматических заболеваний (сердечно-сосудистых, почечных, печёночных, эндокринных), создающих высокий риск хирургического вмешательства;</w:t>
      </w:r>
    </w:p>
    <w:p w14:paraId="1929FB12" w14:textId="3994754B"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о</w:t>
      </w:r>
      <w:proofErr w:type="spellStart"/>
      <w:r w:rsidR="00D16B1C" w:rsidRPr="00185BC0">
        <w:rPr>
          <w:sz w:val="28"/>
          <w:szCs w:val="28"/>
        </w:rPr>
        <w:t>стрые</w:t>
      </w:r>
      <w:proofErr w:type="spellEnd"/>
      <w:r w:rsidR="00D16B1C" w:rsidRPr="00185BC0">
        <w:rPr>
          <w:sz w:val="28"/>
          <w:szCs w:val="28"/>
        </w:rPr>
        <w:t xml:space="preserve"> инфекционные и воспалительные процессы, включая активный туберкулёз, остеомиелит, сепсис;</w:t>
      </w:r>
    </w:p>
    <w:p w14:paraId="7A919DDA" w14:textId="2202EBF7"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а</w:t>
      </w:r>
      <w:proofErr w:type="spellStart"/>
      <w:r w:rsidR="00D16B1C" w:rsidRPr="00185BC0">
        <w:rPr>
          <w:sz w:val="28"/>
          <w:szCs w:val="28"/>
        </w:rPr>
        <w:t>немия</w:t>
      </w:r>
      <w:proofErr w:type="spellEnd"/>
      <w:r w:rsidR="00D16B1C" w:rsidRPr="00185BC0">
        <w:rPr>
          <w:sz w:val="28"/>
          <w:szCs w:val="28"/>
        </w:rPr>
        <w:t xml:space="preserve"> с уровнем гемоглобина ниже 115 г/л;</w:t>
      </w:r>
    </w:p>
    <w:p w14:paraId="3F61BCDD" w14:textId="1372E33E"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н</w:t>
      </w:r>
      <w:proofErr w:type="spellStart"/>
      <w:r w:rsidR="00D16B1C" w:rsidRPr="00185BC0">
        <w:rPr>
          <w:sz w:val="28"/>
          <w:szCs w:val="28"/>
        </w:rPr>
        <w:t>арушения</w:t>
      </w:r>
      <w:proofErr w:type="spellEnd"/>
      <w:r w:rsidR="00D16B1C" w:rsidRPr="00185BC0">
        <w:rPr>
          <w:sz w:val="28"/>
          <w:szCs w:val="28"/>
        </w:rPr>
        <w:t xml:space="preserve"> системы гемостаза (</w:t>
      </w:r>
      <w:proofErr w:type="spellStart"/>
      <w:r w:rsidR="00D16B1C" w:rsidRPr="00185BC0">
        <w:rPr>
          <w:sz w:val="28"/>
          <w:szCs w:val="28"/>
        </w:rPr>
        <w:t>коагулопатии</w:t>
      </w:r>
      <w:proofErr w:type="spellEnd"/>
      <w:r w:rsidR="00D16B1C" w:rsidRPr="00185BC0">
        <w:rPr>
          <w:sz w:val="28"/>
          <w:szCs w:val="28"/>
        </w:rPr>
        <w:t>), препятствующие безопасному проведению оперативного вмешательства;</w:t>
      </w:r>
    </w:p>
    <w:p w14:paraId="2397501D" w14:textId="2816835B"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о</w:t>
      </w:r>
      <w:proofErr w:type="spellStart"/>
      <w:r w:rsidR="00D16B1C" w:rsidRPr="00185BC0">
        <w:rPr>
          <w:sz w:val="28"/>
          <w:szCs w:val="28"/>
        </w:rPr>
        <w:t>тсутствие</w:t>
      </w:r>
      <w:proofErr w:type="spellEnd"/>
      <w:r w:rsidR="00D16B1C" w:rsidRPr="00185BC0">
        <w:rPr>
          <w:sz w:val="28"/>
          <w:szCs w:val="28"/>
        </w:rPr>
        <w:t xml:space="preserve"> возможности проведения полного комплекса клинико-инструментального обследования до и после операции;</w:t>
      </w:r>
    </w:p>
    <w:p w14:paraId="7EE93C9A" w14:textId="36B71A72"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в</w:t>
      </w:r>
      <w:proofErr w:type="spellStart"/>
      <w:r w:rsidR="00D16B1C" w:rsidRPr="00185BC0">
        <w:rPr>
          <w:sz w:val="28"/>
          <w:szCs w:val="28"/>
        </w:rPr>
        <w:t>ыраженные</w:t>
      </w:r>
      <w:proofErr w:type="spellEnd"/>
      <w:r w:rsidR="00D16B1C" w:rsidRPr="00185BC0">
        <w:rPr>
          <w:sz w:val="28"/>
          <w:szCs w:val="28"/>
        </w:rPr>
        <w:t xml:space="preserve"> психические или когнитивные расстройства, затрудняющие адекватное взаимодействие с пациентом и соблюдение послеоперационного режима;</w:t>
      </w:r>
    </w:p>
    <w:p w14:paraId="54C6D881" w14:textId="6D60A613"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о</w:t>
      </w:r>
      <w:proofErr w:type="spellStart"/>
      <w:r w:rsidR="00D16B1C" w:rsidRPr="00185BC0">
        <w:rPr>
          <w:sz w:val="28"/>
          <w:szCs w:val="28"/>
        </w:rPr>
        <w:t>тказ</w:t>
      </w:r>
      <w:proofErr w:type="spellEnd"/>
      <w:r w:rsidR="00D16B1C" w:rsidRPr="00185BC0">
        <w:rPr>
          <w:sz w:val="28"/>
          <w:szCs w:val="28"/>
        </w:rPr>
        <w:t xml:space="preserve"> пациента от участия в исследовании либо несогласие на использование персональных и медицинских данных в научных целях.</w:t>
      </w:r>
    </w:p>
    <w:p w14:paraId="43C547BC" w14:textId="77777777" w:rsidR="00D16B1C" w:rsidRPr="00185BC0" w:rsidRDefault="00D16B1C" w:rsidP="00D16B1C">
      <w:pPr>
        <w:ind w:firstLine="709"/>
        <w:contextualSpacing/>
        <w:jc w:val="both"/>
        <w:rPr>
          <w:bCs/>
          <w:i/>
          <w:iCs/>
          <w:sz w:val="28"/>
          <w:szCs w:val="28"/>
          <w:lang w:val="kk-KZ"/>
        </w:rPr>
      </w:pPr>
      <w:r w:rsidRPr="00185BC0">
        <w:rPr>
          <w:bCs/>
          <w:i/>
          <w:iCs/>
          <w:sz w:val="28"/>
          <w:szCs w:val="28"/>
          <w:lang w:val="kk-KZ"/>
        </w:rPr>
        <w:t>Информированное согласие</w:t>
      </w:r>
    </w:p>
    <w:p w14:paraId="13CB8F1A" w14:textId="0DEB7EFD" w:rsidR="00D16B1C" w:rsidRPr="00185BC0" w:rsidRDefault="00483103" w:rsidP="00483103">
      <w:pPr>
        <w:ind w:firstLine="720"/>
        <w:jc w:val="both"/>
        <w:rPr>
          <w:bCs/>
          <w:sz w:val="28"/>
          <w:szCs w:val="28"/>
        </w:rPr>
      </w:pPr>
      <w:r w:rsidRPr="00185BC0">
        <w:rPr>
          <w:bCs/>
          <w:sz w:val="28"/>
          <w:szCs w:val="28"/>
        </w:rPr>
        <w:t xml:space="preserve">Перед включением в исследование каждому пациенту предоставлялась подробная информация о целях, задачах и этапах проводимого исследования, а также о планируемом хирургическом вмешательстве и возможных рисках. Все пациенты, включённые в исследование, подписывали форму информированного добровольного согласия на участие в исследовании. Форма информированного согласия включала разрешение на сбор, хранение, обработку и использование обезличенных медицинских данных пациентов в научных целях, в том числе с внесением полученной информации в специализированную исследовательскую базу данных (Приложение Б, авторское свидетельство РК № 34631 от 24.03.2023г.) </w:t>
      </w:r>
      <w:r w:rsidRPr="00185BC0">
        <w:rPr>
          <w:bCs/>
          <w:sz w:val="28"/>
          <w:szCs w:val="28"/>
        </w:rPr>
        <w:fldChar w:fldCharType="begin" w:fldLock="1"/>
      </w:r>
      <w:r w:rsidRPr="00185BC0">
        <w:rPr>
          <w:bCs/>
          <w:sz w:val="28"/>
          <w:szCs w:val="28"/>
        </w:rPr>
        <w:instrText>ADDIN CSL_CITATION {"citationItems":[{"id":"ITEM-1","itemData":{"id":"ITEM-1","issued":{"date-parts":[["0"]]},"title":"Комплексная база данных пациентов с диспластическим коксартрозом","type":"article"},"uris":["http://www.mendeley.com/documents/?uuid=96f43cbb-d8e3-4b75-97d9-be4f40c1210a"]}],"mendeley":{"formattedCitation":"[99]","plainTextFormattedCitation":"[99]","previouslyFormattedCitation":"[99]"},"properties":{"noteIndex":0},"schema":"https://github.com/citation-style-language/schema/raw/master/csl-citation.json"}</w:instrText>
      </w:r>
      <w:r w:rsidRPr="00185BC0">
        <w:rPr>
          <w:bCs/>
          <w:sz w:val="28"/>
          <w:szCs w:val="28"/>
        </w:rPr>
        <w:fldChar w:fldCharType="separate"/>
      </w:r>
      <w:r w:rsidRPr="00185BC0">
        <w:rPr>
          <w:bCs/>
          <w:noProof/>
          <w:sz w:val="28"/>
          <w:szCs w:val="28"/>
        </w:rPr>
        <w:t>[99]</w:t>
      </w:r>
      <w:r w:rsidRPr="00185BC0">
        <w:rPr>
          <w:bCs/>
          <w:sz w:val="28"/>
          <w:szCs w:val="28"/>
        </w:rPr>
        <w:fldChar w:fldCharType="end"/>
      </w:r>
      <w:r w:rsidRPr="00185BC0">
        <w:rPr>
          <w:bCs/>
          <w:sz w:val="28"/>
          <w:szCs w:val="28"/>
        </w:rPr>
        <w:t xml:space="preserve">. Доступ к базе данных имели только исследователи, непосредственно участвующие в выполнении научной работы. Согласие также предусматривало проведение клинико-лабораторных и инструментальных исследований в до- и послеоперационном периодах. Особое внимание уделялось информированию пациентов о соблюдении принципов конфиденциальности, </w:t>
      </w:r>
      <w:r w:rsidRPr="00185BC0">
        <w:rPr>
          <w:bCs/>
          <w:sz w:val="28"/>
          <w:szCs w:val="28"/>
        </w:rPr>
        <w:lastRenderedPageBreak/>
        <w:t>добровольности участия и защите персональных данных, а также их праве на отказ от участия в исследовании на любом этапе без каких-либо негативных последствий для объёма и качества оказываемой медицинской помощи.</w:t>
      </w:r>
    </w:p>
    <w:p w14:paraId="67F0E64D" w14:textId="77777777" w:rsidR="00D16B1C" w:rsidRPr="00185BC0" w:rsidRDefault="00D16B1C" w:rsidP="00D16B1C">
      <w:pPr>
        <w:ind w:firstLine="567"/>
        <w:contextualSpacing/>
        <w:jc w:val="both"/>
        <w:rPr>
          <w:b/>
          <w:sz w:val="28"/>
          <w:szCs w:val="28"/>
          <w:lang w:val="kk-KZ"/>
        </w:rPr>
      </w:pPr>
      <w:r w:rsidRPr="00185BC0">
        <w:rPr>
          <w:bCs/>
          <w:i/>
          <w:iCs/>
          <w:sz w:val="28"/>
          <w:szCs w:val="28"/>
          <w:lang w:val="kk-KZ"/>
        </w:rPr>
        <w:t>Деление пациентов на группы</w:t>
      </w:r>
    </w:p>
    <w:p w14:paraId="254460DA" w14:textId="10620A70" w:rsidR="00D16B1C" w:rsidRPr="00185BC0" w:rsidRDefault="00E66AAC" w:rsidP="00D16B1C">
      <w:pPr>
        <w:ind w:firstLine="567"/>
        <w:jc w:val="both"/>
        <w:rPr>
          <w:bCs/>
          <w:sz w:val="28"/>
          <w:szCs w:val="28"/>
        </w:rPr>
      </w:pPr>
      <w:r w:rsidRPr="00185BC0">
        <w:rPr>
          <w:bCs/>
          <w:sz w:val="28"/>
          <w:szCs w:val="28"/>
        </w:rPr>
        <w:t xml:space="preserve">С целью сравнительной оценки эффективности различных методов остеосинтеза при выполнении укорачивающей </w:t>
      </w:r>
      <w:proofErr w:type="spellStart"/>
      <w:r w:rsidRPr="00185BC0">
        <w:rPr>
          <w:bCs/>
          <w:sz w:val="28"/>
          <w:szCs w:val="28"/>
        </w:rPr>
        <w:t>подвертельной</w:t>
      </w:r>
      <w:proofErr w:type="spellEnd"/>
      <w:r w:rsidRPr="00185BC0">
        <w:rPr>
          <w:bCs/>
          <w:sz w:val="28"/>
          <w:szCs w:val="28"/>
        </w:rPr>
        <w:t xml:space="preserve"> остеотомии бедренной кости в структуре хирургического лечения диспластического коксартроза IV типа по классификации </w:t>
      </w:r>
      <w:proofErr w:type="spellStart"/>
      <w:r w:rsidRPr="00185BC0">
        <w:rPr>
          <w:bCs/>
          <w:sz w:val="28"/>
          <w:szCs w:val="28"/>
        </w:rPr>
        <w:t>Crowe</w:t>
      </w:r>
      <w:proofErr w:type="spellEnd"/>
      <w:r w:rsidRPr="00185BC0">
        <w:rPr>
          <w:bCs/>
          <w:sz w:val="28"/>
          <w:szCs w:val="28"/>
        </w:rPr>
        <w:t xml:space="preserve"> методом тотального эндопротезирования все пациенты, включённые в исследование, были распределены на две группы</w:t>
      </w:r>
      <w:r w:rsidR="00D16B1C" w:rsidRPr="00185BC0">
        <w:rPr>
          <w:bCs/>
          <w:sz w:val="28"/>
          <w:szCs w:val="28"/>
        </w:rPr>
        <w:t>:</w:t>
      </w:r>
    </w:p>
    <w:p w14:paraId="4B445633" w14:textId="53C3E0CA"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о</w:t>
      </w:r>
      <w:proofErr w:type="spellStart"/>
      <w:r w:rsidR="00D16B1C" w:rsidRPr="00185BC0">
        <w:rPr>
          <w:sz w:val="28"/>
          <w:szCs w:val="28"/>
        </w:rPr>
        <w:t>сновная</w:t>
      </w:r>
      <w:proofErr w:type="spellEnd"/>
      <w:r w:rsidR="00D16B1C" w:rsidRPr="00185BC0">
        <w:rPr>
          <w:sz w:val="28"/>
          <w:szCs w:val="28"/>
        </w:rPr>
        <w:t xml:space="preserve"> группа (n = 30) </w:t>
      </w:r>
      <w:r w:rsidR="00DA5A93" w:rsidRPr="00185BC0">
        <w:rPr>
          <w:sz w:val="28"/>
          <w:szCs w:val="28"/>
        </w:rPr>
        <w:t>–</w:t>
      </w:r>
      <w:r w:rsidR="00D16B1C" w:rsidRPr="00185BC0">
        <w:rPr>
          <w:sz w:val="28"/>
          <w:szCs w:val="28"/>
        </w:rPr>
        <w:t xml:space="preserve"> пациенты, которым проводилось тотальное эндопротезирование тазобедренного сустава с выполнением </w:t>
      </w:r>
      <w:proofErr w:type="spellStart"/>
      <w:r w:rsidR="00D16B1C" w:rsidRPr="00185BC0">
        <w:rPr>
          <w:sz w:val="28"/>
          <w:szCs w:val="28"/>
        </w:rPr>
        <w:t>подвертельной</w:t>
      </w:r>
      <w:proofErr w:type="spellEnd"/>
      <w:r w:rsidR="00D16B1C" w:rsidRPr="00185BC0">
        <w:rPr>
          <w:sz w:val="28"/>
          <w:szCs w:val="28"/>
        </w:rPr>
        <w:t xml:space="preserve"> поперечной укорачивающей остеотомии и фиксацией зоны остеотомии с использованием разработанной </w:t>
      </w:r>
      <w:proofErr w:type="spellStart"/>
      <w:r w:rsidR="00D16B1C" w:rsidRPr="00185BC0">
        <w:rPr>
          <w:sz w:val="28"/>
          <w:szCs w:val="28"/>
        </w:rPr>
        <w:t>деротационной</w:t>
      </w:r>
      <w:proofErr w:type="spellEnd"/>
      <w:r w:rsidR="00D16B1C" w:rsidRPr="00185BC0">
        <w:rPr>
          <w:sz w:val="28"/>
          <w:szCs w:val="28"/>
        </w:rPr>
        <w:t xml:space="preserve"> пластины. Набор в данную группу осуществлялся </w:t>
      </w:r>
      <w:proofErr w:type="spellStart"/>
      <w:r w:rsidR="00D16B1C" w:rsidRPr="00185BC0">
        <w:rPr>
          <w:sz w:val="28"/>
          <w:szCs w:val="28"/>
        </w:rPr>
        <w:t>проспективно</w:t>
      </w:r>
      <w:proofErr w:type="spellEnd"/>
      <w:r w:rsidR="00D16B1C" w:rsidRPr="00185BC0">
        <w:rPr>
          <w:sz w:val="28"/>
          <w:szCs w:val="28"/>
        </w:rPr>
        <w:t>, с соблюдением единых критериев включения и исключения</w:t>
      </w:r>
      <w:r w:rsidRPr="00185BC0">
        <w:rPr>
          <w:sz w:val="28"/>
          <w:szCs w:val="28"/>
          <w:lang w:val="kk-KZ"/>
        </w:rPr>
        <w:t>;</w:t>
      </w:r>
    </w:p>
    <w:p w14:paraId="17ABB58D" w14:textId="5A2EB360" w:rsidR="00D16B1C" w:rsidRPr="00185BC0" w:rsidRDefault="00A32526" w:rsidP="00D47CC4">
      <w:pPr>
        <w:numPr>
          <w:ilvl w:val="0"/>
          <w:numId w:val="7"/>
        </w:numPr>
        <w:ind w:left="0" w:firstLine="709"/>
        <w:contextualSpacing/>
        <w:jc w:val="both"/>
        <w:rPr>
          <w:sz w:val="28"/>
          <w:szCs w:val="28"/>
        </w:rPr>
      </w:pPr>
      <w:r w:rsidRPr="00185BC0">
        <w:rPr>
          <w:sz w:val="28"/>
          <w:szCs w:val="28"/>
          <w:lang w:val="kk-KZ"/>
        </w:rPr>
        <w:t>к</w:t>
      </w:r>
      <w:proofErr w:type="spellStart"/>
      <w:r w:rsidR="00D16B1C" w:rsidRPr="00185BC0">
        <w:rPr>
          <w:sz w:val="28"/>
          <w:szCs w:val="28"/>
        </w:rPr>
        <w:t>онтрольная</w:t>
      </w:r>
      <w:proofErr w:type="spellEnd"/>
      <w:r w:rsidR="00D16B1C" w:rsidRPr="00185BC0">
        <w:rPr>
          <w:sz w:val="28"/>
          <w:szCs w:val="28"/>
        </w:rPr>
        <w:t xml:space="preserve"> группа (n = 30) </w:t>
      </w:r>
      <w:r w:rsidR="00DA5A93" w:rsidRPr="00185BC0">
        <w:rPr>
          <w:sz w:val="28"/>
          <w:szCs w:val="28"/>
        </w:rPr>
        <w:t>–</w:t>
      </w:r>
      <w:r w:rsidR="00D16B1C" w:rsidRPr="00185BC0">
        <w:rPr>
          <w:sz w:val="28"/>
          <w:szCs w:val="28"/>
        </w:rPr>
        <w:t xml:space="preserve"> пациенты, ранее перенёсшие тотальное эндопротезирование тазобедренного сустава с </w:t>
      </w:r>
      <w:proofErr w:type="spellStart"/>
      <w:r w:rsidR="00D16B1C" w:rsidRPr="00185BC0">
        <w:rPr>
          <w:sz w:val="28"/>
          <w:szCs w:val="28"/>
        </w:rPr>
        <w:t>подвертельной</w:t>
      </w:r>
      <w:proofErr w:type="spellEnd"/>
      <w:r w:rsidR="00D16B1C" w:rsidRPr="00185BC0">
        <w:rPr>
          <w:sz w:val="28"/>
          <w:szCs w:val="28"/>
        </w:rPr>
        <w:t xml:space="preserve"> поперечной укорачивающей остеотомией, при этом для фиксации зоны остеотомии применялась стандартная (традиционная) реконструктивная пластина. Набор участников в контрольную группу производился</w:t>
      </w:r>
      <w:r w:rsidR="00D7592B" w:rsidRPr="00185BC0">
        <w:rPr>
          <w:sz w:val="28"/>
          <w:szCs w:val="28"/>
          <w:lang w:val="kk-KZ"/>
        </w:rPr>
        <w:t xml:space="preserve"> проспективно - </w:t>
      </w:r>
      <w:r w:rsidR="00D16B1C" w:rsidRPr="00185BC0">
        <w:rPr>
          <w:sz w:val="28"/>
          <w:szCs w:val="28"/>
        </w:rPr>
        <w:t>ретроспективно на основании анализа медицинской документации.</w:t>
      </w:r>
    </w:p>
    <w:p w14:paraId="62D734A0" w14:textId="77777777" w:rsidR="00D16B1C" w:rsidRPr="00185BC0" w:rsidRDefault="00D16B1C" w:rsidP="00D16B1C">
      <w:pPr>
        <w:ind w:firstLine="709"/>
        <w:jc w:val="both"/>
        <w:rPr>
          <w:bCs/>
          <w:i/>
          <w:iCs/>
          <w:sz w:val="28"/>
          <w:szCs w:val="28"/>
          <w:lang w:val="kk-KZ"/>
        </w:rPr>
      </w:pPr>
      <w:r w:rsidRPr="00185BC0">
        <w:rPr>
          <w:bCs/>
          <w:i/>
          <w:iCs/>
          <w:sz w:val="28"/>
          <w:szCs w:val="28"/>
          <w:lang w:val="kk-KZ"/>
        </w:rPr>
        <w:t>Основная группа</w:t>
      </w:r>
    </w:p>
    <w:p w14:paraId="3BE65ADD" w14:textId="77777777" w:rsidR="00D16B1C" w:rsidRPr="00185BC0" w:rsidRDefault="00D16B1C" w:rsidP="00D16B1C">
      <w:pPr>
        <w:ind w:firstLine="720"/>
        <w:jc w:val="both"/>
        <w:rPr>
          <w:bCs/>
          <w:sz w:val="28"/>
          <w:szCs w:val="28"/>
        </w:rPr>
      </w:pPr>
      <w:r w:rsidRPr="00185BC0">
        <w:rPr>
          <w:bCs/>
          <w:sz w:val="28"/>
          <w:szCs w:val="28"/>
        </w:rPr>
        <w:t xml:space="preserve">В основную группу вошли 30 пациентов с диспластическим коксартрозом IV типа по классификации </w:t>
      </w:r>
      <w:proofErr w:type="spellStart"/>
      <w:r w:rsidRPr="00185BC0">
        <w:rPr>
          <w:bCs/>
          <w:sz w:val="28"/>
          <w:szCs w:val="28"/>
        </w:rPr>
        <w:t>Crowe</w:t>
      </w:r>
      <w:proofErr w:type="spellEnd"/>
      <w:r w:rsidRPr="00185BC0">
        <w:rPr>
          <w:bCs/>
          <w:sz w:val="28"/>
          <w:szCs w:val="28"/>
        </w:rPr>
        <w:t xml:space="preserve">, которым было выполнено тотальное эндопротезирование тазобедренного сустава с </w:t>
      </w:r>
      <w:proofErr w:type="spellStart"/>
      <w:r w:rsidRPr="00185BC0">
        <w:rPr>
          <w:bCs/>
          <w:sz w:val="28"/>
          <w:szCs w:val="28"/>
        </w:rPr>
        <w:t>подвертельной</w:t>
      </w:r>
      <w:proofErr w:type="spellEnd"/>
      <w:r w:rsidRPr="00185BC0">
        <w:rPr>
          <w:bCs/>
          <w:sz w:val="28"/>
          <w:szCs w:val="28"/>
        </w:rPr>
        <w:t xml:space="preserve"> поперечной укорачивающей остеотомией бедренной кости. В качестве метода фиксации зоны остеотомии в данной группе применялась разработанная индивидуализированная </w:t>
      </w:r>
      <w:proofErr w:type="spellStart"/>
      <w:r w:rsidRPr="00185BC0">
        <w:rPr>
          <w:bCs/>
          <w:sz w:val="28"/>
          <w:szCs w:val="28"/>
        </w:rPr>
        <w:t>деротационная</w:t>
      </w:r>
      <w:proofErr w:type="spellEnd"/>
      <w:r w:rsidRPr="00185BC0">
        <w:rPr>
          <w:bCs/>
          <w:sz w:val="28"/>
          <w:szCs w:val="28"/>
        </w:rPr>
        <w:t xml:space="preserve"> пластина, изготовленная на основе трёхмерного моделирования анатомических структур пациента. Формирование основной группы осуществлялось </w:t>
      </w:r>
      <w:proofErr w:type="spellStart"/>
      <w:r w:rsidRPr="00185BC0">
        <w:rPr>
          <w:bCs/>
          <w:sz w:val="28"/>
          <w:szCs w:val="28"/>
        </w:rPr>
        <w:t>проспективно</w:t>
      </w:r>
      <w:proofErr w:type="spellEnd"/>
      <w:r w:rsidRPr="00185BC0">
        <w:rPr>
          <w:bCs/>
          <w:sz w:val="28"/>
          <w:szCs w:val="28"/>
        </w:rPr>
        <w:t xml:space="preserve"> в период с декабря 2022 года по январь 2024 года. На этапе предварительного отбора проводился клинико-рентгенологический скрининг, включавший </w:t>
      </w:r>
      <w:proofErr w:type="spellStart"/>
      <w:r w:rsidRPr="00185BC0">
        <w:rPr>
          <w:bCs/>
          <w:sz w:val="28"/>
          <w:szCs w:val="28"/>
        </w:rPr>
        <w:t>физикальное</w:t>
      </w:r>
      <w:proofErr w:type="spellEnd"/>
      <w:r w:rsidRPr="00185BC0">
        <w:rPr>
          <w:bCs/>
          <w:sz w:val="28"/>
          <w:szCs w:val="28"/>
        </w:rPr>
        <w:t xml:space="preserve"> обследование, лабораторные и инструментальные методы диагностики, лучевые методы визуализации (рентгенография, КТ, телеметрия), а также анкетирование с использованием </w:t>
      </w:r>
      <w:proofErr w:type="spellStart"/>
      <w:r w:rsidRPr="00185BC0">
        <w:rPr>
          <w:bCs/>
          <w:sz w:val="28"/>
          <w:szCs w:val="28"/>
        </w:rPr>
        <w:t>валидированных</w:t>
      </w:r>
      <w:proofErr w:type="spellEnd"/>
      <w:r w:rsidRPr="00185BC0">
        <w:rPr>
          <w:bCs/>
          <w:sz w:val="28"/>
          <w:szCs w:val="28"/>
        </w:rPr>
        <w:t xml:space="preserve"> шкал. Окончательное включение пациентов осуществлялось после подтверждения соответствия критериям включения и исключения, получения информированного добровольного согласия и оформления страхового договора на случай применения нового медицинского изделия. Данный подход обеспечивал строгое соблюдение протокола исследования и стандартизацию условий проведения оперативного вмешательства с последующей клинико-функциональной оценкой результатов.</w:t>
      </w:r>
    </w:p>
    <w:p w14:paraId="0F38978C" w14:textId="77777777" w:rsidR="00D16B1C" w:rsidRPr="00185BC0" w:rsidRDefault="00D16B1C" w:rsidP="00D16B1C">
      <w:pPr>
        <w:ind w:firstLine="720"/>
        <w:jc w:val="both"/>
        <w:rPr>
          <w:bCs/>
          <w:i/>
          <w:iCs/>
          <w:sz w:val="28"/>
          <w:szCs w:val="28"/>
          <w:lang w:val="kk-KZ"/>
        </w:rPr>
      </w:pPr>
      <w:r w:rsidRPr="00185BC0">
        <w:rPr>
          <w:bCs/>
          <w:i/>
          <w:iCs/>
          <w:sz w:val="28"/>
          <w:szCs w:val="28"/>
          <w:lang w:val="kk-KZ"/>
        </w:rPr>
        <w:t>Контрольная группа</w:t>
      </w:r>
    </w:p>
    <w:p w14:paraId="7F218658" w14:textId="6F8280E3" w:rsidR="00612BAD" w:rsidRPr="00185BC0" w:rsidRDefault="00612BAD" w:rsidP="00612BAD">
      <w:pPr>
        <w:ind w:firstLine="720"/>
        <w:jc w:val="both"/>
        <w:rPr>
          <w:bCs/>
          <w:sz w:val="28"/>
          <w:szCs w:val="28"/>
        </w:rPr>
      </w:pPr>
      <w:r w:rsidRPr="00185BC0">
        <w:rPr>
          <w:bCs/>
          <w:sz w:val="28"/>
          <w:szCs w:val="28"/>
        </w:rPr>
        <w:t xml:space="preserve">Контрольную группу составили 30 пациентов с диспластическим </w:t>
      </w:r>
      <w:r w:rsidRPr="00185BC0">
        <w:rPr>
          <w:bCs/>
          <w:sz w:val="28"/>
          <w:szCs w:val="28"/>
        </w:rPr>
        <w:lastRenderedPageBreak/>
        <w:t xml:space="preserve">коксартрозом IV типа по классификации </w:t>
      </w:r>
      <w:proofErr w:type="spellStart"/>
      <w:r w:rsidRPr="00185BC0">
        <w:rPr>
          <w:bCs/>
          <w:sz w:val="28"/>
          <w:szCs w:val="28"/>
        </w:rPr>
        <w:t>Crowe</w:t>
      </w:r>
      <w:proofErr w:type="spellEnd"/>
      <w:r w:rsidRPr="00185BC0">
        <w:rPr>
          <w:bCs/>
          <w:sz w:val="28"/>
          <w:szCs w:val="28"/>
        </w:rPr>
        <w:t xml:space="preserve">, которым в период с октября 2013 года по апрель 2024 года выполнялось тотальное эндопротезирование тазобедренного сустава с </w:t>
      </w:r>
      <w:proofErr w:type="spellStart"/>
      <w:r w:rsidRPr="00185BC0">
        <w:rPr>
          <w:bCs/>
          <w:sz w:val="28"/>
          <w:szCs w:val="28"/>
        </w:rPr>
        <w:t>подвертельной</w:t>
      </w:r>
      <w:proofErr w:type="spellEnd"/>
      <w:r w:rsidRPr="00185BC0">
        <w:rPr>
          <w:bCs/>
          <w:sz w:val="28"/>
          <w:szCs w:val="28"/>
        </w:rPr>
        <w:t xml:space="preserve"> поперечной укорачивающей остеотомией бедренной кости. В качестве метода фиксации зоны остеотомии в данной группе использовались традиционные пластины с винтами.</w:t>
      </w:r>
      <w:r w:rsidRPr="00185BC0">
        <w:rPr>
          <w:bCs/>
          <w:sz w:val="28"/>
          <w:szCs w:val="28"/>
          <w:lang w:val="kk-KZ"/>
        </w:rPr>
        <w:t xml:space="preserve"> </w:t>
      </w:r>
      <w:r w:rsidRPr="00185BC0">
        <w:rPr>
          <w:bCs/>
          <w:sz w:val="28"/>
          <w:szCs w:val="28"/>
        </w:rPr>
        <w:t xml:space="preserve">Набор пациентов проводился в </w:t>
      </w:r>
      <w:proofErr w:type="spellStart"/>
      <w:r w:rsidRPr="00185BC0">
        <w:rPr>
          <w:bCs/>
          <w:sz w:val="28"/>
          <w:szCs w:val="28"/>
        </w:rPr>
        <w:t>проспективно</w:t>
      </w:r>
      <w:proofErr w:type="spellEnd"/>
      <w:r w:rsidRPr="00185BC0">
        <w:rPr>
          <w:bCs/>
          <w:sz w:val="28"/>
          <w:szCs w:val="28"/>
        </w:rPr>
        <w:t xml:space="preserve">-ретроспективном формате. В </w:t>
      </w:r>
      <w:proofErr w:type="spellStart"/>
      <w:r w:rsidRPr="00185BC0">
        <w:rPr>
          <w:bCs/>
          <w:sz w:val="28"/>
          <w:szCs w:val="28"/>
        </w:rPr>
        <w:t>проспективную</w:t>
      </w:r>
      <w:proofErr w:type="spellEnd"/>
      <w:r w:rsidRPr="00185BC0">
        <w:rPr>
          <w:bCs/>
          <w:sz w:val="28"/>
          <w:szCs w:val="28"/>
        </w:rPr>
        <w:t xml:space="preserve"> часть исследования пациенты включались после разъяснения целей и методологии исследования и подписания письменного информированного согласия. В ретроспективной части предварительный отбор осуществлялся на основании архивной медицинской документации. После идентификации потенциально подходящих пациентов с ними проводилась телефонная </w:t>
      </w:r>
      <w:r w:rsidRPr="00185BC0">
        <w:rPr>
          <w:bCs/>
          <w:sz w:val="28"/>
          <w:szCs w:val="28"/>
          <w:lang w:val="kk-KZ"/>
        </w:rPr>
        <w:t>и/</w:t>
      </w:r>
      <w:r w:rsidRPr="00185BC0">
        <w:rPr>
          <w:bCs/>
          <w:sz w:val="28"/>
          <w:szCs w:val="28"/>
        </w:rPr>
        <w:t>или очная консультация, в ходе которой разъяснялись цели исследования</w:t>
      </w:r>
      <w:r w:rsidRPr="00185BC0">
        <w:rPr>
          <w:bCs/>
          <w:sz w:val="28"/>
          <w:szCs w:val="28"/>
          <w:lang w:val="kk-KZ"/>
        </w:rPr>
        <w:t>,</w:t>
      </w:r>
      <w:r w:rsidRPr="00185BC0">
        <w:rPr>
          <w:bCs/>
          <w:sz w:val="28"/>
          <w:szCs w:val="28"/>
        </w:rPr>
        <w:t xml:space="preserve"> </w:t>
      </w:r>
      <w:r w:rsidR="00A32526" w:rsidRPr="00185BC0">
        <w:rPr>
          <w:bCs/>
          <w:sz w:val="28"/>
          <w:szCs w:val="28"/>
          <w:lang w:val="kk-KZ"/>
        </w:rPr>
        <w:t xml:space="preserve">а </w:t>
      </w:r>
      <w:r w:rsidRPr="00185BC0">
        <w:rPr>
          <w:bCs/>
          <w:sz w:val="28"/>
          <w:szCs w:val="28"/>
        </w:rPr>
        <w:t>при согласии на участие пациенты также подписывали письменное информированное согласие. Отбор в обе части исследования осуществлялся по единым критериям включения и исключения, что обеспечивало однородность сформированной выборки</w:t>
      </w:r>
      <w:r w:rsidR="00D7592B" w:rsidRPr="00185BC0">
        <w:rPr>
          <w:bCs/>
          <w:sz w:val="28"/>
          <w:szCs w:val="28"/>
        </w:rPr>
        <w:t>.</w:t>
      </w:r>
    </w:p>
    <w:p w14:paraId="7C9783D7" w14:textId="77777777" w:rsidR="00A32526" w:rsidRPr="00185BC0" w:rsidRDefault="00A32526" w:rsidP="00612BAD">
      <w:pPr>
        <w:ind w:firstLine="720"/>
        <w:jc w:val="both"/>
        <w:rPr>
          <w:bCs/>
          <w:sz w:val="28"/>
          <w:szCs w:val="28"/>
        </w:rPr>
      </w:pPr>
    </w:p>
    <w:p w14:paraId="0C9AD1AE" w14:textId="1BD61648" w:rsidR="007F52A6" w:rsidRPr="00185BC0" w:rsidRDefault="007F52A6" w:rsidP="005F2A20">
      <w:pPr>
        <w:pStyle w:val="1"/>
      </w:pPr>
      <w:bookmarkStart w:id="24" w:name="_Toc217561930"/>
      <w:r w:rsidRPr="00185BC0">
        <w:t>2.</w:t>
      </w:r>
      <w:r w:rsidRPr="00185BC0">
        <w:rPr>
          <w:lang w:val="tr-TR"/>
        </w:rPr>
        <w:t>2</w:t>
      </w:r>
      <w:r w:rsidRPr="00185BC0">
        <w:t xml:space="preserve"> Методы исследования</w:t>
      </w:r>
      <w:bookmarkEnd w:id="24"/>
    </w:p>
    <w:p w14:paraId="2BFBCAA8" w14:textId="125829BF" w:rsidR="007F52A6" w:rsidRPr="00185BC0" w:rsidRDefault="007F52A6" w:rsidP="007F52A6">
      <w:pPr>
        <w:pStyle w:val="1"/>
        <w:rPr>
          <w:b w:val="0"/>
          <w:bCs w:val="0"/>
          <w:i/>
          <w:iCs/>
        </w:rPr>
      </w:pPr>
      <w:bookmarkStart w:id="25" w:name="_Toc217561931"/>
      <w:r w:rsidRPr="00185BC0">
        <w:rPr>
          <w:b w:val="0"/>
          <w:bCs w:val="0"/>
          <w:i/>
          <w:iCs/>
          <w:lang w:val="tr-TR"/>
        </w:rPr>
        <w:t>2</w:t>
      </w:r>
      <w:r w:rsidRPr="00185BC0">
        <w:rPr>
          <w:b w:val="0"/>
          <w:bCs w:val="0"/>
          <w:i/>
          <w:iCs/>
          <w:lang w:val="kk-KZ"/>
        </w:rPr>
        <w:t>.</w:t>
      </w:r>
      <w:r w:rsidRPr="00185BC0">
        <w:rPr>
          <w:b w:val="0"/>
          <w:bCs w:val="0"/>
          <w:i/>
          <w:iCs/>
          <w:lang w:val="tr-TR"/>
        </w:rPr>
        <w:t xml:space="preserve">2.1 </w:t>
      </w:r>
      <w:r w:rsidRPr="00185BC0">
        <w:rPr>
          <w:b w:val="0"/>
          <w:bCs w:val="0"/>
          <w:i/>
          <w:iCs/>
        </w:rPr>
        <w:t xml:space="preserve">Разработка модели </w:t>
      </w:r>
      <w:proofErr w:type="spellStart"/>
      <w:r w:rsidRPr="00185BC0">
        <w:rPr>
          <w:b w:val="0"/>
          <w:bCs w:val="0"/>
          <w:i/>
          <w:iCs/>
        </w:rPr>
        <w:t>деротационной</w:t>
      </w:r>
      <w:proofErr w:type="spellEnd"/>
      <w:r w:rsidRPr="00185BC0">
        <w:rPr>
          <w:b w:val="0"/>
          <w:bCs w:val="0"/>
          <w:i/>
          <w:iCs/>
        </w:rPr>
        <w:t xml:space="preserve"> пластины</w:t>
      </w:r>
      <w:bookmarkEnd w:id="25"/>
      <w:r w:rsidRPr="00185BC0">
        <w:rPr>
          <w:b w:val="0"/>
          <w:bCs w:val="0"/>
          <w:i/>
          <w:iCs/>
        </w:rPr>
        <w:t xml:space="preserve">   </w:t>
      </w:r>
    </w:p>
    <w:p w14:paraId="7DFEB343" w14:textId="582DAA6F" w:rsidR="00235FDF" w:rsidRPr="00185BC0" w:rsidRDefault="00235FDF" w:rsidP="007F52A6">
      <w:pPr>
        <w:ind w:firstLine="709"/>
        <w:contextualSpacing/>
        <w:jc w:val="both"/>
        <w:rPr>
          <w:bCs/>
          <w:sz w:val="28"/>
          <w:szCs w:val="28"/>
        </w:rPr>
      </w:pPr>
      <w:r w:rsidRPr="00185BC0">
        <w:rPr>
          <w:bCs/>
          <w:sz w:val="28"/>
          <w:szCs w:val="28"/>
        </w:rPr>
        <w:t xml:space="preserve">Разработка конструкции </w:t>
      </w:r>
      <w:proofErr w:type="spellStart"/>
      <w:r w:rsidRPr="00185BC0">
        <w:rPr>
          <w:bCs/>
          <w:sz w:val="28"/>
          <w:szCs w:val="28"/>
        </w:rPr>
        <w:t>деротационной</w:t>
      </w:r>
      <w:proofErr w:type="spellEnd"/>
      <w:r w:rsidRPr="00185BC0">
        <w:rPr>
          <w:bCs/>
          <w:sz w:val="28"/>
          <w:szCs w:val="28"/>
        </w:rPr>
        <w:t xml:space="preserve"> пластины для фиксации зоны </w:t>
      </w:r>
      <w:proofErr w:type="spellStart"/>
      <w:r w:rsidRPr="00185BC0">
        <w:rPr>
          <w:bCs/>
          <w:sz w:val="28"/>
          <w:szCs w:val="28"/>
        </w:rPr>
        <w:t>подвертельной</w:t>
      </w:r>
      <w:proofErr w:type="spellEnd"/>
      <w:r w:rsidRPr="00185BC0">
        <w:rPr>
          <w:bCs/>
          <w:sz w:val="28"/>
          <w:szCs w:val="28"/>
        </w:rPr>
        <w:t xml:space="preserve"> поперечной укорачивающей остеотомии бедренной кости проводилась в несколько этапов и включала выбор материала, создание цифровой модели, изготовление прототипов и последующую механическую обработку металлического имплантата</w:t>
      </w:r>
      <w:r w:rsidR="002F5076" w:rsidRPr="00185BC0">
        <w:rPr>
          <w:bCs/>
          <w:sz w:val="28"/>
          <w:szCs w:val="28"/>
        </w:rPr>
        <w:t xml:space="preserve"> </w:t>
      </w:r>
      <w:r w:rsidR="002F5076" w:rsidRPr="00185BC0">
        <w:rPr>
          <w:bCs/>
          <w:sz w:val="28"/>
          <w:szCs w:val="28"/>
        </w:rPr>
        <w:fldChar w:fldCharType="begin" w:fldLock="1"/>
      </w:r>
      <w:r w:rsidR="00483103" w:rsidRPr="00185BC0">
        <w:rPr>
          <w:bCs/>
          <w:sz w:val="28"/>
          <w:szCs w:val="28"/>
        </w:rPr>
        <w:instrText>ADDIN CSL_CITATION {"citationItems":[{"id":"ITEM-1","itemData":{"DOI":"10.3390/app15062991","ISSN":"20763417","abstract":"Developmental dysplasia of the hip, particularly Crowe type IV, presents significant challenges in orthopedic surgery due to severe anatomical deformities and biomechanical instability. This study focuses on evaluating the biomechanical performance of a prosthesis–femur–derotation plate system designed to address these challenges. Using FEA, a comprehensive assessment of stress distribution, displacement, and safety factors was conducted under physiological loading conditions. The derotation plate was specifically engineered to stabilize the femur and restore the anatomical and biomechanical axis of the limb. Results demonstrated that the derotation plate effectively eliminated rotational and axial displacement, with a peak displacement of 0.08 mm, and maintained sufficient strength reserves, with a minimum safety factor of 3.63. The maximum von Mises stress in the plate was 76 MPa, significantly below the yield strength of the titanium alloy, ensuring long-term durability and reliability. The system as a whole exhibited favorable biomechanical properties, confirming its ability to manage high stress loads without the risk of material failure or instability. These findings underscore the potential of this novel system to improve surgical outcomes in complex cases of hip dysplasia. Future clinical trials will further validate its practical utility, providing valuable insights for advancing orthopedic implant design and patient care.","author":[{"dropping-particle":"","family":"Oktyabrova","given":"Durdana","non-dropping-particle":"","parse-names":false,"suffix":""},{"dropping-particle":"","family":"Ashimov","given":"Kairat","non-dropping-particle":"","parse-names":false,"suffix":""},{"dropping-particle":"","family":"Guclu","given":"Berk","non-dropping-particle":"","parse-names":false,"suffix":""},{"dropping-particle":"","family":"Abilmazhinov","given":"Mukhtar","non-dropping-particle":"","parse-names":false,"suffix":""},{"dropping-particle":"","family":"Gorbunov","given":"Boris","non-dropping-particle":"","parse-names":false,"suffix":""},{"dropping-particle":"","family":"Zhanatay","given":"Ramazanov","non-dropping-particle":"","parse-names":false,"suffix":""},{"dropping-particle":"","family":"Baidalin","given":"Timur","non-dropping-particle":"","parse-names":false,"suffix":""},{"dropping-particle":"","family":"Suleimenov","given":"Bekzhan","non-dropping-particle":"","parse-names":false,"suffix":""},{"dropping-particle":"","family":"Beknazarov","given":"Askar","non-dropping-particle":"","parse-names":false,"suffix":""},{"dropping-particle":"","family":"Azamatov","given":"Bagdat","non-dropping-particle":"","parse-names":false,"suffix":""},{"dropping-particle":"","family":"Beisekenov","given":"Nail","non-dropping-particle":"","parse-names":false,"suffix":""}],"container-title":"Applied Sciences (Switzerland)","id":"ITEM-1","issue":"6","issued":{"date-parts":[["2025"]]},"page":"1-18","title":"Mathematical Modeling and Biomechanical Analysis of a Derotation Plate for Treating Complex Hip Dysplasia","type":"article-journal","volume":"15"},"uris":["http://www.mendeley.com/documents/?uuid=828939a0-104e-4dd6-9db9-cdc55013fd6a"]}],"mendeley":{"formattedCitation":"[100]","plainTextFormattedCitation":"[100]","previouslyFormattedCitation":"[100]"},"properties":{"noteIndex":0},"schema":"https://github.com/citation-style-language/schema/raw/master/csl-citation.json"}</w:instrText>
      </w:r>
      <w:r w:rsidR="002F5076" w:rsidRPr="00185BC0">
        <w:rPr>
          <w:bCs/>
          <w:sz w:val="28"/>
          <w:szCs w:val="28"/>
        </w:rPr>
        <w:fldChar w:fldCharType="separate"/>
      </w:r>
      <w:r w:rsidR="00483103" w:rsidRPr="00185BC0">
        <w:rPr>
          <w:bCs/>
          <w:noProof/>
          <w:sz w:val="28"/>
          <w:szCs w:val="28"/>
        </w:rPr>
        <w:t>[100]</w:t>
      </w:r>
      <w:r w:rsidR="002F5076" w:rsidRPr="00185BC0">
        <w:rPr>
          <w:bCs/>
          <w:sz w:val="28"/>
          <w:szCs w:val="28"/>
        </w:rPr>
        <w:fldChar w:fldCharType="end"/>
      </w:r>
      <w:r w:rsidRPr="00185BC0">
        <w:rPr>
          <w:bCs/>
          <w:sz w:val="28"/>
          <w:szCs w:val="28"/>
        </w:rPr>
        <w:t>.</w:t>
      </w:r>
    </w:p>
    <w:p w14:paraId="7F992A91" w14:textId="53D9DB9A" w:rsidR="007F52A6" w:rsidRPr="00185BC0" w:rsidRDefault="007F52A6" w:rsidP="00B20E74">
      <w:pPr>
        <w:ind w:firstLine="709"/>
        <w:contextualSpacing/>
        <w:jc w:val="both"/>
        <w:rPr>
          <w:bCs/>
          <w:sz w:val="28"/>
          <w:szCs w:val="28"/>
        </w:rPr>
      </w:pPr>
      <w:r w:rsidRPr="00185BC0">
        <w:rPr>
          <w:bCs/>
          <w:sz w:val="28"/>
          <w:szCs w:val="28"/>
        </w:rPr>
        <w:t xml:space="preserve">Перед этапом инженерного прототипирования была выполнена теоретическая оценка материалов, пригодных для создания ортопедических имплантатов. Одной из ключевых задач при проектировании явилось стремление воспроизвести анатомическую форму и биомеханические свойства человеческой кости, что обеспечивало бы лучшую функциональную интеграцию и клинические результаты. Среди возможных материалов титан был выбран как оптимальный благодаря превосходным механическим характеристикам, высокой </w:t>
      </w:r>
      <w:proofErr w:type="spellStart"/>
      <w:r w:rsidRPr="00185BC0">
        <w:rPr>
          <w:bCs/>
          <w:sz w:val="28"/>
          <w:szCs w:val="28"/>
        </w:rPr>
        <w:t>биосовместимости</w:t>
      </w:r>
      <w:proofErr w:type="spellEnd"/>
      <w:r w:rsidRPr="00185BC0">
        <w:rPr>
          <w:bCs/>
          <w:sz w:val="28"/>
          <w:szCs w:val="28"/>
        </w:rPr>
        <w:t xml:space="preserve"> и стойкости к коррозии. Как показали </w:t>
      </w:r>
      <w:proofErr w:type="spellStart"/>
      <w:r w:rsidRPr="00185BC0">
        <w:rPr>
          <w:bCs/>
          <w:sz w:val="28"/>
          <w:szCs w:val="28"/>
        </w:rPr>
        <w:t>Mugnai</w:t>
      </w:r>
      <w:proofErr w:type="spellEnd"/>
      <w:r w:rsidRPr="00185BC0">
        <w:rPr>
          <w:bCs/>
          <w:sz w:val="28"/>
          <w:szCs w:val="28"/>
        </w:rPr>
        <w:t xml:space="preserve"> </w:t>
      </w:r>
      <w:r w:rsidRPr="00185BC0">
        <w:rPr>
          <w:sz w:val="28"/>
          <w:szCs w:val="28"/>
          <w:lang w:val="tr-TR"/>
        </w:rPr>
        <w:t>et al</w:t>
      </w:r>
      <w:r w:rsidRPr="00185BC0">
        <w:rPr>
          <w:bCs/>
          <w:sz w:val="28"/>
          <w:szCs w:val="28"/>
        </w:rPr>
        <w:t>.</w:t>
      </w:r>
      <w:r w:rsidR="00235FDF" w:rsidRPr="00185BC0">
        <w:rPr>
          <w:bCs/>
          <w:sz w:val="28"/>
          <w:szCs w:val="28"/>
          <w:lang w:val="kk-KZ"/>
        </w:rPr>
        <w:t xml:space="preserve"> </w:t>
      </w:r>
      <w:r w:rsidR="00235FDF" w:rsidRPr="00185BC0">
        <w:rPr>
          <w:bCs/>
          <w:sz w:val="28"/>
          <w:szCs w:val="28"/>
          <w:lang w:val="kk-KZ"/>
        </w:rPr>
        <w:fldChar w:fldCharType="begin" w:fldLock="1"/>
      </w:r>
      <w:r w:rsidR="00483103" w:rsidRPr="00185BC0">
        <w:rPr>
          <w:bCs/>
          <w:sz w:val="28"/>
          <w:szCs w:val="28"/>
          <w:lang w:val="kk-KZ"/>
        </w:rPr>
        <w:instrText>ADDIN CSL_CITATION {"citationItems":[{"id":"ITEM-1","itemData":{"DOI":"10.1016/j.otsr.2018.05.002","ISSN":"18770568","abstract":"Introduction: As the popularity of volar locked plate fixation for distal radius fractures has increased, so have the number and variety of implants, including variations in plate design, the size and angle of the screws, the locking screw mechanism, and the material of the plates. Hypothesis: Carbon-fiber reinforced polyetheretherketone (CFR-PEEK) plate features similar biomechanical properties to metallic plates, representing, therefore, an optimal alternative for the treatment of distal radius fractures. Materials and Methods: Three different materials-composed plates were evaluated: stainless steel volar lateral column (Zimmer); titanium DVR (Hand Innovations); CFR-PEEK DiPHOS-RM (Lima Corporate). Six plates for each type were implanted in sawbones and an extra-articular rectangular osteotomy was created. Three plates for each material were tested for load to failure and bending stiffness in axial compression. Moreover, 3 constructs for each plate were evaluated after dynamically loading for 6000 cycles of fatigue. Results: The mean bending stiffness pre-fatigue was significantly higher for the stainless steel plate. The titanium plate yielded the higher load to failure both pre and post fatigue. After cyclic loading, the bending stiffness increased by a mean of 24% for the stainless steel plate; 33% for the titanium; and 17% for the CFR-PEEK plate. The mean load to failure post-fatigue increased by a mean of 10% for the stainless steel and 14% for CFR-PEEK plates, whereas it decreased (−16%) for the titanium plate. Statistical analysis between groups reported significant values (p &lt; 001) for all comparisons except for Hand Innovations vs. Zimmer bending stiffness post fatigue (p =.197). Discussion: The significant higher load to failure of the titanium plate, makes it indicated for patients with higher functional requirements or at higher risk of trauma in the post-operative period. The CFR-PEEK plate showed material-specific disadvantages, represented by little tolerance to plastic deformation, and lower load to failure. Level of evidence: N/A.","author":[{"dropping-particle":"","family":"Mugnai","given":"Raffaele","non-dropping-particle":"","parse-names":false,"suffix":""},{"dropping-particle":"","family":"Tarallo","given":"Luigi","non-dropping-particle":"","parse-names":false,"suffix":""},{"dropping-particle":"","family":"Capra","given":"Francesco","non-dropping-particle":"","parse-names":false,"suffix":""},{"dropping-particle":"","family":"Catani","given":"Fabio","non-dropping-particle":"","parse-names":false,"suffix":""}],"container-title":"Orthopaedics and Traumatology: Surgery and Research","id":"ITEM-1","issue":"6","issued":{"date-parts":[["2018"]]},"title":"Biomechanical comparison between stainless steel, titanium and carbon-fiber reinforced polyetheretherketone volar locking plates for distal radius fractures","type":"article-journal","volume":"104"},"uris":["http://www.mendeley.com/documents/?uuid=7dbf51e8-0b9a-3737-8227-2a1844ffe4ce"]}],"mendeley":{"formattedCitation":"[101]","plainTextFormattedCitation":"[101]","previouslyFormattedCitation":"[101]"},"properties":{"noteIndex":0},"schema":"https://github.com/citation-style-language/schema/raw/master/csl-citation.json"}</w:instrText>
      </w:r>
      <w:r w:rsidR="00235FDF" w:rsidRPr="00185BC0">
        <w:rPr>
          <w:bCs/>
          <w:sz w:val="28"/>
          <w:szCs w:val="28"/>
          <w:lang w:val="kk-KZ"/>
        </w:rPr>
        <w:fldChar w:fldCharType="separate"/>
      </w:r>
      <w:r w:rsidR="00483103" w:rsidRPr="00185BC0">
        <w:rPr>
          <w:bCs/>
          <w:noProof/>
          <w:sz w:val="28"/>
          <w:szCs w:val="28"/>
          <w:lang w:val="kk-KZ"/>
        </w:rPr>
        <w:t>[101]</w:t>
      </w:r>
      <w:r w:rsidR="00235FDF" w:rsidRPr="00185BC0">
        <w:rPr>
          <w:bCs/>
          <w:sz w:val="28"/>
          <w:szCs w:val="28"/>
          <w:lang w:val="kk-KZ"/>
        </w:rPr>
        <w:fldChar w:fldCharType="end"/>
      </w:r>
      <w:r w:rsidRPr="00185BC0">
        <w:rPr>
          <w:bCs/>
          <w:sz w:val="28"/>
          <w:szCs w:val="28"/>
        </w:rPr>
        <w:t>, титановые пластины демонстрируют отличную прочность при максимальных нагрузках по сравнению с альтернативными материалами, что подтверждает их целесообразность в ортопедической практике</w:t>
      </w:r>
      <w:r w:rsidR="007E60CC" w:rsidRPr="00185BC0">
        <w:rPr>
          <w:bCs/>
          <w:sz w:val="28"/>
          <w:szCs w:val="28"/>
          <w:lang w:val="kk-KZ"/>
        </w:rPr>
        <w:t xml:space="preserve"> </w:t>
      </w:r>
      <w:r w:rsidR="00235FDF" w:rsidRPr="00185BC0">
        <w:rPr>
          <w:bCs/>
          <w:sz w:val="28"/>
          <w:szCs w:val="28"/>
          <w:lang w:val="kk-KZ"/>
        </w:rPr>
        <w:fldChar w:fldCharType="begin" w:fldLock="1"/>
      </w:r>
      <w:r w:rsidR="001D29A3" w:rsidRPr="00185BC0">
        <w:rPr>
          <w:bCs/>
          <w:sz w:val="28"/>
          <w:szCs w:val="28"/>
          <w:lang w:val="kk-KZ"/>
        </w:rPr>
        <w:instrText>ADDIN CSL_CITATION {"citationItems":[{"id":"ITEM-1","itemData":{"DOI":"10.3390/jpm13060942","ISSN":"20754426","abstract":"The surgical protocols currently used for the treatment of developmental dysplasia of the hip (DDH) are varied, with sufficient differences in clinical outcomes that warrant a review of the role of practicing orthopedic surgeons. This paper aims to summarize the current novel techniques within the realm of surgical treatment for adult DDH, thus serving as a guide to surgeons looking to quickly familiarize themselves with available techniques. We performed computer systematic literature searches of the Embase and PubMed databases from 2010 to 2 April 2022. Study parameters as well as their respective patient reported outcomes (PROMs) were described in detail and compiled into diagrams. Two novel techniques were identified for the treatment of borderline or low-grade DDH. Six techniques which included modifications to the Bernese periacetabular osteotomy (PAO) were identified for the treatment of symptomatic DDH. Three techniques which include combinations of arthroscopy and osteotomy were identified for the treatment of DDH with concomitant hip pathologies such as cam deformities. Finally, six techniques, all of which are modifications to total hip arthroplasty (THA), were identified for the treatment of high-grade DDH. The techniques detailed in this review therefore equip surgeons with the necessary knowledge to improve outcomes in patients with varying degrees of DDH.","author":[{"dropping-particle":"","family":"Dhaliwal","given":"Anand S.","non-dropping-particle":"","parse-names":false,"suffix":""},{"dropping-particle":"","family":"Akhtar","given":"Muzammil","non-dropping-particle":"","parse-names":false,"suffix":""},{"dropping-particle":"","family":"Razick","given":"Daniel I.","non-dropping-particle":"","parse-names":false,"suffix":""},{"dropping-particle":"","family":"Afzali","given":"Arya","non-dropping-particle":"","parse-names":false,"suffix":""},{"dropping-particle":"","family":"Wilson","given":"Ethan","non-dropping-particle":"","parse-names":false,"suffix":""},{"dropping-particle":"","family":"Nedopil","given":"Alexander J.","non-dropping-particle":"","parse-names":false,"suffix":""}],"container-title":"Journal of Personalized Medicine","id":"ITEM-1","issue":"6","issued":{"date-parts":[["2023"]]},"title":"Current Surgical Techniques in the Treatment of Adult Developmental Dysplasia of the Hip","type":"article","volume":"13"},"uris":["http://www.mendeley.com/documents/?uuid=45e39e95-53ca-3ffc-9eae-ebbf7f62ccc1"]}],"mendeley":{"formattedCitation":"[61]","plainTextFormattedCitation":"[61]","previouslyFormattedCitation":"[61]"},"properties":{"noteIndex":0},"schema":"https://github.com/citation-style-language/schema/raw/master/csl-citation.json"}</w:instrText>
      </w:r>
      <w:r w:rsidR="00235FDF" w:rsidRPr="00185BC0">
        <w:rPr>
          <w:bCs/>
          <w:sz w:val="28"/>
          <w:szCs w:val="28"/>
          <w:lang w:val="kk-KZ"/>
        </w:rPr>
        <w:fldChar w:fldCharType="separate"/>
      </w:r>
      <w:r w:rsidR="008A5983" w:rsidRPr="00185BC0">
        <w:rPr>
          <w:bCs/>
          <w:noProof/>
          <w:sz w:val="28"/>
          <w:szCs w:val="28"/>
          <w:lang w:val="kk-KZ"/>
        </w:rPr>
        <w:t>[61]</w:t>
      </w:r>
      <w:r w:rsidR="00235FDF" w:rsidRPr="00185BC0">
        <w:rPr>
          <w:bCs/>
          <w:sz w:val="28"/>
          <w:szCs w:val="28"/>
          <w:lang w:val="kk-KZ"/>
        </w:rPr>
        <w:fldChar w:fldCharType="end"/>
      </w:r>
      <w:r w:rsidRPr="00185BC0">
        <w:rPr>
          <w:bCs/>
          <w:sz w:val="28"/>
          <w:szCs w:val="28"/>
        </w:rPr>
        <w:t xml:space="preserve">. В связи с этим для разработки новой </w:t>
      </w:r>
      <w:proofErr w:type="spellStart"/>
      <w:r w:rsidRPr="00185BC0">
        <w:rPr>
          <w:bCs/>
          <w:sz w:val="28"/>
          <w:szCs w:val="28"/>
        </w:rPr>
        <w:t>деротационной</w:t>
      </w:r>
      <w:proofErr w:type="spellEnd"/>
      <w:r w:rsidRPr="00185BC0">
        <w:rPr>
          <w:bCs/>
          <w:sz w:val="28"/>
          <w:szCs w:val="28"/>
        </w:rPr>
        <w:t xml:space="preserve"> пластины в рамках настоящего исследования был выбран именно титановый сплав ВТ-6.</w:t>
      </w:r>
    </w:p>
    <w:p w14:paraId="7F74BA7F" w14:textId="77777777" w:rsidR="008A27FC" w:rsidRPr="00185BC0" w:rsidRDefault="008A27FC" w:rsidP="008A27FC">
      <w:pPr>
        <w:ind w:firstLine="709"/>
        <w:contextualSpacing/>
        <w:jc w:val="both"/>
        <w:rPr>
          <w:bCs/>
          <w:sz w:val="28"/>
          <w:szCs w:val="28"/>
        </w:rPr>
      </w:pPr>
      <w:r w:rsidRPr="00185BC0">
        <w:rPr>
          <w:bCs/>
          <w:sz w:val="28"/>
          <w:szCs w:val="28"/>
        </w:rPr>
        <w:t xml:space="preserve">При анализе существующих конструктивных решений были рассмотрены пластины, применяемые для </w:t>
      </w:r>
      <w:proofErr w:type="spellStart"/>
      <w:r w:rsidRPr="00185BC0">
        <w:rPr>
          <w:bCs/>
          <w:sz w:val="28"/>
          <w:szCs w:val="28"/>
        </w:rPr>
        <w:t>межвертельных</w:t>
      </w:r>
      <w:proofErr w:type="spellEnd"/>
      <w:r w:rsidRPr="00185BC0">
        <w:rPr>
          <w:bCs/>
          <w:sz w:val="28"/>
          <w:szCs w:val="28"/>
        </w:rPr>
        <w:t xml:space="preserve"> переломов и остеотомий бедренной кости, включая проксимальные бедренные пластины и блокируемые системы. Их общим ограничением является ориентация винтов преимущественно перпендикулярно оси бедренной кости, что в условиях установленной бедренной ножки эндопротеза позволяет фиксировать лишь один кортикальный слой и тем самым снижает ротационную и осевую стабильность </w:t>
      </w:r>
      <w:proofErr w:type="spellStart"/>
      <w:r w:rsidRPr="00185BC0">
        <w:rPr>
          <w:bCs/>
          <w:sz w:val="28"/>
          <w:szCs w:val="28"/>
        </w:rPr>
        <w:t>остеотомированных</w:t>
      </w:r>
      <w:proofErr w:type="spellEnd"/>
      <w:r w:rsidRPr="00185BC0">
        <w:rPr>
          <w:bCs/>
          <w:sz w:val="28"/>
          <w:szCs w:val="28"/>
        </w:rPr>
        <w:t xml:space="preserve"> фрагментов.</w:t>
      </w:r>
    </w:p>
    <w:p w14:paraId="3B08E535" w14:textId="35FF6568" w:rsidR="00B20E74" w:rsidRPr="00185BC0" w:rsidRDefault="008A27FC" w:rsidP="008A27FC">
      <w:pPr>
        <w:ind w:firstLine="709"/>
        <w:contextualSpacing/>
        <w:jc w:val="both"/>
        <w:rPr>
          <w:bCs/>
          <w:sz w:val="28"/>
          <w:szCs w:val="28"/>
        </w:rPr>
      </w:pPr>
      <w:r w:rsidRPr="00185BC0">
        <w:rPr>
          <w:bCs/>
          <w:sz w:val="28"/>
          <w:szCs w:val="28"/>
        </w:rPr>
        <w:lastRenderedPageBreak/>
        <w:t xml:space="preserve">В качестве прототипа была проанализирована пластина для </w:t>
      </w:r>
      <w:proofErr w:type="spellStart"/>
      <w:r w:rsidRPr="00185BC0">
        <w:rPr>
          <w:bCs/>
          <w:sz w:val="28"/>
          <w:szCs w:val="28"/>
        </w:rPr>
        <w:t>межвертельных</w:t>
      </w:r>
      <w:proofErr w:type="spellEnd"/>
      <w:r w:rsidRPr="00185BC0">
        <w:rPr>
          <w:bCs/>
          <w:sz w:val="28"/>
          <w:szCs w:val="28"/>
        </w:rPr>
        <w:t xml:space="preserve"> переломов и остеотомий бедренной кости RU163085 U1 (10.07.2016) </w:t>
      </w:r>
      <w:r w:rsidR="00B20E74" w:rsidRPr="00185BC0">
        <w:rPr>
          <w:bCs/>
          <w:sz w:val="28"/>
          <w:szCs w:val="28"/>
          <w:lang w:val="kk-KZ"/>
        </w:rPr>
        <w:fldChar w:fldCharType="begin" w:fldLock="1"/>
      </w:r>
      <w:r w:rsidR="00483103" w:rsidRPr="00185BC0">
        <w:rPr>
          <w:bCs/>
          <w:sz w:val="28"/>
          <w:szCs w:val="28"/>
          <w:lang w:val="kk-KZ"/>
        </w:rPr>
        <w:instrText>ADDIN CSL_CITATION {"citationItems":[{"id":"ITEM-1","itemData":{"abstract":"Пластина для межвертельных переломов и остеотомий бедренной кости, содержащая метадиафизарнуючасть с комбинированными отверстиями и эпифизарныйфиксирующий узел с вертельным изгибом, углостабильными отверстиями и вертельным и шеечными каналами для прицельных спиц, оси которых параллельны двум каналам вертельных углостабильных винтов и четырем каналам шеечных углостабильных винтов соответственно, отличающаяся тем, что в метадиафизарной части устройство снабжено промежуточными углостабильными отверстиями для углостабильных винтов, имеющих промежуточное положение и направление между вертельными, шеечными и углостабильными каналами комбинированных метадиафизарных отверстий, а канал вертельной прицельной спицы ориентирован на верхушку большого вертела бедренной кости","author":[{"dropping-particle":"","family":"Несинов Игорь Алексеевич","given":"Вронкевич Арсений Андреевич","non-dropping-particle":"","parse-names":false,"suffix":""}],"id":"ITEM-1","issue":"19","issued":{"date-parts":[["2016"]]},"number":"RU163085U1","page":"1-2","publisher-place":"РОССИЙСКАЯ ФЕДЕРАЦИЯ","title":"ПЛАСТИНА ДЛЯМЕЖВЕРТЕЛЬНЫХ ПЕРЕЛОМОВ И ОСТЕОТОМИЙБЕДРЕННОЙКОСТИ","type":"patent"},"uris":["http://www.mendeley.com/documents/?uuid=b41dcd3c-09f2-4148-a9a1-25c7f1e42e16"]}],"mendeley":{"formattedCitation":"[102]","plainTextFormattedCitation":"[102]","previouslyFormattedCitation":"[102]"},"properties":{"noteIndex":0},"schema":"https://github.com/citation-style-language/schema/raw/master/csl-citation.json"}</w:instrText>
      </w:r>
      <w:r w:rsidR="00B20E74" w:rsidRPr="00185BC0">
        <w:rPr>
          <w:bCs/>
          <w:sz w:val="28"/>
          <w:szCs w:val="28"/>
          <w:lang w:val="kk-KZ"/>
        </w:rPr>
        <w:fldChar w:fldCharType="separate"/>
      </w:r>
      <w:r w:rsidR="00483103" w:rsidRPr="00185BC0">
        <w:rPr>
          <w:bCs/>
          <w:noProof/>
          <w:sz w:val="28"/>
          <w:szCs w:val="28"/>
          <w:lang w:val="kk-KZ"/>
        </w:rPr>
        <w:t>[102]</w:t>
      </w:r>
      <w:r w:rsidR="00B20E74" w:rsidRPr="00185BC0">
        <w:rPr>
          <w:bCs/>
          <w:sz w:val="28"/>
          <w:szCs w:val="28"/>
          <w:lang w:val="kk-KZ"/>
        </w:rPr>
        <w:fldChar w:fldCharType="end"/>
      </w:r>
      <w:r w:rsidRPr="00185BC0">
        <w:rPr>
          <w:bCs/>
          <w:sz w:val="28"/>
          <w:szCs w:val="28"/>
        </w:rPr>
        <w:t xml:space="preserve">, </w:t>
      </w:r>
      <w:r w:rsidR="00B20E74" w:rsidRPr="00185BC0">
        <w:rPr>
          <w:bCs/>
          <w:sz w:val="28"/>
          <w:szCs w:val="28"/>
        </w:rPr>
        <w:t xml:space="preserve"> </w:t>
      </w:r>
      <w:r w:rsidRPr="00185BC0">
        <w:rPr>
          <w:bCs/>
          <w:sz w:val="28"/>
          <w:szCs w:val="28"/>
        </w:rPr>
        <w:t xml:space="preserve">конструктивные особенности которой подтверждают </w:t>
      </w:r>
      <w:r w:rsidR="00A32526" w:rsidRPr="00185BC0">
        <w:rPr>
          <w:bCs/>
          <w:sz w:val="28"/>
          <w:szCs w:val="28"/>
          <w:lang w:val="kk-KZ"/>
        </w:rPr>
        <w:t xml:space="preserve">следующие </w:t>
      </w:r>
      <w:r w:rsidRPr="00185BC0">
        <w:rPr>
          <w:bCs/>
          <w:sz w:val="28"/>
          <w:szCs w:val="28"/>
        </w:rPr>
        <w:t xml:space="preserve">указанные ограничения: риск пересечения винтовых каналов с ножкой эндопротеза, невозможность </w:t>
      </w:r>
      <w:proofErr w:type="spellStart"/>
      <w:r w:rsidRPr="00185BC0">
        <w:rPr>
          <w:bCs/>
          <w:sz w:val="28"/>
          <w:szCs w:val="28"/>
        </w:rPr>
        <w:t>двукортикальной</w:t>
      </w:r>
      <w:proofErr w:type="spellEnd"/>
      <w:r w:rsidRPr="00185BC0">
        <w:rPr>
          <w:bCs/>
          <w:sz w:val="28"/>
          <w:szCs w:val="28"/>
        </w:rPr>
        <w:t xml:space="preserve"> фиксации и повышенная вероятность </w:t>
      </w:r>
      <w:proofErr w:type="spellStart"/>
      <w:r w:rsidRPr="00185BC0">
        <w:rPr>
          <w:bCs/>
          <w:sz w:val="28"/>
          <w:szCs w:val="28"/>
        </w:rPr>
        <w:t>несращения</w:t>
      </w:r>
      <w:proofErr w:type="spellEnd"/>
      <w:r w:rsidRPr="00185BC0">
        <w:rPr>
          <w:bCs/>
          <w:sz w:val="28"/>
          <w:szCs w:val="28"/>
        </w:rPr>
        <w:t xml:space="preserve"> или вторичного смещения фрагментов. Эти выявленные недостатки легли в основу требований к разработке новой </w:t>
      </w:r>
      <w:proofErr w:type="spellStart"/>
      <w:r w:rsidRPr="00185BC0">
        <w:rPr>
          <w:bCs/>
          <w:sz w:val="28"/>
          <w:szCs w:val="28"/>
        </w:rPr>
        <w:t>деротационной</w:t>
      </w:r>
      <w:proofErr w:type="spellEnd"/>
      <w:r w:rsidRPr="00185BC0">
        <w:rPr>
          <w:bCs/>
          <w:sz w:val="28"/>
          <w:szCs w:val="28"/>
        </w:rPr>
        <w:t xml:space="preserve"> пластины, ориентированной на безопасное проведение винтов в обход ножки эндопротеза и обеспечение надёжной </w:t>
      </w:r>
      <w:proofErr w:type="spellStart"/>
      <w:r w:rsidRPr="00185BC0">
        <w:rPr>
          <w:bCs/>
          <w:sz w:val="28"/>
          <w:szCs w:val="28"/>
        </w:rPr>
        <w:t>двукортикальной</w:t>
      </w:r>
      <w:proofErr w:type="spellEnd"/>
      <w:r w:rsidRPr="00185BC0">
        <w:rPr>
          <w:bCs/>
          <w:sz w:val="28"/>
          <w:szCs w:val="28"/>
        </w:rPr>
        <w:t xml:space="preserve"> фиксации.</w:t>
      </w:r>
    </w:p>
    <w:p w14:paraId="320305DF" w14:textId="29F6D2A5" w:rsidR="007F52A6" w:rsidRPr="00185BC0" w:rsidRDefault="007F52A6" w:rsidP="007F52A6">
      <w:pPr>
        <w:ind w:firstLine="720"/>
        <w:jc w:val="both"/>
        <w:rPr>
          <w:bCs/>
          <w:sz w:val="28"/>
          <w:szCs w:val="28"/>
        </w:rPr>
      </w:pPr>
      <w:r w:rsidRPr="00185BC0">
        <w:rPr>
          <w:bCs/>
          <w:sz w:val="28"/>
          <w:szCs w:val="28"/>
        </w:rPr>
        <w:t>Первый этап</w:t>
      </w:r>
      <w:r w:rsidR="00A32526" w:rsidRPr="00185BC0">
        <w:rPr>
          <w:bCs/>
          <w:sz w:val="28"/>
          <w:szCs w:val="28"/>
          <w:lang w:val="kk-KZ"/>
        </w:rPr>
        <w:t>:</w:t>
      </w:r>
      <w:r w:rsidRPr="00185BC0">
        <w:rPr>
          <w:bCs/>
          <w:sz w:val="28"/>
          <w:szCs w:val="28"/>
        </w:rPr>
        <w:t xml:space="preserve"> 3D-моделирование конструкции имплантата</w:t>
      </w:r>
      <w:r w:rsidR="00A32526" w:rsidRPr="00185BC0">
        <w:rPr>
          <w:bCs/>
          <w:sz w:val="28"/>
          <w:szCs w:val="28"/>
          <w:lang w:val="kk-KZ"/>
        </w:rPr>
        <w:t>,</w:t>
      </w:r>
      <w:r w:rsidRPr="00185BC0">
        <w:rPr>
          <w:bCs/>
          <w:sz w:val="28"/>
          <w:szCs w:val="28"/>
        </w:rPr>
        <w:t xml:space="preserve"> проводился на основании данных компьютерной томографии (КТ) пациентов с тяжёлой степенью дисплазии тазобедренного сустава. КТ-данные сохранялись в формате DICOM, который соответствует международным медицинским стандартам визуализации. Обработка изображений и моделирование выполнялись инженерами Восточно-Казахстанского государственного технического университета им. Д. </w:t>
      </w:r>
      <w:proofErr w:type="spellStart"/>
      <w:r w:rsidRPr="00185BC0">
        <w:rPr>
          <w:bCs/>
          <w:sz w:val="28"/>
          <w:szCs w:val="28"/>
        </w:rPr>
        <w:t>Серикбаева</w:t>
      </w:r>
      <w:proofErr w:type="spellEnd"/>
      <w:r w:rsidRPr="00185BC0">
        <w:rPr>
          <w:bCs/>
          <w:sz w:val="28"/>
          <w:szCs w:val="28"/>
        </w:rPr>
        <w:t xml:space="preserve"> (ВКГТУ).</w:t>
      </w:r>
      <w:r w:rsidRPr="00185BC0">
        <w:rPr>
          <w:bCs/>
          <w:sz w:val="28"/>
          <w:szCs w:val="28"/>
          <w:lang w:val="kk-KZ"/>
        </w:rPr>
        <w:t xml:space="preserve"> </w:t>
      </w:r>
      <w:r w:rsidRPr="00185BC0">
        <w:rPr>
          <w:bCs/>
          <w:sz w:val="28"/>
          <w:szCs w:val="28"/>
        </w:rPr>
        <w:t xml:space="preserve">КТ-данные были импортированы в специализированное программное обеспечение </w:t>
      </w:r>
      <w:proofErr w:type="spellStart"/>
      <w:r w:rsidRPr="00185BC0">
        <w:rPr>
          <w:bCs/>
          <w:sz w:val="28"/>
          <w:szCs w:val="28"/>
        </w:rPr>
        <w:t>Materialise</w:t>
      </w:r>
      <w:proofErr w:type="spellEnd"/>
      <w:r w:rsidRPr="00185BC0">
        <w:rPr>
          <w:bCs/>
          <w:sz w:val="28"/>
          <w:szCs w:val="28"/>
        </w:rPr>
        <w:t xml:space="preserve"> </w:t>
      </w:r>
      <w:proofErr w:type="spellStart"/>
      <w:r w:rsidRPr="00185BC0">
        <w:rPr>
          <w:bCs/>
          <w:sz w:val="28"/>
          <w:szCs w:val="28"/>
        </w:rPr>
        <w:t>Mimics</w:t>
      </w:r>
      <w:proofErr w:type="spellEnd"/>
      <w:r w:rsidRPr="00185BC0">
        <w:rPr>
          <w:bCs/>
          <w:sz w:val="28"/>
          <w:szCs w:val="28"/>
        </w:rPr>
        <w:t>, предназначенное для медицинской 3D-визуализации. С помощью данного ПО создавалась трёхмерная модель бедренной кости пациента, включающая все анатомические особенности.</w:t>
      </w:r>
    </w:p>
    <w:p w14:paraId="390505F7" w14:textId="02824C1C" w:rsidR="007F52A6" w:rsidRPr="00185BC0" w:rsidRDefault="007F52A6" w:rsidP="007F52A6">
      <w:pPr>
        <w:ind w:firstLine="720"/>
        <w:jc w:val="both"/>
        <w:rPr>
          <w:bCs/>
          <w:sz w:val="28"/>
          <w:szCs w:val="28"/>
        </w:rPr>
      </w:pPr>
      <w:r w:rsidRPr="00185BC0">
        <w:rPr>
          <w:bCs/>
          <w:sz w:val="28"/>
          <w:szCs w:val="28"/>
        </w:rPr>
        <w:t>Второй этап</w:t>
      </w:r>
      <w:r w:rsidR="009D1A41" w:rsidRPr="00185BC0">
        <w:rPr>
          <w:bCs/>
          <w:sz w:val="28"/>
          <w:szCs w:val="28"/>
          <w:lang w:val="kk-KZ"/>
        </w:rPr>
        <w:t>:</w:t>
      </w:r>
      <w:r w:rsidRPr="00185BC0">
        <w:rPr>
          <w:bCs/>
          <w:sz w:val="28"/>
          <w:szCs w:val="28"/>
        </w:rPr>
        <w:t xml:space="preserve"> создание физического прототипа кости</w:t>
      </w:r>
      <w:r w:rsidR="009D1A41" w:rsidRPr="00185BC0">
        <w:rPr>
          <w:bCs/>
          <w:sz w:val="28"/>
          <w:szCs w:val="28"/>
          <w:lang w:val="kk-KZ"/>
        </w:rPr>
        <w:t>, он</w:t>
      </w:r>
      <w:r w:rsidRPr="00185BC0">
        <w:rPr>
          <w:bCs/>
          <w:sz w:val="28"/>
          <w:szCs w:val="28"/>
        </w:rPr>
        <w:t xml:space="preserve"> осуществлялся с помощью 3D-принтера </w:t>
      </w:r>
      <w:proofErr w:type="spellStart"/>
      <w:r w:rsidRPr="00185BC0">
        <w:rPr>
          <w:bCs/>
          <w:sz w:val="28"/>
          <w:szCs w:val="28"/>
        </w:rPr>
        <w:t>Designer</w:t>
      </w:r>
      <w:proofErr w:type="spellEnd"/>
      <w:r w:rsidRPr="00185BC0">
        <w:rPr>
          <w:bCs/>
          <w:sz w:val="28"/>
          <w:szCs w:val="28"/>
        </w:rPr>
        <w:t xml:space="preserve"> XPRO, использующего метод FDM (</w:t>
      </w:r>
      <w:proofErr w:type="spellStart"/>
      <w:r w:rsidRPr="00185BC0">
        <w:rPr>
          <w:bCs/>
          <w:sz w:val="28"/>
          <w:szCs w:val="28"/>
        </w:rPr>
        <w:t>Fused</w:t>
      </w:r>
      <w:proofErr w:type="spellEnd"/>
      <w:r w:rsidRPr="00185BC0">
        <w:rPr>
          <w:bCs/>
          <w:sz w:val="28"/>
          <w:szCs w:val="28"/>
        </w:rPr>
        <w:t xml:space="preserve"> </w:t>
      </w:r>
      <w:proofErr w:type="spellStart"/>
      <w:r w:rsidRPr="00185BC0">
        <w:rPr>
          <w:bCs/>
          <w:sz w:val="28"/>
          <w:szCs w:val="28"/>
        </w:rPr>
        <w:t>Deposition</w:t>
      </w:r>
      <w:proofErr w:type="spellEnd"/>
      <w:r w:rsidRPr="00185BC0">
        <w:rPr>
          <w:bCs/>
          <w:sz w:val="28"/>
          <w:szCs w:val="28"/>
        </w:rPr>
        <w:t xml:space="preserve"> </w:t>
      </w:r>
      <w:proofErr w:type="spellStart"/>
      <w:r w:rsidRPr="00185BC0">
        <w:rPr>
          <w:bCs/>
          <w:sz w:val="28"/>
          <w:szCs w:val="28"/>
        </w:rPr>
        <w:t>Modelling</w:t>
      </w:r>
      <w:proofErr w:type="spellEnd"/>
      <w:r w:rsidRPr="00185BC0">
        <w:rPr>
          <w:bCs/>
          <w:sz w:val="28"/>
          <w:szCs w:val="28"/>
        </w:rPr>
        <w:t xml:space="preserve">), то есть послойное наложение расплавленного материала. Таким образом изготавливался макет бедренной кости пациента, на котором проверялись геометрические параметры будущей пластины. </w:t>
      </w:r>
    </w:p>
    <w:p w14:paraId="10C2B94A" w14:textId="4EC65007" w:rsidR="007F52A6" w:rsidRPr="00185BC0" w:rsidRDefault="007F52A6" w:rsidP="007F52A6">
      <w:pPr>
        <w:ind w:firstLine="720"/>
        <w:jc w:val="both"/>
        <w:rPr>
          <w:bCs/>
          <w:sz w:val="28"/>
          <w:szCs w:val="28"/>
        </w:rPr>
      </w:pPr>
      <w:r w:rsidRPr="00185BC0">
        <w:rPr>
          <w:bCs/>
          <w:sz w:val="28"/>
          <w:szCs w:val="28"/>
        </w:rPr>
        <w:t>Третий этап</w:t>
      </w:r>
      <w:r w:rsidR="009D1A41" w:rsidRPr="00185BC0">
        <w:rPr>
          <w:bCs/>
          <w:sz w:val="28"/>
          <w:szCs w:val="28"/>
          <w:lang w:val="kk-KZ"/>
        </w:rPr>
        <w:t xml:space="preserve">: </w:t>
      </w:r>
      <w:r w:rsidRPr="00185BC0">
        <w:rPr>
          <w:bCs/>
          <w:sz w:val="28"/>
          <w:szCs w:val="28"/>
        </w:rPr>
        <w:t xml:space="preserve">проектирование и печать </w:t>
      </w:r>
      <w:proofErr w:type="spellStart"/>
      <w:r w:rsidRPr="00185BC0">
        <w:rPr>
          <w:bCs/>
          <w:sz w:val="28"/>
          <w:szCs w:val="28"/>
        </w:rPr>
        <w:t>деротационной</w:t>
      </w:r>
      <w:proofErr w:type="spellEnd"/>
      <w:r w:rsidRPr="00185BC0">
        <w:rPr>
          <w:bCs/>
          <w:sz w:val="28"/>
          <w:szCs w:val="28"/>
        </w:rPr>
        <w:t xml:space="preserve"> пластины – выполнялся в среде </w:t>
      </w:r>
      <w:proofErr w:type="spellStart"/>
      <w:r w:rsidRPr="00185BC0">
        <w:rPr>
          <w:bCs/>
          <w:sz w:val="28"/>
          <w:szCs w:val="28"/>
        </w:rPr>
        <w:t>SolidWorks</w:t>
      </w:r>
      <w:proofErr w:type="spellEnd"/>
      <w:r w:rsidRPr="00185BC0">
        <w:rPr>
          <w:bCs/>
          <w:sz w:val="28"/>
          <w:szCs w:val="28"/>
        </w:rPr>
        <w:t xml:space="preserve"> (CAD/CAM), предназначенной для автоматизированного конструирования. После цифрового моделирования физический прототип имплантата изготавливался на 3D-принтере </w:t>
      </w:r>
      <w:proofErr w:type="spellStart"/>
      <w:r w:rsidRPr="00185BC0">
        <w:rPr>
          <w:bCs/>
          <w:sz w:val="28"/>
          <w:szCs w:val="28"/>
        </w:rPr>
        <w:t>Formlabs</w:t>
      </w:r>
      <w:proofErr w:type="spellEnd"/>
      <w:r w:rsidRPr="00185BC0">
        <w:rPr>
          <w:bCs/>
          <w:sz w:val="28"/>
          <w:szCs w:val="28"/>
        </w:rPr>
        <w:t xml:space="preserve"> Form 3 по технологии SLA (</w:t>
      </w:r>
      <w:proofErr w:type="spellStart"/>
      <w:r w:rsidRPr="00185BC0">
        <w:rPr>
          <w:bCs/>
          <w:sz w:val="28"/>
          <w:szCs w:val="28"/>
        </w:rPr>
        <w:t>Stereolithography</w:t>
      </w:r>
      <w:proofErr w:type="spellEnd"/>
      <w:r w:rsidRPr="00185BC0">
        <w:rPr>
          <w:bCs/>
          <w:sz w:val="28"/>
          <w:szCs w:val="28"/>
        </w:rPr>
        <w:t xml:space="preserve">), </w:t>
      </w:r>
      <w:proofErr w:type="spellStart"/>
      <w:r w:rsidRPr="00185BC0">
        <w:rPr>
          <w:bCs/>
          <w:sz w:val="28"/>
          <w:szCs w:val="28"/>
        </w:rPr>
        <w:t>обеспечивающ</w:t>
      </w:r>
      <w:proofErr w:type="spellEnd"/>
      <w:r w:rsidR="009D1A41" w:rsidRPr="00185BC0">
        <w:rPr>
          <w:bCs/>
          <w:sz w:val="28"/>
          <w:szCs w:val="28"/>
          <w:lang w:val="kk-KZ"/>
        </w:rPr>
        <w:t>ей</w:t>
      </w:r>
      <w:r w:rsidRPr="00185BC0">
        <w:rPr>
          <w:bCs/>
          <w:sz w:val="28"/>
          <w:szCs w:val="28"/>
        </w:rPr>
        <w:t xml:space="preserve"> высок</w:t>
      </w:r>
      <w:r w:rsidR="009D1A41" w:rsidRPr="00185BC0">
        <w:rPr>
          <w:bCs/>
          <w:sz w:val="28"/>
          <w:szCs w:val="28"/>
          <w:lang w:val="kk-KZ"/>
        </w:rPr>
        <w:t>ую</w:t>
      </w:r>
      <w:r w:rsidRPr="00185BC0">
        <w:rPr>
          <w:bCs/>
          <w:sz w:val="28"/>
          <w:szCs w:val="28"/>
        </w:rPr>
        <w:t xml:space="preserve"> точность слоёв и чёткость формы. Этот SLA-прототип проходил визуальную и техническую оценку, при необходимости в него вносились корректировки с учётом индивидуальных анатомических параметров пациента.</w:t>
      </w:r>
    </w:p>
    <w:p w14:paraId="194AF638" w14:textId="7518FC5A" w:rsidR="007F52A6" w:rsidRPr="00185BC0" w:rsidRDefault="008A27FC" w:rsidP="007F52A6">
      <w:pPr>
        <w:ind w:firstLine="720"/>
        <w:jc w:val="both"/>
        <w:rPr>
          <w:bCs/>
          <w:sz w:val="28"/>
          <w:szCs w:val="28"/>
        </w:rPr>
      </w:pPr>
      <w:r w:rsidRPr="00185BC0">
        <w:rPr>
          <w:bCs/>
          <w:sz w:val="28"/>
          <w:szCs w:val="28"/>
        </w:rPr>
        <w:t>Четвёртый этап – изготовление металлической пластины. В качестве исходного материала для финального этапа производства использовался выбранный на основании предварительного анализа титановый сплав ВТ-</w:t>
      </w:r>
      <w:r w:rsidR="00DA3F49" w:rsidRPr="00185BC0">
        <w:rPr>
          <w:bCs/>
          <w:sz w:val="28"/>
          <w:szCs w:val="28"/>
          <w:lang w:val="kk-KZ"/>
        </w:rPr>
        <w:t>6 (П</w:t>
      </w:r>
      <w:proofErr w:type="spellStart"/>
      <w:r w:rsidR="00D850F6" w:rsidRPr="00185BC0">
        <w:rPr>
          <w:bCs/>
          <w:sz w:val="28"/>
          <w:szCs w:val="28"/>
        </w:rPr>
        <w:t>риложен</w:t>
      </w:r>
      <w:proofErr w:type="spellEnd"/>
      <w:r w:rsidR="00DA3F49" w:rsidRPr="00185BC0">
        <w:rPr>
          <w:bCs/>
          <w:sz w:val="28"/>
          <w:szCs w:val="28"/>
          <w:lang w:val="kk-KZ"/>
        </w:rPr>
        <w:t>ие И)</w:t>
      </w:r>
      <w:r w:rsidRPr="00185BC0">
        <w:rPr>
          <w:bCs/>
          <w:sz w:val="28"/>
          <w:szCs w:val="28"/>
        </w:rPr>
        <w:t xml:space="preserve">. Его применение на этапе механической обработки обеспечивало сохранение заданных прочностных характеристик конструкции и высокую </w:t>
      </w:r>
      <w:proofErr w:type="spellStart"/>
      <w:r w:rsidRPr="00185BC0">
        <w:rPr>
          <w:bCs/>
          <w:sz w:val="28"/>
          <w:szCs w:val="28"/>
        </w:rPr>
        <w:t>биосовместимость</w:t>
      </w:r>
      <w:proofErr w:type="spellEnd"/>
      <w:r w:rsidRPr="00185BC0">
        <w:rPr>
          <w:bCs/>
          <w:sz w:val="28"/>
          <w:szCs w:val="28"/>
        </w:rPr>
        <w:t xml:space="preserve"> готового имплантата. Заготовки подвергались раскрою на установке воздушно-плазменной резки, что </w:t>
      </w:r>
      <w:proofErr w:type="spellStart"/>
      <w:r w:rsidRPr="00185BC0">
        <w:rPr>
          <w:bCs/>
          <w:sz w:val="28"/>
          <w:szCs w:val="28"/>
        </w:rPr>
        <w:t>позвол</w:t>
      </w:r>
      <w:proofErr w:type="spellEnd"/>
      <w:r w:rsidR="009D1A41" w:rsidRPr="00185BC0">
        <w:rPr>
          <w:bCs/>
          <w:sz w:val="28"/>
          <w:szCs w:val="28"/>
          <w:lang w:val="kk-KZ"/>
        </w:rPr>
        <w:t>и</w:t>
      </w:r>
      <w:proofErr w:type="spellStart"/>
      <w:r w:rsidRPr="00185BC0">
        <w:rPr>
          <w:bCs/>
          <w:sz w:val="28"/>
          <w:szCs w:val="28"/>
        </w:rPr>
        <w:t>ло</w:t>
      </w:r>
      <w:proofErr w:type="spellEnd"/>
      <w:r w:rsidRPr="00185BC0">
        <w:rPr>
          <w:bCs/>
          <w:sz w:val="28"/>
          <w:szCs w:val="28"/>
        </w:rPr>
        <w:t xml:space="preserve"> минимизировать потери материала и сформировать заготовки требуемой формы и толщины.</w:t>
      </w:r>
    </w:p>
    <w:p w14:paraId="6BD48DDE" w14:textId="699CE834" w:rsidR="007F52A6" w:rsidRPr="00185BC0" w:rsidRDefault="007F52A6" w:rsidP="007F52A6">
      <w:pPr>
        <w:jc w:val="both"/>
        <w:rPr>
          <w:bCs/>
          <w:sz w:val="28"/>
          <w:szCs w:val="28"/>
        </w:rPr>
      </w:pPr>
      <w:r w:rsidRPr="00185BC0">
        <w:rPr>
          <w:bCs/>
          <w:sz w:val="28"/>
          <w:szCs w:val="28"/>
        </w:rPr>
        <w:tab/>
        <w:t xml:space="preserve">Обработка пластины выполнялась на универсальном обрабатывающем станке с числовым программным управлением DMU50 (DMGMORI). Управляющая программа разрабатывалась в </w:t>
      </w:r>
      <w:proofErr w:type="spellStart"/>
      <w:r w:rsidRPr="00185BC0">
        <w:rPr>
          <w:bCs/>
          <w:sz w:val="28"/>
          <w:szCs w:val="28"/>
        </w:rPr>
        <w:t>MasterCAM</w:t>
      </w:r>
      <w:proofErr w:type="spellEnd"/>
      <w:r w:rsidRPr="00185BC0">
        <w:rPr>
          <w:bCs/>
          <w:sz w:val="28"/>
          <w:szCs w:val="28"/>
        </w:rPr>
        <w:t xml:space="preserve"> 2018, что обеспечивало </w:t>
      </w:r>
      <w:r w:rsidRPr="00185BC0">
        <w:rPr>
          <w:bCs/>
          <w:sz w:val="28"/>
          <w:szCs w:val="28"/>
        </w:rPr>
        <w:lastRenderedPageBreak/>
        <w:t xml:space="preserve">субмиллиметровую точность и полное соответствие всех элементов конструкции заданным параметрам. Контроль качества готового изделия проводился с использованием высокоточных измерительных инструментов </w:t>
      </w:r>
      <w:r w:rsidR="00DA5A93" w:rsidRPr="00185BC0">
        <w:rPr>
          <w:bCs/>
          <w:sz w:val="28"/>
          <w:szCs w:val="28"/>
        </w:rPr>
        <w:t>–</w:t>
      </w:r>
      <w:r w:rsidRPr="00185BC0">
        <w:rPr>
          <w:bCs/>
          <w:sz w:val="28"/>
          <w:szCs w:val="28"/>
        </w:rPr>
        <w:t xml:space="preserve"> </w:t>
      </w:r>
      <w:proofErr w:type="spellStart"/>
      <w:r w:rsidRPr="00185BC0">
        <w:rPr>
          <w:bCs/>
          <w:sz w:val="28"/>
          <w:szCs w:val="28"/>
        </w:rPr>
        <w:t>штангенциркул</w:t>
      </w:r>
      <w:proofErr w:type="spellEnd"/>
      <w:r w:rsidR="009D1A41" w:rsidRPr="00185BC0">
        <w:rPr>
          <w:bCs/>
          <w:sz w:val="28"/>
          <w:szCs w:val="28"/>
          <w:lang w:val="kk-KZ"/>
        </w:rPr>
        <w:t>я</w:t>
      </w:r>
      <w:r w:rsidRPr="00185BC0">
        <w:rPr>
          <w:bCs/>
          <w:sz w:val="28"/>
          <w:szCs w:val="28"/>
        </w:rPr>
        <w:t xml:space="preserve"> и микрометров TESA (компания HAHN+KOLB, Германия), что позволило убедиться в точности размеров, углов, расположения винтовых отверстий и других конструктивных характеристик.</w:t>
      </w:r>
    </w:p>
    <w:p w14:paraId="54538172" w14:textId="3651C281" w:rsidR="007F52A6" w:rsidRPr="00185BC0" w:rsidRDefault="009A31AB" w:rsidP="009A31AB">
      <w:pPr>
        <w:ind w:firstLine="720"/>
        <w:jc w:val="both"/>
        <w:rPr>
          <w:bCs/>
          <w:sz w:val="28"/>
          <w:szCs w:val="28"/>
        </w:rPr>
      </w:pPr>
      <w:r w:rsidRPr="00185BC0">
        <w:rPr>
          <w:bCs/>
          <w:sz w:val="28"/>
          <w:szCs w:val="28"/>
        </w:rPr>
        <w:t>В ходе конструкторской разработки и последующей технологической обработки была утверждена финальная конфигурация фиксирующей пластины. Геометрические параметры изделия включали общую длину 9,2 см (92 мм), ширину 1,8 см (18 мм) и толщину 0,35 см (3,5 мм). В проксимальном и дистальном отделах пластина имела симметрично сформированные крылья длиной по 3,2 см (32 мм) при ширине 1,2 см (12 мм). Протяжённость проксимального сегмента составляла 1,3 см (13 мм), дистального — 1,5 см (15 мм), при неизменной ширине 1,8 см (18 мм).</w:t>
      </w:r>
      <w:r w:rsidRPr="00185BC0">
        <w:rPr>
          <w:bCs/>
          <w:sz w:val="28"/>
          <w:szCs w:val="28"/>
          <w:lang w:val="kk-KZ"/>
        </w:rPr>
        <w:t xml:space="preserve"> </w:t>
      </w:r>
      <w:r w:rsidRPr="00185BC0">
        <w:rPr>
          <w:bCs/>
          <w:sz w:val="28"/>
          <w:szCs w:val="28"/>
        </w:rPr>
        <w:t xml:space="preserve">Конструктивное решение предусматривало систему из 10 каналов для установки блокируемых винтов диаметром 3,5 мм (рис. 3). Пространственная ориентация винтов была задана в сагиттальной плоскости под углами 20°, 16°, 8° и 4°, что позволяло избежать пересечения с ножкой бедренного компонента эндопротеза. Дополнительно в проксимальной зоне была реализована возможность введения винта с наклоном 55° для фиксации в области большого вертела, тогда как в дистальном отделе предусматривалась установка </w:t>
      </w:r>
      <w:proofErr w:type="spellStart"/>
      <w:r w:rsidRPr="00185BC0">
        <w:rPr>
          <w:bCs/>
          <w:sz w:val="28"/>
          <w:szCs w:val="28"/>
        </w:rPr>
        <w:t>монокортикального</w:t>
      </w:r>
      <w:proofErr w:type="spellEnd"/>
      <w:r w:rsidRPr="00185BC0">
        <w:rPr>
          <w:bCs/>
          <w:sz w:val="28"/>
          <w:szCs w:val="28"/>
        </w:rPr>
        <w:t xml:space="preserve"> винта под углом 35°, направленного на усиление общей стабильности фиксации</w:t>
      </w:r>
      <w:r w:rsidR="001D29A3" w:rsidRPr="00185BC0">
        <w:rPr>
          <w:bCs/>
          <w:sz w:val="28"/>
          <w:szCs w:val="28"/>
        </w:rPr>
        <w:t xml:space="preserve"> (Патент на полезную модель № 8955, Приложение А) </w:t>
      </w:r>
      <w:r w:rsidR="001D29A3" w:rsidRPr="00185BC0">
        <w:rPr>
          <w:bCs/>
          <w:sz w:val="28"/>
          <w:szCs w:val="28"/>
        </w:rPr>
        <w:fldChar w:fldCharType="begin" w:fldLock="1"/>
      </w:r>
      <w:r w:rsidR="00483103" w:rsidRPr="00185BC0">
        <w:rPr>
          <w:bCs/>
          <w:sz w:val="28"/>
          <w:szCs w:val="28"/>
        </w:rPr>
        <w:instrText>ADDIN CSL_CITATION {"citationItems":[{"id":"ITEM-1","itemData":{"id":"ITEM-1","issued":{"date-parts":[["2024"]]},"page":"8955","title":"Патент на полезную модель: Деротационная пластина с угловой стабильностью для фиксации зоны подвертельной остеотомии при диспластическом коксартрозе. Авторы: Ашимов К.Д., Сулейменов Б.Т., Бекназаров А.И., Агабеков Е.К., Октяброва Д.Г. № 8955, зарегистриро","type":"article-journal"},"uris":["http://www.mendeley.com/documents/?uuid=b4056211-7e43-4d92-93b3-9aea7e31bff9"]}],"mendeley":{"formattedCitation":"[103]","plainTextFormattedCitation":"[103]","previouslyFormattedCitation":"[103]"},"properties":{"noteIndex":0},"schema":"https://github.com/citation-style-language/schema/raw/master/csl-citation.json"}</w:instrText>
      </w:r>
      <w:r w:rsidR="001D29A3" w:rsidRPr="00185BC0">
        <w:rPr>
          <w:bCs/>
          <w:sz w:val="28"/>
          <w:szCs w:val="28"/>
        </w:rPr>
        <w:fldChar w:fldCharType="separate"/>
      </w:r>
      <w:r w:rsidR="00483103" w:rsidRPr="00185BC0">
        <w:rPr>
          <w:bCs/>
          <w:noProof/>
          <w:sz w:val="28"/>
          <w:szCs w:val="28"/>
        </w:rPr>
        <w:t>[103]</w:t>
      </w:r>
      <w:r w:rsidR="001D29A3" w:rsidRPr="00185BC0">
        <w:rPr>
          <w:bCs/>
          <w:sz w:val="28"/>
          <w:szCs w:val="28"/>
        </w:rPr>
        <w:fldChar w:fldCharType="end"/>
      </w:r>
      <w:r w:rsidRPr="00185BC0">
        <w:rPr>
          <w:bCs/>
          <w:sz w:val="28"/>
          <w:szCs w:val="28"/>
        </w:rPr>
        <w:t>.</w:t>
      </w:r>
      <w:r w:rsidRPr="00185BC0">
        <w:rPr>
          <w:bCs/>
          <w:sz w:val="28"/>
          <w:szCs w:val="28"/>
          <w:lang w:val="kk-KZ"/>
        </w:rPr>
        <w:t xml:space="preserve"> </w:t>
      </w:r>
      <w:r w:rsidRPr="00185BC0">
        <w:rPr>
          <w:bCs/>
          <w:sz w:val="28"/>
          <w:szCs w:val="28"/>
        </w:rPr>
        <w:t>В совокупности предложенная форма пластины обеспечивала соответствие анатомическим особенностям бедренной кости, предотвращала механический контакт с элементами эндопротеза и способствовала повышению ротационной устойчивости за счёт конструктивных особенностей проксимальных и дистальных крыльев</w:t>
      </w:r>
      <w:r w:rsidRPr="00185BC0">
        <w:rPr>
          <w:bCs/>
          <w:sz w:val="28"/>
          <w:szCs w:val="28"/>
          <w:lang w:val="kk-KZ"/>
        </w:rPr>
        <w:t xml:space="preserve"> </w:t>
      </w:r>
      <w:r w:rsidR="00426487" w:rsidRPr="00185BC0">
        <w:rPr>
          <w:bCs/>
          <w:sz w:val="28"/>
          <w:szCs w:val="28"/>
          <w:lang w:val="kk-KZ"/>
        </w:rPr>
        <w:t xml:space="preserve">(рисунок </w:t>
      </w:r>
      <w:r w:rsidR="00426487" w:rsidRPr="00185BC0">
        <w:rPr>
          <w:bCs/>
          <w:sz w:val="28"/>
          <w:szCs w:val="28"/>
          <w:lang w:val="tr-TR"/>
        </w:rPr>
        <w:t>11</w:t>
      </w:r>
      <w:r w:rsidR="00426487" w:rsidRPr="00185BC0">
        <w:rPr>
          <w:bCs/>
          <w:sz w:val="28"/>
          <w:szCs w:val="28"/>
          <w:lang w:val="kk-KZ"/>
        </w:rPr>
        <w:t>)</w:t>
      </w:r>
      <w:r w:rsidR="007F52A6" w:rsidRPr="00185BC0">
        <w:rPr>
          <w:bCs/>
          <w:sz w:val="28"/>
          <w:szCs w:val="28"/>
        </w:rPr>
        <w:t>.</w:t>
      </w:r>
    </w:p>
    <w:p w14:paraId="484D2252" w14:textId="77777777" w:rsidR="006A73B6" w:rsidRPr="00185BC0" w:rsidRDefault="006A73B6" w:rsidP="009A31AB">
      <w:pPr>
        <w:ind w:firstLine="720"/>
        <w:jc w:val="both"/>
        <w:rPr>
          <w:bCs/>
          <w:sz w:val="28"/>
          <w:szCs w:val="28"/>
        </w:rPr>
      </w:pPr>
    </w:p>
    <w:p w14:paraId="15624774" w14:textId="5029D1F6" w:rsidR="00FB6563" w:rsidRPr="00185BC0" w:rsidRDefault="00FB6563" w:rsidP="006A73B6">
      <w:pPr>
        <w:jc w:val="both"/>
        <w:rPr>
          <w:bCs/>
          <w:sz w:val="28"/>
          <w:szCs w:val="28"/>
          <w:lang w:val="kk-KZ"/>
        </w:rPr>
      </w:pPr>
      <w:r w:rsidRPr="00185BC0">
        <w:rPr>
          <w:bCs/>
          <w:noProof/>
          <w:sz w:val="28"/>
          <w:szCs w:val="28"/>
          <w:lang w:val="kk-KZ"/>
        </w:rPr>
        <w:drawing>
          <wp:inline distT="0" distB="0" distL="0" distR="0" wp14:anchorId="6F68B61D" wp14:editId="222A2C91">
            <wp:extent cx="5951220" cy="32004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4123" cy="3212717"/>
                    </a:xfrm>
                    <a:prstGeom prst="rect">
                      <a:avLst/>
                    </a:prstGeom>
                  </pic:spPr>
                </pic:pic>
              </a:graphicData>
            </a:graphic>
          </wp:inline>
        </w:drawing>
      </w:r>
    </w:p>
    <w:p w14:paraId="6DA4F2C0" w14:textId="4C2777F7" w:rsidR="007F52A6" w:rsidRPr="00185BC0" w:rsidRDefault="007F52A6" w:rsidP="007F52A6">
      <w:pPr>
        <w:jc w:val="both"/>
        <w:rPr>
          <w:bCs/>
          <w:sz w:val="28"/>
          <w:szCs w:val="28"/>
          <w:lang w:val="kk-KZ"/>
        </w:rPr>
      </w:pPr>
      <w:r w:rsidRPr="00185BC0">
        <w:rPr>
          <w:bCs/>
          <w:sz w:val="28"/>
          <w:szCs w:val="28"/>
          <w:lang w:val="kk-KZ"/>
        </w:rPr>
        <w:t xml:space="preserve">                                             </w:t>
      </w:r>
    </w:p>
    <w:p w14:paraId="6C019DBE" w14:textId="1C529ADF" w:rsidR="007F52A6" w:rsidRPr="00185BC0" w:rsidRDefault="007F52A6" w:rsidP="00EF5D1F">
      <w:pPr>
        <w:ind w:firstLine="720"/>
        <w:jc w:val="center"/>
        <w:rPr>
          <w:bCs/>
          <w:sz w:val="28"/>
          <w:szCs w:val="28"/>
          <w:lang w:val="kk-KZ"/>
        </w:rPr>
      </w:pPr>
      <w:r w:rsidRPr="00185BC0">
        <w:rPr>
          <w:bCs/>
          <w:sz w:val="28"/>
          <w:szCs w:val="28"/>
          <w:lang w:val="kk-KZ"/>
        </w:rPr>
        <w:lastRenderedPageBreak/>
        <w:t>Рисунок 1</w:t>
      </w:r>
      <w:r w:rsidRPr="00185BC0">
        <w:rPr>
          <w:bCs/>
          <w:sz w:val="28"/>
          <w:szCs w:val="28"/>
          <w:lang w:val="tr-TR"/>
        </w:rPr>
        <w:t>1</w:t>
      </w:r>
      <w:r w:rsidR="00EF5D1F" w:rsidRPr="00185BC0">
        <w:rPr>
          <w:bCs/>
          <w:sz w:val="28"/>
          <w:szCs w:val="28"/>
          <w:lang w:val="kk-KZ"/>
        </w:rPr>
        <w:t xml:space="preserve"> – </w:t>
      </w:r>
      <w:r w:rsidRPr="00185BC0">
        <w:rPr>
          <w:bCs/>
          <w:sz w:val="28"/>
          <w:szCs w:val="28"/>
          <w:lang w:val="kk-KZ"/>
        </w:rPr>
        <w:t xml:space="preserve">  </w:t>
      </w:r>
      <w:r w:rsidRPr="00185BC0">
        <w:rPr>
          <w:bCs/>
          <w:sz w:val="28"/>
          <w:szCs w:val="28"/>
        </w:rPr>
        <w:t>Схема</w:t>
      </w:r>
      <w:r w:rsidRPr="00185BC0">
        <w:rPr>
          <w:bCs/>
          <w:sz w:val="28"/>
          <w:szCs w:val="28"/>
          <w:lang w:val="kk-KZ"/>
        </w:rPr>
        <w:t xml:space="preserve"> деротационной пластины с угловой стабильностью для фиксации зоны подвертельной остеотомии при диспластическом коксартрозе IV типа по Crowe: </w:t>
      </w:r>
      <w:r w:rsidR="00EF5D1F" w:rsidRPr="00185BC0">
        <w:rPr>
          <w:bCs/>
          <w:sz w:val="28"/>
          <w:szCs w:val="28"/>
          <w:lang w:val="kk-KZ"/>
        </w:rPr>
        <w:t>А</w:t>
      </w:r>
      <w:r w:rsidRPr="00185BC0">
        <w:rPr>
          <w:bCs/>
          <w:sz w:val="28"/>
          <w:szCs w:val="28"/>
          <w:lang w:val="kk-KZ"/>
        </w:rPr>
        <w:t xml:space="preserve">) </w:t>
      </w:r>
      <w:r w:rsidR="009A31AB" w:rsidRPr="00185BC0">
        <w:rPr>
          <w:bCs/>
          <w:sz w:val="28"/>
          <w:szCs w:val="28"/>
          <w:lang w:val="kk-KZ"/>
        </w:rPr>
        <w:t>фронтальная проекция пластины</w:t>
      </w:r>
      <w:r w:rsidRPr="00185BC0">
        <w:rPr>
          <w:bCs/>
          <w:sz w:val="28"/>
          <w:szCs w:val="28"/>
          <w:lang w:val="kk-KZ"/>
        </w:rPr>
        <w:t xml:space="preserve">; </w:t>
      </w:r>
      <w:r w:rsidR="00EF5D1F" w:rsidRPr="00185BC0">
        <w:rPr>
          <w:bCs/>
          <w:sz w:val="28"/>
          <w:szCs w:val="28"/>
          <w:lang w:val="kk-KZ"/>
        </w:rPr>
        <w:t>Б</w:t>
      </w:r>
      <w:r w:rsidRPr="00185BC0">
        <w:rPr>
          <w:bCs/>
          <w:sz w:val="28"/>
          <w:szCs w:val="28"/>
          <w:lang w:val="kk-KZ"/>
        </w:rPr>
        <w:t xml:space="preserve">) </w:t>
      </w:r>
      <w:r w:rsidR="009A31AB" w:rsidRPr="00185BC0">
        <w:rPr>
          <w:bCs/>
          <w:sz w:val="28"/>
          <w:szCs w:val="28"/>
          <w:lang w:val="kk-KZ"/>
        </w:rPr>
        <w:t>вид в аксиальной плоскости</w:t>
      </w:r>
      <w:r w:rsidRPr="00185BC0">
        <w:rPr>
          <w:bCs/>
          <w:sz w:val="28"/>
          <w:szCs w:val="28"/>
          <w:lang w:val="kk-KZ"/>
        </w:rPr>
        <w:t xml:space="preserve">; </w:t>
      </w:r>
      <w:r w:rsidR="00EF5D1F" w:rsidRPr="00185BC0">
        <w:rPr>
          <w:bCs/>
          <w:sz w:val="28"/>
          <w:szCs w:val="28"/>
          <w:lang w:val="kk-KZ"/>
        </w:rPr>
        <w:t>В</w:t>
      </w:r>
      <w:r w:rsidRPr="00185BC0">
        <w:rPr>
          <w:bCs/>
          <w:sz w:val="28"/>
          <w:szCs w:val="28"/>
          <w:lang w:val="kk-KZ"/>
        </w:rPr>
        <w:t xml:space="preserve">) </w:t>
      </w:r>
      <w:r w:rsidR="009A31AB" w:rsidRPr="00185BC0">
        <w:rPr>
          <w:bCs/>
          <w:sz w:val="28"/>
          <w:szCs w:val="28"/>
          <w:lang w:val="kk-KZ"/>
        </w:rPr>
        <w:t>латеральная проекция с указанием углов ориентации фиксирующих винтов</w:t>
      </w:r>
    </w:p>
    <w:p w14:paraId="150D74BE" w14:textId="77777777" w:rsidR="007F52A6" w:rsidRPr="00185BC0" w:rsidRDefault="007F52A6" w:rsidP="007F52A6">
      <w:pPr>
        <w:jc w:val="both"/>
        <w:rPr>
          <w:bCs/>
          <w:sz w:val="28"/>
          <w:szCs w:val="28"/>
          <w:lang w:val="kk-KZ"/>
        </w:rPr>
      </w:pPr>
    </w:p>
    <w:p w14:paraId="185B09F8" w14:textId="0B658908" w:rsidR="007F52A6" w:rsidRPr="00185BC0" w:rsidRDefault="007F52A6" w:rsidP="007F52A6">
      <w:pPr>
        <w:pStyle w:val="1"/>
        <w:rPr>
          <w:b w:val="0"/>
          <w:bCs w:val="0"/>
          <w:i/>
          <w:iCs/>
          <w:lang w:val="kk-KZ"/>
        </w:rPr>
      </w:pPr>
      <w:bookmarkStart w:id="26" w:name="_Toc217561932"/>
      <w:r w:rsidRPr="00185BC0">
        <w:rPr>
          <w:b w:val="0"/>
          <w:bCs w:val="0"/>
          <w:i/>
          <w:iCs/>
          <w:lang w:val="kk-KZ"/>
        </w:rPr>
        <w:t>2.2.2 М</w:t>
      </w:r>
      <w:r w:rsidRPr="00185BC0">
        <w:rPr>
          <w:b w:val="0"/>
          <w:bCs w:val="0"/>
          <w:i/>
          <w:iCs/>
        </w:rPr>
        <w:t xml:space="preserve">атематическое моделирование </w:t>
      </w:r>
      <w:proofErr w:type="spellStart"/>
      <w:r w:rsidRPr="00185BC0">
        <w:rPr>
          <w:b w:val="0"/>
          <w:bCs w:val="0"/>
          <w:i/>
          <w:iCs/>
        </w:rPr>
        <w:t>деротационной</w:t>
      </w:r>
      <w:proofErr w:type="spellEnd"/>
      <w:r w:rsidRPr="00185BC0">
        <w:rPr>
          <w:b w:val="0"/>
          <w:bCs w:val="0"/>
          <w:i/>
          <w:iCs/>
        </w:rPr>
        <w:t xml:space="preserve"> пластины</w:t>
      </w:r>
      <w:r w:rsidRPr="00185BC0">
        <w:rPr>
          <w:b w:val="0"/>
          <w:bCs w:val="0"/>
          <w:i/>
          <w:iCs/>
          <w:lang w:val="kk-KZ"/>
        </w:rPr>
        <w:t>.</w:t>
      </w:r>
      <w:bookmarkEnd w:id="26"/>
    </w:p>
    <w:p w14:paraId="606BB1B8" w14:textId="77777777" w:rsidR="009D1A41" w:rsidRPr="00185BC0" w:rsidRDefault="007F52A6" w:rsidP="007F52A6">
      <w:pPr>
        <w:ind w:firstLine="720"/>
        <w:jc w:val="both"/>
        <w:rPr>
          <w:sz w:val="28"/>
          <w:szCs w:val="28"/>
        </w:rPr>
      </w:pPr>
      <w:r w:rsidRPr="00185BC0">
        <w:rPr>
          <w:sz w:val="28"/>
          <w:szCs w:val="28"/>
        </w:rPr>
        <w:t xml:space="preserve">Математическое моделирование играет ключевую роль в анализе напряжённо-деформированного состояния (НДС) и механического поведения сложных многокомпонентных систем с гетерогенной структурой. Среди доступных методов численного моделирования наиболее точным и надёжным считается метод конечных элементов (МКЭ). Принцип данного метода основан на разбиении трёхмерной геометрической модели на множество конечных элементов простой формы, совокупность которых образует непрерывную сетку. Итерационный характер расчётов в рамках МКЭ позволяет поэтапно уточнять значения напряжений, деформаций и скоростей деформирования, обеспечивая динамическое и точное представление поведения системы при действии внешней нагрузки. </w:t>
      </w:r>
    </w:p>
    <w:p w14:paraId="136FE048" w14:textId="4385005C" w:rsidR="007F52A6" w:rsidRPr="00185BC0" w:rsidRDefault="007F52A6" w:rsidP="007F52A6">
      <w:pPr>
        <w:ind w:firstLine="720"/>
        <w:jc w:val="both"/>
        <w:rPr>
          <w:sz w:val="28"/>
          <w:szCs w:val="28"/>
        </w:rPr>
      </w:pPr>
      <w:r w:rsidRPr="00185BC0">
        <w:rPr>
          <w:sz w:val="28"/>
          <w:szCs w:val="28"/>
        </w:rPr>
        <w:t xml:space="preserve">В рамках настоящего исследования моделирование НДС проводилось с использованием специализированных инженерных программных платформ, включая KOMPAS-3D (модуль APM FEM), Autodesk </w:t>
      </w:r>
      <w:proofErr w:type="spellStart"/>
      <w:r w:rsidRPr="00185BC0">
        <w:rPr>
          <w:sz w:val="28"/>
          <w:szCs w:val="28"/>
        </w:rPr>
        <w:t>Inventor</w:t>
      </w:r>
      <w:proofErr w:type="spellEnd"/>
      <w:r w:rsidRPr="00185BC0">
        <w:rPr>
          <w:sz w:val="28"/>
          <w:szCs w:val="28"/>
        </w:rPr>
        <w:t xml:space="preserve"> Professional и </w:t>
      </w:r>
      <w:proofErr w:type="spellStart"/>
      <w:r w:rsidRPr="00185BC0">
        <w:rPr>
          <w:sz w:val="28"/>
          <w:szCs w:val="28"/>
        </w:rPr>
        <w:t>SolidWorks</w:t>
      </w:r>
      <w:proofErr w:type="spellEnd"/>
      <w:r w:rsidRPr="00185BC0">
        <w:rPr>
          <w:sz w:val="28"/>
          <w:szCs w:val="28"/>
        </w:rPr>
        <w:t xml:space="preserve">. Эти программные комплексы применялись для построения и анализа полной модели биотехнической системы, включающей элементы тазобедренного эндопротеза, бедренную кость и разработанную </w:t>
      </w:r>
      <w:proofErr w:type="spellStart"/>
      <w:r w:rsidRPr="00185BC0">
        <w:rPr>
          <w:sz w:val="28"/>
          <w:szCs w:val="28"/>
        </w:rPr>
        <w:t>деротационную</w:t>
      </w:r>
      <w:proofErr w:type="spellEnd"/>
      <w:r w:rsidRPr="00185BC0">
        <w:rPr>
          <w:sz w:val="28"/>
          <w:szCs w:val="28"/>
        </w:rPr>
        <w:t xml:space="preserve"> пластину. При моделировании использовались физико-механические характеристики материалов, заимствованные из проверенных литературных источников, что обеспечивало адекватность симуляции реальным условиям нагрузки. </w:t>
      </w:r>
    </w:p>
    <w:p w14:paraId="45FBE3A0" w14:textId="5746A53B" w:rsidR="007F52A6" w:rsidRPr="00185BC0" w:rsidRDefault="007F52A6" w:rsidP="007F52A6">
      <w:pPr>
        <w:ind w:firstLine="720"/>
        <w:jc w:val="both"/>
        <w:rPr>
          <w:sz w:val="28"/>
          <w:szCs w:val="28"/>
        </w:rPr>
      </w:pPr>
      <w:r w:rsidRPr="00185BC0">
        <w:rPr>
          <w:sz w:val="28"/>
          <w:szCs w:val="28"/>
        </w:rPr>
        <w:t>В таблице 3 представлены основные физико-механические параметры элементов модели, включая модуль упругости и коэффициент Пуассона. Эти параметры являются определяющими для корректного численного воспроизведения поведения кортикального и губчатого вещества бедренной кости, а также титана, применяемого в имплантате при различных типах нагрузок.</w:t>
      </w:r>
    </w:p>
    <w:p w14:paraId="4C3DA053" w14:textId="77777777" w:rsidR="00EF196D" w:rsidRPr="00185BC0" w:rsidRDefault="00EF196D" w:rsidP="007F52A6">
      <w:pPr>
        <w:ind w:firstLine="720"/>
        <w:jc w:val="both"/>
        <w:rPr>
          <w:sz w:val="28"/>
          <w:szCs w:val="28"/>
        </w:rPr>
      </w:pPr>
    </w:p>
    <w:p w14:paraId="1C36161B" w14:textId="16EB0CCE" w:rsidR="007F52A6" w:rsidRPr="00185BC0" w:rsidRDefault="007F52A6" w:rsidP="00EF5D1F">
      <w:pPr>
        <w:jc w:val="both"/>
        <w:rPr>
          <w:b/>
          <w:bCs/>
          <w:sz w:val="28"/>
          <w:szCs w:val="28"/>
        </w:rPr>
      </w:pPr>
      <w:r w:rsidRPr="00185BC0">
        <w:rPr>
          <w:b/>
          <w:bCs/>
          <w:sz w:val="28"/>
          <w:szCs w:val="28"/>
        </w:rPr>
        <w:t>Таблица 3</w:t>
      </w:r>
      <w:r w:rsidR="00EF5D1F" w:rsidRPr="00185BC0">
        <w:rPr>
          <w:b/>
          <w:bCs/>
          <w:sz w:val="28"/>
          <w:szCs w:val="28"/>
          <w:lang w:val="kk-KZ"/>
        </w:rPr>
        <w:t xml:space="preserve"> – </w:t>
      </w:r>
      <w:r w:rsidRPr="00185BC0">
        <w:rPr>
          <w:b/>
          <w:bCs/>
          <w:sz w:val="28"/>
          <w:szCs w:val="28"/>
        </w:rPr>
        <w:t>Физико-механические параметры компонентов моделируемой системы</w:t>
      </w:r>
    </w:p>
    <w:p w14:paraId="61FABFAE" w14:textId="77777777" w:rsidR="007F52A6" w:rsidRPr="00185BC0" w:rsidRDefault="007F52A6" w:rsidP="007F52A6">
      <w:pPr>
        <w:ind w:firstLine="720"/>
        <w:jc w:val="both"/>
        <w:rPr>
          <w:sz w:val="28"/>
          <w:szCs w:val="28"/>
        </w:rPr>
      </w:pPr>
    </w:p>
    <w:tbl>
      <w:tblPr>
        <w:tblStyle w:val="25"/>
        <w:tblW w:w="0" w:type="auto"/>
        <w:tblLook w:val="04A0" w:firstRow="1" w:lastRow="0" w:firstColumn="1" w:lastColumn="0" w:noHBand="0" w:noVBand="1"/>
      </w:tblPr>
      <w:tblGrid>
        <w:gridCol w:w="3115"/>
        <w:gridCol w:w="3115"/>
        <w:gridCol w:w="3115"/>
      </w:tblGrid>
      <w:tr w:rsidR="007F52A6" w:rsidRPr="00185BC0" w14:paraId="79EF01F9" w14:textId="77777777" w:rsidTr="00907AE6">
        <w:tc>
          <w:tcPr>
            <w:tcW w:w="3115" w:type="dxa"/>
          </w:tcPr>
          <w:p w14:paraId="6B98670D" w14:textId="77777777" w:rsidR="007F52A6" w:rsidRPr="00185BC0" w:rsidRDefault="007F52A6" w:rsidP="007F52A6">
            <w:pPr>
              <w:jc w:val="center"/>
              <w:rPr>
                <w:b/>
                <w:bCs/>
                <w:sz w:val="20"/>
                <w:szCs w:val="20"/>
              </w:rPr>
            </w:pPr>
            <w:r w:rsidRPr="00185BC0">
              <w:rPr>
                <w:b/>
                <w:bCs/>
                <w:sz w:val="20"/>
                <w:szCs w:val="20"/>
              </w:rPr>
              <w:t>Материал</w:t>
            </w:r>
          </w:p>
        </w:tc>
        <w:tc>
          <w:tcPr>
            <w:tcW w:w="3115" w:type="dxa"/>
          </w:tcPr>
          <w:p w14:paraId="50B64CB1" w14:textId="77777777" w:rsidR="007F52A6" w:rsidRPr="00185BC0" w:rsidRDefault="007F52A6" w:rsidP="007F52A6">
            <w:pPr>
              <w:jc w:val="center"/>
              <w:rPr>
                <w:b/>
                <w:bCs/>
                <w:sz w:val="20"/>
                <w:szCs w:val="20"/>
              </w:rPr>
            </w:pPr>
            <w:r w:rsidRPr="00185BC0">
              <w:rPr>
                <w:b/>
                <w:bCs/>
                <w:sz w:val="20"/>
                <w:szCs w:val="20"/>
              </w:rPr>
              <w:t>Модуль упругости (МПа)</w:t>
            </w:r>
          </w:p>
        </w:tc>
        <w:tc>
          <w:tcPr>
            <w:tcW w:w="3115" w:type="dxa"/>
          </w:tcPr>
          <w:p w14:paraId="7CA8FC96" w14:textId="77777777" w:rsidR="007F52A6" w:rsidRPr="00185BC0" w:rsidRDefault="007F52A6" w:rsidP="007F52A6">
            <w:pPr>
              <w:jc w:val="center"/>
              <w:rPr>
                <w:b/>
                <w:bCs/>
                <w:sz w:val="20"/>
                <w:szCs w:val="20"/>
              </w:rPr>
            </w:pPr>
            <w:r w:rsidRPr="00185BC0">
              <w:rPr>
                <w:b/>
                <w:bCs/>
                <w:sz w:val="20"/>
                <w:szCs w:val="20"/>
              </w:rPr>
              <w:t>Коэффициент Пуассона</w:t>
            </w:r>
          </w:p>
        </w:tc>
      </w:tr>
      <w:tr w:rsidR="007F52A6" w:rsidRPr="00185BC0" w14:paraId="041BCDAB" w14:textId="77777777" w:rsidTr="00907AE6">
        <w:tc>
          <w:tcPr>
            <w:tcW w:w="3115" w:type="dxa"/>
          </w:tcPr>
          <w:p w14:paraId="612B947B" w14:textId="77777777" w:rsidR="007F52A6" w:rsidRPr="00185BC0" w:rsidRDefault="007F52A6" w:rsidP="007F52A6">
            <w:pPr>
              <w:rPr>
                <w:sz w:val="20"/>
                <w:szCs w:val="20"/>
              </w:rPr>
            </w:pPr>
            <w:r w:rsidRPr="00185BC0">
              <w:rPr>
                <w:sz w:val="20"/>
                <w:szCs w:val="20"/>
              </w:rPr>
              <w:t>Кортикальная кость</w:t>
            </w:r>
          </w:p>
        </w:tc>
        <w:tc>
          <w:tcPr>
            <w:tcW w:w="3115" w:type="dxa"/>
          </w:tcPr>
          <w:p w14:paraId="5FEC2998" w14:textId="77777777" w:rsidR="007F52A6" w:rsidRPr="00185BC0" w:rsidRDefault="007F52A6" w:rsidP="007F52A6">
            <w:pPr>
              <w:jc w:val="center"/>
              <w:rPr>
                <w:sz w:val="20"/>
                <w:szCs w:val="20"/>
              </w:rPr>
            </w:pPr>
            <w:r w:rsidRPr="00185BC0">
              <w:rPr>
                <w:sz w:val="20"/>
                <w:szCs w:val="20"/>
              </w:rPr>
              <w:t>15 000</w:t>
            </w:r>
          </w:p>
        </w:tc>
        <w:tc>
          <w:tcPr>
            <w:tcW w:w="3115" w:type="dxa"/>
          </w:tcPr>
          <w:p w14:paraId="0204902D" w14:textId="77777777" w:rsidR="007F52A6" w:rsidRPr="00185BC0" w:rsidRDefault="007F52A6" w:rsidP="007F52A6">
            <w:pPr>
              <w:jc w:val="center"/>
              <w:rPr>
                <w:sz w:val="20"/>
                <w:szCs w:val="20"/>
              </w:rPr>
            </w:pPr>
            <w:r w:rsidRPr="00185BC0">
              <w:rPr>
                <w:sz w:val="20"/>
                <w:szCs w:val="20"/>
              </w:rPr>
              <w:t>0,3</w:t>
            </w:r>
          </w:p>
        </w:tc>
      </w:tr>
      <w:tr w:rsidR="007F52A6" w:rsidRPr="00185BC0" w14:paraId="59C57881" w14:textId="77777777" w:rsidTr="00907AE6">
        <w:tc>
          <w:tcPr>
            <w:tcW w:w="3115" w:type="dxa"/>
          </w:tcPr>
          <w:p w14:paraId="39ADB8E5" w14:textId="77777777" w:rsidR="007F52A6" w:rsidRPr="00185BC0" w:rsidRDefault="007F52A6" w:rsidP="007F52A6">
            <w:pPr>
              <w:rPr>
                <w:sz w:val="20"/>
                <w:szCs w:val="20"/>
              </w:rPr>
            </w:pPr>
            <w:r w:rsidRPr="00185BC0">
              <w:rPr>
                <w:sz w:val="20"/>
                <w:szCs w:val="20"/>
              </w:rPr>
              <w:t>Губчатая кость</w:t>
            </w:r>
          </w:p>
        </w:tc>
        <w:tc>
          <w:tcPr>
            <w:tcW w:w="3115" w:type="dxa"/>
          </w:tcPr>
          <w:p w14:paraId="589AF442" w14:textId="77777777" w:rsidR="007F52A6" w:rsidRPr="00185BC0" w:rsidRDefault="007F52A6" w:rsidP="007F52A6">
            <w:pPr>
              <w:jc w:val="center"/>
              <w:rPr>
                <w:sz w:val="20"/>
                <w:szCs w:val="20"/>
              </w:rPr>
            </w:pPr>
            <w:r w:rsidRPr="00185BC0">
              <w:rPr>
                <w:sz w:val="20"/>
                <w:szCs w:val="20"/>
              </w:rPr>
              <w:t>1 000</w:t>
            </w:r>
          </w:p>
        </w:tc>
        <w:tc>
          <w:tcPr>
            <w:tcW w:w="3115" w:type="dxa"/>
          </w:tcPr>
          <w:p w14:paraId="4B99790B" w14:textId="77777777" w:rsidR="007F52A6" w:rsidRPr="00185BC0" w:rsidRDefault="007F52A6" w:rsidP="007F52A6">
            <w:pPr>
              <w:jc w:val="center"/>
              <w:rPr>
                <w:sz w:val="20"/>
                <w:szCs w:val="20"/>
              </w:rPr>
            </w:pPr>
            <w:r w:rsidRPr="00185BC0">
              <w:rPr>
                <w:sz w:val="20"/>
                <w:szCs w:val="20"/>
              </w:rPr>
              <w:t>0,3</w:t>
            </w:r>
          </w:p>
        </w:tc>
      </w:tr>
      <w:tr w:rsidR="007F52A6" w:rsidRPr="00185BC0" w14:paraId="3714047E" w14:textId="77777777" w:rsidTr="00907AE6">
        <w:tc>
          <w:tcPr>
            <w:tcW w:w="3115" w:type="dxa"/>
          </w:tcPr>
          <w:p w14:paraId="07ACE115" w14:textId="77777777" w:rsidR="007F52A6" w:rsidRPr="00185BC0" w:rsidRDefault="007F52A6" w:rsidP="007F52A6">
            <w:pPr>
              <w:rPr>
                <w:sz w:val="20"/>
                <w:szCs w:val="20"/>
              </w:rPr>
            </w:pPr>
            <w:r w:rsidRPr="00185BC0">
              <w:rPr>
                <w:sz w:val="20"/>
                <w:szCs w:val="20"/>
              </w:rPr>
              <w:t>Пластина, эндопротез, винты (титан)</w:t>
            </w:r>
          </w:p>
        </w:tc>
        <w:tc>
          <w:tcPr>
            <w:tcW w:w="3115" w:type="dxa"/>
          </w:tcPr>
          <w:p w14:paraId="0E438B8B" w14:textId="77777777" w:rsidR="007F52A6" w:rsidRPr="00185BC0" w:rsidRDefault="007F52A6" w:rsidP="007F52A6">
            <w:pPr>
              <w:jc w:val="center"/>
              <w:rPr>
                <w:sz w:val="20"/>
                <w:szCs w:val="20"/>
              </w:rPr>
            </w:pPr>
            <w:r w:rsidRPr="00185BC0">
              <w:rPr>
                <w:sz w:val="20"/>
                <w:szCs w:val="20"/>
              </w:rPr>
              <w:t>110 000</w:t>
            </w:r>
          </w:p>
        </w:tc>
        <w:tc>
          <w:tcPr>
            <w:tcW w:w="3115" w:type="dxa"/>
          </w:tcPr>
          <w:p w14:paraId="504D0DB7" w14:textId="77777777" w:rsidR="007F52A6" w:rsidRPr="00185BC0" w:rsidRDefault="007F52A6" w:rsidP="007F52A6">
            <w:pPr>
              <w:jc w:val="center"/>
              <w:rPr>
                <w:sz w:val="20"/>
                <w:szCs w:val="20"/>
              </w:rPr>
            </w:pPr>
            <w:r w:rsidRPr="00185BC0">
              <w:rPr>
                <w:sz w:val="20"/>
                <w:szCs w:val="20"/>
              </w:rPr>
              <w:t>0,3</w:t>
            </w:r>
          </w:p>
        </w:tc>
      </w:tr>
    </w:tbl>
    <w:p w14:paraId="15FD158A" w14:textId="77777777" w:rsidR="007F52A6" w:rsidRPr="00185BC0" w:rsidRDefault="007F52A6" w:rsidP="007F52A6">
      <w:pPr>
        <w:ind w:firstLine="720"/>
        <w:jc w:val="both"/>
        <w:rPr>
          <w:sz w:val="28"/>
          <w:szCs w:val="28"/>
        </w:rPr>
      </w:pPr>
    </w:p>
    <w:p w14:paraId="293018B7" w14:textId="77777777" w:rsidR="007F52A6" w:rsidRPr="00185BC0" w:rsidRDefault="007F52A6" w:rsidP="007F52A6">
      <w:pPr>
        <w:ind w:firstLine="709"/>
        <w:jc w:val="both"/>
        <w:rPr>
          <w:bCs/>
          <w:sz w:val="28"/>
          <w:szCs w:val="28"/>
        </w:rPr>
      </w:pPr>
      <w:r w:rsidRPr="00185BC0">
        <w:rPr>
          <w:bCs/>
          <w:sz w:val="28"/>
          <w:szCs w:val="28"/>
        </w:rPr>
        <w:t xml:space="preserve">Указанные физико-механические параметры легли в основу построения конечно-элементной модели, что позволило адекватно отразить </w:t>
      </w:r>
      <w:r w:rsidRPr="00185BC0">
        <w:rPr>
          <w:bCs/>
          <w:sz w:val="28"/>
          <w:szCs w:val="28"/>
        </w:rPr>
        <w:lastRenderedPageBreak/>
        <w:t>биомеханические свойства каждого компонента исследуемой системы в процессе моделирования.</w:t>
      </w:r>
    </w:p>
    <w:p w14:paraId="3530E632" w14:textId="77777777" w:rsidR="007F52A6" w:rsidRPr="00185BC0" w:rsidRDefault="007F52A6" w:rsidP="007F52A6">
      <w:pPr>
        <w:ind w:firstLine="709"/>
        <w:jc w:val="both"/>
        <w:rPr>
          <w:bCs/>
          <w:sz w:val="28"/>
          <w:szCs w:val="28"/>
        </w:rPr>
      </w:pPr>
      <w:r w:rsidRPr="00185BC0">
        <w:rPr>
          <w:bCs/>
          <w:sz w:val="28"/>
          <w:szCs w:val="28"/>
        </w:rPr>
        <w:t>Для приближения условий моделирования к физиологическим была задана основная функциональная нагрузка в виде вертикальной силы (F₁ = 1000 Н), приложенной к центру головки бедренной кости или головке эндопротеза. Дополнительно для оценки ротационных смещений была введена горизонтальная сила (F₂ = 200 Н). Эти значения выбраны для имитации типовых биомеханических нагрузок, возникающих в тазобедренном суставе при опорной функции нижней конечности.</w:t>
      </w:r>
    </w:p>
    <w:p w14:paraId="2FFBCB1B" w14:textId="77777777" w:rsidR="007F52A6" w:rsidRPr="00185BC0" w:rsidRDefault="007F52A6" w:rsidP="007F52A6">
      <w:pPr>
        <w:ind w:firstLine="709"/>
        <w:jc w:val="both"/>
        <w:rPr>
          <w:bCs/>
          <w:sz w:val="28"/>
          <w:szCs w:val="28"/>
        </w:rPr>
      </w:pPr>
      <w:r w:rsidRPr="00185BC0">
        <w:rPr>
          <w:bCs/>
          <w:sz w:val="28"/>
          <w:szCs w:val="28"/>
        </w:rPr>
        <w:t xml:space="preserve">С использованием метода конечных элементов (МКЭ) была проведена оценка напряжённо-деформированного состояния (НДС) и биомеханического поведения системы «эндопротез – бедренная кость – </w:t>
      </w:r>
      <w:proofErr w:type="spellStart"/>
      <w:r w:rsidRPr="00185BC0">
        <w:rPr>
          <w:bCs/>
          <w:sz w:val="28"/>
          <w:szCs w:val="28"/>
        </w:rPr>
        <w:t>деротационная</w:t>
      </w:r>
      <w:proofErr w:type="spellEnd"/>
      <w:r w:rsidRPr="00185BC0">
        <w:rPr>
          <w:bCs/>
          <w:sz w:val="28"/>
          <w:szCs w:val="28"/>
        </w:rPr>
        <w:t xml:space="preserve"> пластина» при заданных условиях нагружения. Моделирование позволило выявить характер распределения нагрузок, зоны концентрации напряжений и общее механическое поведение исследуемой конструкции.</w:t>
      </w:r>
    </w:p>
    <w:p w14:paraId="69AB9476" w14:textId="77777777" w:rsidR="007F52A6" w:rsidRPr="00185BC0" w:rsidRDefault="007F52A6" w:rsidP="007F52A6">
      <w:pPr>
        <w:ind w:firstLine="709"/>
        <w:jc w:val="both"/>
        <w:rPr>
          <w:bCs/>
          <w:sz w:val="28"/>
          <w:szCs w:val="28"/>
        </w:rPr>
      </w:pPr>
      <w:r w:rsidRPr="00185BC0">
        <w:rPr>
          <w:bCs/>
          <w:sz w:val="28"/>
          <w:szCs w:val="28"/>
        </w:rPr>
        <w:t xml:space="preserve">Кроме того, в рамках данного исследования была выполнена оценка запаса прочности конструкции. Для этого использовался критерий эквивалентных напряжений по </w:t>
      </w:r>
      <w:proofErr w:type="spellStart"/>
      <w:r w:rsidRPr="00185BC0">
        <w:rPr>
          <w:bCs/>
          <w:sz w:val="28"/>
          <w:szCs w:val="28"/>
        </w:rPr>
        <w:t>Мизесу</w:t>
      </w:r>
      <w:proofErr w:type="spellEnd"/>
      <w:r w:rsidRPr="00185BC0">
        <w:rPr>
          <w:bCs/>
          <w:sz w:val="28"/>
          <w:szCs w:val="28"/>
        </w:rPr>
        <w:t>, в соответствии с которым проводилось сравнение предела текучести каждого материала с максимальным значением напряжения, полученным в ходе конечно-элементного анализа.</w:t>
      </w:r>
    </w:p>
    <w:p w14:paraId="766B61E8" w14:textId="77C8E174" w:rsidR="007F52A6" w:rsidRPr="00185BC0" w:rsidRDefault="007F52A6" w:rsidP="007F52A6">
      <w:pPr>
        <w:ind w:firstLine="709"/>
        <w:jc w:val="both"/>
        <w:rPr>
          <w:bCs/>
          <w:sz w:val="28"/>
          <w:szCs w:val="28"/>
        </w:rPr>
      </w:pPr>
      <w:r w:rsidRPr="00185BC0">
        <w:rPr>
          <w:bCs/>
          <w:sz w:val="28"/>
          <w:szCs w:val="28"/>
        </w:rPr>
        <w:t>Коэффициент запаса прочности (SF) рассчитывался по следующей формуле</w:t>
      </w:r>
      <w:r w:rsidR="00D64D66" w:rsidRPr="00185BC0">
        <w:rPr>
          <w:bCs/>
          <w:sz w:val="28"/>
          <w:szCs w:val="28"/>
          <w:lang w:val="kk-KZ"/>
        </w:rPr>
        <w:t xml:space="preserve"> </w:t>
      </w:r>
      <w:r w:rsidR="00D64D66" w:rsidRPr="00185BC0">
        <w:rPr>
          <w:bCs/>
          <w:sz w:val="28"/>
          <w:szCs w:val="28"/>
        </w:rPr>
        <w:t>(1)</w:t>
      </w:r>
      <w:r w:rsidRPr="00185BC0">
        <w:rPr>
          <w:bCs/>
          <w:sz w:val="28"/>
          <w:szCs w:val="28"/>
        </w:rPr>
        <w:t>:</w:t>
      </w:r>
    </w:p>
    <w:p w14:paraId="2510E766" w14:textId="77777777" w:rsidR="00D64D66" w:rsidRPr="00185BC0" w:rsidRDefault="00D64D66" w:rsidP="007F52A6">
      <w:pPr>
        <w:ind w:firstLine="709"/>
        <w:jc w:val="both"/>
        <w:rPr>
          <w:bCs/>
          <w:sz w:val="28"/>
          <w:szCs w:val="28"/>
        </w:rPr>
      </w:pPr>
    </w:p>
    <w:p w14:paraId="0A16B77C" w14:textId="2489D715" w:rsidR="00D64D66" w:rsidRPr="00185BC0" w:rsidRDefault="00907AE6" w:rsidP="00D64D66">
      <w:pPr>
        <w:ind w:firstLine="709"/>
        <w:jc w:val="center"/>
        <w:rPr>
          <w:bCs/>
          <w:sz w:val="28"/>
          <w:szCs w:val="28"/>
          <w:lang w:val="kk-KZ"/>
        </w:rPr>
      </w:pPr>
      <m:oMath>
        <m:r>
          <w:rPr>
            <w:rFonts w:ascii="Cambria Math" w:hAnsi="Cambria Math"/>
            <w:sz w:val="28"/>
            <w:szCs w:val="28"/>
            <w:lang w:val="en-US"/>
          </w:rPr>
          <m:t>SF</m:t>
        </m:r>
        <m:r>
          <w:rPr>
            <w:rFonts w:ascii="Cambria Math" w:hAnsi="Cambria Math"/>
            <w:sz w:val="28"/>
            <w:szCs w:val="28"/>
          </w:rPr>
          <m:t xml:space="preserve"> =</m:t>
        </m:r>
        <m:f>
          <m:fPr>
            <m:ctrlPr>
              <w:rPr>
                <w:rFonts w:ascii="Cambria Math" w:hAnsi="Cambria Math"/>
                <w:i/>
                <w:sz w:val="28"/>
                <w:szCs w:val="28"/>
                <w:lang w:val="en-US"/>
              </w:rPr>
            </m:ctrlPr>
          </m:fPr>
          <m:num>
            <m:r>
              <w:rPr>
                <w:rFonts w:ascii="Cambria Math" w:hAnsi="Cambria Math"/>
                <w:sz w:val="28"/>
                <w:szCs w:val="28"/>
                <w:lang w:val="en-US"/>
              </w:rPr>
              <m:t>σyield</m:t>
            </m:r>
            <m:r>
              <w:rPr>
                <w:rFonts w:ascii="Cambria Math" w:hAnsi="Cambria Math"/>
                <w:sz w:val="28"/>
                <w:szCs w:val="28"/>
              </w:rPr>
              <m:t>​</m:t>
            </m:r>
          </m:num>
          <m:den>
            <m:r>
              <w:rPr>
                <w:rFonts w:ascii="Cambria Math" w:hAnsi="Cambria Math"/>
                <w:sz w:val="28"/>
                <w:szCs w:val="28"/>
                <w:lang w:val="en-US"/>
              </w:rPr>
              <m:t>σmax</m:t>
            </m:r>
          </m:den>
        </m:f>
        <m:r>
          <w:rPr>
            <w:rFonts w:ascii="Cambria Math" w:hAnsi="Cambria Math"/>
            <w:sz w:val="28"/>
            <w:szCs w:val="28"/>
          </w:rPr>
          <m:t xml:space="preserve"> </m:t>
        </m:r>
      </m:oMath>
      <w:r w:rsidR="00D64D66" w:rsidRPr="00185BC0">
        <w:rPr>
          <w:sz w:val="28"/>
          <w:szCs w:val="28"/>
        </w:rPr>
        <w:t xml:space="preserve"> </w:t>
      </w:r>
      <w:r w:rsidR="00D64D66" w:rsidRPr="00185BC0">
        <w:rPr>
          <w:sz w:val="28"/>
          <w:szCs w:val="28"/>
          <w:lang w:val="kk-KZ"/>
        </w:rPr>
        <w:t>(</w:t>
      </w:r>
      <w:r w:rsidR="00D64D66" w:rsidRPr="00185BC0">
        <w:rPr>
          <w:sz w:val="28"/>
          <w:szCs w:val="28"/>
        </w:rPr>
        <w:t>1</w:t>
      </w:r>
      <w:r w:rsidR="00D64D66" w:rsidRPr="00185BC0">
        <w:rPr>
          <w:sz w:val="28"/>
          <w:szCs w:val="28"/>
          <w:lang w:val="kk-KZ"/>
        </w:rPr>
        <w:t>)</w:t>
      </w:r>
    </w:p>
    <w:p w14:paraId="3397771F" w14:textId="2029CDB5" w:rsidR="007F52A6" w:rsidRPr="00185BC0" w:rsidRDefault="007F52A6" w:rsidP="007F52A6">
      <w:pPr>
        <w:ind w:firstLine="709"/>
        <w:jc w:val="both"/>
        <w:rPr>
          <w:bCs/>
          <w:sz w:val="28"/>
          <w:szCs w:val="28"/>
        </w:rPr>
      </w:pPr>
      <w:r w:rsidRPr="00185BC0">
        <w:rPr>
          <w:bCs/>
          <w:sz w:val="28"/>
          <w:szCs w:val="28"/>
        </w:rPr>
        <w:t xml:space="preserve">Расчёт коэффициента запаса прочности (SF) проводился на основе критерия эквивалентных напряжений по </w:t>
      </w:r>
      <w:proofErr w:type="spellStart"/>
      <w:r w:rsidRPr="00185BC0">
        <w:rPr>
          <w:bCs/>
          <w:sz w:val="28"/>
          <w:szCs w:val="28"/>
        </w:rPr>
        <w:t>Мизесу</w:t>
      </w:r>
      <w:proofErr w:type="spellEnd"/>
      <w:r w:rsidRPr="00185BC0">
        <w:rPr>
          <w:bCs/>
          <w:sz w:val="28"/>
          <w:szCs w:val="28"/>
        </w:rPr>
        <w:t xml:space="preserve">, при этом предел текучести материала обозначался как </w:t>
      </w:r>
      <w:r w:rsidRPr="00185BC0">
        <w:rPr>
          <w:rFonts w:ascii="Cambria Math" w:hAnsi="Cambria Math" w:cs="Cambria Math"/>
          <w:bCs/>
          <w:sz w:val="28"/>
          <w:szCs w:val="28"/>
        </w:rPr>
        <w:t>𝜎𝑦𝑖𝑒𝑙𝑑</w:t>
      </w:r>
      <w:r w:rsidRPr="00185BC0">
        <w:rPr>
          <w:bCs/>
          <w:sz w:val="28"/>
          <w:szCs w:val="28"/>
        </w:rPr>
        <w:t xml:space="preserve">, а максимальное напряжение, полученное в результате моделирования, как </w:t>
      </w:r>
      <w:r w:rsidRPr="00185BC0">
        <w:rPr>
          <w:rFonts w:ascii="Cambria Math" w:hAnsi="Cambria Math" w:cs="Cambria Math"/>
          <w:bCs/>
          <w:sz w:val="28"/>
          <w:szCs w:val="28"/>
        </w:rPr>
        <w:t>𝜎𝑚𝑎𝑥</w:t>
      </w:r>
      <w:r w:rsidRPr="00185BC0">
        <w:rPr>
          <w:bCs/>
          <w:sz w:val="28"/>
          <w:szCs w:val="28"/>
        </w:rPr>
        <w:t xml:space="preserve">. В настоящем исследовании использовались следующие значения предела текучести: для титановых компонентов (пластина, винты, эндопротез) </w:t>
      </w:r>
      <w:r w:rsidR="00DA5A93" w:rsidRPr="00185BC0">
        <w:rPr>
          <w:bCs/>
          <w:sz w:val="28"/>
          <w:szCs w:val="28"/>
        </w:rPr>
        <w:t>–</w:t>
      </w:r>
      <w:r w:rsidRPr="00185BC0">
        <w:rPr>
          <w:bCs/>
          <w:sz w:val="28"/>
          <w:szCs w:val="28"/>
        </w:rPr>
        <w:t xml:space="preserve"> 900 МПа; для кортикальной кости </w:t>
      </w:r>
      <w:r w:rsidR="00DA5A93" w:rsidRPr="00185BC0">
        <w:rPr>
          <w:bCs/>
          <w:sz w:val="28"/>
          <w:szCs w:val="28"/>
        </w:rPr>
        <w:t>–</w:t>
      </w:r>
      <w:r w:rsidRPr="00185BC0">
        <w:rPr>
          <w:bCs/>
          <w:sz w:val="28"/>
          <w:szCs w:val="28"/>
        </w:rPr>
        <w:t xml:space="preserve"> 130 МПа; для губчатой кости </w:t>
      </w:r>
      <w:r w:rsidR="00DA5A93" w:rsidRPr="00185BC0">
        <w:rPr>
          <w:bCs/>
          <w:sz w:val="28"/>
          <w:szCs w:val="28"/>
        </w:rPr>
        <w:t>–</w:t>
      </w:r>
      <w:r w:rsidRPr="00185BC0">
        <w:rPr>
          <w:bCs/>
          <w:sz w:val="28"/>
          <w:szCs w:val="28"/>
        </w:rPr>
        <w:t xml:space="preserve"> 5 МПа. Пространственное распределение коэффициента запаса прочности по всей конструкции позволяло идентифицировать потенциально уязвимые зоны: значения </w:t>
      </w:r>
      <w:proofErr w:type="gramStart"/>
      <w:r w:rsidRPr="00185BC0">
        <w:rPr>
          <w:bCs/>
          <w:sz w:val="28"/>
          <w:szCs w:val="28"/>
        </w:rPr>
        <w:t>SF &gt;</w:t>
      </w:r>
      <w:proofErr w:type="gramEnd"/>
      <w:r w:rsidRPr="00185BC0">
        <w:rPr>
          <w:bCs/>
          <w:sz w:val="28"/>
          <w:szCs w:val="28"/>
        </w:rPr>
        <w:t xml:space="preserve"> 1 указывали на безопасный уровень механических нагрузок, тогда как значения SF &lt; 1 свидетельствовали о риске превышения прочностных характеристик материала. Подобный анализ играет ключевую роль в подтверждении соответствия конструкции имплантата клиническим требованиям безопасности.</w:t>
      </w:r>
    </w:p>
    <w:p w14:paraId="54C1AC63" w14:textId="77777777" w:rsidR="007F52A6" w:rsidRPr="00185BC0" w:rsidRDefault="007F52A6" w:rsidP="007F52A6">
      <w:pPr>
        <w:ind w:firstLine="709"/>
        <w:jc w:val="both"/>
        <w:rPr>
          <w:bCs/>
          <w:sz w:val="28"/>
          <w:szCs w:val="28"/>
        </w:rPr>
      </w:pPr>
      <w:r w:rsidRPr="00185BC0">
        <w:rPr>
          <w:bCs/>
          <w:sz w:val="28"/>
          <w:szCs w:val="28"/>
        </w:rPr>
        <w:t xml:space="preserve">Различия в механических свойствах компонентов исследуемой системы имеют важное значение для её функциональной надёжности. Так, высокий модуль упругости титана обеспечивает прочность и устойчивость </w:t>
      </w:r>
      <w:proofErr w:type="spellStart"/>
      <w:r w:rsidRPr="00185BC0">
        <w:rPr>
          <w:bCs/>
          <w:sz w:val="28"/>
          <w:szCs w:val="28"/>
        </w:rPr>
        <w:t>деротационной</w:t>
      </w:r>
      <w:proofErr w:type="spellEnd"/>
      <w:r w:rsidRPr="00185BC0">
        <w:rPr>
          <w:bCs/>
          <w:sz w:val="28"/>
          <w:szCs w:val="28"/>
        </w:rPr>
        <w:t xml:space="preserve"> пластины, в то время как сравнительно низкие значения модуля упругости для кортикальной и губчатой костей отражают их гибкость и способность к амортизации нагрузки. Эти характеристики особенно важны для биомеханической совместимости конструкции с окружающими тканями и </w:t>
      </w:r>
      <w:r w:rsidRPr="00185BC0">
        <w:rPr>
          <w:bCs/>
          <w:sz w:val="28"/>
          <w:szCs w:val="28"/>
        </w:rPr>
        <w:lastRenderedPageBreak/>
        <w:t>минимизации эффекта экранирования нагрузки (</w:t>
      </w:r>
      <w:proofErr w:type="spellStart"/>
      <w:r w:rsidRPr="00185BC0">
        <w:rPr>
          <w:bCs/>
          <w:sz w:val="28"/>
          <w:szCs w:val="28"/>
        </w:rPr>
        <w:t>stress</w:t>
      </w:r>
      <w:proofErr w:type="spellEnd"/>
      <w:r w:rsidRPr="00185BC0">
        <w:rPr>
          <w:bCs/>
          <w:sz w:val="28"/>
          <w:szCs w:val="28"/>
        </w:rPr>
        <w:t xml:space="preserve"> </w:t>
      </w:r>
      <w:proofErr w:type="spellStart"/>
      <w:r w:rsidRPr="00185BC0">
        <w:rPr>
          <w:bCs/>
          <w:sz w:val="28"/>
          <w:szCs w:val="28"/>
        </w:rPr>
        <w:t>shielding</w:t>
      </w:r>
      <w:proofErr w:type="spellEnd"/>
      <w:r w:rsidRPr="00185BC0">
        <w:rPr>
          <w:bCs/>
          <w:sz w:val="28"/>
          <w:szCs w:val="28"/>
        </w:rPr>
        <w:t xml:space="preserve">). Полученные результаты моделирования позволили оптимизировать конструкцию пластины, обеспечив необходимую поддержку при одновременном снижении риска таких осложнений, как ослабление фиксации, усталостное разрушение и нарушение </w:t>
      </w:r>
      <w:proofErr w:type="spellStart"/>
      <w:r w:rsidRPr="00185BC0">
        <w:rPr>
          <w:bCs/>
          <w:sz w:val="28"/>
          <w:szCs w:val="28"/>
        </w:rPr>
        <w:t>остеоинтеграции</w:t>
      </w:r>
      <w:proofErr w:type="spellEnd"/>
      <w:r w:rsidRPr="00185BC0">
        <w:rPr>
          <w:bCs/>
          <w:sz w:val="28"/>
          <w:szCs w:val="28"/>
        </w:rPr>
        <w:t>.</w:t>
      </w:r>
    </w:p>
    <w:p w14:paraId="24FF40C9" w14:textId="2C700DB3" w:rsidR="007F52A6" w:rsidRPr="00185BC0" w:rsidRDefault="007F52A6" w:rsidP="007F52A6">
      <w:pPr>
        <w:ind w:firstLine="709"/>
        <w:jc w:val="both"/>
        <w:rPr>
          <w:bCs/>
          <w:sz w:val="28"/>
          <w:szCs w:val="28"/>
        </w:rPr>
      </w:pPr>
      <w:r w:rsidRPr="00185BC0">
        <w:rPr>
          <w:bCs/>
          <w:sz w:val="28"/>
          <w:szCs w:val="28"/>
        </w:rPr>
        <w:t>В модели конечно-элементного анализа (КЭА), применённой в настоящем исследовании, большое внимание было уделено корректному описанию взаимодействия между компонентами конструкции: костью, эндопротезом, пластиной и винтами. На границе "кость</w:t>
      </w:r>
      <w:r w:rsidR="009D1A41" w:rsidRPr="00185BC0">
        <w:rPr>
          <w:bCs/>
          <w:sz w:val="28"/>
          <w:szCs w:val="28"/>
          <w:lang w:val="kk-KZ"/>
        </w:rPr>
        <w:t xml:space="preserve"> </w:t>
      </w:r>
      <w:r w:rsidRPr="00185BC0">
        <w:rPr>
          <w:bCs/>
          <w:sz w:val="28"/>
          <w:szCs w:val="28"/>
        </w:rPr>
        <w:t>–</w:t>
      </w:r>
      <w:r w:rsidR="009D1A41" w:rsidRPr="00185BC0">
        <w:rPr>
          <w:bCs/>
          <w:sz w:val="28"/>
          <w:szCs w:val="28"/>
          <w:lang w:val="kk-KZ"/>
        </w:rPr>
        <w:t xml:space="preserve"> </w:t>
      </w:r>
      <w:r w:rsidRPr="00185BC0">
        <w:rPr>
          <w:bCs/>
          <w:sz w:val="28"/>
          <w:szCs w:val="28"/>
        </w:rPr>
        <w:t>эндопротез" была задана контактная связь с коэффициентом трения 0,3, позволяющая частичные микродвижения</w:t>
      </w:r>
      <w:r w:rsidR="009D1A41" w:rsidRPr="00185BC0">
        <w:rPr>
          <w:bCs/>
          <w:sz w:val="28"/>
          <w:szCs w:val="28"/>
          <w:lang w:val="kk-KZ"/>
        </w:rPr>
        <w:t xml:space="preserve"> </w:t>
      </w:r>
      <w:proofErr w:type="gramStart"/>
      <w:r w:rsidR="009D1A41" w:rsidRPr="00185BC0">
        <w:rPr>
          <w:bCs/>
          <w:sz w:val="28"/>
          <w:szCs w:val="28"/>
          <w:lang w:val="kk-KZ"/>
        </w:rPr>
        <w:t xml:space="preserve">и  </w:t>
      </w:r>
      <w:proofErr w:type="spellStart"/>
      <w:r w:rsidRPr="00185BC0">
        <w:rPr>
          <w:bCs/>
          <w:sz w:val="28"/>
          <w:szCs w:val="28"/>
        </w:rPr>
        <w:t>имитирующ</w:t>
      </w:r>
      <w:proofErr w:type="spellEnd"/>
      <w:r w:rsidR="009D1A41" w:rsidRPr="00185BC0">
        <w:rPr>
          <w:bCs/>
          <w:sz w:val="28"/>
          <w:szCs w:val="28"/>
          <w:lang w:val="kk-KZ"/>
        </w:rPr>
        <w:t>ая</w:t>
      </w:r>
      <w:proofErr w:type="gramEnd"/>
      <w:r w:rsidRPr="00185BC0">
        <w:rPr>
          <w:bCs/>
          <w:sz w:val="28"/>
          <w:szCs w:val="28"/>
        </w:rPr>
        <w:t xml:space="preserve"> ранний послеоперационный период до полной </w:t>
      </w:r>
      <w:proofErr w:type="spellStart"/>
      <w:r w:rsidRPr="00185BC0">
        <w:rPr>
          <w:bCs/>
          <w:sz w:val="28"/>
          <w:szCs w:val="28"/>
        </w:rPr>
        <w:t>остеоинтеграции</w:t>
      </w:r>
      <w:proofErr w:type="spellEnd"/>
      <w:r w:rsidRPr="00185BC0">
        <w:rPr>
          <w:bCs/>
          <w:sz w:val="28"/>
          <w:szCs w:val="28"/>
        </w:rPr>
        <w:t>. Для контакта "кость</w:t>
      </w:r>
      <w:r w:rsidR="009D1A41" w:rsidRPr="00185BC0">
        <w:rPr>
          <w:bCs/>
          <w:sz w:val="28"/>
          <w:szCs w:val="28"/>
          <w:lang w:val="kk-KZ"/>
        </w:rPr>
        <w:t xml:space="preserve"> </w:t>
      </w:r>
      <w:r w:rsidRPr="00185BC0">
        <w:rPr>
          <w:bCs/>
          <w:sz w:val="28"/>
          <w:szCs w:val="28"/>
        </w:rPr>
        <w:t>–</w:t>
      </w:r>
      <w:r w:rsidR="009D1A41" w:rsidRPr="00185BC0">
        <w:rPr>
          <w:bCs/>
          <w:sz w:val="28"/>
          <w:szCs w:val="28"/>
          <w:lang w:val="kk-KZ"/>
        </w:rPr>
        <w:t xml:space="preserve"> </w:t>
      </w:r>
      <w:r w:rsidRPr="00185BC0">
        <w:rPr>
          <w:bCs/>
          <w:sz w:val="28"/>
          <w:szCs w:val="28"/>
        </w:rPr>
        <w:t>пластина" использовалась модель поверхностного взаимодействия с коэффициентом трения 0,42, обеспечивающая надёжную передачу нагрузки и предотвращающая смещение фрагментов остеотомии. Контакт "винт</w:t>
      </w:r>
      <w:r w:rsidR="009D1A41" w:rsidRPr="00185BC0">
        <w:rPr>
          <w:bCs/>
          <w:sz w:val="28"/>
          <w:szCs w:val="28"/>
          <w:lang w:val="kk-KZ"/>
        </w:rPr>
        <w:t xml:space="preserve"> </w:t>
      </w:r>
      <w:r w:rsidRPr="00185BC0">
        <w:rPr>
          <w:bCs/>
          <w:sz w:val="28"/>
          <w:szCs w:val="28"/>
        </w:rPr>
        <w:t>–</w:t>
      </w:r>
      <w:r w:rsidR="009D1A41" w:rsidRPr="00185BC0">
        <w:rPr>
          <w:bCs/>
          <w:sz w:val="28"/>
          <w:szCs w:val="28"/>
          <w:lang w:val="kk-KZ"/>
        </w:rPr>
        <w:t xml:space="preserve"> </w:t>
      </w:r>
      <w:r w:rsidRPr="00185BC0">
        <w:rPr>
          <w:bCs/>
          <w:sz w:val="28"/>
          <w:szCs w:val="28"/>
        </w:rPr>
        <w:t xml:space="preserve">кость" моделировался с коэффициентом трения 0,4, причём фиксирующие (блокирующие) винты задавались как жёстко зафиксированные элементы, исключающие </w:t>
      </w:r>
      <w:proofErr w:type="spellStart"/>
      <w:r w:rsidRPr="00185BC0">
        <w:rPr>
          <w:bCs/>
          <w:sz w:val="28"/>
          <w:szCs w:val="28"/>
        </w:rPr>
        <w:t>микроподвижность</w:t>
      </w:r>
      <w:proofErr w:type="spellEnd"/>
      <w:r w:rsidRPr="00185BC0">
        <w:rPr>
          <w:bCs/>
          <w:sz w:val="28"/>
          <w:szCs w:val="28"/>
        </w:rPr>
        <w:t>. Контакт "винт</w:t>
      </w:r>
      <w:r w:rsidR="009D1A41" w:rsidRPr="00185BC0">
        <w:rPr>
          <w:bCs/>
          <w:sz w:val="28"/>
          <w:szCs w:val="28"/>
          <w:lang w:val="kk-KZ"/>
        </w:rPr>
        <w:t xml:space="preserve"> </w:t>
      </w:r>
      <w:r w:rsidRPr="00185BC0">
        <w:rPr>
          <w:bCs/>
          <w:sz w:val="28"/>
          <w:szCs w:val="28"/>
        </w:rPr>
        <w:t>–</w:t>
      </w:r>
      <w:r w:rsidR="009D1A41" w:rsidRPr="00185BC0">
        <w:rPr>
          <w:bCs/>
          <w:sz w:val="28"/>
          <w:szCs w:val="28"/>
          <w:lang w:val="kk-KZ"/>
        </w:rPr>
        <w:t xml:space="preserve"> </w:t>
      </w:r>
      <w:r w:rsidRPr="00185BC0">
        <w:rPr>
          <w:bCs/>
          <w:sz w:val="28"/>
          <w:szCs w:val="28"/>
        </w:rPr>
        <w:t>пластина" был смоделирован как абсолютно прочное (жёсткое) соединение, что отражало надёжную посадку винтов в отверстиях пластины и предотвращало их ослабление при нагрузке.</w:t>
      </w:r>
    </w:p>
    <w:p w14:paraId="6F652B4B" w14:textId="77777777" w:rsidR="007F52A6" w:rsidRPr="00185BC0" w:rsidRDefault="007F52A6" w:rsidP="007F52A6">
      <w:pPr>
        <w:ind w:firstLine="709"/>
        <w:jc w:val="both"/>
        <w:rPr>
          <w:bCs/>
          <w:sz w:val="28"/>
          <w:szCs w:val="28"/>
        </w:rPr>
      </w:pPr>
      <w:r w:rsidRPr="00185BC0">
        <w:rPr>
          <w:bCs/>
          <w:sz w:val="28"/>
          <w:szCs w:val="28"/>
        </w:rPr>
        <w:t xml:space="preserve">Такая конфигурация контактных взаимодействий обеспечивала реалистичное моделирование распределения напряжений, передачи нагрузки и общей механической стабильности конструкции в рамках метода конечных элементов, соответствуя современным </w:t>
      </w:r>
      <w:proofErr w:type="spellStart"/>
      <w:r w:rsidRPr="00185BC0">
        <w:rPr>
          <w:bCs/>
          <w:sz w:val="28"/>
          <w:szCs w:val="28"/>
        </w:rPr>
        <w:t>валидационным</w:t>
      </w:r>
      <w:proofErr w:type="spellEnd"/>
      <w:r w:rsidRPr="00185BC0">
        <w:rPr>
          <w:bCs/>
          <w:sz w:val="28"/>
          <w:szCs w:val="28"/>
        </w:rPr>
        <w:t xml:space="preserve"> стандартам биомеханических исследований в ортопедии.</w:t>
      </w:r>
    </w:p>
    <w:p w14:paraId="173AD901" w14:textId="3ECA1D05" w:rsidR="007F52A6" w:rsidRPr="00185BC0" w:rsidRDefault="007F52A6" w:rsidP="007F52A6">
      <w:pPr>
        <w:ind w:firstLine="709"/>
        <w:jc w:val="both"/>
        <w:rPr>
          <w:bCs/>
          <w:sz w:val="28"/>
          <w:szCs w:val="28"/>
        </w:rPr>
      </w:pPr>
      <w:r w:rsidRPr="00185BC0">
        <w:rPr>
          <w:bCs/>
          <w:sz w:val="28"/>
          <w:szCs w:val="28"/>
        </w:rPr>
        <w:t>Проведённое численное моделирование закладывает основу для последующей экспериментальной верификации и клинического применения, акцентируя значимость использования компьютерных технологий при проектировании и совершенствовании современных ортопедических имплантатов. Трёхмерные компьютерные модели конструкции представлены на рисунке 12.</w:t>
      </w:r>
    </w:p>
    <w:p w14:paraId="6AC80B93" w14:textId="77777777" w:rsidR="006A73B6" w:rsidRPr="00185BC0" w:rsidRDefault="006A73B6" w:rsidP="007F52A6">
      <w:pPr>
        <w:ind w:firstLine="709"/>
        <w:jc w:val="both"/>
        <w:rPr>
          <w:bCs/>
          <w:sz w:val="28"/>
          <w:szCs w:val="28"/>
        </w:rPr>
      </w:pPr>
    </w:p>
    <w:p w14:paraId="21512839" w14:textId="5D7E0271" w:rsidR="006A73B6" w:rsidRPr="00185BC0" w:rsidRDefault="00147BC6" w:rsidP="009D1A41">
      <w:pPr>
        <w:ind w:firstLine="426"/>
        <w:jc w:val="center"/>
        <w:rPr>
          <w:bCs/>
          <w:sz w:val="28"/>
          <w:szCs w:val="28"/>
        </w:rPr>
      </w:pPr>
      <w:r w:rsidRPr="00185BC0">
        <w:rPr>
          <w:bCs/>
          <w:noProof/>
          <w:sz w:val="28"/>
          <w:szCs w:val="28"/>
        </w:rPr>
        <w:drawing>
          <wp:inline distT="0" distB="0" distL="0" distR="0" wp14:anchorId="6C440976" wp14:editId="09C0CB1B">
            <wp:extent cx="4718050" cy="2622316"/>
            <wp:effectExtent l="0" t="0" r="6350" b="6985"/>
            <wp:docPr id="1507999122" name="Рисунок 1507999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66436" cy="2649209"/>
                    </a:xfrm>
                    <a:prstGeom prst="rect">
                      <a:avLst/>
                    </a:prstGeom>
                  </pic:spPr>
                </pic:pic>
              </a:graphicData>
            </a:graphic>
          </wp:inline>
        </w:drawing>
      </w:r>
    </w:p>
    <w:p w14:paraId="47A3BF79" w14:textId="4FFFBF0D" w:rsidR="007F52A6" w:rsidRPr="00185BC0" w:rsidRDefault="007F52A6" w:rsidP="00426487">
      <w:pPr>
        <w:ind w:firstLine="426"/>
        <w:rPr>
          <w:bCs/>
          <w:sz w:val="28"/>
          <w:szCs w:val="28"/>
        </w:rPr>
      </w:pPr>
      <w:r w:rsidRPr="00185BC0">
        <w:rPr>
          <w:bCs/>
          <w:sz w:val="28"/>
          <w:szCs w:val="28"/>
        </w:rPr>
        <w:lastRenderedPageBreak/>
        <w:t xml:space="preserve">      </w:t>
      </w:r>
    </w:p>
    <w:p w14:paraId="33E66269" w14:textId="70B6FFB4" w:rsidR="007F52A6" w:rsidRPr="00185BC0" w:rsidRDefault="007F52A6" w:rsidP="00EF5D1F">
      <w:pPr>
        <w:ind w:firstLine="709"/>
        <w:jc w:val="center"/>
        <w:rPr>
          <w:bCs/>
          <w:sz w:val="28"/>
          <w:szCs w:val="28"/>
        </w:rPr>
      </w:pPr>
      <w:r w:rsidRPr="00185BC0">
        <w:rPr>
          <w:bCs/>
          <w:sz w:val="28"/>
          <w:szCs w:val="28"/>
        </w:rPr>
        <w:t>Рисунок 12</w:t>
      </w:r>
      <w:r w:rsidR="00EF5D1F" w:rsidRPr="00185BC0">
        <w:rPr>
          <w:bCs/>
          <w:sz w:val="28"/>
          <w:szCs w:val="28"/>
          <w:lang w:val="kk-KZ"/>
        </w:rPr>
        <w:t xml:space="preserve"> – </w:t>
      </w:r>
      <w:r w:rsidRPr="00185BC0">
        <w:rPr>
          <w:bCs/>
          <w:sz w:val="28"/>
          <w:szCs w:val="28"/>
        </w:rPr>
        <w:t xml:space="preserve">Компьютерная модель исследуемой системы «эндопротез – бедренная кость – </w:t>
      </w:r>
      <w:proofErr w:type="spellStart"/>
      <w:r w:rsidRPr="00185BC0">
        <w:rPr>
          <w:bCs/>
          <w:sz w:val="28"/>
          <w:szCs w:val="28"/>
        </w:rPr>
        <w:t>деротационная</w:t>
      </w:r>
      <w:proofErr w:type="spellEnd"/>
      <w:r w:rsidRPr="00185BC0">
        <w:rPr>
          <w:bCs/>
          <w:sz w:val="28"/>
          <w:szCs w:val="28"/>
        </w:rPr>
        <w:t xml:space="preserve"> пластина»: </w:t>
      </w:r>
      <w:r w:rsidR="009D1A41" w:rsidRPr="00185BC0">
        <w:rPr>
          <w:bCs/>
          <w:sz w:val="28"/>
          <w:szCs w:val="28"/>
          <w:lang w:val="kk-KZ"/>
        </w:rPr>
        <w:t>А)</w:t>
      </w:r>
      <w:r w:rsidRPr="00185BC0">
        <w:rPr>
          <w:bCs/>
          <w:sz w:val="28"/>
          <w:szCs w:val="28"/>
        </w:rPr>
        <w:t xml:space="preserve"> общий вид системы с анатомическим контекстом (бедренная кость, винты, пластина, спицы); </w:t>
      </w:r>
      <w:r w:rsidR="009D1A41" w:rsidRPr="00185BC0">
        <w:rPr>
          <w:bCs/>
          <w:sz w:val="28"/>
          <w:szCs w:val="28"/>
          <w:lang w:val="kk-KZ"/>
        </w:rPr>
        <w:t>Б</w:t>
      </w:r>
      <w:r w:rsidRPr="00185BC0">
        <w:rPr>
          <w:bCs/>
          <w:sz w:val="28"/>
          <w:szCs w:val="28"/>
        </w:rPr>
        <w:t>) акцент на конструктивные элементы фиксации (</w:t>
      </w:r>
      <w:proofErr w:type="spellStart"/>
      <w:r w:rsidRPr="00185BC0">
        <w:rPr>
          <w:bCs/>
          <w:sz w:val="28"/>
          <w:szCs w:val="28"/>
        </w:rPr>
        <w:t>деротационная</w:t>
      </w:r>
      <w:proofErr w:type="spellEnd"/>
      <w:r w:rsidRPr="00185BC0">
        <w:rPr>
          <w:bCs/>
          <w:sz w:val="28"/>
          <w:szCs w:val="28"/>
        </w:rPr>
        <w:t xml:space="preserve"> пластина, винты, спицы)</w:t>
      </w:r>
    </w:p>
    <w:p w14:paraId="285A2AE4" w14:textId="77777777" w:rsidR="007F52A6" w:rsidRPr="00185BC0" w:rsidRDefault="007F52A6" w:rsidP="007F52A6">
      <w:pPr>
        <w:ind w:firstLine="709"/>
        <w:jc w:val="both"/>
        <w:rPr>
          <w:bCs/>
          <w:sz w:val="28"/>
          <w:szCs w:val="28"/>
        </w:rPr>
      </w:pPr>
    </w:p>
    <w:p w14:paraId="262C3104" w14:textId="77777777" w:rsidR="007F52A6" w:rsidRPr="00185BC0" w:rsidRDefault="007F52A6" w:rsidP="007F52A6">
      <w:pPr>
        <w:ind w:firstLine="709"/>
        <w:jc w:val="both"/>
        <w:rPr>
          <w:bCs/>
          <w:sz w:val="28"/>
          <w:szCs w:val="28"/>
        </w:rPr>
      </w:pPr>
      <w:r w:rsidRPr="00185BC0">
        <w:rPr>
          <w:bCs/>
          <w:sz w:val="28"/>
          <w:szCs w:val="28"/>
        </w:rPr>
        <w:t xml:space="preserve">Математическая модель, построенная по методу конечных элементов (МКЭ) для бедренной кости с установленными эндопротезом и </w:t>
      </w:r>
      <w:proofErr w:type="spellStart"/>
      <w:r w:rsidRPr="00185BC0">
        <w:rPr>
          <w:bCs/>
          <w:sz w:val="28"/>
          <w:szCs w:val="28"/>
        </w:rPr>
        <w:t>деротационной</w:t>
      </w:r>
      <w:proofErr w:type="spellEnd"/>
      <w:r w:rsidRPr="00185BC0">
        <w:rPr>
          <w:bCs/>
          <w:sz w:val="28"/>
          <w:szCs w:val="28"/>
        </w:rPr>
        <w:t xml:space="preserve"> пластиной, представляет собой ключевой этап в оценке биомеханических характеристик исследуемой системы. С применением современных программных платформ, включая </w:t>
      </w:r>
      <w:proofErr w:type="spellStart"/>
      <w:r w:rsidRPr="00185BC0">
        <w:rPr>
          <w:bCs/>
          <w:sz w:val="28"/>
          <w:szCs w:val="28"/>
        </w:rPr>
        <w:t>SolidWorks</w:t>
      </w:r>
      <w:proofErr w:type="spellEnd"/>
      <w:r w:rsidRPr="00185BC0">
        <w:rPr>
          <w:bCs/>
          <w:sz w:val="28"/>
          <w:szCs w:val="28"/>
        </w:rPr>
        <w:t xml:space="preserve"> 2023, Autodesk </w:t>
      </w:r>
      <w:proofErr w:type="spellStart"/>
      <w:r w:rsidRPr="00185BC0">
        <w:rPr>
          <w:bCs/>
          <w:sz w:val="28"/>
          <w:szCs w:val="28"/>
        </w:rPr>
        <w:t>Inventor</w:t>
      </w:r>
      <w:proofErr w:type="spellEnd"/>
      <w:r w:rsidRPr="00185BC0">
        <w:rPr>
          <w:bCs/>
          <w:sz w:val="28"/>
          <w:szCs w:val="28"/>
        </w:rPr>
        <w:t xml:space="preserve"> Professional 2023 и KOMPAS-3D v19.0 (модуль APM FEM), была выполнена дискретизация трёхмерной геометрии в виде сеточной модели, необходимой для анализа напряжённо-деформированного состояния (НДС).</w:t>
      </w:r>
    </w:p>
    <w:p w14:paraId="0861252C" w14:textId="77777777" w:rsidR="007F52A6" w:rsidRPr="00185BC0" w:rsidRDefault="007F52A6" w:rsidP="007F52A6">
      <w:pPr>
        <w:ind w:firstLine="709"/>
        <w:jc w:val="both"/>
        <w:rPr>
          <w:bCs/>
          <w:sz w:val="28"/>
          <w:szCs w:val="28"/>
        </w:rPr>
      </w:pPr>
      <w:r w:rsidRPr="00185BC0">
        <w:rPr>
          <w:bCs/>
          <w:sz w:val="28"/>
          <w:szCs w:val="28"/>
        </w:rPr>
        <w:t>Конечная модель включала 52 704 линейных тетраэдрических элемента, что позволило точно отразить сложную анатомическую форму и разнородные механические свойства компонентов системы. Общее число узлов сетки составило 86 463, что обеспечило высокую разрешающую способность и точность численного расчёта. Использование сетки с высоким уровнем детализации позволило провести симуляции, моделирующие передачу нагрузки, распределение напряжений и поведение конструкции под воздействием физиологических сил.</w:t>
      </w:r>
    </w:p>
    <w:p w14:paraId="11DBBDBD" w14:textId="76B8EF2C" w:rsidR="007F52A6" w:rsidRPr="00185BC0" w:rsidRDefault="007F52A6" w:rsidP="007F52A6">
      <w:pPr>
        <w:ind w:firstLine="709"/>
        <w:jc w:val="both"/>
        <w:rPr>
          <w:bCs/>
          <w:sz w:val="28"/>
          <w:szCs w:val="28"/>
        </w:rPr>
      </w:pPr>
      <w:r w:rsidRPr="00185BC0">
        <w:rPr>
          <w:bCs/>
          <w:sz w:val="28"/>
          <w:szCs w:val="28"/>
        </w:rPr>
        <w:t xml:space="preserve">Данный подход имеет особую значимость для глубокого понимания взаимодействия между элементами конструкции </w:t>
      </w:r>
      <w:r w:rsidR="00DA5A93" w:rsidRPr="00185BC0">
        <w:rPr>
          <w:bCs/>
          <w:sz w:val="28"/>
          <w:szCs w:val="28"/>
        </w:rPr>
        <w:t>–</w:t>
      </w:r>
      <w:r w:rsidRPr="00185BC0">
        <w:rPr>
          <w:bCs/>
          <w:sz w:val="28"/>
          <w:szCs w:val="28"/>
        </w:rPr>
        <w:t xml:space="preserve"> эндопротезом, бедренной костью и </w:t>
      </w:r>
      <w:proofErr w:type="spellStart"/>
      <w:r w:rsidRPr="00185BC0">
        <w:rPr>
          <w:bCs/>
          <w:sz w:val="28"/>
          <w:szCs w:val="28"/>
        </w:rPr>
        <w:t>деротационной</w:t>
      </w:r>
      <w:proofErr w:type="spellEnd"/>
      <w:r w:rsidRPr="00185BC0">
        <w:rPr>
          <w:bCs/>
          <w:sz w:val="28"/>
          <w:szCs w:val="28"/>
        </w:rPr>
        <w:t xml:space="preserve"> пластиной. Полученные данные необходимы для последующей оптимизации конструкции имплантата, снижения вероятности механических осложнений и улучшения клинических результатов. Иллюстрация сеточной модели системы представлена на рисунке 13.</w:t>
      </w:r>
    </w:p>
    <w:p w14:paraId="360AAA57" w14:textId="77777777" w:rsidR="007F52A6" w:rsidRPr="00185BC0" w:rsidRDefault="007F52A6" w:rsidP="007F52A6">
      <w:pPr>
        <w:ind w:firstLine="709"/>
        <w:jc w:val="both"/>
        <w:rPr>
          <w:bCs/>
          <w:sz w:val="28"/>
          <w:szCs w:val="28"/>
        </w:rPr>
      </w:pPr>
    </w:p>
    <w:p w14:paraId="5235ABAA" w14:textId="77777777" w:rsidR="007F52A6" w:rsidRPr="00185BC0" w:rsidRDefault="007F52A6" w:rsidP="007F52A6">
      <w:pPr>
        <w:ind w:left="709"/>
        <w:jc w:val="both"/>
        <w:rPr>
          <w:b/>
          <w:sz w:val="28"/>
          <w:szCs w:val="28"/>
        </w:rPr>
      </w:pPr>
      <w:r w:rsidRPr="00185BC0">
        <w:rPr>
          <w:b/>
          <w:sz w:val="28"/>
          <w:szCs w:val="28"/>
        </w:rPr>
        <w:t xml:space="preserve">                                             </w:t>
      </w:r>
      <w:r w:rsidRPr="00185BC0">
        <w:rPr>
          <w:b/>
          <w:noProof/>
          <w:sz w:val="28"/>
          <w:szCs w:val="28"/>
        </w:rPr>
        <w:drawing>
          <wp:inline distT="0" distB="0" distL="0" distR="0" wp14:anchorId="1E20826B" wp14:editId="78BA67EB">
            <wp:extent cx="1128004" cy="2756848"/>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315" r="2373"/>
                    <a:stretch/>
                  </pic:blipFill>
                  <pic:spPr bwMode="auto">
                    <a:xfrm>
                      <a:off x="0" y="0"/>
                      <a:ext cx="1140070" cy="2786336"/>
                    </a:xfrm>
                    <a:prstGeom prst="rect">
                      <a:avLst/>
                    </a:prstGeom>
                    <a:ln>
                      <a:noFill/>
                    </a:ln>
                    <a:extLst>
                      <a:ext uri="{53640926-AAD7-44D8-BBD7-CCE9431645EC}">
                        <a14:shadowObscured xmlns:a14="http://schemas.microsoft.com/office/drawing/2010/main"/>
                      </a:ext>
                    </a:extLst>
                  </pic:spPr>
                </pic:pic>
              </a:graphicData>
            </a:graphic>
          </wp:inline>
        </w:drawing>
      </w:r>
    </w:p>
    <w:p w14:paraId="70076D59" w14:textId="28059020" w:rsidR="007F52A6" w:rsidRPr="00185BC0" w:rsidRDefault="007F52A6" w:rsidP="007F52A6">
      <w:pPr>
        <w:ind w:left="709"/>
        <w:rPr>
          <w:bCs/>
          <w:sz w:val="28"/>
          <w:szCs w:val="28"/>
        </w:rPr>
      </w:pPr>
      <w:r w:rsidRPr="00185BC0">
        <w:rPr>
          <w:bCs/>
          <w:sz w:val="28"/>
          <w:szCs w:val="28"/>
        </w:rPr>
        <w:t xml:space="preserve">                           Рисунок 13</w:t>
      </w:r>
      <w:r w:rsidR="00EF5D1F" w:rsidRPr="00185BC0">
        <w:rPr>
          <w:bCs/>
          <w:sz w:val="28"/>
          <w:szCs w:val="28"/>
          <w:lang w:val="kk-KZ"/>
        </w:rPr>
        <w:t xml:space="preserve"> – </w:t>
      </w:r>
      <w:r w:rsidRPr="00185BC0">
        <w:rPr>
          <w:bCs/>
          <w:sz w:val="28"/>
          <w:szCs w:val="28"/>
        </w:rPr>
        <w:t>Конечная модель системы</w:t>
      </w:r>
    </w:p>
    <w:p w14:paraId="67FAF24E" w14:textId="77777777" w:rsidR="007F52A6" w:rsidRPr="00185BC0" w:rsidRDefault="007F52A6" w:rsidP="007F52A6">
      <w:pPr>
        <w:ind w:left="709"/>
        <w:rPr>
          <w:bCs/>
          <w:i/>
          <w:iCs/>
          <w:sz w:val="28"/>
          <w:szCs w:val="28"/>
        </w:rPr>
      </w:pPr>
    </w:p>
    <w:p w14:paraId="5146BB31" w14:textId="6BA16C94" w:rsidR="007F52A6" w:rsidRPr="00185BC0" w:rsidRDefault="007F52A6" w:rsidP="00A178C0">
      <w:pPr>
        <w:ind w:firstLine="567"/>
        <w:jc w:val="both"/>
        <w:rPr>
          <w:lang w:val="kk-KZ"/>
        </w:rPr>
      </w:pPr>
      <w:r w:rsidRPr="00185BC0">
        <w:rPr>
          <w:bCs/>
          <w:sz w:val="28"/>
          <w:szCs w:val="28"/>
        </w:rPr>
        <w:t>Конечная элементная сетка служит основой для последующего моделирования и позволяет проводить оценку биомеханической устойчивости и функциональных характеристик имплантационной системы в условиях, приближённых к физиологическим нагрузкам. Благодаря детальной передаче геометрии и свойств материалов всех компонентов данная модель обеспечивает высокую точность расчетов и их клиническую значимость</w:t>
      </w:r>
      <w:r w:rsidR="009D1A41" w:rsidRPr="00185BC0">
        <w:rPr>
          <w:bCs/>
          <w:sz w:val="28"/>
          <w:szCs w:val="28"/>
          <w:lang w:val="kk-KZ"/>
        </w:rPr>
        <w:t>.</w:t>
      </w:r>
    </w:p>
    <w:p w14:paraId="6DFF67FA" w14:textId="3D51B98A" w:rsidR="00BB1D05" w:rsidRPr="00185BC0" w:rsidRDefault="007F52A6" w:rsidP="007F52A6">
      <w:pPr>
        <w:pStyle w:val="1"/>
        <w:ind w:left="0" w:firstLine="567"/>
        <w:rPr>
          <w:b w:val="0"/>
          <w:bCs w:val="0"/>
          <w:i/>
          <w:iCs/>
          <w:lang w:val="kk-KZ"/>
        </w:rPr>
      </w:pPr>
      <w:bookmarkStart w:id="27" w:name="_Toc217561933"/>
      <w:r w:rsidRPr="00185BC0">
        <w:rPr>
          <w:b w:val="0"/>
          <w:bCs w:val="0"/>
          <w:i/>
          <w:iCs/>
          <w:lang w:val="kk-KZ"/>
        </w:rPr>
        <w:t>2.2.3 Общее клинические и инструментальные методы исследования</w:t>
      </w:r>
      <w:bookmarkEnd w:id="27"/>
      <w:r w:rsidRPr="00185BC0">
        <w:rPr>
          <w:b w:val="0"/>
          <w:bCs w:val="0"/>
          <w:i/>
          <w:iCs/>
          <w:lang w:val="kk-KZ"/>
        </w:rPr>
        <w:t xml:space="preserve">                                                </w:t>
      </w:r>
    </w:p>
    <w:p w14:paraId="78F54238" w14:textId="77777777" w:rsidR="00A178C0" w:rsidRPr="00185BC0" w:rsidRDefault="00A178C0" w:rsidP="00A178C0">
      <w:pPr>
        <w:ind w:firstLine="567"/>
        <w:jc w:val="both"/>
        <w:rPr>
          <w:bCs/>
          <w:sz w:val="28"/>
          <w:szCs w:val="28"/>
        </w:rPr>
      </w:pPr>
      <w:r w:rsidRPr="00185BC0">
        <w:rPr>
          <w:bCs/>
          <w:sz w:val="28"/>
          <w:szCs w:val="28"/>
        </w:rPr>
        <w:t xml:space="preserve">В рамках клинического этапа исследования у пациентов с диспластическим коксартрозом IV типа по классификации </w:t>
      </w:r>
      <w:proofErr w:type="spellStart"/>
      <w:r w:rsidRPr="00185BC0">
        <w:rPr>
          <w:bCs/>
          <w:sz w:val="28"/>
          <w:szCs w:val="28"/>
        </w:rPr>
        <w:t>Crowe</w:t>
      </w:r>
      <w:proofErr w:type="spellEnd"/>
      <w:r w:rsidRPr="00185BC0">
        <w:rPr>
          <w:bCs/>
          <w:sz w:val="28"/>
          <w:szCs w:val="28"/>
        </w:rPr>
        <w:t xml:space="preserve"> проводился сбор жалоб и анамнеза в соответствии с действующим клиническим протоколом диагностики и лечения остеоартроза тазобедренного сустава, утверждённым Министерством здравоохранения Республики Казахстан. При опросе пациентов уточнялись характер и выраженность болевого синдрома, наличие хромоты, ограничение подвижности, ощущение нестабильности и субъективно воспринимаемое укорочение конечности. Дополнительно отмечались жалобы на косметический дискомфорт, связанный с деформацией таза и нарушением симметрии нижних конечностей. Сбор анамнестических данных включал сведения о длительности и характере течения заболевания, ранее проводимом медикаментозном и физиотерапевтическом лечении, наличии сопутствующих заболеваний и ранее перенесённых операций, а также фактах семейной отягощённости по дисплазии и другим патологиям опорно-двигательного аппарата.</w:t>
      </w:r>
    </w:p>
    <w:p w14:paraId="6806E739" w14:textId="6ABC0A29" w:rsidR="00A178C0" w:rsidRPr="00185BC0" w:rsidRDefault="00A178C0" w:rsidP="00A178C0">
      <w:pPr>
        <w:ind w:firstLine="567"/>
        <w:jc w:val="both"/>
        <w:rPr>
          <w:bCs/>
          <w:i/>
          <w:iCs/>
          <w:sz w:val="28"/>
          <w:szCs w:val="28"/>
        </w:rPr>
      </w:pPr>
      <w:bookmarkStart w:id="28" w:name="_Hlk201582143"/>
      <w:proofErr w:type="spellStart"/>
      <w:r w:rsidRPr="00185BC0">
        <w:rPr>
          <w:bCs/>
          <w:i/>
          <w:iCs/>
          <w:sz w:val="28"/>
          <w:szCs w:val="28"/>
        </w:rPr>
        <w:t>Физикальное</w:t>
      </w:r>
      <w:proofErr w:type="spellEnd"/>
      <w:r w:rsidRPr="00185BC0">
        <w:rPr>
          <w:bCs/>
          <w:i/>
          <w:iCs/>
          <w:sz w:val="28"/>
          <w:szCs w:val="28"/>
        </w:rPr>
        <w:t xml:space="preserve"> обследование</w:t>
      </w:r>
      <w:bookmarkEnd w:id="28"/>
      <w:r w:rsidRPr="00185BC0">
        <w:rPr>
          <w:bCs/>
          <w:i/>
          <w:iCs/>
          <w:sz w:val="28"/>
          <w:szCs w:val="28"/>
        </w:rPr>
        <w:t xml:space="preserve"> пациентов</w:t>
      </w:r>
    </w:p>
    <w:p w14:paraId="6BE16B1E" w14:textId="77777777" w:rsidR="00A178C0" w:rsidRPr="00185BC0" w:rsidRDefault="00A178C0" w:rsidP="00A178C0">
      <w:pPr>
        <w:ind w:firstLine="567"/>
        <w:jc w:val="both"/>
        <w:rPr>
          <w:bCs/>
          <w:sz w:val="28"/>
          <w:szCs w:val="28"/>
        </w:rPr>
      </w:pPr>
      <w:proofErr w:type="spellStart"/>
      <w:r w:rsidRPr="00185BC0">
        <w:rPr>
          <w:bCs/>
          <w:sz w:val="28"/>
          <w:szCs w:val="28"/>
        </w:rPr>
        <w:t>Физикальное</w:t>
      </w:r>
      <w:proofErr w:type="spellEnd"/>
      <w:r w:rsidRPr="00185BC0">
        <w:rPr>
          <w:bCs/>
          <w:sz w:val="28"/>
          <w:szCs w:val="28"/>
        </w:rPr>
        <w:t xml:space="preserve"> обследование пациентов с диспластическим коксартрозом IV типа по классификации </w:t>
      </w:r>
      <w:proofErr w:type="spellStart"/>
      <w:r w:rsidRPr="00185BC0">
        <w:rPr>
          <w:bCs/>
          <w:sz w:val="28"/>
          <w:szCs w:val="28"/>
        </w:rPr>
        <w:t>Crowe</w:t>
      </w:r>
      <w:proofErr w:type="spellEnd"/>
      <w:r w:rsidRPr="00185BC0">
        <w:rPr>
          <w:bCs/>
          <w:sz w:val="28"/>
          <w:szCs w:val="28"/>
        </w:rPr>
        <w:t xml:space="preserve"> проводилось в соответствии с действующим клиническим протоколом диагностики и лечения остеоартроза тазобедренного сустава, утверждённым Министерством здравоохранения Республики Казахстан.</w:t>
      </w:r>
      <w:r w:rsidRPr="00185BC0">
        <w:rPr>
          <w:bCs/>
          <w:sz w:val="28"/>
          <w:szCs w:val="28"/>
          <w:lang w:val="kk-KZ"/>
        </w:rPr>
        <w:t xml:space="preserve"> </w:t>
      </w:r>
      <w:r w:rsidRPr="00185BC0">
        <w:rPr>
          <w:bCs/>
          <w:sz w:val="28"/>
          <w:szCs w:val="28"/>
        </w:rPr>
        <w:t xml:space="preserve">Обследование включало общую оценку осанки, походки и положения таза. </w:t>
      </w:r>
    </w:p>
    <w:p w14:paraId="41D74FF1" w14:textId="77777777" w:rsidR="00A178C0" w:rsidRPr="00185BC0" w:rsidRDefault="00A178C0" w:rsidP="00A178C0">
      <w:pPr>
        <w:ind w:firstLine="709"/>
        <w:jc w:val="both"/>
        <w:rPr>
          <w:bCs/>
          <w:sz w:val="28"/>
          <w:szCs w:val="28"/>
        </w:rPr>
      </w:pPr>
      <w:r w:rsidRPr="00185BC0">
        <w:rPr>
          <w:bCs/>
          <w:sz w:val="28"/>
          <w:szCs w:val="28"/>
        </w:rPr>
        <w:t xml:space="preserve">При осмотре в положении стоя и при ходьбе обращали внимание на наличие хромоты, наклона туловища в сторону поражённого сустава, признаков компенсаторного сколиоза и укорочения нижней конечности. Для оценки последнего использовался метод прямого измерения: от </w:t>
      </w:r>
      <w:proofErr w:type="spellStart"/>
      <w:r w:rsidRPr="00185BC0">
        <w:rPr>
          <w:bCs/>
          <w:sz w:val="28"/>
          <w:szCs w:val="28"/>
        </w:rPr>
        <w:t>передневерхней</w:t>
      </w:r>
      <w:proofErr w:type="spellEnd"/>
      <w:r w:rsidRPr="00185BC0">
        <w:rPr>
          <w:bCs/>
          <w:sz w:val="28"/>
          <w:szCs w:val="28"/>
        </w:rPr>
        <w:t xml:space="preserve"> ости подвздошной кости до медиальной лодыжки в положении лёжа на ровной поверхности. Выявлялись два вида укорочения:</w:t>
      </w:r>
    </w:p>
    <w:p w14:paraId="7C2295B5" w14:textId="6B885540" w:rsidR="00A178C0" w:rsidRPr="00185BC0" w:rsidRDefault="00A178C0" w:rsidP="00D47CC4">
      <w:pPr>
        <w:numPr>
          <w:ilvl w:val="0"/>
          <w:numId w:val="6"/>
        </w:numPr>
        <w:ind w:left="0" w:firstLine="709"/>
        <w:contextualSpacing/>
        <w:jc w:val="both"/>
        <w:rPr>
          <w:bCs/>
          <w:sz w:val="28"/>
          <w:szCs w:val="28"/>
        </w:rPr>
      </w:pPr>
      <w:r w:rsidRPr="00185BC0">
        <w:rPr>
          <w:bCs/>
          <w:sz w:val="28"/>
          <w:szCs w:val="28"/>
        </w:rPr>
        <w:t xml:space="preserve">анатомическое </w:t>
      </w:r>
      <w:r w:rsidR="00DA5A93" w:rsidRPr="00185BC0">
        <w:rPr>
          <w:bCs/>
          <w:sz w:val="28"/>
          <w:szCs w:val="28"/>
        </w:rPr>
        <w:t>–</w:t>
      </w:r>
      <w:r w:rsidRPr="00185BC0">
        <w:rPr>
          <w:bCs/>
          <w:sz w:val="28"/>
          <w:szCs w:val="28"/>
        </w:rPr>
        <w:t xml:space="preserve"> обусловленное укорочением бедренной или большеберцовой кости</w:t>
      </w:r>
      <w:r w:rsidRPr="00185BC0">
        <w:rPr>
          <w:bCs/>
          <w:sz w:val="28"/>
          <w:szCs w:val="28"/>
          <w:lang w:val="kk-KZ"/>
        </w:rPr>
        <w:t>;</w:t>
      </w:r>
    </w:p>
    <w:p w14:paraId="55D633B1" w14:textId="493E91DB" w:rsidR="00A178C0" w:rsidRPr="00185BC0" w:rsidRDefault="00A178C0" w:rsidP="00D47CC4">
      <w:pPr>
        <w:numPr>
          <w:ilvl w:val="0"/>
          <w:numId w:val="6"/>
        </w:numPr>
        <w:ind w:left="0" w:firstLine="709"/>
        <w:contextualSpacing/>
        <w:jc w:val="both"/>
        <w:rPr>
          <w:bCs/>
          <w:sz w:val="28"/>
          <w:szCs w:val="28"/>
        </w:rPr>
      </w:pPr>
      <w:r w:rsidRPr="00185BC0">
        <w:rPr>
          <w:bCs/>
          <w:sz w:val="28"/>
          <w:szCs w:val="28"/>
        </w:rPr>
        <w:t xml:space="preserve">относительное (функциональное) </w:t>
      </w:r>
      <w:r w:rsidR="00DA5A93" w:rsidRPr="00185BC0">
        <w:rPr>
          <w:bCs/>
          <w:sz w:val="28"/>
          <w:szCs w:val="28"/>
        </w:rPr>
        <w:t>–</w:t>
      </w:r>
      <w:r w:rsidRPr="00185BC0">
        <w:rPr>
          <w:bCs/>
          <w:sz w:val="28"/>
          <w:szCs w:val="28"/>
        </w:rPr>
        <w:t xml:space="preserve"> связанное с нестабильностью таза</w:t>
      </w:r>
      <w:r w:rsidRPr="00185BC0">
        <w:rPr>
          <w:bCs/>
          <w:sz w:val="28"/>
          <w:szCs w:val="28"/>
          <w:lang w:val="kk-KZ"/>
        </w:rPr>
        <w:t>, к</w:t>
      </w:r>
      <w:proofErr w:type="spellStart"/>
      <w:r w:rsidRPr="00185BC0">
        <w:rPr>
          <w:bCs/>
          <w:sz w:val="28"/>
          <w:szCs w:val="28"/>
        </w:rPr>
        <w:t>онтрактурами</w:t>
      </w:r>
      <w:proofErr w:type="spellEnd"/>
      <w:r w:rsidRPr="00185BC0">
        <w:rPr>
          <w:bCs/>
          <w:sz w:val="28"/>
          <w:szCs w:val="28"/>
        </w:rPr>
        <w:t xml:space="preserve"> или изменениями в осанке.</w:t>
      </w:r>
    </w:p>
    <w:p w14:paraId="1589FFB8" w14:textId="4C6ECE76" w:rsidR="00A178C0" w:rsidRPr="00185BC0" w:rsidRDefault="00A178C0" w:rsidP="00A178C0">
      <w:pPr>
        <w:ind w:firstLine="709"/>
        <w:jc w:val="both"/>
        <w:rPr>
          <w:bCs/>
          <w:sz w:val="28"/>
          <w:szCs w:val="28"/>
        </w:rPr>
      </w:pPr>
      <w:r w:rsidRPr="00185BC0">
        <w:rPr>
          <w:bCs/>
          <w:sz w:val="28"/>
          <w:szCs w:val="28"/>
        </w:rPr>
        <w:t>Проводилась пальпация в области тазобедренного сустава для выявления локальной болезненности и оценки состояния мягких тканей. Активные и пассивные движения в тазобедренном суставе оценивались с помощью угломера: фиксировались ограничения объёма сгибания, разгибания, отведения, приведения и ротаций</w:t>
      </w:r>
      <w:r w:rsidR="009D1A41" w:rsidRPr="00185BC0">
        <w:rPr>
          <w:bCs/>
          <w:sz w:val="28"/>
          <w:szCs w:val="28"/>
          <w:lang w:val="kk-KZ"/>
        </w:rPr>
        <w:t>, а т</w:t>
      </w:r>
      <w:proofErr w:type="spellStart"/>
      <w:r w:rsidRPr="00185BC0">
        <w:rPr>
          <w:bCs/>
          <w:sz w:val="28"/>
          <w:szCs w:val="28"/>
        </w:rPr>
        <w:t>акже</w:t>
      </w:r>
      <w:proofErr w:type="spellEnd"/>
      <w:r w:rsidRPr="00185BC0">
        <w:rPr>
          <w:bCs/>
          <w:sz w:val="28"/>
          <w:szCs w:val="28"/>
        </w:rPr>
        <w:t xml:space="preserve"> определялись контрактуры и нестабильность </w:t>
      </w:r>
      <w:r w:rsidRPr="00185BC0">
        <w:rPr>
          <w:bCs/>
          <w:sz w:val="28"/>
          <w:szCs w:val="28"/>
        </w:rPr>
        <w:lastRenderedPageBreak/>
        <w:t>сустава.</w:t>
      </w:r>
    </w:p>
    <w:p w14:paraId="4D75B45F" w14:textId="51F361ED" w:rsidR="00A178C0" w:rsidRPr="00185BC0" w:rsidRDefault="00A178C0" w:rsidP="00397616">
      <w:pPr>
        <w:ind w:firstLine="709"/>
        <w:jc w:val="both"/>
        <w:rPr>
          <w:bCs/>
          <w:sz w:val="28"/>
          <w:szCs w:val="28"/>
        </w:rPr>
      </w:pPr>
      <w:r w:rsidRPr="00185BC0">
        <w:rPr>
          <w:bCs/>
          <w:sz w:val="28"/>
          <w:szCs w:val="28"/>
        </w:rPr>
        <w:t xml:space="preserve">Результаты </w:t>
      </w:r>
      <w:proofErr w:type="spellStart"/>
      <w:r w:rsidRPr="00185BC0">
        <w:rPr>
          <w:bCs/>
          <w:sz w:val="28"/>
          <w:szCs w:val="28"/>
        </w:rPr>
        <w:t>физикального</w:t>
      </w:r>
      <w:proofErr w:type="spellEnd"/>
      <w:r w:rsidRPr="00185BC0">
        <w:rPr>
          <w:bCs/>
          <w:sz w:val="28"/>
          <w:szCs w:val="28"/>
        </w:rPr>
        <w:t xml:space="preserve"> обследования использовались для комплексной оценки клинической картины и планирования оперативного вмешательства, включая необходимость проведения укорачивающей остеотомии и выбора оптимального доступа и вида фиксации.</w:t>
      </w:r>
    </w:p>
    <w:p w14:paraId="0100B1DE" w14:textId="77777777" w:rsidR="00994091" w:rsidRPr="00185BC0" w:rsidRDefault="00994091" w:rsidP="00397616">
      <w:pPr>
        <w:ind w:firstLine="709"/>
        <w:jc w:val="both"/>
        <w:rPr>
          <w:b/>
          <w:sz w:val="28"/>
          <w:szCs w:val="28"/>
        </w:rPr>
      </w:pPr>
    </w:p>
    <w:p w14:paraId="70A4DE6E" w14:textId="7CA72B86" w:rsidR="00BB1D05" w:rsidRPr="00185BC0" w:rsidRDefault="00A178C0" w:rsidP="00A178C0">
      <w:pPr>
        <w:pStyle w:val="1"/>
        <w:ind w:left="0" w:firstLine="567"/>
        <w:jc w:val="both"/>
        <w:rPr>
          <w:lang w:val="kk-KZ"/>
        </w:rPr>
      </w:pPr>
      <w:bookmarkStart w:id="29" w:name="_Toc217561934"/>
      <w:r w:rsidRPr="00185BC0">
        <w:rPr>
          <w:lang w:val="kk-KZ"/>
        </w:rPr>
        <w:t>2.3 Предоперационное планирование укорачивающей подвертельной поперечной остеотомии бедренной кости при тотальном эндопротезировании тазобедренного сустава</w:t>
      </w:r>
      <w:bookmarkEnd w:id="29"/>
    </w:p>
    <w:p w14:paraId="232F8EC4" w14:textId="77777777" w:rsidR="00A178C0" w:rsidRPr="00185BC0" w:rsidRDefault="00A178C0" w:rsidP="00A178C0">
      <w:pPr>
        <w:ind w:firstLine="709"/>
        <w:jc w:val="both"/>
        <w:rPr>
          <w:sz w:val="28"/>
          <w:szCs w:val="28"/>
          <w:lang w:val="kk-KZ"/>
        </w:rPr>
      </w:pPr>
      <w:r w:rsidRPr="00185BC0">
        <w:rPr>
          <w:sz w:val="28"/>
          <w:szCs w:val="28"/>
        </w:rPr>
        <w:t>На этапе предоперационной подготовки проводилась комплексная лучевая диагностика, направленная на оценку анатомических особенностей тазобедренного сустава, степени дисплазии и планирование объёма хирургического вмешательства</w:t>
      </w:r>
      <w:r w:rsidRPr="00185BC0">
        <w:rPr>
          <w:sz w:val="28"/>
          <w:szCs w:val="28"/>
          <w:lang w:val="kk-KZ"/>
        </w:rPr>
        <w:t>.</w:t>
      </w:r>
    </w:p>
    <w:p w14:paraId="6ABF9D6F" w14:textId="7D15977C" w:rsidR="00A178C0" w:rsidRPr="00185BC0" w:rsidRDefault="00A178C0" w:rsidP="00A178C0">
      <w:pPr>
        <w:ind w:firstLine="567"/>
        <w:contextualSpacing/>
        <w:jc w:val="both"/>
        <w:rPr>
          <w:sz w:val="28"/>
          <w:szCs w:val="28"/>
        </w:rPr>
      </w:pPr>
      <w:r w:rsidRPr="00185BC0">
        <w:rPr>
          <w:i/>
          <w:iCs/>
          <w:sz w:val="28"/>
          <w:szCs w:val="28"/>
        </w:rPr>
        <w:t xml:space="preserve">Методика рентгенографического исследования тазобедренных суставов при диспластическом коксартрозе </w:t>
      </w:r>
      <w:proofErr w:type="spellStart"/>
      <w:r w:rsidRPr="00185BC0">
        <w:rPr>
          <w:i/>
          <w:iCs/>
          <w:sz w:val="28"/>
          <w:szCs w:val="28"/>
        </w:rPr>
        <w:t>Crowe</w:t>
      </w:r>
      <w:proofErr w:type="spellEnd"/>
      <w:r w:rsidRPr="00185BC0">
        <w:rPr>
          <w:i/>
          <w:iCs/>
          <w:sz w:val="28"/>
          <w:szCs w:val="28"/>
        </w:rPr>
        <w:t> IV</w:t>
      </w:r>
    </w:p>
    <w:p w14:paraId="1E4DE98E" w14:textId="383BB222" w:rsidR="00A178C0" w:rsidRPr="00185BC0" w:rsidRDefault="00A178C0" w:rsidP="00A178C0">
      <w:pPr>
        <w:ind w:firstLine="567"/>
        <w:contextualSpacing/>
        <w:jc w:val="both"/>
        <w:rPr>
          <w:sz w:val="28"/>
          <w:szCs w:val="28"/>
        </w:rPr>
      </w:pPr>
      <w:r w:rsidRPr="00185BC0">
        <w:rPr>
          <w:sz w:val="28"/>
          <w:szCs w:val="28"/>
        </w:rPr>
        <w:t xml:space="preserve">Рентгенологическое исследование проводилось на цифровом рентгеновском комплексе Philips </w:t>
      </w:r>
      <w:proofErr w:type="spellStart"/>
      <w:r w:rsidRPr="00185BC0">
        <w:rPr>
          <w:sz w:val="28"/>
          <w:szCs w:val="28"/>
        </w:rPr>
        <w:t>DuoDiagnost</w:t>
      </w:r>
      <w:proofErr w:type="spellEnd"/>
      <w:r w:rsidRPr="00185BC0">
        <w:rPr>
          <w:sz w:val="28"/>
          <w:szCs w:val="28"/>
        </w:rPr>
        <w:t xml:space="preserve"> (2008 г.) с использованием цифрового принтера для вывода снимков (рисунок 14). </w:t>
      </w:r>
    </w:p>
    <w:p w14:paraId="2E05B5B8" w14:textId="77777777" w:rsidR="00A178C0" w:rsidRPr="00185BC0" w:rsidRDefault="00A178C0" w:rsidP="00A178C0">
      <w:pPr>
        <w:ind w:firstLine="567"/>
        <w:contextualSpacing/>
        <w:jc w:val="both"/>
        <w:rPr>
          <w:sz w:val="28"/>
          <w:szCs w:val="28"/>
        </w:rPr>
      </w:pPr>
    </w:p>
    <w:p w14:paraId="2C19121C" w14:textId="77777777" w:rsidR="00A178C0" w:rsidRPr="00185BC0" w:rsidRDefault="00A178C0" w:rsidP="00A178C0">
      <w:pPr>
        <w:ind w:firstLine="567"/>
        <w:contextualSpacing/>
        <w:jc w:val="center"/>
        <w:rPr>
          <w:sz w:val="28"/>
          <w:szCs w:val="28"/>
        </w:rPr>
      </w:pPr>
      <w:r w:rsidRPr="00185BC0">
        <w:rPr>
          <w:noProof/>
          <w:sz w:val="28"/>
          <w:szCs w:val="28"/>
        </w:rPr>
        <w:drawing>
          <wp:inline distT="0" distB="0" distL="0" distR="0" wp14:anchorId="37D1F09C" wp14:editId="43E57C4B">
            <wp:extent cx="3724867" cy="2793649"/>
            <wp:effectExtent l="0" t="0" r="9525" b="698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7862" cy="2810895"/>
                    </a:xfrm>
                    <a:prstGeom prst="rect">
                      <a:avLst/>
                    </a:prstGeom>
                    <a:noFill/>
                  </pic:spPr>
                </pic:pic>
              </a:graphicData>
            </a:graphic>
          </wp:inline>
        </w:drawing>
      </w:r>
    </w:p>
    <w:p w14:paraId="5973C10D" w14:textId="77777777" w:rsidR="00426487" w:rsidRPr="00185BC0" w:rsidRDefault="00426487" w:rsidP="00A178C0">
      <w:pPr>
        <w:ind w:firstLine="567"/>
        <w:contextualSpacing/>
        <w:jc w:val="center"/>
        <w:rPr>
          <w:i/>
          <w:iCs/>
          <w:sz w:val="28"/>
          <w:szCs w:val="28"/>
        </w:rPr>
      </w:pPr>
    </w:p>
    <w:p w14:paraId="58D893D6" w14:textId="54F454C4" w:rsidR="00A178C0" w:rsidRPr="00185BC0" w:rsidRDefault="00A178C0" w:rsidP="00A178C0">
      <w:pPr>
        <w:ind w:firstLine="567"/>
        <w:contextualSpacing/>
        <w:jc w:val="center"/>
        <w:rPr>
          <w:sz w:val="28"/>
          <w:szCs w:val="28"/>
        </w:rPr>
      </w:pPr>
      <w:r w:rsidRPr="00185BC0">
        <w:rPr>
          <w:sz w:val="28"/>
          <w:szCs w:val="28"/>
        </w:rPr>
        <w:t>Рисунок 14</w:t>
      </w:r>
      <w:r w:rsidR="00EF5D1F" w:rsidRPr="00185BC0">
        <w:rPr>
          <w:sz w:val="28"/>
          <w:szCs w:val="28"/>
          <w:lang w:val="kk-KZ"/>
        </w:rPr>
        <w:t xml:space="preserve"> – </w:t>
      </w:r>
      <w:r w:rsidRPr="00185BC0">
        <w:rPr>
          <w:sz w:val="28"/>
          <w:szCs w:val="28"/>
          <w:lang w:val="kk-KZ"/>
        </w:rPr>
        <w:t>Р</w:t>
      </w:r>
      <w:proofErr w:type="spellStart"/>
      <w:r w:rsidRPr="00185BC0">
        <w:rPr>
          <w:sz w:val="28"/>
          <w:szCs w:val="28"/>
        </w:rPr>
        <w:t>ентгеновск</w:t>
      </w:r>
      <w:proofErr w:type="spellEnd"/>
      <w:r w:rsidRPr="00185BC0">
        <w:rPr>
          <w:sz w:val="28"/>
          <w:szCs w:val="28"/>
          <w:lang w:val="kk-KZ"/>
        </w:rPr>
        <w:t>ий</w:t>
      </w:r>
      <w:r w:rsidRPr="00185BC0">
        <w:rPr>
          <w:sz w:val="28"/>
          <w:szCs w:val="28"/>
        </w:rPr>
        <w:t xml:space="preserve"> комплекс Philips </w:t>
      </w:r>
      <w:proofErr w:type="spellStart"/>
      <w:r w:rsidRPr="00185BC0">
        <w:rPr>
          <w:sz w:val="28"/>
          <w:szCs w:val="28"/>
        </w:rPr>
        <w:t>DuoDiagnost</w:t>
      </w:r>
      <w:proofErr w:type="spellEnd"/>
    </w:p>
    <w:p w14:paraId="07AC6684" w14:textId="77777777" w:rsidR="00A178C0" w:rsidRPr="00185BC0" w:rsidRDefault="00A178C0" w:rsidP="00A178C0">
      <w:pPr>
        <w:ind w:firstLine="567"/>
        <w:contextualSpacing/>
        <w:jc w:val="both"/>
        <w:rPr>
          <w:sz w:val="28"/>
          <w:szCs w:val="28"/>
        </w:rPr>
      </w:pPr>
    </w:p>
    <w:p w14:paraId="1E0DC0AB" w14:textId="2CE9ECD6" w:rsidR="00426487" w:rsidRPr="00185BC0" w:rsidRDefault="00426487" w:rsidP="00A178C0">
      <w:pPr>
        <w:ind w:firstLine="567"/>
        <w:contextualSpacing/>
        <w:jc w:val="both"/>
        <w:rPr>
          <w:sz w:val="28"/>
          <w:szCs w:val="28"/>
        </w:rPr>
      </w:pPr>
      <w:r w:rsidRPr="00185BC0">
        <w:rPr>
          <w:sz w:val="28"/>
          <w:szCs w:val="28"/>
        </w:rPr>
        <w:t xml:space="preserve">Выполнялась обзорная рентгенография костей таза и обоих тазобедренных суставов в переднезадней (ПЗ, </w:t>
      </w:r>
      <w:proofErr w:type="spellStart"/>
      <w:r w:rsidRPr="00185BC0">
        <w:rPr>
          <w:sz w:val="28"/>
          <w:szCs w:val="28"/>
        </w:rPr>
        <w:t>антеропостериорной</w:t>
      </w:r>
      <w:proofErr w:type="spellEnd"/>
      <w:r w:rsidRPr="00185BC0">
        <w:rPr>
          <w:sz w:val="28"/>
          <w:szCs w:val="28"/>
        </w:rPr>
        <w:t xml:space="preserve">) проекции. При необходимости для дополнительной оценки взаимоотношений головки бедра и вертлужной впадины выполнялась дополнительная аксиальная (боковая) проекция тазобедренного сустава. Исследование проводилось по общепринятой методике: пациент располагался лежа на спине, таз размещался строго ровно без ротаций или наклона (поперечная ось таза перпендикулярна продольной оси тела). Для обеспечения стандартизированного положения нижние конечности укладывались в нейтральной позиции (надколенники обращены строго кпереди), </w:t>
      </w:r>
      <w:r w:rsidRPr="00185BC0">
        <w:rPr>
          <w:sz w:val="28"/>
          <w:szCs w:val="28"/>
        </w:rPr>
        <w:lastRenderedPageBreak/>
        <w:t xml:space="preserve">что соответствует легкой внутренней ротации бедер (~15°) для правильной проекции шейки бедра. Такое положение (достигаемое, например, при </w:t>
      </w:r>
      <w:proofErr w:type="spellStart"/>
      <w:r w:rsidRPr="00185BC0">
        <w:rPr>
          <w:sz w:val="28"/>
          <w:szCs w:val="28"/>
        </w:rPr>
        <w:t>свешивании</w:t>
      </w:r>
      <w:proofErr w:type="spellEnd"/>
      <w:r w:rsidRPr="00185BC0">
        <w:rPr>
          <w:sz w:val="28"/>
          <w:szCs w:val="28"/>
        </w:rPr>
        <w:t xml:space="preserve"> голеней с края стола) обеспечивает сопоставимость серийных снимков и оптимальную визуализацию проксимального отдела бедренной кости.</w:t>
      </w:r>
    </w:p>
    <w:p w14:paraId="306E6BC8" w14:textId="1F483A81" w:rsidR="00A178C0" w:rsidRPr="00185BC0" w:rsidRDefault="00A178C0" w:rsidP="00A178C0">
      <w:pPr>
        <w:ind w:firstLine="567"/>
        <w:jc w:val="both"/>
        <w:rPr>
          <w:sz w:val="28"/>
          <w:szCs w:val="28"/>
        </w:rPr>
      </w:pPr>
      <w:r w:rsidRPr="00185BC0">
        <w:rPr>
          <w:sz w:val="28"/>
          <w:szCs w:val="28"/>
        </w:rPr>
        <w:t xml:space="preserve">Съемка выполнялась в </w:t>
      </w:r>
      <w:proofErr w:type="spellStart"/>
      <w:r w:rsidRPr="00185BC0">
        <w:rPr>
          <w:sz w:val="28"/>
          <w:szCs w:val="28"/>
        </w:rPr>
        <w:t>антеропостериорной</w:t>
      </w:r>
      <w:proofErr w:type="spellEnd"/>
      <w:r w:rsidRPr="00185BC0">
        <w:rPr>
          <w:sz w:val="28"/>
          <w:szCs w:val="28"/>
        </w:rPr>
        <w:t xml:space="preserve"> проекции центральным пучком, сфокусированным на уровне лонного сочленения (симфиза). Фокусное расстояние источник</w:t>
      </w:r>
      <w:r w:rsidR="00801DB4" w:rsidRPr="00185BC0">
        <w:rPr>
          <w:sz w:val="28"/>
          <w:szCs w:val="28"/>
          <w:lang w:val="kk-KZ"/>
        </w:rPr>
        <w:t xml:space="preserve"> </w:t>
      </w:r>
      <w:r w:rsidRPr="00185BC0">
        <w:rPr>
          <w:sz w:val="28"/>
          <w:szCs w:val="28"/>
        </w:rPr>
        <w:t>–</w:t>
      </w:r>
      <w:r w:rsidR="00801DB4" w:rsidRPr="00185BC0">
        <w:rPr>
          <w:sz w:val="28"/>
          <w:szCs w:val="28"/>
          <w:lang w:val="kk-KZ"/>
        </w:rPr>
        <w:t xml:space="preserve"> </w:t>
      </w:r>
      <w:r w:rsidRPr="00185BC0">
        <w:rPr>
          <w:sz w:val="28"/>
          <w:szCs w:val="28"/>
        </w:rPr>
        <w:t>приемник составляло порядка 1</w:t>
      </w:r>
      <w:r w:rsidRPr="00185BC0">
        <w:rPr>
          <w:sz w:val="28"/>
          <w:szCs w:val="28"/>
          <w:lang w:val="kk-KZ"/>
        </w:rPr>
        <w:t xml:space="preserve"> </w:t>
      </w:r>
      <w:r w:rsidRPr="00185BC0">
        <w:rPr>
          <w:sz w:val="28"/>
          <w:szCs w:val="28"/>
        </w:rPr>
        <w:t>м</w:t>
      </w:r>
      <w:r w:rsidRPr="00185BC0">
        <w:rPr>
          <w:sz w:val="28"/>
          <w:szCs w:val="28"/>
          <w:lang w:val="kk-KZ"/>
        </w:rPr>
        <w:t>етр</w:t>
      </w:r>
      <w:r w:rsidRPr="00185BC0">
        <w:rPr>
          <w:sz w:val="28"/>
          <w:szCs w:val="28"/>
        </w:rPr>
        <w:t xml:space="preserve">, что обеспечивало охват всего таза и проксимальных отделов бедренных костей до средней трети диафиза. Применялась </w:t>
      </w:r>
      <w:proofErr w:type="spellStart"/>
      <w:r w:rsidRPr="00185BC0">
        <w:rPr>
          <w:sz w:val="28"/>
          <w:szCs w:val="28"/>
        </w:rPr>
        <w:t>противорассеивательная</w:t>
      </w:r>
      <w:proofErr w:type="spellEnd"/>
      <w:r w:rsidRPr="00185BC0">
        <w:rPr>
          <w:sz w:val="28"/>
          <w:szCs w:val="28"/>
        </w:rPr>
        <w:t xml:space="preserve"> решетка. Параметры экспозиции на цифровом аппарате варьировались в диапазоне около </w:t>
      </w:r>
      <w:r w:rsidRPr="00185BC0">
        <w:rPr>
          <w:sz w:val="28"/>
          <w:szCs w:val="28"/>
          <w:lang w:val="kk-KZ"/>
        </w:rPr>
        <w:t xml:space="preserve">50 </w:t>
      </w:r>
      <w:r w:rsidRPr="00185BC0">
        <w:rPr>
          <w:sz w:val="28"/>
          <w:szCs w:val="28"/>
        </w:rPr>
        <w:t>–</w:t>
      </w:r>
      <w:r w:rsidRPr="00185BC0">
        <w:rPr>
          <w:sz w:val="28"/>
          <w:szCs w:val="28"/>
          <w:lang w:val="kk-KZ"/>
        </w:rPr>
        <w:t xml:space="preserve"> 7</w:t>
      </w:r>
      <w:r w:rsidRPr="00185BC0">
        <w:rPr>
          <w:sz w:val="28"/>
          <w:szCs w:val="28"/>
        </w:rPr>
        <w:t>0 </w:t>
      </w:r>
      <w:proofErr w:type="spellStart"/>
      <w:r w:rsidRPr="00185BC0">
        <w:rPr>
          <w:sz w:val="28"/>
          <w:szCs w:val="28"/>
        </w:rPr>
        <w:t>кВ</w:t>
      </w:r>
      <w:proofErr w:type="spellEnd"/>
      <w:r w:rsidRPr="00185BC0">
        <w:rPr>
          <w:sz w:val="28"/>
          <w:szCs w:val="28"/>
        </w:rPr>
        <w:t xml:space="preserve"> и 8</w:t>
      </w:r>
      <w:r w:rsidRPr="00185BC0">
        <w:rPr>
          <w:sz w:val="28"/>
          <w:szCs w:val="28"/>
          <w:lang w:val="kk-KZ"/>
        </w:rPr>
        <w:t xml:space="preserve"> </w:t>
      </w:r>
      <w:r w:rsidRPr="00185BC0">
        <w:rPr>
          <w:sz w:val="28"/>
          <w:szCs w:val="28"/>
        </w:rPr>
        <w:t>–</w:t>
      </w:r>
      <w:r w:rsidRPr="00185BC0">
        <w:rPr>
          <w:sz w:val="28"/>
          <w:szCs w:val="28"/>
          <w:lang w:val="kk-KZ"/>
        </w:rPr>
        <w:t xml:space="preserve"> </w:t>
      </w:r>
      <w:r w:rsidRPr="00185BC0">
        <w:rPr>
          <w:sz w:val="28"/>
          <w:szCs w:val="28"/>
        </w:rPr>
        <w:t xml:space="preserve">15 мА, подбираясь с учетом комплекции пациента для получения оптимального контраста и резкости изображения. Использование цифровой рентгенографии позволило сразу просматривать снимки на рабочей станции и при необходимости выполнять цифровую постобработку (изменение яркости/контраста, масштабирование и др.). Полученные изображения сохранялись в формате DICOM и архивировались в системе PACS (англ. Picture </w:t>
      </w:r>
      <w:proofErr w:type="spellStart"/>
      <w:r w:rsidRPr="00185BC0">
        <w:rPr>
          <w:sz w:val="28"/>
          <w:szCs w:val="28"/>
        </w:rPr>
        <w:t>Archiving</w:t>
      </w:r>
      <w:proofErr w:type="spellEnd"/>
      <w:r w:rsidRPr="00185BC0">
        <w:rPr>
          <w:sz w:val="28"/>
          <w:szCs w:val="28"/>
        </w:rPr>
        <w:t xml:space="preserve"> </w:t>
      </w:r>
      <w:proofErr w:type="spellStart"/>
      <w:r w:rsidRPr="00185BC0">
        <w:rPr>
          <w:sz w:val="28"/>
          <w:szCs w:val="28"/>
        </w:rPr>
        <w:t>and</w:t>
      </w:r>
      <w:proofErr w:type="spellEnd"/>
      <w:r w:rsidRPr="00185BC0">
        <w:rPr>
          <w:sz w:val="28"/>
          <w:szCs w:val="28"/>
        </w:rPr>
        <w:t xml:space="preserve"> Communication System – система архивации и передачи медицинских изображений). PACS обеспечивала удобный доступ к снимкам и возможность проведения точных измерений на экране диагностической рабочей станции (рисунок 15).</w:t>
      </w:r>
    </w:p>
    <w:p w14:paraId="17299686" w14:textId="77777777" w:rsidR="00A178C0" w:rsidRPr="00185BC0" w:rsidRDefault="00A178C0" w:rsidP="00A178C0">
      <w:pPr>
        <w:ind w:firstLine="567"/>
        <w:jc w:val="both"/>
        <w:rPr>
          <w:sz w:val="28"/>
          <w:szCs w:val="28"/>
        </w:rPr>
      </w:pPr>
    </w:p>
    <w:p w14:paraId="3180555E" w14:textId="77777777" w:rsidR="00A178C0" w:rsidRPr="00185BC0" w:rsidRDefault="00A178C0" w:rsidP="00A178C0">
      <w:pPr>
        <w:ind w:firstLine="567"/>
        <w:jc w:val="center"/>
        <w:rPr>
          <w:sz w:val="28"/>
          <w:szCs w:val="28"/>
        </w:rPr>
      </w:pPr>
      <w:r w:rsidRPr="00185BC0">
        <w:rPr>
          <w:noProof/>
          <w:sz w:val="28"/>
          <w:szCs w:val="28"/>
        </w:rPr>
        <w:drawing>
          <wp:inline distT="0" distB="0" distL="0" distR="0" wp14:anchorId="3AE7E9E2" wp14:editId="104263D9">
            <wp:extent cx="4244255" cy="2560663"/>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 t="13299" r="4" b="6743"/>
                    <a:stretch/>
                  </pic:blipFill>
                  <pic:spPr bwMode="auto">
                    <a:xfrm>
                      <a:off x="0" y="0"/>
                      <a:ext cx="4278798" cy="2581504"/>
                    </a:xfrm>
                    <a:prstGeom prst="rect">
                      <a:avLst/>
                    </a:prstGeom>
                    <a:noFill/>
                    <a:ln>
                      <a:noFill/>
                    </a:ln>
                    <a:extLst>
                      <a:ext uri="{53640926-AAD7-44D8-BBD7-CCE9431645EC}">
                        <a14:shadowObscured xmlns:a14="http://schemas.microsoft.com/office/drawing/2010/main"/>
                      </a:ext>
                    </a:extLst>
                  </pic:spPr>
                </pic:pic>
              </a:graphicData>
            </a:graphic>
          </wp:inline>
        </w:drawing>
      </w:r>
    </w:p>
    <w:p w14:paraId="2357C3F4" w14:textId="77777777" w:rsidR="00A178C0" w:rsidRPr="00185BC0" w:rsidRDefault="00A178C0" w:rsidP="00A178C0">
      <w:pPr>
        <w:ind w:firstLine="567"/>
        <w:jc w:val="both"/>
        <w:rPr>
          <w:sz w:val="28"/>
          <w:szCs w:val="28"/>
        </w:rPr>
      </w:pPr>
    </w:p>
    <w:p w14:paraId="79052215" w14:textId="5BD2B8D6" w:rsidR="00A178C0" w:rsidRPr="00185BC0" w:rsidRDefault="00A178C0" w:rsidP="00EF5D1F">
      <w:pPr>
        <w:ind w:firstLine="567"/>
        <w:jc w:val="center"/>
        <w:rPr>
          <w:sz w:val="28"/>
          <w:szCs w:val="28"/>
        </w:rPr>
      </w:pPr>
      <w:r w:rsidRPr="00185BC0">
        <w:rPr>
          <w:sz w:val="28"/>
          <w:szCs w:val="28"/>
          <w:lang w:val="kk-KZ"/>
        </w:rPr>
        <w:t>Рисунок 15</w:t>
      </w:r>
      <w:r w:rsidR="00EF5D1F" w:rsidRPr="00185BC0">
        <w:rPr>
          <w:sz w:val="28"/>
          <w:szCs w:val="28"/>
          <w:lang w:val="kk-KZ"/>
        </w:rPr>
        <w:t xml:space="preserve"> – </w:t>
      </w:r>
      <w:r w:rsidRPr="00185BC0">
        <w:rPr>
          <w:sz w:val="28"/>
          <w:szCs w:val="28"/>
        </w:rPr>
        <w:t>Система получения и обработки рентгенологических изображений</w:t>
      </w:r>
    </w:p>
    <w:p w14:paraId="1A21FFF7" w14:textId="77777777" w:rsidR="00EF5D1F" w:rsidRPr="00185BC0" w:rsidRDefault="00EF5D1F" w:rsidP="00EF5D1F">
      <w:pPr>
        <w:ind w:firstLine="567"/>
        <w:jc w:val="center"/>
        <w:rPr>
          <w:sz w:val="28"/>
          <w:szCs w:val="28"/>
        </w:rPr>
      </w:pPr>
    </w:p>
    <w:p w14:paraId="24EC35EA" w14:textId="45D49F44" w:rsidR="00A178C0" w:rsidRPr="00185BC0" w:rsidRDefault="00A178C0" w:rsidP="00A178C0">
      <w:pPr>
        <w:ind w:firstLine="567"/>
        <w:jc w:val="both"/>
        <w:rPr>
          <w:sz w:val="28"/>
          <w:szCs w:val="28"/>
        </w:rPr>
      </w:pPr>
      <w:r w:rsidRPr="00185BC0">
        <w:rPr>
          <w:sz w:val="28"/>
          <w:szCs w:val="28"/>
        </w:rPr>
        <w:t xml:space="preserve">На полученных рентгенограммах проводилась детальная оценка анатомо-структурных изменений, характерных для диспластического коксартроза </w:t>
      </w:r>
      <w:proofErr w:type="spellStart"/>
      <w:r w:rsidRPr="00185BC0">
        <w:rPr>
          <w:sz w:val="28"/>
          <w:szCs w:val="28"/>
        </w:rPr>
        <w:t>Crowe</w:t>
      </w:r>
      <w:proofErr w:type="spellEnd"/>
      <w:r w:rsidRPr="00185BC0">
        <w:rPr>
          <w:sz w:val="28"/>
          <w:szCs w:val="28"/>
        </w:rPr>
        <w:t xml:space="preserve"> IV. Признаки проксимального смещения головки бедренной кости оценивали путем определения положения головки относительно тазовых ориентиров. Головка бедра при тяжелой дисплазии значительно смещена </w:t>
      </w:r>
      <w:proofErr w:type="spellStart"/>
      <w:r w:rsidRPr="00185BC0">
        <w:rPr>
          <w:sz w:val="28"/>
          <w:szCs w:val="28"/>
        </w:rPr>
        <w:t>краниально</w:t>
      </w:r>
      <w:proofErr w:type="spellEnd"/>
      <w:r w:rsidRPr="00185BC0">
        <w:rPr>
          <w:sz w:val="28"/>
          <w:szCs w:val="28"/>
        </w:rPr>
        <w:t xml:space="preserve"> – вплоть до развития высокого вывиха бедра с формированием ложного сустава (</w:t>
      </w:r>
      <w:proofErr w:type="spellStart"/>
      <w:r w:rsidRPr="00185BC0">
        <w:rPr>
          <w:sz w:val="28"/>
          <w:szCs w:val="28"/>
        </w:rPr>
        <w:t>неоартроза</w:t>
      </w:r>
      <w:proofErr w:type="spellEnd"/>
      <w:r w:rsidRPr="00185BC0">
        <w:rPr>
          <w:sz w:val="28"/>
          <w:szCs w:val="28"/>
        </w:rPr>
        <w:t xml:space="preserve">). </w:t>
      </w:r>
      <w:r w:rsidR="00801DB4" w:rsidRPr="00185BC0">
        <w:rPr>
          <w:sz w:val="28"/>
          <w:szCs w:val="28"/>
          <w:lang w:val="kk-KZ"/>
        </w:rPr>
        <w:t>Обращали внимание на то,</w:t>
      </w:r>
      <w:r w:rsidRPr="00185BC0">
        <w:rPr>
          <w:sz w:val="28"/>
          <w:szCs w:val="28"/>
        </w:rPr>
        <w:t xml:space="preserve"> образует ли смещенная </w:t>
      </w:r>
      <w:r w:rsidRPr="00185BC0">
        <w:rPr>
          <w:sz w:val="28"/>
          <w:szCs w:val="28"/>
        </w:rPr>
        <w:lastRenderedPageBreak/>
        <w:t xml:space="preserve">головка новую суставную поверхность на подвздошной кости (ложную вертлужную впадину) и насколько далеко она находится от истинной вертлужной впадины. </w:t>
      </w:r>
      <w:r w:rsidR="00801DB4" w:rsidRPr="00185BC0">
        <w:rPr>
          <w:sz w:val="28"/>
          <w:szCs w:val="28"/>
          <w:lang w:val="kk-KZ"/>
        </w:rPr>
        <w:t>Также о</w:t>
      </w:r>
      <w:proofErr w:type="spellStart"/>
      <w:r w:rsidRPr="00185BC0">
        <w:rPr>
          <w:sz w:val="28"/>
          <w:szCs w:val="28"/>
        </w:rPr>
        <w:t>ценивались</w:t>
      </w:r>
      <w:proofErr w:type="spellEnd"/>
      <w:r w:rsidRPr="00185BC0">
        <w:rPr>
          <w:sz w:val="28"/>
          <w:szCs w:val="28"/>
        </w:rPr>
        <w:t xml:space="preserve"> диспластические изменения вертлужной впадины – ее глубина и наклон крыши. В норме вертлужная впадина обеспечивает достаточное покрытие головки, </w:t>
      </w:r>
      <w:r w:rsidR="00801DB4" w:rsidRPr="00185BC0">
        <w:rPr>
          <w:sz w:val="28"/>
          <w:szCs w:val="28"/>
          <w:lang w:val="kk-KZ"/>
        </w:rPr>
        <w:t xml:space="preserve">а </w:t>
      </w:r>
      <w:r w:rsidRPr="00185BC0">
        <w:rPr>
          <w:sz w:val="28"/>
          <w:szCs w:val="28"/>
        </w:rPr>
        <w:t xml:space="preserve">при дисплазии отмечается уплощение, малый угол покрытия и </w:t>
      </w:r>
      <w:proofErr w:type="spellStart"/>
      <w:r w:rsidRPr="00185BC0">
        <w:rPr>
          <w:sz w:val="28"/>
          <w:szCs w:val="28"/>
        </w:rPr>
        <w:t>наклоненность</w:t>
      </w:r>
      <w:proofErr w:type="spellEnd"/>
      <w:r w:rsidRPr="00185BC0">
        <w:rPr>
          <w:sz w:val="28"/>
          <w:szCs w:val="28"/>
        </w:rPr>
        <w:t xml:space="preserve"> крыши впадины. На ПЗ-снимках измеряли угол наклона крыши вертлужной впадины (</w:t>
      </w:r>
      <w:proofErr w:type="spellStart"/>
      <w:r w:rsidRPr="00185BC0">
        <w:rPr>
          <w:sz w:val="28"/>
          <w:szCs w:val="28"/>
        </w:rPr>
        <w:t>ацетабулярный</w:t>
      </w:r>
      <w:proofErr w:type="spellEnd"/>
      <w:r w:rsidRPr="00185BC0">
        <w:rPr>
          <w:sz w:val="28"/>
          <w:szCs w:val="28"/>
        </w:rPr>
        <w:t xml:space="preserve"> угол) – угол между горизонталью через сустав и линией, проведенной по краю крыши впадины, а также определяли центр–краевой угол </w:t>
      </w:r>
      <w:proofErr w:type="spellStart"/>
      <w:r w:rsidRPr="00185BC0">
        <w:rPr>
          <w:sz w:val="28"/>
          <w:szCs w:val="28"/>
        </w:rPr>
        <w:t>Виберга</w:t>
      </w:r>
      <w:proofErr w:type="spellEnd"/>
      <w:r w:rsidRPr="00185BC0">
        <w:rPr>
          <w:sz w:val="28"/>
          <w:szCs w:val="28"/>
        </w:rPr>
        <w:t xml:space="preserve"> (</w:t>
      </w:r>
      <w:proofErr w:type="gramStart"/>
      <w:r w:rsidRPr="00185BC0">
        <w:rPr>
          <w:sz w:val="28"/>
          <w:szCs w:val="28"/>
        </w:rPr>
        <w:t>угол</w:t>
      </w:r>
      <w:proofErr w:type="gramEnd"/>
      <w:r w:rsidRPr="00185BC0">
        <w:rPr>
          <w:sz w:val="28"/>
          <w:szCs w:val="28"/>
        </w:rPr>
        <w:t xml:space="preserve"> отражающий степень латерального покрытия головки, при дисплазии он снижен). Эти параметры позволяли количественно охарактеризовать степень недостаточности покрытия головки бедра вертлужной впадиной (например, </w:t>
      </w:r>
      <w:proofErr w:type="spellStart"/>
      <w:r w:rsidRPr="00185BC0">
        <w:rPr>
          <w:sz w:val="28"/>
          <w:szCs w:val="28"/>
        </w:rPr>
        <w:t>ацетабулярный</w:t>
      </w:r>
      <w:proofErr w:type="spellEnd"/>
      <w:r w:rsidRPr="00185BC0">
        <w:rPr>
          <w:sz w:val="28"/>
          <w:szCs w:val="28"/>
        </w:rPr>
        <w:t xml:space="preserve"> </w:t>
      </w:r>
      <w:proofErr w:type="gramStart"/>
      <w:r w:rsidR="00D16B1C" w:rsidRPr="00185BC0">
        <w:rPr>
          <w:sz w:val="28"/>
          <w:szCs w:val="28"/>
        </w:rPr>
        <w:t>угол</w:t>
      </w:r>
      <w:r w:rsidR="00D16B1C" w:rsidRPr="00185BC0">
        <w:rPr>
          <w:sz w:val="28"/>
          <w:szCs w:val="28"/>
          <w:lang w:val="kk-KZ"/>
        </w:rPr>
        <w:t xml:space="preserve"> </w:t>
      </w:r>
      <w:r w:rsidR="00D16B1C" w:rsidRPr="00185BC0">
        <w:rPr>
          <w:sz w:val="28"/>
          <w:szCs w:val="28"/>
        </w:rPr>
        <w:t>&gt;</w:t>
      </w:r>
      <w:proofErr w:type="gramEnd"/>
      <w:r w:rsidRPr="00185BC0">
        <w:rPr>
          <w:sz w:val="28"/>
          <w:szCs w:val="28"/>
        </w:rPr>
        <w:t xml:space="preserve"> 10° трактуется как признак дисплазии). Анализировалось состояние суставной щели тазобедренного сустава. В норме ширина суставной щели составляет около 4 мм (измеряется в наиболее узком отделе, обычно верхнемедиальном), что отражает суммарную толщину гиалинового хряща. При коксартрозе отмечается неравномерное сужение суставной щели, вплоть до локального её исчезновения при тяжелом остеоартрозе, что указывает на значительную утрату хряща. Особенно выраженное снижение высоты суставной щели наблюдалось в верхних отделах сустава, подвергающихся наибольшей нагрузке. Оценивалась выраженность </w:t>
      </w:r>
      <w:proofErr w:type="spellStart"/>
      <w:r w:rsidRPr="00185BC0">
        <w:rPr>
          <w:sz w:val="28"/>
          <w:szCs w:val="28"/>
        </w:rPr>
        <w:t>субхондрального</w:t>
      </w:r>
      <w:proofErr w:type="spellEnd"/>
      <w:r w:rsidRPr="00185BC0">
        <w:rPr>
          <w:sz w:val="28"/>
          <w:szCs w:val="28"/>
        </w:rPr>
        <w:t xml:space="preserve"> остеосклероза – уплотнения кости под хрящом в зонах наибольшей нагрузки. При диспластическом коксартрозе </w:t>
      </w:r>
      <w:proofErr w:type="spellStart"/>
      <w:r w:rsidRPr="00185BC0">
        <w:rPr>
          <w:sz w:val="28"/>
          <w:szCs w:val="28"/>
        </w:rPr>
        <w:t>Crowe</w:t>
      </w:r>
      <w:proofErr w:type="spellEnd"/>
      <w:r w:rsidRPr="00185BC0">
        <w:rPr>
          <w:sz w:val="28"/>
          <w:szCs w:val="28"/>
        </w:rPr>
        <w:t xml:space="preserve"> IV, как правило, отмечался выраженный </w:t>
      </w:r>
      <w:proofErr w:type="spellStart"/>
      <w:r w:rsidRPr="00185BC0">
        <w:rPr>
          <w:sz w:val="28"/>
          <w:szCs w:val="28"/>
        </w:rPr>
        <w:t>субхондральный</w:t>
      </w:r>
      <w:proofErr w:type="spellEnd"/>
      <w:r w:rsidRPr="00185BC0">
        <w:rPr>
          <w:sz w:val="28"/>
          <w:szCs w:val="28"/>
        </w:rPr>
        <w:t xml:space="preserve"> склероз особенно по краю вертлужной впадины (крыше) и во верхней части головки бедра. Наличие плотной склеротической зоны свидетельствует о хронической перегрузке и адаптивной реакции кости. Помимо этого, на снимках выявляли краевые остеофиты – костные разрастания по краям суставной впадины и головки</w:t>
      </w:r>
      <w:r w:rsidR="00801DB4" w:rsidRPr="00185BC0">
        <w:rPr>
          <w:sz w:val="28"/>
          <w:szCs w:val="28"/>
          <w:lang w:val="kk-KZ"/>
        </w:rPr>
        <w:t>,</w:t>
      </w:r>
      <w:r w:rsidRPr="00185BC0">
        <w:rPr>
          <w:sz w:val="28"/>
          <w:szCs w:val="28"/>
        </w:rPr>
        <w:t xml:space="preserve"> </w:t>
      </w:r>
      <w:r w:rsidR="00801DB4" w:rsidRPr="00185BC0">
        <w:rPr>
          <w:sz w:val="28"/>
          <w:szCs w:val="28"/>
          <w:lang w:val="kk-KZ"/>
        </w:rPr>
        <w:t>которые</w:t>
      </w:r>
      <w:r w:rsidRPr="00185BC0">
        <w:rPr>
          <w:sz w:val="28"/>
          <w:szCs w:val="28"/>
        </w:rPr>
        <w:t xml:space="preserve"> расценивалось как признак выраженного деформирующего артроза. Кроме того, отмечали другие дегенеративно-дистрофические изменения: наличие кистозных просветлений (</w:t>
      </w:r>
      <w:proofErr w:type="spellStart"/>
      <w:r w:rsidRPr="00185BC0">
        <w:rPr>
          <w:sz w:val="28"/>
          <w:szCs w:val="28"/>
        </w:rPr>
        <w:t>субхондральных</w:t>
      </w:r>
      <w:proofErr w:type="spellEnd"/>
      <w:r w:rsidRPr="00185BC0">
        <w:rPr>
          <w:sz w:val="28"/>
          <w:szCs w:val="28"/>
        </w:rPr>
        <w:t xml:space="preserve"> кист) в вертлужной впадине или головке, деформацию и уплощение головки бедра, состояние кортикальной пластинки по верхнему краю вертлужной впадины, а также признаки </w:t>
      </w:r>
      <w:proofErr w:type="spellStart"/>
      <w:r w:rsidRPr="00185BC0">
        <w:rPr>
          <w:sz w:val="28"/>
          <w:szCs w:val="28"/>
        </w:rPr>
        <w:t>неоартроза</w:t>
      </w:r>
      <w:proofErr w:type="spellEnd"/>
      <w:r w:rsidRPr="00185BC0">
        <w:rPr>
          <w:sz w:val="28"/>
          <w:szCs w:val="28"/>
        </w:rPr>
        <w:t xml:space="preserve">. </w:t>
      </w:r>
      <w:proofErr w:type="spellStart"/>
      <w:r w:rsidRPr="00185BC0">
        <w:rPr>
          <w:sz w:val="28"/>
          <w:szCs w:val="28"/>
        </w:rPr>
        <w:t>Неоартроз</w:t>
      </w:r>
      <w:proofErr w:type="spellEnd"/>
      <w:r w:rsidRPr="00185BC0">
        <w:rPr>
          <w:sz w:val="28"/>
          <w:szCs w:val="28"/>
        </w:rPr>
        <w:t xml:space="preserve"> проявлялся на рентгенограмме как новая суставная щель между смещенной головкой и подвздошной костью выше уровня истинной впадины, часто сопровождающаяся </w:t>
      </w:r>
      <w:proofErr w:type="spellStart"/>
      <w:r w:rsidRPr="00185BC0">
        <w:rPr>
          <w:sz w:val="28"/>
          <w:szCs w:val="28"/>
        </w:rPr>
        <w:t>ремоделированием</w:t>
      </w:r>
      <w:proofErr w:type="spellEnd"/>
      <w:r w:rsidRPr="00185BC0">
        <w:rPr>
          <w:sz w:val="28"/>
          <w:szCs w:val="28"/>
        </w:rPr>
        <w:t xml:space="preserve"> кости в этой области. Наличие сформированного </w:t>
      </w:r>
      <w:proofErr w:type="spellStart"/>
      <w:r w:rsidRPr="00185BC0">
        <w:rPr>
          <w:sz w:val="28"/>
          <w:szCs w:val="28"/>
        </w:rPr>
        <w:t>неоартроза</w:t>
      </w:r>
      <w:proofErr w:type="spellEnd"/>
      <w:r w:rsidRPr="00185BC0">
        <w:rPr>
          <w:sz w:val="28"/>
          <w:szCs w:val="28"/>
        </w:rPr>
        <w:t xml:space="preserve"> указывало на длительное существование высокого вывиха и адаптацию организма к такому положению бедра.</w:t>
      </w:r>
    </w:p>
    <w:p w14:paraId="03D6C1C9" w14:textId="4E3E88EC" w:rsidR="00A178C0" w:rsidRPr="00185BC0" w:rsidRDefault="00A178C0" w:rsidP="00A178C0">
      <w:pPr>
        <w:ind w:firstLine="567"/>
        <w:jc w:val="both"/>
        <w:rPr>
          <w:sz w:val="28"/>
          <w:szCs w:val="28"/>
        </w:rPr>
      </w:pPr>
      <w:r w:rsidRPr="00185BC0">
        <w:rPr>
          <w:sz w:val="28"/>
          <w:szCs w:val="28"/>
        </w:rPr>
        <w:t xml:space="preserve">Для количественной оценки проксимального смещения (вывиха) головки бедренной кости применяли классификацию </w:t>
      </w:r>
      <w:proofErr w:type="spellStart"/>
      <w:r w:rsidRPr="00185BC0">
        <w:rPr>
          <w:sz w:val="28"/>
          <w:szCs w:val="28"/>
        </w:rPr>
        <w:t>Crowe</w:t>
      </w:r>
      <w:proofErr w:type="spellEnd"/>
      <w:r w:rsidRPr="00185BC0">
        <w:rPr>
          <w:sz w:val="28"/>
          <w:szCs w:val="28"/>
        </w:rPr>
        <w:t>. На обзорной ПЗ-рентгенограмме таза измеряли вертикальную высоту смещения головки относительно тазовых ориентиров (рисунок 14). Практически это осуществлялось следующим образом: проводилась линия, соединяющая точки «слезной капли» (</w:t>
      </w:r>
      <w:proofErr w:type="spellStart"/>
      <w:r w:rsidRPr="00185BC0">
        <w:rPr>
          <w:sz w:val="28"/>
          <w:szCs w:val="28"/>
        </w:rPr>
        <w:t>teardrop</w:t>
      </w:r>
      <w:proofErr w:type="spellEnd"/>
      <w:r w:rsidRPr="00185BC0">
        <w:rPr>
          <w:sz w:val="28"/>
          <w:szCs w:val="28"/>
        </w:rPr>
        <w:t xml:space="preserve">) на обеих сторонах таза – так называемая </w:t>
      </w:r>
      <w:proofErr w:type="spellStart"/>
      <w:r w:rsidRPr="00185BC0">
        <w:rPr>
          <w:sz w:val="28"/>
          <w:szCs w:val="28"/>
        </w:rPr>
        <w:t>интертеардропная</w:t>
      </w:r>
      <w:proofErr w:type="spellEnd"/>
      <w:r w:rsidRPr="00185BC0">
        <w:rPr>
          <w:sz w:val="28"/>
          <w:szCs w:val="28"/>
        </w:rPr>
        <w:t xml:space="preserve"> линия, приблизительно соответствующая нижнему краю </w:t>
      </w:r>
      <w:r w:rsidRPr="00185BC0">
        <w:rPr>
          <w:sz w:val="28"/>
          <w:szCs w:val="28"/>
        </w:rPr>
        <w:lastRenderedPageBreak/>
        <w:t xml:space="preserve">истинных вертлужных впадин. Затем определяли расстояние от этой линии до условного центра головки бедра (либо до основания шейки), смещенной кверху. Полученное вертикальное расстояние сопоставляли с высотой таза по вертикали. </w:t>
      </w:r>
      <w:proofErr w:type="spellStart"/>
      <w:r w:rsidRPr="00185BC0">
        <w:rPr>
          <w:sz w:val="28"/>
          <w:szCs w:val="28"/>
        </w:rPr>
        <w:t>Crowe</w:t>
      </w:r>
      <w:proofErr w:type="spellEnd"/>
      <w:r w:rsidRPr="00185BC0">
        <w:rPr>
          <w:sz w:val="28"/>
          <w:szCs w:val="28"/>
        </w:rPr>
        <w:t xml:space="preserve"> </w:t>
      </w:r>
      <w:proofErr w:type="spellStart"/>
      <w:r w:rsidRPr="00185BC0">
        <w:rPr>
          <w:sz w:val="28"/>
          <w:szCs w:val="28"/>
        </w:rPr>
        <w:t>et</w:t>
      </w:r>
      <w:proofErr w:type="spellEnd"/>
      <w:r w:rsidRPr="00185BC0">
        <w:rPr>
          <w:sz w:val="28"/>
          <w:szCs w:val="28"/>
        </w:rPr>
        <w:t xml:space="preserve"> </w:t>
      </w:r>
      <w:proofErr w:type="spellStart"/>
      <w:r w:rsidRPr="00185BC0">
        <w:rPr>
          <w:sz w:val="28"/>
          <w:szCs w:val="28"/>
        </w:rPr>
        <w:t>al</w:t>
      </w:r>
      <w:proofErr w:type="spellEnd"/>
      <w:r w:rsidRPr="00185BC0">
        <w:rPr>
          <w:sz w:val="28"/>
          <w:szCs w:val="28"/>
        </w:rPr>
        <w:t>. предложили выражать величину вывиха в процентах от высоты таза по результатам ПЗ-</w:t>
      </w:r>
      <w:proofErr w:type="spellStart"/>
      <w:r w:rsidRPr="00185BC0">
        <w:rPr>
          <w:sz w:val="28"/>
          <w:szCs w:val="28"/>
        </w:rPr>
        <w:t>рентгенографи</w:t>
      </w:r>
      <w:proofErr w:type="spellEnd"/>
      <w:r w:rsidRPr="00185BC0">
        <w:rPr>
          <w:sz w:val="28"/>
          <w:szCs w:val="28"/>
        </w:rPr>
        <w:t xml:space="preserve">. </w:t>
      </w:r>
    </w:p>
    <w:p w14:paraId="60D4F00E" w14:textId="7EFA05A4" w:rsidR="00A178C0" w:rsidRPr="00185BC0" w:rsidRDefault="00A178C0" w:rsidP="00A178C0">
      <w:pPr>
        <w:ind w:firstLine="567"/>
        <w:jc w:val="both"/>
        <w:rPr>
          <w:sz w:val="28"/>
          <w:szCs w:val="28"/>
        </w:rPr>
      </w:pPr>
      <w:r w:rsidRPr="00185BC0">
        <w:rPr>
          <w:sz w:val="28"/>
          <w:szCs w:val="28"/>
        </w:rPr>
        <w:t xml:space="preserve">Для исследования рассматривались случаи диспластического коксартроза IV типа по </w:t>
      </w:r>
      <w:proofErr w:type="spellStart"/>
      <w:r w:rsidRPr="00185BC0">
        <w:rPr>
          <w:sz w:val="28"/>
          <w:szCs w:val="28"/>
        </w:rPr>
        <w:t>Crowe</w:t>
      </w:r>
      <w:proofErr w:type="spellEnd"/>
      <w:r w:rsidRPr="00185BC0">
        <w:rPr>
          <w:sz w:val="28"/>
          <w:szCs w:val="28"/>
        </w:rPr>
        <w:t>, то есть врожденный высокий вывих бедра с полным выходом головки из впадины. Применение данной классификации позволило объективно к</w:t>
      </w:r>
      <w:r w:rsidR="00801DB4" w:rsidRPr="00185BC0">
        <w:rPr>
          <w:sz w:val="28"/>
          <w:szCs w:val="28"/>
          <w:lang w:val="kk-KZ"/>
        </w:rPr>
        <w:t>ва</w:t>
      </w:r>
      <w:r w:rsidRPr="00185BC0">
        <w:rPr>
          <w:sz w:val="28"/>
          <w:szCs w:val="28"/>
        </w:rPr>
        <w:t>ли</w:t>
      </w:r>
      <w:r w:rsidR="00801DB4" w:rsidRPr="00185BC0">
        <w:rPr>
          <w:sz w:val="28"/>
          <w:szCs w:val="28"/>
          <w:lang w:val="kk-KZ"/>
        </w:rPr>
        <w:t>фи</w:t>
      </w:r>
      <w:proofErr w:type="spellStart"/>
      <w:r w:rsidRPr="00185BC0">
        <w:rPr>
          <w:sz w:val="28"/>
          <w:szCs w:val="28"/>
        </w:rPr>
        <w:t>цировать</w:t>
      </w:r>
      <w:proofErr w:type="spellEnd"/>
      <w:r w:rsidRPr="00185BC0">
        <w:rPr>
          <w:sz w:val="28"/>
          <w:szCs w:val="28"/>
        </w:rPr>
        <w:t xml:space="preserve"> степень краниального смещения головки и учесть особенности анатомии сустава при планировании лечения. </w:t>
      </w:r>
    </w:p>
    <w:p w14:paraId="418803A4" w14:textId="58B751D3" w:rsidR="001906E5" w:rsidRPr="00185BC0" w:rsidRDefault="001906E5" w:rsidP="001906E5">
      <w:pPr>
        <w:ind w:firstLine="567"/>
        <w:jc w:val="both"/>
        <w:rPr>
          <w:sz w:val="28"/>
          <w:szCs w:val="28"/>
        </w:rPr>
      </w:pPr>
      <w:r w:rsidRPr="00185BC0">
        <w:rPr>
          <w:sz w:val="28"/>
          <w:szCs w:val="28"/>
        </w:rPr>
        <w:t>В дальнейшем</w:t>
      </w:r>
      <w:r w:rsidR="00801DB4" w:rsidRPr="00185BC0">
        <w:rPr>
          <w:sz w:val="28"/>
          <w:szCs w:val="28"/>
          <w:lang w:val="kk-KZ"/>
        </w:rPr>
        <w:t>,</w:t>
      </w:r>
      <w:r w:rsidRPr="00185BC0">
        <w:rPr>
          <w:sz w:val="28"/>
          <w:szCs w:val="28"/>
        </w:rPr>
        <w:t xml:space="preserve"> рентгенологическое исследование использовалось для оценки результатов хирургического вмешательства в послеоперационном периоде. Оценка течения послеоперационного периода и сроков консолидации </w:t>
      </w:r>
      <w:proofErr w:type="spellStart"/>
      <w:r w:rsidRPr="00185BC0">
        <w:rPr>
          <w:sz w:val="28"/>
          <w:szCs w:val="28"/>
        </w:rPr>
        <w:t>подвертельной</w:t>
      </w:r>
      <w:proofErr w:type="spellEnd"/>
      <w:r w:rsidRPr="00185BC0">
        <w:rPr>
          <w:sz w:val="28"/>
          <w:szCs w:val="28"/>
        </w:rPr>
        <w:t xml:space="preserve"> остеотомии бедренной кости проводилась на основании клинико-рентгенологических данных при динамическом наблюдении. Контрольное рентгенологическое обследование выполнялось в стандартных переднезадних проекциях непосредственно после операции, а также через 1,5; 3; 6 и 12 месяцев после хирургического вмешательства.</w:t>
      </w:r>
    </w:p>
    <w:p w14:paraId="2638D777" w14:textId="788334EE" w:rsidR="00E31B7F" w:rsidRPr="00185BC0" w:rsidRDefault="001906E5" w:rsidP="001906E5">
      <w:pPr>
        <w:ind w:firstLine="567"/>
        <w:jc w:val="both"/>
        <w:rPr>
          <w:sz w:val="28"/>
          <w:szCs w:val="28"/>
        </w:rPr>
      </w:pPr>
      <w:r w:rsidRPr="00185BC0">
        <w:rPr>
          <w:sz w:val="28"/>
          <w:szCs w:val="28"/>
        </w:rPr>
        <w:t>При анализе рентгенограмм учитывались следующие признаки консолидации зоны остеотомии: выраженность линии остеотомии, наличие костных перемычек между костными фрагментами, формирование костных мостиков, а также отсутствие признаков нестабильности зоны остеотомии при функциональной нагрузке</w:t>
      </w:r>
      <w:r w:rsidR="00E31B7F" w:rsidRPr="00185BC0">
        <w:rPr>
          <w:sz w:val="28"/>
          <w:szCs w:val="28"/>
        </w:rPr>
        <w:t>.</w:t>
      </w:r>
    </w:p>
    <w:p w14:paraId="6500EC6B" w14:textId="45C0B6B2" w:rsidR="00E31B7F" w:rsidRPr="00185BC0" w:rsidRDefault="00E31B7F" w:rsidP="00E31B7F">
      <w:pPr>
        <w:ind w:firstLine="567"/>
        <w:jc w:val="both"/>
        <w:rPr>
          <w:sz w:val="28"/>
          <w:szCs w:val="28"/>
        </w:rPr>
      </w:pPr>
      <w:r w:rsidRPr="00185BC0">
        <w:rPr>
          <w:sz w:val="28"/>
          <w:szCs w:val="28"/>
        </w:rPr>
        <w:t xml:space="preserve">Для объективизации рентгенологической оценки консолидации применялась шкала оценки костного сращения, предложенная </w:t>
      </w:r>
      <w:proofErr w:type="spellStart"/>
      <w:r w:rsidRPr="00185BC0">
        <w:rPr>
          <w:sz w:val="28"/>
          <w:szCs w:val="28"/>
        </w:rPr>
        <w:t>Matsushita</w:t>
      </w:r>
      <w:proofErr w:type="spellEnd"/>
      <w:r w:rsidRPr="00185BC0">
        <w:rPr>
          <w:sz w:val="28"/>
          <w:szCs w:val="28"/>
        </w:rPr>
        <w:t xml:space="preserve"> T. и </w:t>
      </w:r>
      <w:proofErr w:type="spellStart"/>
      <w:r w:rsidRPr="00185BC0">
        <w:rPr>
          <w:sz w:val="28"/>
          <w:szCs w:val="28"/>
        </w:rPr>
        <w:t>соавт</w:t>
      </w:r>
      <w:proofErr w:type="spellEnd"/>
      <w:r w:rsidRPr="00185BC0">
        <w:rPr>
          <w:sz w:val="28"/>
          <w:szCs w:val="28"/>
        </w:rPr>
        <w:t>.</w:t>
      </w:r>
      <w:r w:rsidR="00771A4C" w:rsidRPr="00185BC0">
        <w:rPr>
          <w:sz w:val="28"/>
          <w:szCs w:val="28"/>
          <w:lang w:val="kk-KZ"/>
        </w:rPr>
        <w:t xml:space="preserve"> </w:t>
      </w:r>
      <w:r w:rsidR="00771A4C" w:rsidRPr="00185BC0">
        <w:rPr>
          <w:sz w:val="28"/>
          <w:szCs w:val="28"/>
          <w:lang w:val="kk-KZ"/>
        </w:rPr>
        <w:fldChar w:fldCharType="begin" w:fldLock="1"/>
      </w:r>
      <w:r w:rsidR="00483103" w:rsidRPr="00185BC0">
        <w:rPr>
          <w:sz w:val="28"/>
          <w:szCs w:val="28"/>
          <w:lang w:val="kk-KZ"/>
        </w:rPr>
        <w:instrText>ADDIN CSL_CITATION {"citationItems":[{"id":"ITEM-1","itemData":{"DOI":"10.1007/s00402-022-04495-1","ISBN":"0123456789","ISSN":"14343916","PMID":"35676376","abstract":"Introduction: To compare bone union after medial closing wedge distal femoral osteotomy (MCWDFO) with that after lateral closing wedge distal femoral osteotomy (LCWDFO) using a novel scoring system. Materials and methods: The data of 30 patients who received biplanar MCWDFO for valgus knees (MCWDFO group) were retrospectively examined and compared to that of 22 patients (25 knees) who underwent biplanar LCWDFO via a double-level osteotomy (DLO) for varus knees (LCWDFO group). The progression of bone union of the transverse osteotomy plane in the femur was assessed using a newly developed scoring system using radiographs taken immediately after surgery and 3 and 6 months postoperatively. The scoring system is based on a scale of zero to six points with higher scores indicating better bone union. The incidence of hinge fractures was assessed using CT images, and the rates of reoperation were evaluated using medical record data. Results: The mean bone union score was significantly lower in the MCWDFO group than in the LCWDFO group 3 months (2.1 ± 1.9 vs. 3.7 ± 1.7, P &lt; 0.01) and 6 months (3.8 ± 2.1 vs 4.9 ± 1.5, P &lt; 0.05) postoperatively. The incidence ratio of hinge fractures was significantly higher in the MCWDFO group than in the LCWDFO group (70.0% vs. 32.0%, P &lt; 0.01). Two patients in the MCWDFO group underwent reoperation for delayed bone union or non-union. Conclusion: Bone union progression was slower and hinge fractures were more frequently observed after MCWDFO than after LCWDFO via DLO. MCWDFO is technically challenging, and patients must be monitored closely during and after surgery.","author":[{"dropping-particle":"","family":"Matsushita","given":"Takehiko","non-dropping-particle":"","parse-names":false,"suffix":""},{"dropping-particle":"","family":"Mori","given":"Akiyoshi","non-dropping-particle":"","parse-names":false,"suffix":""},{"dropping-particle":"","family":"Watanabe","given":"Shu","non-dropping-particle":"","parse-names":false,"suffix":""},{"dropping-particle":"","family":"Kataoka","given":"Kiminari","non-dropping-particle":"","parse-names":false,"suffix":""},{"dropping-particle":"","family":"Oka","given":"Shinya","non-dropping-particle":"","parse-names":false,"suffix":""},{"dropping-particle":"","family":"Nishida","given":"Kyohei","non-dropping-particle":"","parse-names":false,"suffix":""},{"dropping-particle":"","family":"Nagai","given":"Kanto","non-dropping-particle":"","parse-names":false,"suffix":""},{"dropping-particle":"","family":"Matsumoto","given":"Tomoyuki","non-dropping-particle":"","parse-names":false,"suffix":""},{"dropping-particle":"","family":"Hoshino","given":"Yuichi","non-dropping-particle":"","parse-names":false,"suffix":""},{"dropping-particle":"","family":"Kuroda","given":"Ryosuke","non-dropping-particle":"","parse-names":false,"suffix":""}],"container-title":"Archives of Orthopaedic and Trauma Surgery","id":"ITEM-1","issue":"9","issued":{"date-parts":[["2022"]]},"page":"2303-2312","publisher":"Springer Berlin Heidelberg","title":"Analysis of bone union after medial closing wedge distal femoral osteotomy using a new radiographic scoring system","type":"article-journal","volume":"142"},"uris":["http://www.mendeley.com/documents/?uuid=4353304b-a573-4b78-abdb-9fedcda28367"]}],"mendeley":{"formattedCitation":"[104]","plainTextFormattedCitation":"[104]","previouslyFormattedCitation":"[104]"},"properties":{"noteIndex":0},"schema":"https://github.com/citation-style-language/schema/raw/master/csl-citation.json"}</w:instrText>
      </w:r>
      <w:r w:rsidR="00771A4C" w:rsidRPr="00185BC0">
        <w:rPr>
          <w:sz w:val="28"/>
          <w:szCs w:val="28"/>
          <w:lang w:val="kk-KZ"/>
        </w:rPr>
        <w:fldChar w:fldCharType="separate"/>
      </w:r>
      <w:r w:rsidR="00483103" w:rsidRPr="00185BC0">
        <w:rPr>
          <w:noProof/>
          <w:sz w:val="28"/>
          <w:szCs w:val="28"/>
          <w:lang w:val="kk-KZ"/>
        </w:rPr>
        <w:t>[104]</w:t>
      </w:r>
      <w:r w:rsidR="00771A4C" w:rsidRPr="00185BC0">
        <w:rPr>
          <w:sz w:val="28"/>
          <w:szCs w:val="28"/>
          <w:lang w:val="kk-KZ"/>
        </w:rPr>
        <w:fldChar w:fldCharType="end"/>
      </w:r>
      <w:r w:rsidRPr="00185BC0">
        <w:rPr>
          <w:sz w:val="28"/>
          <w:szCs w:val="28"/>
        </w:rPr>
        <w:t>, основанная на балльной оценке линии остеотомии в трёх анатомических зонах. Линия остеотомии, распространяющаяся до противоположного кортикального слоя бедренной кости, условно подразделялась на следующие зоны:</w:t>
      </w:r>
    </w:p>
    <w:p w14:paraId="6F7AA467" w14:textId="4C8EFF7F" w:rsidR="00E31B7F" w:rsidRPr="00185BC0" w:rsidRDefault="00E31B7F" w:rsidP="00E659F9">
      <w:pPr>
        <w:pStyle w:val="a6"/>
        <w:numPr>
          <w:ilvl w:val="0"/>
          <w:numId w:val="26"/>
        </w:numPr>
        <w:ind w:hanging="11"/>
        <w:jc w:val="both"/>
        <w:rPr>
          <w:sz w:val="28"/>
          <w:szCs w:val="28"/>
        </w:rPr>
      </w:pPr>
      <w:proofErr w:type="spellStart"/>
      <w:r w:rsidRPr="00185BC0">
        <w:rPr>
          <w:i/>
          <w:iCs/>
          <w:sz w:val="28"/>
          <w:szCs w:val="28"/>
        </w:rPr>
        <w:t>hinge</w:t>
      </w:r>
      <w:proofErr w:type="spellEnd"/>
      <w:r w:rsidRPr="00185BC0">
        <w:rPr>
          <w:i/>
          <w:iCs/>
          <w:sz w:val="28"/>
          <w:szCs w:val="28"/>
        </w:rPr>
        <w:t xml:space="preserve"> </w:t>
      </w:r>
      <w:proofErr w:type="spellStart"/>
      <w:r w:rsidRPr="00185BC0">
        <w:rPr>
          <w:i/>
          <w:iCs/>
          <w:sz w:val="28"/>
          <w:szCs w:val="28"/>
        </w:rPr>
        <w:t>zone</w:t>
      </w:r>
      <w:proofErr w:type="spellEnd"/>
      <w:r w:rsidRPr="00185BC0">
        <w:rPr>
          <w:sz w:val="28"/>
          <w:szCs w:val="28"/>
        </w:rPr>
        <w:t xml:space="preserve"> </w:t>
      </w:r>
      <w:r w:rsidR="00F34EF9" w:rsidRPr="00185BC0">
        <w:rPr>
          <w:sz w:val="28"/>
          <w:szCs w:val="28"/>
        </w:rPr>
        <w:t>–</w:t>
      </w:r>
      <w:r w:rsidRPr="00185BC0">
        <w:rPr>
          <w:sz w:val="28"/>
          <w:szCs w:val="28"/>
        </w:rPr>
        <w:t xml:space="preserve"> шарнирная зона;</w:t>
      </w:r>
    </w:p>
    <w:p w14:paraId="4F01F3F6" w14:textId="2020C338" w:rsidR="00E31B7F" w:rsidRPr="00185BC0" w:rsidRDefault="00E31B7F" w:rsidP="00E659F9">
      <w:pPr>
        <w:pStyle w:val="a6"/>
        <w:numPr>
          <w:ilvl w:val="0"/>
          <w:numId w:val="26"/>
        </w:numPr>
        <w:ind w:hanging="11"/>
        <w:jc w:val="both"/>
        <w:rPr>
          <w:sz w:val="28"/>
          <w:szCs w:val="28"/>
        </w:rPr>
      </w:pPr>
      <w:proofErr w:type="spellStart"/>
      <w:r w:rsidRPr="00185BC0">
        <w:rPr>
          <w:i/>
          <w:iCs/>
          <w:sz w:val="28"/>
          <w:szCs w:val="28"/>
        </w:rPr>
        <w:t>mid-zone</w:t>
      </w:r>
      <w:proofErr w:type="spellEnd"/>
      <w:r w:rsidRPr="00185BC0">
        <w:rPr>
          <w:sz w:val="28"/>
          <w:szCs w:val="28"/>
        </w:rPr>
        <w:t xml:space="preserve"> </w:t>
      </w:r>
      <w:r w:rsidR="00F34EF9" w:rsidRPr="00185BC0">
        <w:rPr>
          <w:sz w:val="28"/>
          <w:szCs w:val="28"/>
        </w:rPr>
        <w:t>–</w:t>
      </w:r>
      <w:r w:rsidRPr="00185BC0">
        <w:rPr>
          <w:sz w:val="28"/>
          <w:szCs w:val="28"/>
        </w:rPr>
        <w:t xml:space="preserve"> центральная зона;</w:t>
      </w:r>
    </w:p>
    <w:p w14:paraId="18F8F79D" w14:textId="7D3CD9F0" w:rsidR="00E31B7F" w:rsidRPr="00185BC0" w:rsidRDefault="00E31B7F" w:rsidP="00E659F9">
      <w:pPr>
        <w:pStyle w:val="a6"/>
        <w:numPr>
          <w:ilvl w:val="0"/>
          <w:numId w:val="26"/>
        </w:numPr>
        <w:ind w:hanging="11"/>
        <w:jc w:val="both"/>
        <w:rPr>
          <w:sz w:val="28"/>
          <w:szCs w:val="28"/>
        </w:rPr>
      </w:pPr>
      <w:proofErr w:type="spellStart"/>
      <w:r w:rsidRPr="00185BC0">
        <w:rPr>
          <w:i/>
          <w:iCs/>
          <w:sz w:val="28"/>
          <w:szCs w:val="28"/>
        </w:rPr>
        <w:t>closing</w:t>
      </w:r>
      <w:proofErr w:type="spellEnd"/>
      <w:r w:rsidRPr="00185BC0">
        <w:rPr>
          <w:i/>
          <w:iCs/>
          <w:sz w:val="28"/>
          <w:szCs w:val="28"/>
        </w:rPr>
        <w:t xml:space="preserve"> </w:t>
      </w:r>
      <w:proofErr w:type="spellStart"/>
      <w:r w:rsidRPr="00185BC0">
        <w:rPr>
          <w:i/>
          <w:iCs/>
          <w:sz w:val="28"/>
          <w:szCs w:val="28"/>
        </w:rPr>
        <w:t>zone</w:t>
      </w:r>
      <w:proofErr w:type="spellEnd"/>
      <w:r w:rsidRPr="00185BC0">
        <w:rPr>
          <w:sz w:val="28"/>
          <w:szCs w:val="28"/>
        </w:rPr>
        <w:t xml:space="preserve"> </w:t>
      </w:r>
      <w:r w:rsidR="00F34EF9" w:rsidRPr="00185BC0">
        <w:rPr>
          <w:sz w:val="28"/>
          <w:szCs w:val="28"/>
        </w:rPr>
        <w:t>–</w:t>
      </w:r>
      <w:r w:rsidRPr="00185BC0">
        <w:rPr>
          <w:sz w:val="28"/>
          <w:szCs w:val="28"/>
        </w:rPr>
        <w:t xml:space="preserve"> зона замыкания.</w:t>
      </w:r>
    </w:p>
    <w:p w14:paraId="2240144F" w14:textId="77777777" w:rsidR="00E31B7F" w:rsidRPr="00185BC0" w:rsidRDefault="00E31B7F" w:rsidP="00E31B7F">
      <w:pPr>
        <w:ind w:firstLine="567"/>
        <w:jc w:val="both"/>
        <w:rPr>
          <w:sz w:val="28"/>
          <w:szCs w:val="28"/>
        </w:rPr>
      </w:pPr>
      <w:r w:rsidRPr="00185BC0">
        <w:rPr>
          <w:sz w:val="28"/>
          <w:szCs w:val="28"/>
        </w:rPr>
        <w:t>Каждая из указанных зон оценивалась отдельно по трёхбалльной шкале:</w:t>
      </w:r>
    </w:p>
    <w:p w14:paraId="0F57DF1D" w14:textId="00E16F50" w:rsidR="00E31B7F" w:rsidRPr="00185BC0" w:rsidRDefault="00E31B7F" w:rsidP="00E659F9">
      <w:pPr>
        <w:pStyle w:val="a6"/>
        <w:numPr>
          <w:ilvl w:val="0"/>
          <w:numId w:val="27"/>
        </w:numPr>
        <w:ind w:left="0" w:firstLine="720"/>
        <w:jc w:val="both"/>
        <w:rPr>
          <w:sz w:val="28"/>
          <w:szCs w:val="28"/>
        </w:rPr>
      </w:pPr>
      <w:r w:rsidRPr="00185BC0">
        <w:rPr>
          <w:sz w:val="28"/>
          <w:szCs w:val="28"/>
        </w:rPr>
        <w:t xml:space="preserve">0 баллов </w:t>
      </w:r>
      <w:r w:rsidR="00801DB4" w:rsidRPr="00185BC0">
        <w:rPr>
          <w:sz w:val="28"/>
          <w:szCs w:val="28"/>
          <w:lang w:val="kk-KZ"/>
        </w:rPr>
        <w:t>-</w:t>
      </w:r>
      <w:r w:rsidRPr="00185BC0">
        <w:rPr>
          <w:sz w:val="28"/>
          <w:szCs w:val="28"/>
        </w:rPr>
        <w:t xml:space="preserve"> чётко визуализируемая линия остеотомии либо наличие </w:t>
      </w:r>
      <w:proofErr w:type="spellStart"/>
      <w:r w:rsidRPr="00185BC0">
        <w:rPr>
          <w:sz w:val="28"/>
          <w:szCs w:val="28"/>
        </w:rPr>
        <w:t>радиолюцентной</w:t>
      </w:r>
      <w:proofErr w:type="spellEnd"/>
      <w:r w:rsidRPr="00185BC0">
        <w:rPr>
          <w:sz w:val="28"/>
          <w:szCs w:val="28"/>
        </w:rPr>
        <w:t xml:space="preserve"> зоны;</w:t>
      </w:r>
    </w:p>
    <w:p w14:paraId="391708CB" w14:textId="0E3DD609" w:rsidR="00E31B7F" w:rsidRPr="00185BC0" w:rsidRDefault="00E31B7F" w:rsidP="00E659F9">
      <w:pPr>
        <w:pStyle w:val="a6"/>
        <w:numPr>
          <w:ilvl w:val="0"/>
          <w:numId w:val="27"/>
        </w:numPr>
        <w:ind w:left="0" w:firstLine="720"/>
        <w:jc w:val="both"/>
        <w:rPr>
          <w:sz w:val="28"/>
          <w:szCs w:val="28"/>
        </w:rPr>
      </w:pPr>
      <w:r w:rsidRPr="00185BC0">
        <w:rPr>
          <w:sz w:val="28"/>
          <w:szCs w:val="28"/>
        </w:rPr>
        <w:t xml:space="preserve">1 балл </w:t>
      </w:r>
      <w:r w:rsidR="00801DB4" w:rsidRPr="00185BC0">
        <w:rPr>
          <w:sz w:val="28"/>
          <w:szCs w:val="28"/>
          <w:lang w:val="kk-KZ"/>
        </w:rPr>
        <w:t>-</w:t>
      </w:r>
      <w:r w:rsidRPr="00185BC0">
        <w:rPr>
          <w:sz w:val="28"/>
          <w:szCs w:val="28"/>
        </w:rPr>
        <w:t xml:space="preserve"> частичное исчезновение линии остеотомии или её фрагментарная визуализация;</w:t>
      </w:r>
    </w:p>
    <w:p w14:paraId="43B9227F" w14:textId="0288CABB" w:rsidR="00E31B7F" w:rsidRPr="00185BC0" w:rsidRDefault="00E659F9" w:rsidP="00E659F9">
      <w:pPr>
        <w:pStyle w:val="a6"/>
        <w:numPr>
          <w:ilvl w:val="0"/>
          <w:numId w:val="27"/>
        </w:numPr>
        <w:ind w:left="0" w:firstLine="720"/>
        <w:jc w:val="both"/>
        <w:rPr>
          <w:sz w:val="28"/>
          <w:szCs w:val="28"/>
        </w:rPr>
      </w:pPr>
      <w:r w:rsidRPr="00185BC0">
        <w:rPr>
          <w:sz w:val="28"/>
          <w:szCs w:val="28"/>
          <w:lang w:val="kk-KZ"/>
        </w:rPr>
        <w:t xml:space="preserve">2 </w:t>
      </w:r>
      <w:r w:rsidR="00E31B7F" w:rsidRPr="00185BC0">
        <w:rPr>
          <w:sz w:val="28"/>
          <w:szCs w:val="28"/>
        </w:rPr>
        <w:t xml:space="preserve">балла </w:t>
      </w:r>
      <w:r w:rsidR="00801DB4" w:rsidRPr="00185BC0">
        <w:rPr>
          <w:sz w:val="28"/>
          <w:szCs w:val="28"/>
          <w:lang w:val="kk-KZ"/>
        </w:rPr>
        <w:t>-</w:t>
      </w:r>
      <w:r w:rsidR="00E31B7F" w:rsidRPr="00185BC0">
        <w:rPr>
          <w:sz w:val="28"/>
          <w:szCs w:val="28"/>
        </w:rPr>
        <w:t xml:space="preserve"> отсутствие визуализации линии остеотомии, соответствующее формированию костного сращения.</w:t>
      </w:r>
    </w:p>
    <w:p w14:paraId="306D384E" w14:textId="521DBF80" w:rsidR="00E31B7F" w:rsidRPr="00185BC0" w:rsidRDefault="001906E5" w:rsidP="00E31B7F">
      <w:pPr>
        <w:ind w:firstLine="567"/>
        <w:jc w:val="both"/>
        <w:rPr>
          <w:sz w:val="28"/>
          <w:szCs w:val="28"/>
        </w:rPr>
      </w:pPr>
      <w:r w:rsidRPr="00185BC0">
        <w:rPr>
          <w:sz w:val="28"/>
          <w:szCs w:val="28"/>
        </w:rPr>
        <w:t>Суммарный показатель консолидации рассчитывался путём сложения баллов по всем трём зонам и мог варьировать от 0 до 6 баллов, отражая степень формирования костного регенерата в зоне остеотомии</w:t>
      </w:r>
      <w:r w:rsidRPr="00185BC0">
        <w:t xml:space="preserve"> </w:t>
      </w:r>
      <w:r w:rsidRPr="00185BC0">
        <w:rPr>
          <w:sz w:val="28"/>
          <w:szCs w:val="28"/>
        </w:rPr>
        <w:t xml:space="preserve">(рисунок </w:t>
      </w:r>
      <w:r w:rsidR="00BF5746" w:rsidRPr="00185BC0">
        <w:rPr>
          <w:sz w:val="28"/>
          <w:szCs w:val="28"/>
          <w:lang w:val="kk-KZ"/>
        </w:rPr>
        <w:t>1</w:t>
      </w:r>
      <w:r w:rsidRPr="00185BC0">
        <w:rPr>
          <w:sz w:val="28"/>
          <w:szCs w:val="28"/>
        </w:rPr>
        <w:t>6)</w:t>
      </w:r>
      <w:r w:rsidR="00E31B7F" w:rsidRPr="00185BC0">
        <w:rPr>
          <w:sz w:val="28"/>
          <w:szCs w:val="28"/>
        </w:rPr>
        <w:t>.</w:t>
      </w:r>
    </w:p>
    <w:p w14:paraId="24014576" w14:textId="77777777" w:rsidR="0048757C" w:rsidRPr="00185BC0" w:rsidRDefault="0048757C" w:rsidP="00805DB5">
      <w:pPr>
        <w:jc w:val="center"/>
        <w:rPr>
          <w:sz w:val="28"/>
          <w:szCs w:val="28"/>
        </w:rPr>
      </w:pPr>
      <w:r w:rsidRPr="00185BC0">
        <w:rPr>
          <w:noProof/>
          <w:sz w:val="28"/>
          <w:szCs w:val="28"/>
          <w:lang w:val="kk-KZ"/>
        </w:rPr>
        <w:lastRenderedPageBreak/>
        <w:drawing>
          <wp:inline distT="0" distB="0" distL="0" distR="0" wp14:anchorId="27C526F6" wp14:editId="07853C7D">
            <wp:extent cx="4705350" cy="2075284"/>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33289" cy="2087607"/>
                    </a:xfrm>
                    <a:prstGeom prst="rect">
                      <a:avLst/>
                    </a:prstGeom>
                  </pic:spPr>
                </pic:pic>
              </a:graphicData>
            </a:graphic>
          </wp:inline>
        </w:drawing>
      </w:r>
    </w:p>
    <w:p w14:paraId="015F9923" w14:textId="77777777" w:rsidR="00805DB5" w:rsidRPr="00185BC0" w:rsidRDefault="00805DB5" w:rsidP="00EF5D1F">
      <w:pPr>
        <w:ind w:firstLine="567"/>
        <w:jc w:val="center"/>
        <w:rPr>
          <w:sz w:val="28"/>
          <w:szCs w:val="28"/>
        </w:rPr>
      </w:pPr>
    </w:p>
    <w:p w14:paraId="5FD27451" w14:textId="76ED1C32" w:rsidR="0048757C" w:rsidRPr="00185BC0" w:rsidRDefault="0048757C" w:rsidP="00EF5D1F">
      <w:pPr>
        <w:ind w:firstLine="567"/>
        <w:jc w:val="center"/>
        <w:rPr>
          <w:sz w:val="28"/>
          <w:szCs w:val="28"/>
        </w:rPr>
      </w:pPr>
      <w:r w:rsidRPr="00185BC0">
        <w:rPr>
          <w:sz w:val="28"/>
          <w:szCs w:val="28"/>
        </w:rPr>
        <w:t xml:space="preserve">Рисунок </w:t>
      </w:r>
      <w:r w:rsidR="006A73B6" w:rsidRPr="00185BC0">
        <w:rPr>
          <w:sz w:val="28"/>
          <w:szCs w:val="28"/>
          <w:lang w:val="kk-KZ"/>
        </w:rPr>
        <w:t xml:space="preserve">16 </w:t>
      </w:r>
      <w:r w:rsidR="006A73B6" w:rsidRPr="00185BC0">
        <w:rPr>
          <w:sz w:val="28"/>
          <w:szCs w:val="28"/>
        </w:rPr>
        <w:t>–</w:t>
      </w:r>
      <w:r w:rsidR="00EF5D1F" w:rsidRPr="00185BC0">
        <w:rPr>
          <w:sz w:val="28"/>
          <w:szCs w:val="28"/>
        </w:rPr>
        <w:t xml:space="preserve"> </w:t>
      </w:r>
      <w:r w:rsidRPr="00185BC0">
        <w:rPr>
          <w:sz w:val="28"/>
          <w:szCs w:val="28"/>
        </w:rPr>
        <w:t xml:space="preserve">Схема оценки рентгенологических признаков консолидации остеотомии по шкале </w:t>
      </w:r>
      <w:proofErr w:type="spellStart"/>
      <w:r w:rsidRPr="00185BC0">
        <w:rPr>
          <w:sz w:val="28"/>
          <w:szCs w:val="28"/>
        </w:rPr>
        <w:t>Matsushita</w:t>
      </w:r>
      <w:proofErr w:type="spellEnd"/>
      <w:r w:rsidRPr="00185BC0">
        <w:rPr>
          <w:sz w:val="28"/>
          <w:szCs w:val="28"/>
        </w:rPr>
        <w:t xml:space="preserve"> T. и </w:t>
      </w:r>
      <w:proofErr w:type="spellStart"/>
      <w:r w:rsidRPr="00185BC0">
        <w:rPr>
          <w:sz w:val="28"/>
          <w:szCs w:val="28"/>
        </w:rPr>
        <w:t>соавт</w:t>
      </w:r>
      <w:proofErr w:type="spellEnd"/>
      <w:r w:rsidRPr="00185BC0">
        <w:rPr>
          <w:sz w:val="28"/>
          <w:szCs w:val="28"/>
        </w:rPr>
        <w:t>. (2022)</w:t>
      </w:r>
    </w:p>
    <w:p w14:paraId="24AD361A" w14:textId="4D4E48D3" w:rsidR="0048757C" w:rsidRPr="00185BC0" w:rsidRDefault="0048757C" w:rsidP="00E31B7F">
      <w:pPr>
        <w:ind w:firstLine="567"/>
        <w:jc w:val="both"/>
        <w:rPr>
          <w:sz w:val="28"/>
          <w:szCs w:val="28"/>
        </w:rPr>
      </w:pPr>
    </w:p>
    <w:p w14:paraId="340A4B64" w14:textId="32E0F419" w:rsidR="001906E5" w:rsidRPr="00185BC0" w:rsidRDefault="001906E5" w:rsidP="001906E5">
      <w:pPr>
        <w:ind w:firstLine="567"/>
        <w:jc w:val="both"/>
        <w:rPr>
          <w:sz w:val="28"/>
          <w:szCs w:val="28"/>
        </w:rPr>
      </w:pPr>
      <w:r w:rsidRPr="00185BC0">
        <w:rPr>
          <w:sz w:val="28"/>
          <w:szCs w:val="28"/>
        </w:rPr>
        <w:t>Рентгенологическая оценка консолидации выполнялась двумя независимыми специалистами, неосведомлёнными о распределении пациентов по группам исследования. В случае расхождения полученных оценок проводилось повторное совместное обсуждение до достижения согласованного результата.</w:t>
      </w:r>
    </w:p>
    <w:p w14:paraId="658617C8" w14:textId="733C6C76" w:rsidR="00B47C71" w:rsidRPr="00185BC0" w:rsidRDefault="00801DB4" w:rsidP="0048757C">
      <w:pPr>
        <w:ind w:firstLine="567"/>
        <w:jc w:val="both"/>
        <w:rPr>
          <w:sz w:val="28"/>
          <w:szCs w:val="28"/>
        </w:rPr>
      </w:pPr>
      <w:r w:rsidRPr="00185BC0">
        <w:rPr>
          <w:sz w:val="28"/>
          <w:szCs w:val="28"/>
        </w:rPr>
        <w:t>С целью сопоставимого межгруппового анализа и нивелирования влияния локальных различий процесса сращения между отдельными анатомическими зонами для количественной оценки его динамики дополнительно использовался средний балл консолидации, рассчитываемый как среднее арифметическое значений по трём зонам, каждая из которых оценивалась по шкале от 0 до 2</w:t>
      </w:r>
      <w:r w:rsidR="00805DB5" w:rsidRPr="00185BC0">
        <w:rPr>
          <w:sz w:val="28"/>
          <w:szCs w:val="28"/>
          <w:lang w:val="kk-KZ"/>
        </w:rPr>
        <w:t xml:space="preserve"> - х</w:t>
      </w:r>
      <w:r w:rsidRPr="00185BC0">
        <w:rPr>
          <w:sz w:val="28"/>
          <w:szCs w:val="28"/>
        </w:rPr>
        <w:t xml:space="preserve"> баллов</w:t>
      </w:r>
      <w:r w:rsidR="001906E5" w:rsidRPr="00185BC0">
        <w:rPr>
          <w:sz w:val="28"/>
          <w:szCs w:val="28"/>
        </w:rPr>
        <w:t>.</w:t>
      </w:r>
    </w:p>
    <w:p w14:paraId="77A674BA" w14:textId="2C19F1C6" w:rsidR="00A178C0" w:rsidRPr="00185BC0" w:rsidRDefault="00A178C0" w:rsidP="00A178C0">
      <w:pPr>
        <w:ind w:firstLine="567"/>
        <w:contextualSpacing/>
        <w:jc w:val="both"/>
        <w:rPr>
          <w:b/>
          <w:bCs/>
          <w:i/>
          <w:iCs/>
          <w:sz w:val="28"/>
          <w:szCs w:val="28"/>
        </w:rPr>
      </w:pPr>
      <w:r w:rsidRPr="00185BC0">
        <w:rPr>
          <w:b/>
          <w:bCs/>
          <w:i/>
          <w:iCs/>
          <w:sz w:val="28"/>
          <w:szCs w:val="28"/>
        </w:rPr>
        <w:t>Методика компьютерной томографии тазобедренного сустава</w:t>
      </w:r>
    </w:p>
    <w:p w14:paraId="6C7B08C7" w14:textId="0A650852" w:rsidR="00A178C0" w:rsidRPr="00185BC0" w:rsidRDefault="00A178C0" w:rsidP="00A178C0">
      <w:pPr>
        <w:ind w:firstLine="567"/>
        <w:jc w:val="both"/>
        <w:rPr>
          <w:sz w:val="28"/>
          <w:szCs w:val="28"/>
        </w:rPr>
      </w:pPr>
      <w:r w:rsidRPr="00185BC0">
        <w:rPr>
          <w:sz w:val="28"/>
          <w:szCs w:val="28"/>
        </w:rPr>
        <w:t>Компьютерно-</w:t>
      </w:r>
      <w:proofErr w:type="spellStart"/>
      <w:r w:rsidRPr="00185BC0">
        <w:rPr>
          <w:sz w:val="28"/>
          <w:szCs w:val="28"/>
        </w:rPr>
        <w:t>томографическое</w:t>
      </w:r>
      <w:proofErr w:type="spellEnd"/>
      <w:r w:rsidRPr="00185BC0">
        <w:rPr>
          <w:sz w:val="28"/>
          <w:szCs w:val="28"/>
        </w:rPr>
        <w:t xml:space="preserve"> исследование выполнено на </w:t>
      </w:r>
      <w:proofErr w:type="spellStart"/>
      <w:r w:rsidRPr="00185BC0">
        <w:rPr>
          <w:sz w:val="28"/>
          <w:szCs w:val="28"/>
        </w:rPr>
        <w:t>мультиспиральном</w:t>
      </w:r>
      <w:proofErr w:type="spellEnd"/>
      <w:r w:rsidRPr="00185BC0">
        <w:rPr>
          <w:sz w:val="28"/>
          <w:szCs w:val="28"/>
        </w:rPr>
        <w:t xml:space="preserve"> компьютерном томографе Fujifilm </w:t>
      </w:r>
      <w:proofErr w:type="spellStart"/>
      <w:r w:rsidRPr="00185BC0">
        <w:rPr>
          <w:sz w:val="28"/>
          <w:szCs w:val="28"/>
        </w:rPr>
        <w:t>Supria</w:t>
      </w:r>
      <w:proofErr w:type="spellEnd"/>
      <w:r w:rsidRPr="00185BC0">
        <w:rPr>
          <w:sz w:val="28"/>
          <w:szCs w:val="28"/>
        </w:rPr>
        <w:t xml:space="preserve"> (Япония, 2019) с возможностью одновременного получения </w:t>
      </w:r>
      <w:r w:rsidRPr="00185BC0">
        <w:rPr>
          <w:sz w:val="28"/>
          <w:szCs w:val="28"/>
          <w:lang w:val="kk-KZ"/>
        </w:rPr>
        <w:t>168</w:t>
      </w:r>
      <w:r w:rsidRPr="00185BC0">
        <w:rPr>
          <w:sz w:val="28"/>
          <w:szCs w:val="28"/>
        </w:rPr>
        <w:t xml:space="preserve"> срезов за один оборот трубки (рисунок 1</w:t>
      </w:r>
      <w:r w:rsidR="00BF5746" w:rsidRPr="00185BC0">
        <w:rPr>
          <w:sz w:val="28"/>
          <w:szCs w:val="28"/>
          <w:lang w:val="kk-KZ"/>
        </w:rPr>
        <w:t>7</w:t>
      </w:r>
      <w:r w:rsidRPr="00185BC0">
        <w:rPr>
          <w:sz w:val="28"/>
          <w:szCs w:val="28"/>
        </w:rPr>
        <w:t xml:space="preserve">). </w:t>
      </w:r>
    </w:p>
    <w:p w14:paraId="470C9F25" w14:textId="77777777" w:rsidR="00A178C0" w:rsidRPr="00185BC0" w:rsidRDefault="00A178C0" w:rsidP="00A178C0">
      <w:pPr>
        <w:ind w:firstLine="708"/>
        <w:jc w:val="both"/>
        <w:rPr>
          <w:sz w:val="28"/>
          <w:szCs w:val="28"/>
        </w:rPr>
      </w:pPr>
    </w:p>
    <w:p w14:paraId="4A423B29" w14:textId="77777777" w:rsidR="00A178C0" w:rsidRPr="00185BC0" w:rsidRDefault="00A178C0" w:rsidP="00A178C0">
      <w:pPr>
        <w:jc w:val="center"/>
        <w:rPr>
          <w:sz w:val="28"/>
          <w:szCs w:val="28"/>
        </w:rPr>
      </w:pPr>
      <w:r w:rsidRPr="00185BC0">
        <w:rPr>
          <w:noProof/>
          <w:sz w:val="28"/>
          <w:szCs w:val="28"/>
        </w:rPr>
        <w:drawing>
          <wp:inline distT="0" distB="0" distL="0" distR="0" wp14:anchorId="35C23A01" wp14:editId="293124DF">
            <wp:extent cx="3331140" cy="215265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7445" r="2124" b="7247"/>
                    <a:stretch/>
                  </pic:blipFill>
                  <pic:spPr bwMode="auto">
                    <a:xfrm>
                      <a:off x="0" y="0"/>
                      <a:ext cx="3386660" cy="2188528"/>
                    </a:xfrm>
                    <a:prstGeom prst="rect">
                      <a:avLst/>
                    </a:prstGeom>
                    <a:ln>
                      <a:noFill/>
                    </a:ln>
                    <a:extLst>
                      <a:ext uri="{53640926-AAD7-44D8-BBD7-CCE9431645EC}">
                        <a14:shadowObscured xmlns:a14="http://schemas.microsoft.com/office/drawing/2010/main"/>
                      </a:ext>
                    </a:extLst>
                  </pic:spPr>
                </pic:pic>
              </a:graphicData>
            </a:graphic>
          </wp:inline>
        </w:drawing>
      </w:r>
    </w:p>
    <w:p w14:paraId="69E4833C" w14:textId="77777777" w:rsidR="00A178C0" w:rsidRPr="00185BC0" w:rsidRDefault="00A178C0" w:rsidP="00A178C0">
      <w:pPr>
        <w:jc w:val="center"/>
        <w:rPr>
          <w:sz w:val="28"/>
          <w:szCs w:val="28"/>
        </w:rPr>
      </w:pPr>
    </w:p>
    <w:p w14:paraId="7E8B91D9" w14:textId="757C2EAB" w:rsidR="00A178C0" w:rsidRPr="00185BC0" w:rsidRDefault="00A178C0" w:rsidP="00A178C0">
      <w:pPr>
        <w:jc w:val="center"/>
        <w:rPr>
          <w:sz w:val="28"/>
          <w:szCs w:val="28"/>
        </w:rPr>
      </w:pPr>
      <w:r w:rsidRPr="00185BC0">
        <w:rPr>
          <w:sz w:val="28"/>
          <w:szCs w:val="28"/>
        </w:rPr>
        <w:t>Рисунок 1</w:t>
      </w:r>
      <w:r w:rsidR="00BF5746" w:rsidRPr="00185BC0">
        <w:rPr>
          <w:sz w:val="28"/>
          <w:szCs w:val="28"/>
          <w:lang w:val="kk-KZ"/>
        </w:rPr>
        <w:t>7</w:t>
      </w:r>
      <w:r w:rsidR="00EF5D1F" w:rsidRPr="00185BC0">
        <w:rPr>
          <w:sz w:val="28"/>
          <w:szCs w:val="28"/>
          <w:lang w:val="kk-KZ"/>
        </w:rPr>
        <w:t xml:space="preserve"> </w:t>
      </w:r>
      <w:r w:rsidR="006A73B6" w:rsidRPr="00185BC0">
        <w:rPr>
          <w:sz w:val="28"/>
          <w:szCs w:val="28"/>
          <w:lang w:val="kk-KZ"/>
        </w:rPr>
        <w:t xml:space="preserve">– </w:t>
      </w:r>
      <w:r w:rsidR="006A73B6" w:rsidRPr="00185BC0">
        <w:rPr>
          <w:sz w:val="28"/>
          <w:szCs w:val="28"/>
        </w:rPr>
        <w:t>Процесс</w:t>
      </w:r>
      <w:r w:rsidRPr="00185BC0">
        <w:rPr>
          <w:sz w:val="28"/>
          <w:szCs w:val="28"/>
        </w:rPr>
        <w:t xml:space="preserve"> подготовки пациента к КТ-исследованию на аппарате Fujifilm </w:t>
      </w:r>
      <w:proofErr w:type="spellStart"/>
      <w:r w:rsidRPr="00185BC0">
        <w:rPr>
          <w:sz w:val="28"/>
          <w:szCs w:val="28"/>
        </w:rPr>
        <w:t>Supria</w:t>
      </w:r>
      <w:proofErr w:type="spellEnd"/>
    </w:p>
    <w:p w14:paraId="4B67381A" w14:textId="77777777" w:rsidR="00A178C0" w:rsidRPr="00185BC0" w:rsidRDefault="00A178C0" w:rsidP="00A178C0">
      <w:pPr>
        <w:ind w:firstLine="708"/>
        <w:jc w:val="both"/>
        <w:rPr>
          <w:sz w:val="28"/>
          <w:szCs w:val="28"/>
        </w:rPr>
      </w:pPr>
    </w:p>
    <w:p w14:paraId="793CD553" w14:textId="77777777" w:rsidR="00426487" w:rsidRPr="00185BC0" w:rsidRDefault="00426487" w:rsidP="00426487">
      <w:pPr>
        <w:ind w:firstLine="567"/>
        <w:jc w:val="both"/>
        <w:rPr>
          <w:sz w:val="28"/>
          <w:szCs w:val="28"/>
        </w:rPr>
      </w:pPr>
      <w:r w:rsidRPr="00185BC0">
        <w:rPr>
          <w:sz w:val="28"/>
          <w:szCs w:val="28"/>
        </w:rPr>
        <w:t>Аппарат оснащен автоматическим инжектором для контрастного усиления. Пациентов укладывали на спину с выпрямленными нижними конечностями. Сканирование проводили от уровня гребней подвздошных костей таза до средней трети бедренной кости. Толщина аксиального среза составляла ~</w:t>
      </w:r>
      <w:r w:rsidRPr="00185BC0">
        <w:rPr>
          <w:sz w:val="28"/>
          <w:szCs w:val="28"/>
          <w:lang w:val="kk-KZ"/>
        </w:rPr>
        <w:t>2,5</w:t>
      </w:r>
      <w:r w:rsidRPr="00185BC0">
        <w:rPr>
          <w:sz w:val="28"/>
          <w:szCs w:val="28"/>
        </w:rPr>
        <w:t xml:space="preserve">мм с последующей реконструкцией изображений с </w:t>
      </w:r>
      <w:r w:rsidRPr="00185BC0">
        <w:rPr>
          <w:sz w:val="28"/>
          <w:szCs w:val="28"/>
          <w:lang w:val="kk-KZ"/>
        </w:rPr>
        <w:t>0,625 мм</w:t>
      </w:r>
      <w:r w:rsidRPr="00185BC0">
        <w:rPr>
          <w:sz w:val="28"/>
          <w:szCs w:val="28"/>
        </w:rPr>
        <w:t>. Полученные аксиальные томограммы в формате DICOM экспортировались на рабочую станцию для последующей обработки и анализа.</w:t>
      </w:r>
    </w:p>
    <w:p w14:paraId="51E02A77" w14:textId="5D605567" w:rsidR="00A178C0" w:rsidRPr="00185BC0" w:rsidRDefault="00A178C0" w:rsidP="00A178C0">
      <w:pPr>
        <w:ind w:firstLine="708"/>
        <w:jc w:val="both"/>
        <w:rPr>
          <w:sz w:val="28"/>
          <w:szCs w:val="28"/>
        </w:rPr>
      </w:pPr>
      <w:r w:rsidRPr="00185BC0">
        <w:rPr>
          <w:sz w:val="28"/>
          <w:szCs w:val="28"/>
        </w:rPr>
        <w:t>Основной целью выполнения КТ тазобедренного сустава было уточнение характера и степени анатомических изменений при высоком врожденном вывихе бедра необходимых для планирования остеотомии и эндопротезирования. При помощи КТ решались следующие задачи:</w:t>
      </w:r>
    </w:p>
    <w:p w14:paraId="1FC9FC16" w14:textId="77777777" w:rsidR="00A178C0" w:rsidRPr="00185BC0" w:rsidRDefault="00A178C0" w:rsidP="00D47CC4">
      <w:pPr>
        <w:numPr>
          <w:ilvl w:val="0"/>
          <w:numId w:val="9"/>
        </w:numPr>
        <w:ind w:left="0" w:firstLine="709"/>
        <w:contextualSpacing/>
        <w:jc w:val="both"/>
        <w:rPr>
          <w:sz w:val="28"/>
          <w:szCs w:val="28"/>
        </w:rPr>
      </w:pPr>
      <w:r w:rsidRPr="00185BC0">
        <w:rPr>
          <w:sz w:val="28"/>
          <w:szCs w:val="28"/>
        </w:rPr>
        <w:t xml:space="preserve">Уточнение степени дисплазии и анатомических параметров сустава: оценка конфигурации вертлужной впадины, степени покрытия головки бедренной кости, угловых параметров сустава и иных проявлений дисплазии. КТ позволяет детально визуализировать нарушения формы вертлужной впадины (например, ее треугольную уплощенную форму при </w:t>
      </w:r>
      <w:proofErr w:type="spellStart"/>
      <w:r w:rsidRPr="00185BC0">
        <w:rPr>
          <w:sz w:val="28"/>
          <w:szCs w:val="28"/>
        </w:rPr>
        <w:t>Crowe</w:t>
      </w:r>
      <w:proofErr w:type="spellEnd"/>
      <w:r w:rsidRPr="00185BC0">
        <w:rPr>
          <w:sz w:val="28"/>
          <w:szCs w:val="28"/>
        </w:rPr>
        <w:t xml:space="preserve"> IV) и определить степень недоразвития костных структур сустава.</w:t>
      </w:r>
    </w:p>
    <w:p w14:paraId="22D89E34" w14:textId="77777777" w:rsidR="00A178C0" w:rsidRPr="00185BC0" w:rsidRDefault="00A178C0" w:rsidP="00D47CC4">
      <w:pPr>
        <w:numPr>
          <w:ilvl w:val="0"/>
          <w:numId w:val="9"/>
        </w:numPr>
        <w:ind w:left="0" w:firstLine="709"/>
        <w:contextualSpacing/>
        <w:jc w:val="both"/>
        <w:rPr>
          <w:sz w:val="28"/>
          <w:szCs w:val="28"/>
        </w:rPr>
      </w:pPr>
      <w:r w:rsidRPr="00185BC0">
        <w:rPr>
          <w:sz w:val="28"/>
          <w:szCs w:val="28"/>
        </w:rPr>
        <w:t xml:space="preserve">Визуализация истинного центра вращения: определение анатомического центра ротации тазобедренного сустава в нормальном положении (истинной вертлужной впадине). За счет трёхмерной визуализации таза и бедренной кости на КТ удается точно локализовать центр </w:t>
      </w:r>
      <w:proofErr w:type="spellStart"/>
      <w:r w:rsidRPr="00185BC0">
        <w:rPr>
          <w:sz w:val="28"/>
          <w:szCs w:val="28"/>
        </w:rPr>
        <w:t>ротирования</w:t>
      </w:r>
      <w:proofErr w:type="spellEnd"/>
      <w:r w:rsidRPr="00185BC0">
        <w:rPr>
          <w:sz w:val="28"/>
          <w:szCs w:val="28"/>
        </w:rPr>
        <w:t xml:space="preserve"> в истинной (анатомической) вертлужной впадине, который служит ориентиром для установки вертлужного компонента эндопротеза и сравнения с текущим (патологическим) положением головки.</w:t>
      </w:r>
    </w:p>
    <w:p w14:paraId="6B39EBEF" w14:textId="23DD27A9" w:rsidR="00A178C0" w:rsidRPr="00185BC0" w:rsidRDefault="00A178C0" w:rsidP="00D47CC4">
      <w:pPr>
        <w:numPr>
          <w:ilvl w:val="0"/>
          <w:numId w:val="9"/>
        </w:numPr>
        <w:ind w:left="0" w:firstLine="709"/>
        <w:contextualSpacing/>
        <w:jc w:val="both"/>
        <w:rPr>
          <w:sz w:val="28"/>
          <w:szCs w:val="28"/>
        </w:rPr>
      </w:pPr>
      <w:r w:rsidRPr="00185BC0">
        <w:rPr>
          <w:sz w:val="28"/>
          <w:szCs w:val="28"/>
        </w:rPr>
        <w:t xml:space="preserve">Определение проксимального (краниального) смещения головки бедренной кости: измерение величины, на которую головка бедра смещена вверх относительно истинного центра вращения тазобедренного сустава. В случаях дисплазии </w:t>
      </w:r>
      <w:proofErr w:type="spellStart"/>
      <w:r w:rsidRPr="00185BC0">
        <w:rPr>
          <w:sz w:val="28"/>
          <w:szCs w:val="28"/>
        </w:rPr>
        <w:t>Crowe</w:t>
      </w:r>
      <w:proofErr w:type="spellEnd"/>
      <w:r w:rsidRPr="00185BC0">
        <w:rPr>
          <w:sz w:val="28"/>
          <w:szCs w:val="28"/>
        </w:rPr>
        <w:t xml:space="preserve"> IV проксимальное смещение головки достигает в среднем ~4</w:t>
      </w:r>
      <w:r w:rsidR="00805DB5" w:rsidRPr="00185BC0">
        <w:rPr>
          <w:sz w:val="28"/>
          <w:szCs w:val="28"/>
          <w:lang w:val="kk-KZ"/>
        </w:rPr>
        <w:t xml:space="preserve"> – </w:t>
      </w:r>
      <w:r w:rsidRPr="00185BC0">
        <w:rPr>
          <w:sz w:val="28"/>
          <w:szCs w:val="28"/>
        </w:rPr>
        <w:t>5 см, что эквивалентно полному врожденному вывиху бедра. Данные КТ позволяют количественно определить это смещение (по вертикали от центра анатомической впадины до центра головки) для расчета необходимой величины остеотомии и предотвращения чрезмерного удлинения конечности при репозиции сустава.</w:t>
      </w:r>
    </w:p>
    <w:p w14:paraId="281D0EC3" w14:textId="77777777" w:rsidR="00A178C0" w:rsidRPr="00185BC0" w:rsidRDefault="00A178C0" w:rsidP="00D47CC4">
      <w:pPr>
        <w:numPr>
          <w:ilvl w:val="0"/>
          <w:numId w:val="9"/>
        </w:numPr>
        <w:ind w:left="0" w:firstLine="709"/>
        <w:contextualSpacing/>
        <w:jc w:val="both"/>
        <w:rPr>
          <w:sz w:val="28"/>
          <w:szCs w:val="28"/>
        </w:rPr>
      </w:pPr>
      <w:r w:rsidRPr="00185BC0">
        <w:rPr>
          <w:sz w:val="28"/>
          <w:szCs w:val="28"/>
        </w:rPr>
        <w:t xml:space="preserve">Оценка костномозгового канала бедренной кости: измерение диаметра и формы внутреннего канала бедренной кости на различных уровнях проксимального отдела. При высоком вывихе бедра характерно узкое интрамедуллярное пространство и повышенная </w:t>
      </w:r>
      <w:proofErr w:type="spellStart"/>
      <w:r w:rsidRPr="00185BC0">
        <w:rPr>
          <w:sz w:val="28"/>
          <w:szCs w:val="28"/>
        </w:rPr>
        <w:t>торсия</w:t>
      </w:r>
      <w:proofErr w:type="spellEnd"/>
      <w:r w:rsidRPr="00185BC0">
        <w:rPr>
          <w:sz w:val="28"/>
          <w:szCs w:val="28"/>
        </w:rPr>
        <w:t xml:space="preserve"> бедренной кости.  По КТ точно измеряли внутренний диаметр канала (особенно в области предполагаемой остеотомии и ниже) и толщину кортикального слоя, что важно для выбора типа и размера ножки эндопротеза, а также для планирования техники остеотомии (например, оценка возможности вклинения ножки имплантата без избыточного риска раскола кости).</w:t>
      </w:r>
    </w:p>
    <w:p w14:paraId="1750A5CA" w14:textId="6B3638BD" w:rsidR="00A178C0" w:rsidRPr="00185BC0" w:rsidRDefault="00A178C0" w:rsidP="00A178C0">
      <w:pPr>
        <w:ind w:firstLine="709"/>
        <w:contextualSpacing/>
        <w:jc w:val="both"/>
        <w:rPr>
          <w:sz w:val="28"/>
          <w:szCs w:val="28"/>
        </w:rPr>
      </w:pPr>
      <w:r w:rsidRPr="00185BC0">
        <w:rPr>
          <w:sz w:val="28"/>
          <w:szCs w:val="28"/>
        </w:rPr>
        <w:t xml:space="preserve">Все полученные КТ-изображения в формате DICOM были </w:t>
      </w:r>
      <w:r w:rsidRPr="00185BC0">
        <w:rPr>
          <w:sz w:val="28"/>
          <w:szCs w:val="28"/>
        </w:rPr>
        <w:lastRenderedPageBreak/>
        <w:t>проанализированы с использованием специализированного программного обеспечения для медицинской визуализации. На рабочей станции выполнялись многоплоскостные реконструкции (МПР) в коронарной и сагиттальной плоскостях, что дополняло стандартные аксиальные срезы при оценке пространственных соотношений. С помощью электронного измерительного инструментария проводились точные линейные и угловые измерения на КТ-снимках. В частности, определяли величину краниального смещения головки бедра (расстояние по вертикали между центром головки и истинным центром ротации вертлужной впадины), измеряли ширину костномозгового канала бедренной кости на разных уровнях, а также оценивали угловые параметры проксимального отдела бедра</w:t>
      </w:r>
      <w:r w:rsidR="00805DB5" w:rsidRPr="00185BC0">
        <w:rPr>
          <w:sz w:val="28"/>
          <w:szCs w:val="28"/>
          <w:lang w:val="kk-KZ"/>
        </w:rPr>
        <w:t xml:space="preserve">, </w:t>
      </w:r>
      <w:r w:rsidRPr="00185BC0">
        <w:rPr>
          <w:sz w:val="28"/>
          <w:szCs w:val="28"/>
        </w:rPr>
        <w:t xml:space="preserve">например, </w:t>
      </w:r>
      <w:proofErr w:type="spellStart"/>
      <w:r w:rsidRPr="00185BC0">
        <w:rPr>
          <w:sz w:val="28"/>
          <w:szCs w:val="28"/>
        </w:rPr>
        <w:t>антеверсионный</w:t>
      </w:r>
      <w:proofErr w:type="spellEnd"/>
      <w:r w:rsidRPr="00185BC0">
        <w:rPr>
          <w:sz w:val="28"/>
          <w:szCs w:val="28"/>
        </w:rPr>
        <w:t xml:space="preserve"> угол шейки бедра. КТ-измерения подтвердили наличие узкого интрамедуллярного канала и избыточной </w:t>
      </w:r>
      <w:proofErr w:type="spellStart"/>
      <w:r w:rsidRPr="00185BC0">
        <w:rPr>
          <w:sz w:val="28"/>
          <w:szCs w:val="28"/>
        </w:rPr>
        <w:t>антеверсии</w:t>
      </w:r>
      <w:proofErr w:type="spellEnd"/>
      <w:r w:rsidRPr="00185BC0">
        <w:rPr>
          <w:sz w:val="28"/>
          <w:szCs w:val="28"/>
        </w:rPr>
        <w:t xml:space="preserve"> у всех пациентов с </w:t>
      </w:r>
      <w:proofErr w:type="spellStart"/>
      <w:r w:rsidRPr="00185BC0">
        <w:rPr>
          <w:sz w:val="28"/>
          <w:szCs w:val="28"/>
        </w:rPr>
        <w:t>Crowe</w:t>
      </w:r>
      <w:proofErr w:type="spellEnd"/>
      <w:r w:rsidRPr="00185BC0">
        <w:rPr>
          <w:sz w:val="28"/>
          <w:szCs w:val="28"/>
        </w:rPr>
        <w:t xml:space="preserve"> IV, что необходимо учитывать при подборе компонентов эндопротеза. Кроме того, при помощи КТ рассчитывали длину укорочения бедра, необходимую для перемещения головки в анатомическую позицию без натяжения мягких тканей. Все измерения выполнялись дважды двумя независимыми исследователями с последующим усреднением результатов, что повышало точность и воспроизводимость данных.</w:t>
      </w:r>
    </w:p>
    <w:p w14:paraId="4F37DD86" w14:textId="0028CBBB" w:rsidR="00A178C0" w:rsidRPr="00185BC0" w:rsidRDefault="00A178C0" w:rsidP="00A178C0">
      <w:pPr>
        <w:ind w:firstLine="709"/>
        <w:jc w:val="both"/>
        <w:rPr>
          <w:sz w:val="28"/>
          <w:szCs w:val="28"/>
        </w:rPr>
      </w:pPr>
      <w:r w:rsidRPr="00185BC0">
        <w:rPr>
          <w:sz w:val="28"/>
          <w:szCs w:val="28"/>
        </w:rPr>
        <w:t xml:space="preserve">Для более наглядной оценки сложной анатомии выполнялась трёхмерная (3D) реконструкция тазобедренного сустава и проксимального отдела бедренной кости на основе КТ-данных. DICOM-изображения были импортированы в программное обеспечение для 3D-моделирования. Костные структуры таза и бедра сегментировали посредством пороговой фильтрации по плотности (выделение костной ткани) с последующим ручным редактированием контура, после чего автоматически генерировалась трехмерная модель скелета соответствующей области. В результате получали детализированную 3D-модель, отображающую истинную вертлужную впадину, головку бедренной кости (в патологическом положении) и весь проксимальный отдел бедренной кости (включая большой и малый вертел, диафиз вплоть до уровня </w:t>
      </w:r>
      <w:proofErr w:type="spellStart"/>
      <w:r w:rsidRPr="00185BC0">
        <w:rPr>
          <w:sz w:val="28"/>
          <w:szCs w:val="28"/>
        </w:rPr>
        <w:t>истмуса</w:t>
      </w:r>
      <w:proofErr w:type="spellEnd"/>
      <w:r w:rsidRPr="00185BC0">
        <w:rPr>
          <w:sz w:val="28"/>
          <w:szCs w:val="28"/>
        </w:rPr>
        <w:t>). На рисунке 1</w:t>
      </w:r>
      <w:r w:rsidR="00CF3657" w:rsidRPr="00185BC0">
        <w:rPr>
          <w:sz w:val="28"/>
          <w:szCs w:val="28"/>
          <w:lang w:val="kk-KZ"/>
        </w:rPr>
        <w:t>8</w:t>
      </w:r>
      <w:r w:rsidRPr="00185BC0">
        <w:rPr>
          <w:sz w:val="28"/>
          <w:szCs w:val="28"/>
        </w:rPr>
        <w:t xml:space="preserve"> показан пример такой реконструкции: модель тазобедренного сустава с высоко расположенной бедренной головкой относительно истинного центра вращения.</w:t>
      </w:r>
    </w:p>
    <w:p w14:paraId="1CCDD7AA" w14:textId="77777777" w:rsidR="00C413E2" w:rsidRPr="00185BC0" w:rsidRDefault="00C413E2" w:rsidP="00A178C0">
      <w:pPr>
        <w:ind w:firstLine="709"/>
        <w:jc w:val="both"/>
        <w:rPr>
          <w:sz w:val="28"/>
          <w:szCs w:val="28"/>
        </w:rPr>
      </w:pPr>
    </w:p>
    <w:p w14:paraId="0232CE27" w14:textId="5E8CE239" w:rsidR="00C413E2" w:rsidRPr="00185BC0" w:rsidRDefault="00C413E2" w:rsidP="00426487">
      <w:pPr>
        <w:jc w:val="center"/>
        <w:rPr>
          <w:sz w:val="28"/>
          <w:szCs w:val="28"/>
        </w:rPr>
      </w:pPr>
      <w:r w:rsidRPr="00185BC0">
        <w:rPr>
          <w:noProof/>
          <w:sz w:val="28"/>
          <w:szCs w:val="28"/>
        </w:rPr>
        <w:drawing>
          <wp:inline distT="0" distB="0" distL="0" distR="0" wp14:anchorId="5DCF9C97" wp14:editId="0F7D3AC8">
            <wp:extent cx="4629150" cy="1832216"/>
            <wp:effectExtent l="0" t="0" r="0" b="0"/>
            <wp:docPr id="1507999132" name="Рисунок 1507999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59472" cy="1844218"/>
                    </a:xfrm>
                    <a:prstGeom prst="rect">
                      <a:avLst/>
                    </a:prstGeom>
                  </pic:spPr>
                </pic:pic>
              </a:graphicData>
            </a:graphic>
          </wp:inline>
        </w:drawing>
      </w:r>
    </w:p>
    <w:p w14:paraId="2D3A302D" w14:textId="4C165977" w:rsidR="00A178C0" w:rsidRPr="00185BC0" w:rsidRDefault="00A178C0" w:rsidP="00A178C0">
      <w:pPr>
        <w:jc w:val="both"/>
        <w:rPr>
          <w:sz w:val="28"/>
          <w:szCs w:val="28"/>
        </w:rPr>
      </w:pPr>
    </w:p>
    <w:p w14:paraId="1ABFB31F" w14:textId="64FD9923" w:rsidR="00A178C0" w:rsidRPr="00185BC0" w:rsidRDefault="00A178C0" w:rsidP="00EF5D1F">
      <w:pPr>
        <w:widowControl/>
        <w:suppressAutoHyphens/>
        <w:autoSpaceDE/>
        <w:autoSpaceDN/>
        <w:jc w:val="center"/>
        <w:rPr>
          <w:i/>
          <w:iCs/>
          <w:sz w:val="28"/>
          <w:szCs w:val="28"/>
        </w:rPr>
      </w:pPr>
      <w:r w:rsidRPr="00185BC0">
        <w:rPr>
          <w:sz w:val="28"/>
          <w:szCs w:val="28"/>
        </w:rPr>
        <w:t>Рисунок 1</w:t>
      </w:r>
      <w:r w:rsidR="00CF3657" w:rsidRPr="00185BC0">
        <w:rPr>
          <w:sz w:val="28"/>
          <w:szCs w:val="28"/>
          <w:lang w:val="kk-KZ"/>
        </w:rPr>
        <w:t>8</w:t>
      </w:r>
      <w:r w:rsidR="00EF5D1F" w:rsidRPr="00185BC0">
        <w:rPr>
          <w:sz w:val="28"/>
          <w:szCs w:val="28"/>
          <w:lang w:val="kk-KZ"/>
        </w:rPr>
        <w:t xml:space="preserve"> </w:t>
      </w:r>
      <w:r w:rsidR="006A73B6" w:rsidRPr="00185BC0">
        <w:rPr>
          <w:sz w:val="28"/>
          <w:szCs w:val="28"/>
          <w:lang w:val="kk-KZ"/>
        </w:rPr>
        <w:t xml:space="preserve">– </w:t>
      </w:r>
      <w:r w:rsidR="006A73B6" w:rsidRPr="00185BC0">
        <w:rPr>
          <w:sz w:val="28"/>
          <w:szCs w:val="28"/>
        </w:rPr>
        <w:t>КТ</w:t>
      </w:r>
      <w:r w:rsidRPr="00185BC0">
        <w:rPr>
          <w:sz w:val="28"/>
          <w:szCs w:val="28"/>
        </w:rPr>
        <w:t xml:space="preserve"> тазобедренного сустава:</w:t>
      </w:r>
      <w:r w:rsidRPr="00185BC0">
        <w:rPr>
          <w:sz w:val="28"/>
          <w:szCs w:val="28"/>
          <w:lang w:val="kk-KZ"/>
        </w:rPr>
        <w:t xml:space="preserve"> </w:t>
      </w:r>
      <w:r w:rsidR="00C413E2" w:rsidRPr="00185BC0">
        <w:rPr>
          <w:sz w:val="28"/>
          <w:szCs w:val="28"/>
          <w:lang w:val="kk-KZ"/>
        </w:rPr>
        <w:t>А</w:t>
      </w:r>
      <w:r w:rsidRPr="00185BC0">
        <w:rPr>
          <w:sz w:val="28"/>
          <w:szCs w:val="28"/>
        </w:rPr>
        <w:t xml:space="preserve"> </w:t>
      </w:r>
      <w:r w:rsidR="00DA5A93" w:rsidRPr="00185BC0">
        <w:rPr>
          <w:sz w:val="28"/>
          <w:szCs w:val="28"/>
        </w:rPr>
        <w:t>–</w:t>
      </w:r>
      <w:r w:rsidRPr="00185BC0">
        <w:rPr>
          <w:sz w:val="28"/>
          <w:szCs w:val="28"/>
        </w:rPr>
        <w:t xml:space="preserve"> прямая проекция; </w:t>
      </w:r>
      <w:r w:rsidR="00C413E2" w:rsidRPr="00185BC0">
        <w:rPr>
          <w:sz w:val="28"/>
          <w:szCs w:val="28"/>
          <w:lang w:val="kk-KZ"/>
        </w:rPr>
        <w:t>Б</w:t>
      </w:r>
      <w:r w:rsidRPr="00185BC0">
        <w:rPr>
          <w:sz w:val="28"/>
          <w:szCs w:val="28"/>
        </w:rPr>
        <w:t xml:space="preserve"> </w:t>
      </w:r>
      <w:r w:rsidR="00DA5A93" w:rsidRPr="00185BC0">
        <w:rPr>
          <w:sz w:val="28"/>
          <w:szCs w:val="28"/>
        </w:rPr>
        <w:t>–</w:t>
      </w:r>
      <w:r w:rsidRPr="00185BC0">
        <w:rPr>
          <w:sz w:val="28"/>
          <w:szCs w:val="28"/>
        </w:rPr>
        <w:t xml:space="preserve"> </w:t>
      </w:r>
      <w:proofErr w:type="spellStart"/>
      <w:r w:rsidRPr="00185BC0">
        <w:rPr>
          <w:sz w:val="28"/>
          <w:szCs w:val="28"/>
        </w:rPr>
        <w:t>задн</w:t>
      </w:r>
      <w:proofErr w:type="spellEnd"/>
      <w:r w:rsidRPr="00185BC0">
        <w:rPr>
          <w:sz w:val="28"/>
          <w:szCs w:val="28"/>
          <w:lang w:val="kk-KZ"/>
        </w:rPr>
        <w:t>яя</w:t>
      </w:r>
      <w:r w:rsidRPr="00185BC0">
        <w:rPr>
          <w:sz w:val="28"/>
          <w:szCs w:val="28"/>
        </w:rPr>
        <w:t xml:space="preserve"> проекция</w:t>
      </w:r>
    </w:p>
    <w:p w14:paraId="4705E861" w14:textId="77777777" w:rsidR="00426487" w:rsidRPr="00185BC0" w:rsidRDefault="00426487" w:rsidP="00A178C0">
      <w:pPr>
        <w:ind w:firstLine="709"/>
        <w:jc w:val="both"/>
        <w:rPr>
          <w:sz w:val="28"/>
          <w:szCs w:val="28"/>
        </w:rPr>
      </w:pPr>
    </w:p>
    <w:p w14:paraId="489EFDBE" w14:textId="157E6062" w:rsidR="00A178C0" w:rsidRPr="00185BC0" w:rsidRDefault="00A178C0" w:rsidP="00A178C0">
      <w:pPr>
        <w:ind w:firstLine="709"/>
        <w:jc w:val="both"/>
        <w:rPr>
          <w:sz w:val="28"/>
          <w:szCs w:val="28"/>
        </w:rPr>
      </w:pPr>
      <w:r w:rsidRPr="00185BC0">
        <w:rPr>
          <w:sz w:val="28"/>
          <w:szCs w:val="28"/>
        </w:rPr>
        <w:t xml:space="preserve">Построенная 3D-модель использовалась для виртуального планирования укорачивающей остеотомии бедренной кости. В интерактивном режиме моделировали поперечную остеотомию в </w:t>
      </w:r>
      <w:proofErr w:type="spellStart"/>
      <w:r w:rsidRPr="00185BC0">
        <w:rPr>
          <w:sz w:val="28"/>
          <w:szCs w:val="28"/>
        </w:rPr>
        <w:t>подвертельной</w:t>
      </w:r>
      <w:proofErr w:type="spellEnd"/>
      <w:r w:rsidRPr="00185BC0">
        <w:rPr>
          <w:sz w:val="28"/>
          <w:szCs w:val="28"/>
        </w:rPr>
        <w:t xml:space="preserve"> области бедра и сопоставляли отрезки кости после укорочения. Уровень остеотомии выбирали с учетом анатомических ориентиров – обычно в </w:t>
      </w:r>
      <w:proofErr w:type="spellStart"/>
      <w:r w:rsidRPr="00185BC0">
        <w:rPr>
          <w:sz w:val="28"/>
          <w:szCs w:val="28"/>
        </w:rPr>
        <w:t>метадиафизарной</w:t>
      </w:r>
      <w:proofErr w:type="spellEnd"/>
      <w:r w:rsidRPr="00185BC0">
        <w:rPr>
          <w:sz w:val="28"/>
          <w:szCs w:val="28"/>
        </w:rPr>
        <w:t xml:space="preserve"> зоне, нижележащей малому вертелу. Согласно литературным рекомендациям, при высоком вывихе бедра остеотомию целесообразно выполнять примерно на 1–2 см ниже уровня малого вертела, что обеспечивает оптимальное соосное сопоставление фрагментов и достаточную площадь контакта кости для сращения</w:t>
      </w:r>
      <w:r w:rsidRPr="00185BC0">
        <w:rPr>
          <w:sz w:val="28"/>
          <w:szCs w:val="28"/>
          <w:lang w:val="kk-KZ"/>
        </w:rPr>
        <w:t xml:space="preserve"> (рисунок </w:t>
      </w:r>
      <w:r w:rsidRPr="00185BC0">
        <w:rPr>
          <w:sz w:val="28"/>
          <w:szCs w:val="28"/>
          <w:lang w:val="tr-TR"/>
        </w:rPr>
        <w:t>1</w:t>
      </w:r>
      <w:r w:rsidR="00CF3657" w:rsidRPr="00185BC0">
        <w:rPr>
          <w:sz w:val="28"/>
          <w:szCs w:val="28"/>
          <w:lang w:val="kk-KZ"/>
        </w:rPr>
        <w:t>9</w:t>
      </w:r>
      <w:r w:rsidRPr="00185BC0">
        <w:rPr>
          <w:sz w:val="28"/>
          <w:szCs w:val="28"/>
          <w:lang w:val="kk-KZ"/>
        </w:rPr>
        <w:t>)</w:t>
      </w:r>
      <w:r w:rsidRPr="00185BC0">
        <w:rPr>
          <w:sz w:val="28"/>
          <w:szCs w:val="28"/>
        </w:rPr>
        <w:t xml:space="preserve">. </w:t>
      </w:r>
    </w:p>
    <w:p w14:paraId="16793F16" w14:textId="77777777" w:rsidR="00A178C0" w:rsidRPr="00185BC0" w:rsidRDefault="00A178C0" w:rsidP="00A178C0">
      <w:pPr>
        <w:ind w:firstLine="709"/>
        <w:jc w:val="both"/>
        <w:rPr>
          <w:sz w:val="28"/>
          <w:szCs w:val="28"/>
        </w:rPr>
      </w:pPr>
    </w:p>
    <w:p w14:paraId="4475F965" w14:textId="77777777" w:rsidR="00A178C0" w:rsidRPr="00185BC0" w:rsidRDefault="00A178C0" w:rsidP="00A178C0">
      <w:pPr>
        <w:ind w:left="709"/>
        <w:contextualSpacing/>
        <w:jc w:val="center"/>
        <w:rPr>
          <w:sz w:val="28"/>
          <w:szCs w:val="28"/>
        </w:rPr>
      </w:pPr>
      <w:r w:rsidRPr="00185BC0">
        <w:rPr>
          <w:noProof/>
          <w:sz w:val="28"/>
          <w:szCs w:val="28"/>
        </w:rPr>
        <w:drawing>
          <wp:inline distT="0" distB="0" distL="0" distR="0" wp14:anchorId="088008F6" wp14:editId="4D8C76C1">
            <wp:extent cx="2959100" cy="2319792"/>
            <wp:effectExtent l="0" t="0" r="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7362"/>
                    <a:stretch/>
                  </pic:blipFill>
                  <pic:spPr bwMode="auto">
                    <a:xfrm>
                      <a:off x="0" y="0"/>
                      <a:ext cx="3038043" cy="2381680"/>
                    </a:xfrm>
                    <a:prstGeom prst="rect">
                      <a:avLst/>
                    </a:prstGeom>
                    <a:noFill/>
                    <a:ln>
                      <a:noFill/>
                    </a:ln>
                    <a:extLst>
                      <a:ext uri="{53640926-AAD7-44D8-BBD7-CCE9431645EC}">
                        <a14:shadowObscured xmlns:a14="http://schemas.microsoft.com/office/drawing/2010/main"/>
                      </a:ext>
                    </a:extLst>
                  </pic:spPr>
                </pic:pic>
              </a:graphicData>
            </a:graphic>
          </wp:inline>
        </w:drawing>
      </w:r>
    </w:p>
    <w:p w14:paraId="7CED7FB0" w14:textId="77777777" w:rsidR="00A178C0" w:rsidRPr="00185BC0" w:rsidRDefault="00A178C0" w:rsidP="00A178C0">
      <w:pPr>
        <w:ind w:left="709"/>
        <w:contextualSpacing/>
        <w:jc w:val="center"/>
        <w:rPr>
          <w:sz w:val="28"/>
          <w:szCs w:val="28"/>
        </w:rPr>
      </w:pPr>
    </w:p>
    <w:p w14:paraId="3E4887A3" w14:textId="20B49A24" w:rsidR="00A178C0" w:rsidRPr="00185BC0" w:rsidRDefault="00A178C0" w:rsidP="00A178C0">
      <w:pPr>
        <w:ind w:left="709"/>
        <w:contextualSpacing/>
        <w:jc w:val="center"/>
        <w:rPr>
          <w:sz w:val="28"/>
          <w:szCs w:val="28"/>
        </w:rPr>
      </w:pPr>
      <w:r w:rsidRPr="00185BC0">
        <w:rPr>
          <w:sz w:val="28"/>
          <w:szCs w:val="28"/>
        </w:rPr>
        <w:t>Рисунок 1</w:t>
      </w:r>
      <w:r w:rsidR="00CF3657" w:rsidRPr="00185BC0">
        <w:rPr>
          <w:sz w:val="28"/>
          <w:szCs w:val="28"/>
          <w:lang w:val="kk-KZ"/>
        </w:rPr>
        <w:t>9</w:t>
      </w:r>
      <w:r w:rsidR="00EF5D1F" w:rsidRPr="00185BC0">
        <w:rPr>
          <w:sz w:val="28"/>
          <w:szCs w:val="28"/>
          <w:lang w:val="kk-KZ"/>
        </w:rPr>
        <w:t xml:space="preserve"> </w:t>
      </w:r>
      <w:r w:rsidR="006A73B6" w:rsidRPr="00185BC0">
        <w:rPr>
          <w:sz w:val="28"/>
          <w:szCs w:val="28"/>
          <w:lang w:val="kk-KZ"/>
        </w:rPr>
        <w:t xml:space="preserve">– </w:t>
      </w:r>
      <w:r w:rsidR="006A73B6" w:rsidRPr="00185BC0">
        <w:rPr>
          <w:sz w:val="28"/>
          <w:szCs w:val="28"/>
        </w:rPr>
        <w:t>3</w:t>
      </w:r>
      <w:r w:rsidRPr="00185BC0">
        <w:rPr>
          <w:sz w:val="28"/>
          <w:szCs w:val="28"/>
        </w:rPr>
        <w:t>D-реконструкция таза и бедренных костей по данным КТ с определением величины укорочения конечности</w:t>
      </w:r>
    </w:p>
    <w:p w14:paraId="79AA3B9A" w14:textId="77777777" w:rsidR="00426487" w:rsidRPr="00185BC0" w:rsidRDefault="00426487" w:rsidP="00A178C0">
      <w:pPr>
        <w:ind w:left="709"/>
        <w:contextualSpacing/>
        <w:jc w:val="center"/>
        <w:rPr>
          <w:sz w:val="28"/>
          <w:szCs w:val="28"/>
        </w:rPr>
      </w:pPr>
    </w:p>
    <w:p w14:paraId="38A10C69" w14:textId="5BEA881C" w:rsidR="00426487" w:rsidRPr="00185BC0" w:rsidRDefault="00426487" w:rsidP="00426487">
      <w:pPr>
        <w:ind w:firstLine="709"/>
        <w:jc w:val="both"/>
        <w:rPr>
          <w:sz w:val="28"/>
          <w:szCs w:val="28"/>
        </w:rPr>
      </w:pPr>
      <w:r w:rsidRPr="00185BC0">
        <w:rPr>
          <w:sz w:val="28"/>
          <w:szCs w:val="28"/>
        </w:rPr>
        <w:t>Используя 3D-модель, можно точно определить это расстояние и угол распила перпендикулярно длинной оси бедра. В частности, проводилась оценка сопоставимости проксимального и дистального фрагментов при разных вариантах длины укорочения</w:t>
      </w:r>
      <w:r w:rsidR="00805DB5" w:rsidRPr="00185BC0">
        <w:rPr>
          <w:sz w:val="28"/>
          <w:szCs w:val="28"/>
          <w:lang w:val="kk-KZ"/>
        </w:rPr>
        <w:t xml:space="preserve">, </w:t>
      </w:r>
      <w:r w:rsidRPr="00185BC0">
        <w:rPr>
          <w:sz w:val="28"/>
          <w:szCs w:val="28"/>
        </w:rPr>
        <w:t xml:space="preserve">виртуально измеряли площадь контакта кортикальных оболочек при смыкании отрезков кости. Такой подход аналогичен методике, описанной в исследованиях, где трехмерный анализ показал зависимость площади контакта от уровня остеотомии и длины укорочения. По результатам 3D-планирования для каждого пациента намечали оптимальное расположение остеотомии, обеспечивающее баланс между достаточным укорочением (для репозиции головки) и максимальной площадью контакта отломков для последующей стабильной фиксации. Кроме того, трехмерная визуализация позволяла оценить ориентацию проксимального фрагмента после остеотомии и планируемую </w:t>
      </w:r>
      <w:proofErr w:type="spellStart"/>
      <w:r w:rsidRPr="00185BC0">
        <w:rPr>
          <w:sz w:val="28"/>
          <w:szCs w:val="28"/>
        </w:rPr>
        <w:t>деротацию</w:t>
      </w:r>
      <w:proofErr w:type="spellEnd"/>
      <w:r w:rsidRPr="00185BC0">
        <w:rPr>
          <w:sz w:val="28"/>
          <w:szCs w:val="28"/>
        </w:rPr>
        <w:t xml:space="preserve"> бедра для коррекции избыточной </w:t>
      </w:r>
      <w:proofErr w:type="spellStart"/>
      <w:r w:rsidRPr="00185BC0">
        <w:rPr>
          <w:sz w:val="28"/>
          <w:szCs w:val="28"/>
        </w:rPr>
        <w:t>антеверсии</w:t>
      </w:r>
      <w:proofErr w:type="spellEnd"/>
      <w:r w:rsidRPr="00185BC0">
        <w:rPr>
          <w:sz w:val="28"/>
          <w:szCs w:val="28"/>
        </w:rPr>
        <w:t xml:space="preserve">. Чёткая идентификация анатомических ориентиров на модели </w:t>
      </w:r>
      <w:proofErr w:type="gramStart"/>
      <w:r w:rsidRPr="00185BC0">
        <w:rPr>
          <w:sz w:val="28"/>
          <w:szCs w:val="28"/>
        </w:rPr>
        <w:t>таких</w:t>
      </w:r>
      <w:r w:rsidR="00805DB5" w:rsidRPr="00185BC0">
        <w:rPr>
          <w:sz w:val="28"/>
          <w:szCs w:val="28"/>
          <w:lang w:val="kk-KZ"/>
        </w:rPr>
        <w:t xml:space="preserve">,  </w:t>
      </w:r>
      <w:r w:rsidRPr="00185BC0">
        <w:rPr>
          <w:sz w:val="28"/>
          <w:szCs w:val="28"/>
        </w:rPr>
        <w:t>как</w:t>
      </w:r>
      <w:proofErr w:type="gramEnd"/>
      <w:r w:rsidRPr="00185BC0">
        <w:rPr>
          <w:sz w:val="28"/>
          <w:szCs w:val="28"/>
        </w:rPr>
        <w:t xml:space="preserve"> верхушка малого вертела, линия бедренной шейки, направление костного канала облегчала выбор плана остеотомии и последующее сопоставление фрагментов в правильном положении. По сути, 3D-модель служила </w:t>
      </w:r>
      <w:r w:rsidRPr="00185BC0">
        <w:rPr>
          <w:sz w:val="28"/>
          <w:szCs w:val="28"/>
        </w:rPr>
        <w:lastRenderedPageBreak/>
        <w:t>«виртуальным прототипом» предстоящей операции, на котором хирург мог отработать основные этапы вмешательства.</w:t>
      </w:r>
    </w:p>
    <w:p w14:paraId="29F4C974" w14:textId="77777777" w:rsidR="00A178C0" w:rsidRPr="00185BC0" w:rsidRDefault="00A178C0" w:rsidP="00A178C0">
      <w:pPr>
        <w:ind w:firstLine="708"/>
        <w:contextualSpacing/>
        <w:jc w:val="both"/>
        <w:rPr>
          <w:b/>
          <w:bCs/>
          <w:i/>
          <w:iCs/>
          <w:sz w:val="28"/>
          <w:szCs w:val="28"/>
        </w:rPr>
      </w:pPr>
      <w:r w:rsidRPr="00185BC0">
        <w:rPr>
          <w:b/>
          <w:bCs/>
          <w:i/>
          <w:iCs/>
          <w:sz w:val="28"/>
          <w:szCs w:val="28"/>
        </w:rPr>
        <w:t xml:space="preserve">Методика проведения </w:t>
      </w:r>
      <w:proofErr w:type="spellStart"/>
      <w:r w:rsidRPr="00185BC0">
        <w:rPr>
          <w:b/>
          <w:bCs/>
          <w:i/>
          <w:iCs/>
          <w:sz w:val="28"/>
          <w:szCs w:val="28"/>
        </w:rPr>
        <w:t>телерентгенографии</w:t>
      </w:r>
      <w:proofErr w:type="spellEnd"/>
      <w:r w:rsidRPr="00185BC0">
        <w:rPr>
          <w:b/>
          <w:bCs/>
          <w:i/>
          <w:iCs/>
          <w:sz w:val="28"/>
          <w:szCs w:val="28"/>
        </w:rPr>
        <w:t xml:space="preserve"> нижних конечностей</w:t>
      </w:r>
    </w:p>
    <w:p w14:paraId="0DCF652D" w14:textId="66FE5848" w:rsidR="00A178C0" w:rsidRPr="00185BC0" w:rsidRDefault="00A178C0" w:rsidP="00A178C0">
      <w:pPr>
        <w:ind w:firstLine="708"/>
        <w:contextualSpacing/>
        <w:jc w:val="both"/>
        <w:rPr>
          <w:sz w:val="28"/>
          <w:szCs w:val="28"/>
          <w:lang w:val="kk-KZ"/>
        </w:rPr>
      </w:pPr>
      <w:r w:rsidRPr="00185BC0">
        <w:rPr>
          <w:sz w:val="28"/>
          <w:szCs w:val="28"/>
        </w:rPr>
        <w:t xml:space="preserve">В качестве альтернативы традиционной рентгенографии для оценки длины ног в алгоритме применена телеметрия на </w:t>
      </w:r>
      <w:proofErr w:type="spellStart"/>
      <w:r w:rsidRPr="00185BC0">
        <w:rPr>
          <w:sz w:val="28"/>
          <w:szCs w:val="28"/>
        </w:rPr>
        <w:t>мультиспиральном</w:t>
      </w:r>
      <w:proofErr w:type="spellEnd"/>
      <w:r w:rsidRPr="00185BC0">
        <w:rPr>
          <w:sz w:val="28"/>
          <w:szCs w:val="28"/>
        </w:rPr>
        <w:t xml:space="preserve"> компьютерном томографе Fujifilm </w:t>
      </w:r>
      <w:proofErr w:type="spellStart"/>
      <w:r w:rsidRPr="00185BC0">
        <w:rPr>
          <w:sz w:val="28"/>
          <w:szCs w:val="28"/>
        </w:rPr>
        <w:t>Supria</w:t>
      </w:r>
      <w:proofErr w:type="spellEnd"/>
      <w:r w:rsidRPr="00185BC0">
        <w:rPr>
          <w:sz w:val="28"/>
          <w:szCs w:val="28"/>
        </w:rPr>
        <w:t xml:space="preserve"> (Япония, 2019). Данный 16</w:t>
      </w:r>
      <w:r w:rsidRPr="00185BC0">
        <w:rPr>
          <w:sz w:val="28"/>
          <w:szCs w:val="28"/>
          <w:lang w:val="kk-KZ"/>
        </w:rPr>
        <w:t>8</w:t>
      </w:r>
      <w:r w:rsidRPr="00185BC0">
        <w:rPr>
          <w:sz w:val="28"/>
          <w:szCs w:val="28"/>
        </w:rPr>
        <w:t>-</w:t>
      </w:r>
      <w:proofErr w:type="spellStart"/>
      <w:r w:rsidRPr="00185BC0">
        <w:rPr>
          <w:sz w:val="28"/>
          <w:szCs w:val="28"/>
        </w:rPr>
        <w:t>срезовый</w:t>
      </w:r>
      <w:proofErr w:type="spellEnd"/>
      <w:r w:rsidRPr="00185BC0">
        <w:rPr>
          <w:sz w:val="28"/>
          <w:szCs w:val="28"/>
        </w:rPr>
        <w:t xml:space="preserve"> КТ-аппарат с системой постобработки (PACS) позволял получить как аксиальные томограммы, так и реконструированные «сливные» изображения большой протяженности. Пациента укладывали на стол томографа в положении лежа на спине с выпрямленными ногами (рисунок 1</w:t>
      </w:r>
      <w:r w:rsidR="00CF3657" w:rsidRPr="00185BC0">
        <w:rPr>
          <w:sz w:val="28"/>
          <w:szCs w:val="28"/>
          <w:lang w:val="kk-KZ"/>
        </w:rPr>
        <w:t>7</w:t>
      </w:r>
      <w:r w:rsidRPr="00185BC0">
        <w:rPr>
          <w:sz w:val="28"/>
          <w:szCs w:val="28"/>
        </w:rPr>
        <w:t>). В процессе сканирования стол автоматически продвигался через апертуру, выполнял</w:t>
      </w:r>
      <w:r w:rsidRPr="00185BC0">
        <w:rPr>
          <w:sz w:val="28"/>
          <w:szCs w:val="28"/>
          <w:lang w:val="kk-KZ"/>
        </w:rPr>
        <w:t>а</w:t>
      </w:r>
      <w:proofErr w:type="spellStart"/>
      <w:r w:rsidRPr="00185BC0">
        <w:rPr>
          <w:sz w:val="28"/>
          <w:szCs w:val="28"/>
        </w:rPr>
        <w:t>сь</w:t>
      </w:r>
      <w:proofErr w:type="spellEnd"/>
      <w:r w:rsidRPr="00185BC0">
        <w:rPr>
          <w:sz w:val="28"/>
          <w:szCs w:val="28"/>
        </w:rPr>
        <w:t xml:space="preserve"> </w:t>
      </w:r>
      <w:r w:rsidRPr="00185BC0">
        <w:rPr>
          <w:sz w:val="28"/>
          <w:szCs w:val="28"/>
          <w:lang w:val="kk-KZ"/>
        </w:rPr>
        <w:t>телерентгенограмма</w:t>
      </w:r>
      <w:r w:rsidRPr="00185BC0">
        <w:rPr>
          <w:sz w:val="28"/>
          <w:szCs w:val="28"/>
        </w:rPr>
        <w:t xml:space="preserve">. Полученные данные загружались в ПО PACS. В результате формировалось непрерывное изображение от уровня подвздошных костей до дистальных отделов стоп, что было эквивалентно </w:t>
      </w:r>
      <w:proofErr w:type="spellStart"/>
      <w:r w:rsidRPr="00185BC0">
        <w:rPr>
          <w:sz w:val="28"/>
          <w:szCs w:val="28"/>
        </w:rPr>
        <w:t>телерентгенограмме</w:t>
      </w:r>
      <w:proofErr w:type="spellEnd"/>
      <w:r w:rsidRPr="00185BC0">
        <w:rPr>
          <w:sz w:val="28"/>
          <w:szCs w:val="28"/>
        </w:rPr>
        <w:t xml:space="preserve"> (рисунок </w:t>
      </w:r>
      <w:r w:rsidR="00CF3657" w:rsidRPr="00185BC0">
        <w:rPr>
          <w:sz w:val="28"/>
          <w:szCs w:val="28"/>
          <w:lang w:val="kk-KZ"/>
        </w:rPr>
        <w:t>20</w:t>
      </w:r>
      <w:r w:rsidRPr="00185BC0">
        <w:rPr>
          <w:sz w:val="28"/>
          <w:szCs w:val="28"/>
        </w:rPr>
        <w:t>)</w:t>
      </w:r>
      <w:r w:rsidRPr="00185BC0">
        <w:rPr>
          <w:sz w:val="28"/>
          <w:szCs w:val="28"/>
          <w:lang w:val="kk-KZ"/>
        </w:rPr>
        <w:t>.</w:t>
      </w:r>
    </w:p>
    <w:p w14:paraId="686926DE" w14:textId="77777777" w:rsidR="00A178C0" w:rsidRPr="00185BC0" w:rsidRDefault="00A178C0" w:rsidP="00A178C0">
      <w:pPr>
        <w:ind w:firstLine="708"/>
        <w:contextualSpacing/>
        <w:jc w:val="both"/>
        <w:rPr>
          <w:i/>
          <w:iCs/>
          <w:sz w:val="28"/>
          <w:szCs w:val="28"/>
        </w:rPr>
      </w:pPr>
    </w:p>
    <w:p w14:paraId="25050358" w14:textId="77777777" w:rsidR="00A178C0" w:rsidRPr="00185BC0" w:rsidRDefault="00A178C0" w:rsidP="00A178C0">
      <w:pPr>
        <w:contextualSpacing/>
        <w:jc w:val="center"/>
        <w:rPr>
          <w:i/>
          <w:iCs/>
          <w:sz w:val="28"/>
          <w:szCs w:val="28"/>
        </w:rPr>
      </w:pPr>
      <w:r w:rsidRPr="00185BC0">
        <w:rPr>
          <w:i/>
          <w:iCs/>
          <w:noProof/>
          <w:sz w:val="28"/>
          <w:szCs w:val="28"/>
        </w:rPr>
        <w:drawing>
          <wp:inline distT="0" distB="0" distL="0" distR="0" wp14:anchorId="0244A4E9" wp14:editId="7285BB4B">
            <wp:extent cx="4776018" cy="2820837"/>
            <wp:effectExtent l="0" t="0" r="571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31859" cy="2853818"/>
                    </a:xfrm>
                    <a:prstGeom prst="rect">
                      <a:avLst/>
                    </a:prstGeom>
                    <a:noFill/>
                  </pic:spPr>
                </pic:pic>
              </a:graphicData>
            </a:graphic>
          </wp:inline>
        </w:drawing>
      </w:r>
    </w:p>
    <w:p w14:paraId="4C5E01A3" w14:textId="77777777" w:rsidR="00A178C0" w:rsidRPr="00185BC0" w:rsidRDefault="00A178C0" w:rsidP="00A178C0">
      <w:pPr>
        <w:ind w:left="709"/>
        <w:contextualSpacing/>
        <w:jc w:val="center"/>
        <w:rPr>
          <w:i/>
          <w:iCs/>
          <w:sz w:val="28"/>
          <w:szCs w:val="28"/>
        </w:rPr>
      </w:pPr>
    </w:p>
    <w:p w14:paraId="4D71ACAC" w14:textId="5386B4B5" w:rsidR="00A178C0" w:rsidRPr="00185BC0" w:rsidRDefault="00A178C0" w:rsidP="00A178C0">
      <w:pPr>
        <w:ind w:left="709"/>
        <w:contextualSpacing/>
        <w:jc w:val="center"/>
        <w:rPr>
          <w:sz w:val="28"/>
          <w:szCs w:val="28"/>
        </w:rPr>
      </w:pPr>
      <w:r w:rsidRPr="00185BC0">
        <w:rPr>
          <w:sz w:val="28"/>
          <w:szCs w:val="28"/>
        </w:rPr>
        <w:t xml:space="preserve">Рисунок </w:t>
      </w:r>
      <w:r w:rsidR="00CF3657" w:rsidRPr="00185BC0">
        <w:rPr>
          <w:sz w:val="28"/>
          <w:szCs w:val="28"/>
          <w:lang w:val="kk-KZ"/>
        </w:rPr>
        <w:t>20</w:t>
      </w:r>
      <w:r w:rsidR="00EF5D1F" w:rsidRPr="00185BC0">
        <w:rPr>
          <w:sz w:val="28"/>
          <w:szCs w:val="28"/>
          <w:lang w:val="kk-KZ"/>
        </w:rPr>
        <w:t xml:space="preserve"> –</w:t>
      </w:r>
      <w:r w:rsidR="00EF5D1F" w:rsidRPr="00185BC0">
        <w:rPr>
          <w:b/>
          <w:bCs/>
          <w:sz w:val="28"/>
          <w:szCs w:val="28"/>
        </w:rPr>
        <w:t xml:space="preserve"> </w:t>
      </w:r>
      <w:r w:rsidRPr="00185BC0">
        <w:rPr>
          <w:sz w:val="28"/>
          <w:szCs w:val="28"/>
        </w:rPr>
        <w:t>КТ-телеметрия нижних конечностей: изображения в прямой проекции</w:t>
      </w:r>
    </w:p>
    <w:p w14:paraId="12B85045" w14:textId="77777777" w:rsidR="00370B75" w:rsidRPr="00185BC0" w:rsidRDefault="00370B75" w:rsidP="00A178C0">
      <w:pPr>
        <w:ind w:firstLine="567"/>
        <w:contextualSpacing/>
        <w:jc w:val="both"/>
        <w:rPr>
          <w:sz w:val="28"/>
          <w:szCs w:val="28"/>
        </w:rPr>
      </w:pPr>
    </w:p>
    <w:p w14:paraId="11C92A9E" w14:textId="77777777" w:rsidR="00805DB5" w:rsidRPr="00185BC0" w:rsidRDefault="00A178C0" w:rsidP="00805DB5">
      <w:pPr>
        <w:ind w:firstLine="567"/>
        <w:contextualSpacing/>
        <w:jc w:val="both"/>
        <w:rPr>
          <w:sz w:val="28"/>
          <w:szCs w:val="28"/>
        </w:rPr>
      </w:pPr>
      <w:r w:rsidRPr="00185BC0">
        <w:rPr>
          <w:sz w:val="28"/>
          <w:szCs w:val="28"/>
        </w:rPr>
        <w:t>На КТ-</w:t>
      </w:r>
      <w:proofErr w:type="spellStart"/>
      <w:r w:rsidRPr="00185BC0">
        <w:rPr>
          <w:sz w:val="28"/>
          <w:szCs w:val="28"/>
        </w:rPr>
        <w:t>телерентгенограммах</w:t>
      </w:r>
      <w:proofErr w:type="spellEnd"/>
      <w:r w:rsidRPr="00185BC0">
        <w:rPr>
          <w:sz w:val="28"/>
          <w:szCs w:val="28"/>
        </w:rPr>
        <w:t xml:space="preserve"> выполнялись линейные измерения длины костных сегментов с помощью цифровых инструментов PACS. Для каждой нижней конечности определяли следующие показатели:</w:t>
      </w:r>
    </w:p>
    <w:p w14:paraId="3D1DF125" w14:textId="40B8EF82" w:rsidR="00805DB5" w:rsidRPr="00185BC0" w:rsidRDefault="00805DB5" w:rsidP="00805DB5">
      <w:pPr>
        <w:pStyle w:val="a6"/>
        <w:numPr>
          <w:ilvl w:val="0"/>
          <w:numId w:val="31"/>
        </w:numPr>
        <w:ind w:left="0" w:firstLine="709"/>
        <w:jc w:val="both"/>
        <w:rPr>
          <w:sz w:val="28"/>
          <w:szCs w:val="28"/>
        </w:rPr>
      </w:pPr>
      <w:r w:rsidRPr="00185BC0">
        <w:rPr>
          <w:sz w:val="28"/>
          <w:szCs w:val="28"/>
          <w:lang w:val="kk-KZ"/>
        </w:rPr>
        <w:t>д</w:t>
      </w:r>
      <w:proofErr w:type="spellStart"/>
      <w:r w:rsidR="00A178C0" w:rsidRPr="00185BC0">
        <w:rPr>
          <w:sz w:val="28"/>
          <w:szCs w:val="28"/>
        </w:rPr>
        <w:t>лина</w:t>
      </w:r>
      <w:proofErr w:type="spellEnd"/>
      <w:r w:rsidR="00A178C0" w:rsidRPr="00185BC0">
        <w:rPr>
          <w:sz w:val="28"/>
          <w:szCs w:val="28"/>
        </w:rPr>
        <w:t xml:space="preserve"> бедренной кости – расстояние от верхушки большого вертела до межмыщелковой линии дистального отдела бедра (уровень суставной линии колена);</w:t>
      </w:r>
    </w:p>
    <w:p w14:paraId="2E629F81" w14:textId="77777777" w:rsidR="00805DB5" w:rsidRPr="00185BC0" w:rsidRDefault="00805DB5" w:rsidP="00805DB5">
      <w:pPr>
        <w:pStyle w:val="a6"/>
        <w:numPr>
          <w:ilvl w:val="0"/>
          <w:numId w:val="31"/>
        </w:numPr>
        <w:ind w:left="0" w:firstLine="709"/>
        <w:jc w:val="both"/>
        <w:rPr>
          <w:sz w:val="28"/>
          <w:szCs w:val="28"/>
        </w:rPr>
      </w:pPr>
      <w:r w:rsidRPr="00185BC0">
        <w:rPr>
          <w:sz w:val="28"/>
          <w:szCs w:val="28"/>
          <w:lang w:val="kk-KZ"/>
        </w:rPr>
        <w:t>д</w:t>
      </w:r>
      <w:proofErr w:type="spellStart"/>
      <w:r w:rsidR="00A178C0" w:rsidRPr="00185BC0">
        <w:rPr>
          <w:sz w:val="28"/>
          <w:szCs w:val="28"/>
        </w:rPr>
        <w:t>лина</w:t>
      </w:r>
      <w:proofErr w:type="spellEnd"/>
      <w:r w:rsidR="00A178C0" w:rsidRPr="00185BC0">
        <w:rPr>
          <w:sz w:val="28"/>
          <w:szCs w:val="28"/>
        </w:rPr>
        <w:t xml:space="preserve"> большеберцовой кости – расстояние от межмыщелковой линии проксимального отдела голени (плато большеберцовой кости) до основания медиальной лодыжки (дистальный конец большеберцовой кости);</w:t>
      </w:r>
    </w:p>
    <w:p w14:paraId="0A05351E" w14:textId="6D74A173" w:rsidR="00805DB5" w:rsidRPr="00185BC0" w:rsidRDefault="00805DB5" w:rsidP="00805DB5">
      <w:pPr>
        <w:pStyle w:val="a6"/>
        <w:numPr>
          <w:ilvl w:val="0"/>
          <w:numId w:val="31"/>
        </w:numPr>
        <w:ind w:left="0" w:firstLine="709"/>
        <w:jc w:val="both"/>
        <w:rPr>
          <w:sz w:val="28"/>
          <w:szCs w:val="28"/>
        </w:rPr>
      </w:pPr>
      <w:r w:rsidRPr="00185BC0">
        <w:rPr>
          <w:sz w:val="28"/>
          <w:szCs w:val="28"/>
          <w:lang w:val="kk-KZ"/>
        </w:rPr>
        <w:t>а</w:t>
      </w:r>
      <w:proofErr w:type="spellStart"/>
      <w:r w:rsidR="00A178C0" w:rsidRPr="00185BC0">
        <w:rPr>
          <w:sz w:val="28"/>
          <w:szCs w:val="28"/>
        </w:rPr>
        <w:t>натомическая</w:t>
      </w:r>
      <w:proofErr w:type="spellEnd"/>
      <w:r w:rsidR="00A178C0" w:rsidRPr="00185BC0">
        <w:rPr>
          <w:sz w:val="28"/>
          <w:szCs w:val="28"/>
        </w:rPr>
        <w:t xml:space="preserve"> (суммарная) длина конечности – сумма длины бедренной и большеберцовой костей, отражающая полную длину ноги от проксимального отдела бедра до уровня голеностопного сустава.</w:t>
      </w:r>
    </w:p>
    <w:p w14:paraId="3ED57F1E" w14:textId="74533CE0" w:rsidR="00A178C0" w:rsidRPr="00185BC0" w:rsidRDefault="00805DB5" w:rsidP="00805DB5">
      <w:pPr>
        <w:pStyle w:val="a6"/>
        <w:numPr>
          <w:ilvl w:val="0"/>
          <w:numId w:val="31"/>
        </w:numPr>
        <w:ind w:left="0" w:firstLine="709"/>
        <w:jc w:val="both"/>
        <w:rPr>
          <w:sz w:val="28"/>
          <w:szCs w:val="28"/>
        </w:rPr>
      </w:pPr>
      <w:r w:rsidRPr="00185BC0">
        <w:rPr>
          <w:sz w:val="28"/>
          <w:szCs w:val="28"/>
          <w:lang w:val="kk-KZ"/>
        </w:rPr>
        <w:lastRenderedPageBreak/>
        <w:t>а</w:t>
      </w:r>
      <w:proofErr w:type="spellStart"/>
      <w:r w:rsidR="00A178C0" w:rsidRPr="00185BC0">
        <w:rPr>
          <w:sz w:val="28"/>
          <w:szCs w:val="28"/>
        </w:rPr>
        <w:t>бсолютное</w:t>
      </w:r>
      <w:proofErr w:type="spellEnd"/>
      <w:r w:rsidR="00A178C0" w:rsidRPr="00185BC0">
        <w:rPr>
          <w:sz w:val="28"/>
          <w:szCs w:val="28"/>
        </w:rPr>
        <w:t xml:space="preserve"> укорочение конечности – разница анатомической длины между поражённой конечностью с дисплазией тазобедренного сустава и противоположной стороной. Этот показатель представляет истинное укорочение, обусловленное анатомическим различием в длине костей между здоровой и больной ногой.</w:t>
      </w:r>
    </w:p>
    <w:p w14:paraId="1F7A767F" w14:textId="01DE8896" w:rsidR="00A178C0" w:rsidRPr="00185BC0" w:rsidRDefault="00A178C0" w:rsidP="00A178C0">
      <w:pPr>
        <w:ind w:firstLine="567"/>
        <w:contextualSpacing/>
        <w:jc w:val="both"/>
        <w:rPr>
          <w:sz w:val="28"/>
          <w:szCs w:val="28"/>
        </w:rPr>
      </w:pPr>
      <w:r w:rsidRPr="00185BC0">
        <w:rPr>
          <w:sz w:val="28"/>
          <w:szCs w:val="28"/>
        </w:rPr>
        <w:t>Использование цифровой КТ-</w:t>
      </w:r>
      <w:proofErr w:type="spellStart"/>
      <w:r w:rsidRPr="00185BC0">
        <w:rPr>
          <w:sz w:val="28"/>
          <w:szCs w:val="28"/>
        </w:rPr>
        <w:t>телерентгенограммы</w:t>
      </w:r>
      <w:proofErr w:type="spellEnd"/>
      <w:r w:rsidRPr="00185BC0">
        <w:rPr>
          <w:sz w:val="28"/>
          <w:szCs w:val="28"/>
        </w:rPr>
        <w:t xml:space="preserve"> позволило устранить погрешности, связанные с увеличением и проекционными искажениями, присущими обычной рентгенографии, благодаря чему была достигнута высокая точность измерений длины костей. Все измерения выполнялись для обеих нижних конечностей, после чего вычислялась разница (абсолютное укорочение) в миллиметрах (рисунок 2</w:t>
      </w:r>
      <w:r w:rsidR="00CF3657" w:rsidRPr="00185BC0">
        <w:rPr>
          <w:sz w:val="28"/>
          <w:szCs w:val="28"/>
          <w:lang w:val="kk-KZ"/>
        </w:rPr>
        <w:t>1</w:t>
      </w:r>
      <w:r w:rsidRPr="00185BC0">
        <w:rPr>
          <w:sz w:val="28"/>
          <w:szCs w:val="28"/>
        </w:rPr>
        <w:t>).</w:t>
      </w:r>
    </w:p>
    <w:p w14:paraId="0E71FAA1" w14:textId="77777777" w:rsidR="000B3FF7" w:rsidRPr="00185BC0" w:rsidRDefault="000B3FF7" w:rsidP="00A178C0">
      <w:pPr>
        <w:ind w:firstLine="567"/>
        <w:contextualSpacing/>
        <w:jc w:val="both"/>
        <w:rPr>
          <w:sz w:val="28"/>
          <w:szCs w:val="28"/>
        </w:rPr>
      </w:pPr>
    </w:p>
    <w:p w14:paraId="33873E85" w14:textId="0460EAD5" w:rsidR="000B3FF7" w:rsidRPr="00185BC0" w:rsidRDefault="000B3FF7" w:rsidP="000B3FF7">
      <w:pPr>
        <w:ind w:firstLine="567"/>
        <w:contextualSpacing/>
        <w:jc w:val="center"/>
        <w:rPr>
          <w:sz w:val="28"/>
          <w:szCs w:val="28"/>
        </w:rPr>
      </w:pPr>
      <w:r w:rsidRPr="00185BC0">
        <w:rPr>
          <w:noProof/>
          <w:sz w:val="28"/>
          <w:szCs w:val="28"/>
        </w:rPr>
        <w:drawing>
          <wp:inline distT="0" distB="0" distL="0" distR="0" wp14:anchorId="151D8E08" wp14:editId="6B4B08BF">
            <wp:extent cx="4057650" cy="4076052"/>
            <wp:effectExtent l="0" t="0" r="0" b="1270"/>
            <wp:docPr id="1507999129" name="Рисунок 1507999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61056" cy="4079474"/>
                    </a:xfrm>
                    <a:prstGeom prst="rect">
                      <a:avLst/>
                    </a:prstGeom>
                  </pic:spPr>
                </pic:pic>
              </a:graphicData>
            </a:graphic>
          </wp:inline>
        </w:drawing>
      </w:r>
    </w:p>
    <w:p w14:paraId="38209C63" w14:textId="6E23D5F7" w:rsidR="00A178C0" w:rsidRPr="00185BC0" w:rsidRDefault="00A178C0" w:rsidP="00A178C0">
      <w:pPr>
        <w:ind w:firstLine="567"/>
        <w:contextualSpacing/>
        <w:jc w:val="both"/>
        <w:rPr>
          <w:sz w:val="28"/>
          <w:szCs w:val="28"/>
        </w:rPr>
      </w:pPr>
    </w:p>
    <w:p w14:paraId="401F0387" w14:textId="2C8A9DE4" w:rsidR="00A178C0" w:rsidRPr="00185BC0" w:rsidRDefault="00A178C0" w:rsidP="00EF5D1F">
      <w:pPr>
        <w:ind w:firstLine="720"/>
        <w:contextualSpacing/>
        <w:jc w:val="center"/>
        <w:rPr>
          <w:sz w:val="28"/>
          <w:szCs w:val="28"/>
        </w:rPr>
      </w:pPr>
      <w:r w:rsidRPr="00185BC0">
        <w:rPr>
          <w:sz w:val="28"/>
          <w:szCs w:val="28"/>
        </w:rPr>
        <w:t>Рисунок 2</w:t>
      </w:r>
      <w:r w:rsidR="00CF3657" w:rsidRPr="00185BC0">
        <w:rPr>
          <w:sz w:val="28"/>
          <w:szCs w:val="28"/>
          <w:lang w:val="kk-KZ"/>
        </w:rPr>
        <w:t>1</w:t>
      </w:r>
      <w:r w:rsidR="00EF5D1F" w:rsidRPr="00185BC0">
        <w:rPr>
          <w:sz w:val="28"/>
          <w:szCs w:val="28"/>
          <w:lang w:val="kk-KZ"/>
        </w:rPr>
        <w:t xml:space="preserve"> – </w:t>
      </w:r>
      <w:proofErr w:type="spellStart"/>
      <w:r w:rsidRPr="00185BC0">
        <w:rPr>
          <w:sz w:val="28"/>
          <w:szCs w:val="28"/>
        </w:rPr>
        <w:t>Телерентгенограмма</w:t>
      </w:r>
      <w:proofErr w:type="spellEnd"/>
      <w:r w:rsidRPr="00185BC0">
        <w:rPr>
          <w:sz w:val="28"/>
          <w:szCs w:val="28"/>
        </w:rPr>
        <w:t xml:space="preserve"> нижних конечностей при двусторонней дисплазии тазобедренных суставов IV типа по </w:t>
      </w:r>
      <w:proofErr w:type="spellStart"/>
      <w:r w:rsidRPr="00185BC0">
        <w:rPr>
          <w:sz w:val="28"/>
          <w:szCs w:val="28"/>
        </w:rPr>
        <w:t>Crowe</w:t>
      </w:r>
      <w:proofErr w:type="spellEnd"/>
      <w:r w:rsidRPr="00185BC0">
        <w:rPr>
          <w:sz w:val="28"/>
          <w:szCs w:val="28"/>
        </w:rPr>
        <w:t xml:space="preserve">: </w:t>
      </w:r>
      <w:r w:rsidR="000B3FF7" w:rsidRPr="00185BC0">
        <w:rPr>
          <w:sz w:val="28"/>
          <w:szCs w:val="28"/>
          <w:lang w:val="kk-KZ"/>
        </w:rPr>
        <w:t>А</w:t>
      </w:r>
      <w:r w:rsidRPr="00185BC0">
        <w:rPr>
          <w:sz w:val="28"/>
          <w:szCs w:val="28"/>
        </w:rPr>
        <w:t xml:space="preserve">) определение длины бедренных и большеберцовых костей; </w:t>
      </w:r>
      <w:r w:rsidR="000B3FF7" w:rsidRPr="00185BC0">
        <w:rPr>
          <w:sz w:val="28"/>
          <w:szCs w:val="28"/>
          <w:lang w:val="kk-KZ"/>
        </w:rPr>
        <w:t>Б</w:t>
      </w:r>
      <w:r w:rsidRPr="00185BC0">
        <w:rPr>
          <w:sz w:val="28"/>
          <w:szCs w:val="28"/>
        </w:rPr>
        <w:t xml:space="preserve">) </w:t>
      </w:r>
      <w:proofErr w:type="spellStart"/>
      <w:r w:rsidRPr="00185BC0">
        <w:rPr>
          <w:sz w:val="28"/>
          <w:szCs w:val="28"/>
        </w:rPr>
        <w:t>суммарн</w:t>
      </w:r>
      <w:proofErr w:type="spellEnd"/>
      <w:r w:rsidRPr="00185BC0">
        <w:rPr>
          <w:sz w:val="28"/>
          <w:szCs w:val="28"/>
          <w:lang w:val="kk-KZ"/>
        </w:rPr>
        <w:t xml:space="preserve">ная </w:t>
      </w:r>
      <w:r w:rsidRPr="00185BC0">
        <w:rPr>
          <w:sz w:val="28"/>
          <w:szCs w:val="28"/>
        </w:rPr>
        <w:t>длина конечностей</w:t>
      </w:r>
    </w:p>
    <w:p w14:paraId="70A93546" w14:textId="77777777" w:rsidR="000B3FF7" w:rsidRPr="00185BC0" w:rsidRDefault="000B3FF7" w:rsidP="00A178C0">
      <w:pPr>
        <w:ind w:firstLine="709"/>
        <w:contextualSpacing/>
        <w:jc w:val="both"/>
        <w:rPr>
          <w:sz w:val="28"/>
          <w:szCs w:val="28"/>
        </w:rPr>
      </w:pPr>
    </w:p>
    <w:p w14:paraId="50C83871" w14:textId="45A89D59" w:rsidR="00A178C0" w:rsidRPr="00185BC0" w:rsidRDefault="00A178C0" w:rsidP="00A178C0">
      <w:pPr>
        <w:ind w:firstLine="709"/>
        <w:contextualSpacing/>
        <w:jc w:val="both"/>
        <w:rPr>
          <w:sz w:val="28"/>
          <w:szCs w:val="28"/>
        </w:rPr>
      </w:pPr>
      <w:r w:rsidRPr="00185BC0">
        <w:rPr>
          <w:sz w:val="28"/>
          <w:szCs w:val="28"/>
        </w:rPr>
        <w:t>Для каждого пациента определялись обе величины диспропорции длины ног – анатомическое укорочение и относительное укорочение. Затем эти показатели сопоставляли между собой, оценивая степень их совпадения или различия. Таким образом, проводилась оценка расхождения между истинной разницей длины конечностей и функциональной (наблюдаемой при стоянии) разницей.</w:t>
      </w:r>
    </w:p>
    <w:p w14:paraId="2C2A1A26" w14:textId="1A561518" w:rsidR="00A178C0" w:rsidRPr="00185BC0" w:rsidRDefault="00A178C0" w:rsidP="00A178C0">
      <w:pPr>
        <w:ind w:firstLine="709"/>
        <w:contextualSpacing/>
        <w:jc w:val="both"/>
        <w:rPr>
          <w:sz w:val="28"/>
          <w:szCs w:val="28"/>
        </w:rPr>
      </w:pPr>
      <w:r w:rsidRPr="00185BC0">
        <w:rPr>
          <w:sz w:val="28"/>
          <w:szCs w:val="28"/>
        </w:rPr>
        <w:t xml:space="preserve">Дополнительно на основании данных КТ-телеметрии определяли вклад </w:t>
      </w:r>
      <w:r w:rsidRPr="00185BC0">
        <w:rPr>
          <w:sz w:val="28"/>
          <w:szCs w:val="28"/>
        </w:rPr>
        <w:lastRenderedPageBreak/>
        <w:t>отдельных сегментов – бедренной и большеберцовой кости – в общую величину укорочения. Разницу длины бедренных костей между поражённой и здоровой стороной рассчитывали отдельно так</w:t>
      </w:r>
      <w:r w:rsidR="00915DC4" w:rsidRPr="00185BC0">
        <w:rPr>
          <w:sz w:val="28"/>
          <w:szCs w:val="28"/>
        </w:rPr>
        <w:t>же</w:t>
      </w:r>
      <w:r w:rsidRPr="00185BC0">
        <w:rPr>
          <w:sz w:val="28"/>
          <w:szCs w:val="28"/>
        </w:rPr>
        <w:t xml:space="preserve"> как и разницу длины большеберцовых костей. Сравнение этих величин позволяло выяснить, какой сегмент (бедро или голень) в большей степени обусловливает неравенство длины ног в каждом случае.</w:t>
      </w:r>
    </w:p>
    <w:p w14:paraId="568B79BB" w14:textId="77777777" w:rsidR="00A178C0" w:rsidRPr="00185BC0" w:rsidRDefault="00A178C0" w:rsidP="00A178C0">
      <w:pPr>
        <w:ind w:firstLine="709"/>
        <w:contextualSpacing/>
        <w:jc w:val="both"/>
        <w:rPr>
          <w:sz w:val="28"/>
          <w:szCs w:val="28"/>
        </w:rPr>
      </w:pPr>
      <w:r w:rsidRPr="00185BC0">
        <w:rPr>
          <w:sz w:val="28"/>
          <w:szCs w:val="28"/>
        </w:rPr>
        <w:t xml:space="preserve">Результаты проведённых измерений использовались для непосредственного предоперационного планирования хирургической тактики. В частности, по данным КТ-телеметрии вычисляли величину необходимого удлинения укороченной конечности при предстоящем тотальном эндопротезировании тазобедренного сустава. Если анатомическая разница в длине ног превышала безопасный порог удлинения (около 40 мм), это расценивалось как прямая рекомендация к выполнению укорачивающей остеотомии бедренной кости. Данный порог основан на рисках </w:t>
      </w:r>
      <w:proofErr w:type="spellStart"/>
      <w:r w:rsidRPr="00185BC0">
        <w:rPr>
          <w:sz w:val="28"/>
          <w:szCs w:val="28"/>
        </w:rPr>
        <w:t>перерастяжения</w:t>
      </w:r>
      <w:proofErr w:type="spellEnd"/>
      <w:r w:rsidRPr="00185BC0">
        <w:rPr>
          <w:sz w:val="28"/>
          <w:szCs w:val="28"/>
        </w:rPr>
        <w:t xml:space="preserve"> мягких тканей и повреждения седалищного нерва при удлинении конечности более ~4 см.</w:t>
      </w:r>
    </w:p>
    <w:p w14:paraId="3FC9CDCE" w14:textId="65A07035" w:rsidR="00A178C0" w:rsidRPr="00185BC0" w:rsidRDefault="00A178C0" w:rsidP="00A178C0">
      <w:pPr>
        <w:ind w:firstLine="709"/>
        <w:contextualSpacing/>
        <w:jc w:val="both"/>
        <w:rPr>
          <w:sz w:val="28"/>
          <w:szCs w:val="28"/>
        </w:rPr>
      </w:pPr>
      <w:r w:rsidRPr="00185BC0">
        <w:rPr>
          <w:sz w:val="28"/>
          <w:szCs w:val="28"/>
        </w:rPr>
        <w:t xml:space="preserve">При значительном укорочении (характерном для дисплазии по </w:t>
      </w:r>
      <w:proofErr w:type="spellStart"/>
      <w:r w:rsidRPr="00185BC0">
        <w:rPr>
          <w:sz w:val="28"/>
          <w:szCs w:val="28"/>
        </w:rPr>
        <w:t>Crowe</w:t>
      </w:r>
      <w:proofErr w:type="spellEnd"/>
      <w:r w:rsidRPr="00185BC0">
        <w:rPr>
          <w:sz w:val="28"/>
          <w:szCs w:val="28"/>
        </w:rPr>
        <w:t xml:space="preserve"> IV) в план операции включали резекцию фрагмента бедренной кости соответствующего размера. Объём (длина) резекции рассчитывался индивидуально на основании измеренного абсолютного укорочения: стремились удалить такой участок кости, который компенсирует избыточную длину, превышающую безопасное удлинение. Проще говоря, длина резецируемого фрагмента бедра примерно соответствовала величине, на которую укорочение превышает ~40 мм (с учётом возможности частичного удлинения за счёт тракции мягких тканей и установки эндопротеза). Это позволяло после остеотомии и протезирования достичь максимально возможного выравнивания длины ног с минимальной остаточной разницей. Главной целью планирования было восстановление биомеханического равновесия таза и конечностей, избегая чрезмерного натяжения мягких тканей; в первую очередь</w:t>
      </w:r>
      <w:r w:rsidR="004A105D" w:rsidRPr="00185BC0">
        <w:rPr>
          <w:sz w:val="28"/>
          <w:szCs w:val="28"/>
          <w:lang w:val="kk-KZ"/>
        </w:rPr>
        <w:t>,</w:t>
      </w:r>
      <w:r w:rsidRPr="00185BC0">
        <w:rPr>
          <w:sz w:val="28"/>
          <w:szCs w:val="28"/>
        </w:rPr>
        <w:t xml:space="preserve"> важно профилактически снизить риск нейропатии седалищного нерва за счёт ограничения длины удлинения конечности.</w:t>
      </w:r>
    </w:p>
    <w:p w14:paraId="3BE92DA1" w14:textId="77777777" w:rsidR="00A178C0" w:rsidRPr="00185BC0" w:rsidRDefault="00A178C0" w:rsidP="00A178C0">
      <w:pPr>
        <w:ind w:firstLine="709"/>
        <w:contextualSpacing/>
        <w:jc w:val="both"/>
        <w:rPr>
          <w:sz w:val="28"/>
          <w:szCs w:val="28"/>
        </w:rPr>
      </w:pPr>
      <w:r w:rsidRPr="00185BC0">
        <w:rPr>
          <w:sz w:val="28"/>
          <w:szCs w:val="28"/>
        </w:rPr>
        <w:t>При разработке плана учитывались и данные рентгенографии стоя. Степень наклона таза и выраженность сколиоза давали представление о компенсаторных возможностях опорно-двигательного аппарата пациента. Эти сведения помогали спрогнозировать, как коррекция длины отразится на положении таза и позвоночника. Таким образом, интеграция информации из КТ (абсолютное укорочение и сегментарный вклад) и из клинико-рентгенологической оценки стоя (относительное укорочение, наклон таза, сколиоз) позволяла хирургу оптимально определить необходимость и объём укорачивающей остеотомии, а также спланировать параметры эндопротеза (например, длину ножки протеза) для компенсации оставшейся разницы.</w:t>
      </w:r>
    </w:p>
    <w:p w14:paraId="1487CE8F" w14:textId="50CEEDAA" w:rsidR="00A178C0" w:rsidRPr="00185BC0" w:rsidRDefault="00A178C0" w:rsidP="00A178C0">
      <w:pPr>
        <w:ind w:firstLine="709"/>
        <w:contextualSpacing/>
        <w:jc w:val="both"/>
        <w:rPr>
          <w:b/>
          <w:i/>
          <w:iCs/>
          <w:sz w:val="28"/>
          <w:szCs w:val="28"/>
        </w:rPr>
      </w:pPr>
      <w:bookmarkStart w:id="30" w:name="_Hlk201530935"/>
      <w:r w:rsidRPr="00185BC0">
        <w:rPr>
          <w:b/>
          <w:i/>
          <w:iCs/>
          <w:sz w:val="28"/>
          <w:szCs w:val="28"/>
        </w:rPr>
        <w:t xml:space="preserve">Анкетирование пациентов </w:t>
      </w:r>
    </w:p>
    <w:bookmarkEnd w:id="30"/>
    <w:p w14:paraId="1D33AA59" w14:textId="2D21A674" w:rsidR="00A178C0" w:rsidRPr="00185BC0" w:rsidRDefault="00A178C0" w:rsidP="00A178C0">
      <w:pPr>
        <w:ind w:firstLine="709"/>
        <w:jc w:val="both"/>
        <w:rPr>
          <w:bCs/>
          <w:sz w:val="28"/>
          <w:szCs w:val="28"/>
        </w:rPr>
      </w:pPr>
      <w:r w:rsidRPr="00185BC0">
        <w:rPr>
          <w:bCs/>
          <w:sz w:val="28"/>
          <w:szCs w:val="28"/>
        </w:rPr>
        <w:t xml:space="preserve">Для комплексной клинико-функциональной оценки состояния пациентов с диспластическим коксартрозом IV типа по классификации </w:t>
      </w:r>
      <w:proofErr w:type="spellStart"/>
      <w:r w:rsidRPr="00185BC0">
        <w:rPr>
          <w:bCs/>
          <w:sz w:val="28"/>
          <w:szCs w:val="28"/>
        </w:rPr>
        <w:t>Crowe</w:t>
      </w:r>
      <w:proofErr w:type="spellEnd"/>
      <w:r w:rsidRPr="00185BC0">
        <w:rPr>
          <w:bCs/>
          <w:sz w:val="28"/>
          <w:szCs w:val="28"/>
        </w:rPr>
        <w:t xml:space="preserve"> до</w:t>
      </w:r>
      <w:r w:rsidR="00E31B7F" w:rsidRPr="00185BC0">
        <w:rPr>
          <w:bCs/>
          <w:sz w:val="28"/>
          <w:szCs w:val="28"/>
          <w:lang w:val="kk-KZ"/>
        </w:rPr>
        <w:t xml:space="preserve"> и после</w:t>
      </w:r>
      <w:r w:rsidRPr="00185BC0">
        <w:rPr>
          <w:bCs/>
          <w:sz w:val="28"/>
          <w:szCs w:val="28"/>
        </w:rPr>
        <w:t xml:space="preserve"> оперативного вмешательства применялись </w:t>
      </w:r>
      <w:proofErr w:type="spellStart"/>
      <w:r w:rsidRPr="00185BC0">
        <w:rPr>
          <w:bCs/>
          <w:sz w:val="28"/>
          <w:szCs w:val="28"/>
        </w:rPr>
        <w:t>валидированные</w:t>
      </w:r>
      <w:proofErr w:type="spellEnd"/>
      <w:r w:rsidRPr="00185BC0">
        <w:rPr>
          <w:bCs/>
          <w:sz w:val="28"/>
          <w:szCs w:val="28"/>
        </w:rPr>
        <w:t xml:space="preserve"> шкалы: визуально-</w:t>
      </w:r>
      <w:r w:rsidRPr="00185BC0">
        <w:rPr>
          <w:bCs/>
          <w:sz w:val="28"/>
          <w:szCs w:val="28"/>
        </w:rPr>
        <w:lastRenderedPageBreak/>
        <w:t xml:space="preserve">аналоговая шкала боли (ВАШ), Harris </w:t>
      </w:r>
      <w:proofErr w:type="spellStart"/>
      <w:r w:rsidRPr="00185BC0">
        <w:rPr>
          <w:bCs/>
          <w:sz w:val="28"/>
          <w:szCs w:val="28"/>
        </w:rPr>
        <w:t>Hip</w:t>
      </w:r>
      <w:proofErr w:type="spellEnd"/>
      <w:r w:rsidRPr="00185BC0">
        <w:rPr>
          <w:bCs/>
          <w:sz w:val="28"/>
          <w:szCs w:val="28"/>
        </w:rPr>
        <w:t xml:space="preserve"> </w:t>
      </w:r>
      <w:proofErr w:type="spellStart"/>
      <w:r w:rsidRPr="00185BC0">
        <w:rPr>
          <w:bCs/>
          <w:sz w:val="28"/>
          <w:szCs w:val="28"/>
        </w:rPr>
        <w:t>Score</w:t>
      </w:r>
      <w:proofErr w:type="spellEnd"/>
      <w:r w:rsidRPr="00185BC0">
        <w:rPr>
          <w:bCs/>
          <w:sz w:val="28"/>
          <w:szCs w:val="28"/>
        </w:rPr>
        <w:t xml:space="preserve"> (HHS) и </w:t>
      </w:r>
      <w:proofErr w:type="spellStart"/>
      <w:r w:rsidRPr="00185BC0">
        <w:rPr>
          <w:bCs/>
          <w:sz w:val="28"/>
          <w:szCs w:val="28"/>
        </w:rPr>
        <w:t>Oxford</w:t>
      </w:r>
      <w:proofErr w:type="spellEnd"/>
      <w:r w:rsidRPr="00185BC0">
        <w:rPr>
          <w:bCs/>
          <w:sz w:val="28"/>
          <w:szCs w:val="28"/>
        </w:rPr>
        <w:t xml:space="preserve"> </w:t>
      </w:r>
      <w:proofErr w:type="spellStart"/>
      <w:r w:rsidRPr="00185BC0">
        <w:rPr>
          <w:bCs/>
          <w:sz w:val="28"/>
          <w:szCs w:val="28"/>
        </w:rPr>
        <w:t>Hip</w:t>
      </w:r>
      <w:proofErr w:type="spellEnd"/>
      <w:r w:rsidRPr="00185BC0">
        <w:rPr>
          <w:bCs/>
          <w:sz w:val="28"/>
          <w:szCs w:val="28"/>
        </w:rPr>
        <w:t xml:space="preserve"> </w:t>
      </w:r>
      <w:proofErr w:type="spellStart"/>
      <w:r w:rsidRPr="00185BC0">
        <w:rPr>
          <w:bCs/>
          <w:sz w:val="28"/>
          <w:szCs w:val="28"/>
        </w:rPr>
        <w:t>Score</w:t>
      </w:r>
      <w:proofErr w:type="spellEnd"/>
      <w:r w:rsidRPr="00185BC0">
        <w:rPr>
          <w:bCs/>
          <w:sz w:val="28"/>
          <w:szCs w:val="28"/>
        </w:rPr>
        <w:t xml:space="preserve"> (OHS). Использование анкетных инструментов позволило получить стандартизированную и количественно измеримую информацию о выраженности болевого синдрома, нарушении функции тазобедренного сустава и общем уровне качества жизни пациентов</w:t>
      </w:r>
      <w:r w:rsidR="00F056F4" w:rsidRPr="00185BC0">
        <w:rPr>
          <w:bCs/>
          <w:sz w:val="28"/>
          <w:szCs w:val="28"/>
        </w:rPr>
        <w:t xml:space="preserve"> </w:t>
      </w:r>
      <w:r w:rsidR="00F056F4" w:rsidRPr="00185BC0">
        <w:rPr>
          <w:bCs/>
          <w:sz w:val="28"/>
          <w:szCs w:val="28"/>
        </w:rPr>
        <w:fldChar w:fldCharType="begin" w:fldLock="1"/>
      </w:r>
      <w:r w:rsidR="00483103" w:rsidRPr="00185BC0">
        <w:rPr>
          <w:bCs/>
          <w:sz w:val="28"/>
          <w:szCs w:val="28"/>
        </w:rPr>
        <w:instrText>ADDIN CSL_CITATION {"citationItems":[{"id":"ITEM-1","itemData":{"DOI":"10.52889/1684-9280-2024-4-75-51-57","ISSN":"27899632","abstract":"Dysplasia of the hip joint (DDH) is a severe pathology of the musculoskeletal system which, if not diagnosed and treated in time, leads to impaired function of the hip joint. This leads to osteoarthritis, which requires surgical intervention. This case report describes a case where a cementless total hip arthroplasty (THA) of the left hip joint with a 6.5 cm transverse subtrochanteric shortening osteotomy (SSO) was performed. A special feature was the use of a newly developed plate that provides rotational and axial stability at the osteotomy site. With further observation and management of the patient. It is worth noting that this study and follow-up of the patient is ongoing. Keywords: developmental dysplasia of the hip (DDH), arthroplasty, subtrochonteric osteotomy.","author":[{"dropping-particle":"","family":"Oktyabrova","given":"Durdana","non-dropping-particle":"","parse-names":false,"suffix":""}],"container-title":"Traumatology and Orthopаedics of Kazakhstan","id":"ITEM-1","issue":"4","issued":{"date-parts":[["2024"]]},"title":"Total hip arthroplasty with subtrochanteric shortening osteotomy using derotational plate: А clinical case","type":"article-journal","volume":"75"},"uris":["http://www.mendeley.com/documents/?uuid=f42dfd42-59bb-319b-8991-e5bf578a70bd"]}],"mendeley":{"formattedCitation":"[105]","plainTextFormattedCitation":"[105]","previouslyFormattedCitation":"[105]"},"properties":{"noteIndex":0},"schema":"https://github.com/citation-style-language/schema/raw/master/csl-citation.json"}</w:instrText>
      </w:r>
      <w:r w:rsidR="00F056F4" w:rsidRPr="00185BC0">
        <w:rPr>
          <w:bCs/>
          <w:sz w:val="28"/>
          <w:szCs w:val="28"/>
        </w:rPr>
        <w:fldChar w:fldCharType="separate"/>
      </w:r>
      <w:r w:rsidR="00483103" w:rsidRPr="00185BC0">
        <w:rPr>
          <w:bCs/>
          <w:noProof/>
          <w:sz w:val="28"/>
          <w:szCs w:val="28"/>
        </w:rPr>
        <w:t>[105]</w:t>
      </w:r>
      <w:r w:rsidR="00F056F4" w:rsidRPr="00185BC0">
        <w:rPr>
          <w:bCs/>
          <w:sz w:val="28"/>
          <w:szCs w:val="28"/>
        </w:rPr>
        <w:fldChar w:fldCharType="end"/>
      </w:r>
      <w:r w:rsidRPr="00185BC0">
        <w:rPr>
          <w:bCs/>
          <w:sz w:val="28"/>
          <w:szCs w:val="28"/>
        </w:rPr>
        <w:t>.</w:t>
      </w:r>
    </w:p>
    <w:p w14:paraId="621AD03A" w14:textId="150A89C3" w:rsidR="00A178C0" w:rsidRPr="00185BC0" w:rsidRDefault="00A178C0" w:rsidP="00A178C0">
      <w:pPr>
        <w:ind w:firstLine="360"/>
        <w:jc w:val="both"/>
        <w:rPr>
          <w:bCs/>
          <w:sz w:val="28"/>
          <w:szCs w:val="28"/>
        </w:rPr>
      </w:pPr>
      <w:r w:rsidRPr="00185BC0">
        <w:rPr>
          <w:bCs/>
          <w:sz w:val="28"/>
          <w:szCs w:val="28"/>
        </w:rPr>
        <w:t xml:space="preserve">Оценка болевого синдрома осуществлялась с использованием визуально-аналоговой шкалы боли (ВАШ). Пациенты указывали уровень испытываемой боли на горизонтальной шкале длиной 10 см, где значение 0 см соответствовало отсутствию боли, а 10 см </w:t>
      </w:r>
      <w:r w:rsidR="00DA5A93" w:rsidRPr="00185BC0">
        <w:rPr>
          <w:bCs/>
          <w:sz w:val="28"/>
          <w:szCs w:val="28"/>
        </w:rPr>
        <w:t>–</w:t>
      </w:r>
      <w:r w:rsidRPr="00185BC0">
        <w:rPr>
          <w:bCs/>
          <w:sz w:val="28"/>
          <w:szCs w:val="28"/>
        </w:rPr>
        <w:t xml:space="preserve"> максимально </w:t>
      </w:r>
      <w:proofErr w:type="spellStart"/>
      <w:r w:rsidRPr="00185BC0">
        <w:rPr>
          <w:bCs/>
          <w:sz w:val="28"/>
          <w:szCs w:val="28"/>
        </w:rPr>
        <w:t>возможн</w:t>
      </w:r>
      <w:proofErr w:type="spellEnd"/>
      <w:r w:rsidR="004A105D" w:rsidRPr="00185BC0">
        <w:rPr>
          <w:bCs/>
          <w:sz w:val="28"/>
          <w:szCs w:val="28"/>
          <w:lang w:val="kk-KZ"/>
        </w:rPr>
        <w:t>ую</w:t>
      </w:r>
      <w:r w:rsidRPr="00185BC0">
        <w:rPr>
          <w:bCs/>
          <w:sz w:val="28"/>
          <w:szCs w:val="28"/>
        </w:rPr>
        <w:t xml:space="preserve"> бол</w:t>
      </w:r>
      <w:r w:rsidR="004A105D" w:rsidRPr="00185BC0">
        <w:rPr>
          <w:bCs/>
          <w:sz w:val="28"/>
          <w:szCs w:val="28"/>
          <w:lang w:val="kk-KZ"/>
        </w:rPr>
        <w:t>ь</w:t>
      </w:r>
      <w:r w:rsidRPr="00185BC0">
        <w:rPr>
          <w:bCs/>
          <w:sz w:val="28"/>
          <w:szCs w:val="28"/>
        </w:rPr>
        <w:t>. Балльная интерпретация проводилась следующим образом:</w:t>
      </w:r>
    </w:p>
    <w:p w14:paraId="39B32E3E" w14:textId="1BE914DD"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0 баллов </w:t>
      </w:r>
      <w:r w:rsidR="00DA5A93" w:rsidRPr="00185BC0">
        <w:rPr>
          <w:sz w:val="28"/>
          <w:szCs w:val="28"/>
        </w:rPr>
        <w:t>–</w:t>
      </w:r>
      <w:r w:rsidRPr="00185BC0">
        <w:rPr>
          <w:sz w:val="28"/>
          <w:szCs w:val="28"/>
        </w:rPr>
        <w:t xml:space="preserve"> отсутствует боль;</w:t>
      </w:r>
    </w:p>
    <w:p w14:paraId="2A01CCF4" w14:textId="31185155"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1–3 балла </w:t>
      </w:r>
      <w:r w:rsidR="00DA5A93" w:rsidRPr="00185BC0">
        <w:rPr>
          <w:sz w:val="28"/>
          <w:szCs w:val="28"/>
        </w:rPr>
        <w:t>–</w:t>
      </w:r>
      <w:r w:rsidRPr="00185BC0">
        <w:rPr>
          <w:sz w:val="28"/>
          <w:szCs w:val="28"/>
        </w:rPr>
        <w:t xml:space="preserve"> слабая боль;</w:t>
      </w:r>
    </w:p>
    <w:p w14:paraId="22206A9C" w14:textId="2D96E749"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4–6 баллов </w:t>
      </w:r>
      <w:r w:rsidR="00DA5A93" w:rsidRPr="00185BC0">
        <w:rPr>
          <w:sz w:val="28"/>
          <w:szCs w:val="28"/>
        </w:rPr>
        <w:t>–</w:t>
      </w:r>
      <w:r w:rsidRPr="00185BC0">
        <w:rPr>
          <w:sz w:val="28"/>
          <w:szCs w:val="28"/>
        </w:rPr>
        <w:t xml:space="preserve"> умеренная боль;</w:t>
      </w:r>
    </w:p>
    <w:p w14:paraId="50A69E77" w14:textId="06658BBF"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7–9 баллов </w:t>
      </w:r>
      <w:r w:rsidR="00DA5A93" w:rsidRPr="00185BC0">
        <w:rPr>
          <w:sz w:val="28"/>
          <w:szCs w:val="28"/>
        </w:rPr>
        <w:t>–</w:t>
      </w:r>
      <w:r w:rsidRPr="00185BC0">
        <w:rPr>
          <w:sz w:val="28"/>
          <w:szCs w:val="28"/>
        </w:rPr>
        <w:t xml:space="preserve"> выраженная боль;</w:t>
      </w:r>
    </w:p>
    <w:p w14:paraId="231A1320" w14:textId="4DA1BDDD"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10 баллов </w:t>
      </w:r>
      <w:r w:rsidR="00DA5A93" w:rsidRPr="00185BC0">
        <w:rPr>
          <w:sz w:val="28"/>
          <w:szCs w:val="28"/>
        </w:rPr>
        <w:t>–</w:t>
      </w:r>
      <w:r w:rsidRPr="00185BC0">
        <w:rPr>
          <w:sz w:val="28"/>
          <w:szCs w:val="28"/>
        </w:rPr>
        <w:t xml:space="preserve"> крайне интенсивная, нестерпимая боль.</w:t>
      </w:r>
    </w:p>
    <w:p w14:paraId="3A5C6893" w14:textId="03B945E5" w:rsidR="00A178C0" w:rsidRPr="00185BC0" w:rsidRDefault="00A178C0" w:rsidP="00A178C0">
      <w:pPr>
        <w:ind w:firstLine="709"/>
        <w:jc w:val="both"/>
        <w:rPr>
          <w:bCs/>
          <w:sz w:val="28"/>
          <w:szCs w:val="28"/>
        </w:rPr>
      </w:pPr>
      <w:r w:rsidRPr="00185BC0">
        <w:rPr>
          <w:bCs/>
          <w:sz w:val="28"/>
          <w:szCs w:val="28"/>
        </w:rPr>
        <w:t xml:space="preserve">Функциональное состояние тазобедренного сустава оценивалось по шкале Harris </w:t>
      </w:r>
      <w:proofErr w:type="spellStart"/>
      <w:r w:rsidRPr="00185BC0">
        <w:rPr>
          <w:bCs/>
          <w:sz w:val="28"/>
          <w:szCs w:val="28"/>
        </w:rPr>
        <w:t>Hip</w:t>
      </w:r>
      <w:proofErr w:type="spellEnd"/>
      <w:r w:rsidRPr="00185BC0">
        <w:rPr>
          <w:bCs/>
          <w:sz w:val="28"/>
          <w:szCs w:val="28"/>
        </w:rPr>
        <w:t xml:space="preserve"> </w:t>
      </w:r>
      <w:proofErr w:type="spellStart"/>
      <w:r w:rsidRPr="00185BC0">
        <w:rPr>
          <w:bCs/>
          <w:sz w:val="28"/>
          <w:szCs w:val="28"/>
        </w:rPr>
        <w:t>Score</w:t>
      </w:r>
      <w:proofErr w:type="spellEnd"/>
      <w:r w:rsidRPr="00185BC0">
        <w:rPr>
          <w:bCs/>
          <w:sz w:val="28"/>
          <w:szCs w:val="28"/>
        </w:rPr>
        <w:t xml:space="preserve"> (HHS), включающей баллы по четырём основным категориям: болевой синдром (максимум </w:t>
      </w:r>
      <w:r w:rsidR="00DA5A93" w:rsidRPr="00185BC0">
        <w:rPr>
          <w:bCs/>
          <w:sz w:val="28"/>
          <w:szCs w:val="28"/>
        </w:rPr>
        <w:t>–</w:t>
      </w:r>
      <w:r w:rsidRPr="00185BC0">
        <w:rPr>
          <w:bCs/>
          <w:sz w:val="28"/>
          <w:szCs w:val="28"/>
        </w:rPr>
        <w:t xml:space="preserve"> 44 балла), функция (максимум </w:t>
      </w:r>
      <w:r w:rsidR="00DA5A93" w:rsidRPr="00185BC0">
        <w:rPr>
          <w:bCs/>
          <w:sz w:val="28"/>
          <w:szCs w:val="28"/>
        </w:rPr>
        <w:t>–</w:t>
      </w:r>
      <w:r w:rsidRPr="00185BC0">
        <w:rPr>
          <w:bCs/>
          <w:sz w:val="28"/>
          <w:szCs w:val="28"/>
        </w:rPr>
        <w:t xml:space="preserve"> 47 баллов), амплитуда движений (максимум </w:t>
      </w:r>
      <w:r w:rsidR="00DA5A93" w:rsidRPr="00185BC0">
        <w:rPr>
          <w:bCs/>
          <w:sz w:val="28"/>
          <w:szCs w:val="28"/>
        </w:rPr>
        <w:t>–</w:t>
      </w:r>
      <w:r w:rsidRPr="00185BC0">
        <w:rPr>
          <w:bCs/>
          <w:sz w:val="28"/>
          <w:szCs w:val="28"/>
        </w:rPr>
        <w:t xml:space="preserve"> 5 баллов), наличие деформации (максимум </w:t>
      </w:r>
      <w:r w:rsidR="00DA5A93" w:rsidRPr="00185BC0">
        <w:rPr>
          <w:bCs/>
          <w:sz w:val="28"/>
          <w:szCs w:val="28"/>
        </w:rPr>
        <w:t>–</w:t>
      </w:r>
      <w:r w:rsidRPr="00185BC0">
        <w:rPr>
          <w:bCs/>
          <w:sz w:val="28"/>
          <w:szCs w:val="28"/>
        </w:rPr>
        <w:t xml:space="preserve"> 4 балла). Суммарное значение HHS интерпретировалось следующим образом:</w:t>
      </w:r>
    </w:p>
    <w:p w14:paraId="0624A0DA" w14:textId="24551D24"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 90 баллов </w:t>
      </w:r>
      <w:r w:rsidR="00DA5A93" w:rsidRPr="00185BC0">
        <w:rPr>
          <w:sz w:val="28"/>
          <w:szCs w:val="28"/>
        </w:rPr>
        <w:t>–</w:t>
      </w:r>
      <w:r w:rsidRPr="00185BC0">
        <w:rPr>
          <w:sz w:val="28"/>
          <w:szCs w:val="28"/>
        </w:rPr>
        <w:t xml:space="preserve"> отличный результат;</w:t>
      </w:r>
    </w:p>
    <w:p w14:paraId="463B8FAE" w14:textId="23DFEF76"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80–89 баллов </w:t>
      </w:r>
      <w:r w:rsidR="00DA5A93" w:rsidRPr="00185BC0">
        <w:rPr>
          <w:sz w:val="28"/>
          <w:szCs w:val="28"/>
        </w:rPr>
        <w:t>–</w:t>
      </w:r>
      <w:r w:rsidRPr="00185BC0">
        <w:rPr>
          <w:sz w:val="28"/>
          <w:szCs w:val="28"/>
        </w:rPr>
        <w:t xml:space="preserve"> хороший;</w:t>
      </w:r>
    </w:p>
    <w:p w14:paraId="7603E0CC" w14:textId="4B5C0FF2"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70–79 баллов </w:t>
      </w:r>
      <w:r w:rsidR="00DA5A93" w:rsidRPr="00185BC0">
        <w:rPr>
          <w:sz w:val="28"/>
          <w:szCs w:val="28"/>
        </w:rPr>
        <w:t>–</w:t>
      </w:r>
      <w:r w:rsidRPr="00185BC0">
        <w:rPr>
          <w:sz w:val="28"/>
          <w:szCs w:val="28"/>
        </w:rPr>
        <w:t xml:space="preserve"> удовлетворительный;</w:t>
      </w:r>
    </w:p>
    <w:p w14:paraId="0DD3E31B" w14:textId="18F7D5CE"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&lt;70 баллов </w:t>
      </w:r>
      <w:r w:rsidR="00DA5A93" w:rsidRPr="00185BC0">
        <w:rPr>
          <w:sz w:val="28"/>
          <w:szCs w:val="28"/>
        </w:rPr>
        <w:t>–</w:t>
      </w:r>
      <w:r w:rsidRPr="00185BC0">
        <w:rPr>
          <w:sz w:val="28"/>
          <w:szCs w:val="28"/>
        </w:rPr>
        <w:t xml:space="preserve"> неудовлетворительный функциональный статус.</w:t>
      </w:r>
    </w:p>
    <w:p w14:paraId="14BC32FE" w14:textId="77777777" w:rsidR="00A178C0" w:rsidRPr="00185BC0" w:rsidRDefault="00A178C0" w:rsidP="00A178C0">
      <w:pPr>
        <w:ind w:firstLine="709"/>
        <w:jc w:val="both"/>
        <w:rPr>
          <w:bCs/>
          <w:sz w:val="28"/>
          <w:szCs w:val="28"/>
        </w:rPr>
      </w:pPr>
      <w:r w:rsidRPr="00185BC0">
        <w:rPr>
          <w:bCs/>
          <w:sz w:val="28"/>
          <w:szCs w:val="28"/>
        </w:rPr>
        <w:t>Оксфордская шкала (</w:t>
      </w:r>
      <w:r w:rsidRPr="00185BC0">
        <w:rPr>
          <w:bCs/>
          <w:sz w:val="28"/>
          <w:szCs w:val="28"/>
          <w:lang w:val="en-US"/>
        </w:rPr>
        <w:t>Oxford</w:t>
      </w:r>
      <w:r w:rsidRPr="00185BC0">
        <w:rPr>
          <w:bCs/>
          <w:sz w:val="28"/>
          <w:szCs w:val="28"/>
        </w:rPr>
        <w:t xml:space="preserve"> </w:t>
      </w:r>
      <w:r w:rsidRPr="00185BC0">
        <w:rPr>
          <w:bCs/>
          <w:sz w:val="28"/>
          <w:szCs w:val="28"/>
          <w:lang w:val="en-US"/>
        </w:rPr>
        <w:t>Hip</w:t>
      </w:r>
      <w:r w:rsidRPr="00185BC0">
        <w:rPr>
          <w:bCs/>
          <w:sz w:val="28"/>
          <w:szCs w:val="28"/>
        </w:rPr>
        <w:t xml:space="preserve"> </w:t>
      </w:r>
      <w:r w:rsidRPr="00185BC0">
        <w:rPr>
          <w:bCs/>
          <w:sz w:val="28"/>
          <w:szCs w:val="28"/>
          <w:lang w:val="en-US"/>
        </w:rPr>
        <w:t>Score</w:t>
      </w:r>
      <w:r w:rsidRPr="00185BC0">
        <w:rPr>
          <w:bCs/>
          <w:sz w:val="28"/>
          <w:szCs w:val="28"/>
        </w:rPr>
        <w:t xml:space="preserve">, </w:t>
      </w:r>
      <w:r w:rsidRPr="00185BC0">
        <w:rPr>
          <w:bCs/>
          <w:sz w:val="28"/>
          <w:szCs w:val="28"/>
          <w:lang w:val="en-US"/>
        </w:rPr>
        <w:t>OHS</w:t>
      </w:r>
      <w:r w:rsidRPr="00185BC0">
        <w:rPr>
          <w:bCs/>
          <w:sz w:val="28"/>
          <w:szCs w:val="28"/>
        </w:rPr>
        <w:t>) применялась для субъективной оценки болевого синдрома, функционального состояния тазобедренного сустава и влияния заболевания на качество жизни пациента в течение последних 4 недель. Шкала включает 12 вопросов, каждый из которых оценивается по 5-балльной системе (от 0 до 4 баллов), итоговая сумма варьирует от 0 до 48 баллов. Более высокий балл соответствует лучшему функциональному состоянию и меньшей выраженности симптомов. Интерпретация результатов проводилась следующим образом:</w:t>
      </w:r>
    </w:p>
    <w:p w14:paraId="12FCE5E3" w14:textId="732A6ACC"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40–48 баллов </w:t>
      </w:r>
      <w:r w:rsidR="00DA5A93" w:rsidRPr="00185BC0">
        <w:rPr>
          <w:sz w:val="28"/>
          <w:szCs w:val="28"/>
        </w:rPr>
        <w:t>–</w:t>
      </w:r>
      <w:r w:rsidRPr="00185BC0">
        <w:rPr>
          <w:sz w:val="28"/>
          <w:szCs w:val="28"/>
        </w:rPr>
        <w:t xml:space="preserve"> отличная функция;</w:t>
      </w:r>
    </w:p>
    <w:p w14:paraId="0B0BDE01" w14:textId="404B3F4C"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30–39 баллов </w:t>
      </w:r>
      <w:r w:rsidR="00DA5A93" w:rsidRPr="00185BC0">
        <w:rPr>
          <w:sz w:val="28"/>
          <w:szCs w:val="28"/>
        </w:rPr>
        <w:t>–</w:t>
      </w:r>
      <w:r w:rsidRPr="00185BC0">
        <w:rPr>
          <w:sz w:val="28"/>
          <w:szCs w:val="28"/>
        </w:rPr>
        <w:t xml:space="preserve"> хорошая функция;</w:t>
      </w:r>
    </w:p>
    <w:p w14:paraId="61508A1A" w14:textId="1646C54E"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20–29 баллов </w:t>
      </w:r>
      <w:r w:rsidR="00DA5A93" w:rsidRPr="00185BC0">
        <w:rPr>
          <w:sz w:val="28"/>
          <w:szCs w:val="28"/>
        </w:rPr>
        <w:t>–</w:t>
      </w:r>
      <w:r w:rsidRPr="00185BC0">
        <w:rPr>
          <w:sz w:val="28"/>
          <w:szCs w:val="28"/>
        </w:rPr>
        <w:t xml:space="preserve"> умеренное нарушение;</w:t>
      </w:r>
    </w:p>
    <w:p w14:paraId="69CEFB0F" w14:textId="4B00729F" w:rsidR="00A178C0" w:rsidRPr="00185BC0" w:rsidRDefault="00A178C0" w:rsidP="00D47CC4">
      <w:pPr>
        <w:numPr>
          <w:ilvl w:val="0"/>
          <w:numId w:val="7"/>
        </w:numPr>
        <w:ind w:left="0" w:firstLine="709"/>
        <w:contextualSpacing/>
        <w:jc w:val="both"/>
        <w:rPr>
          <w:sz w:val="28"/>
          <w:szCs w:val="28"/>
        </w:rPr>
      </w:pPr>
      <w:r w:rsidRPr="00185BC0">
        <w:rPr>
          <w:sz w:val="28"/>
          <w:szCs w:val="28"/>
        </w:rPr>
        <w:t xml:space="preserve">менее 20 баллов </w:t>
      </w:r>
      <w:r w:rsidR="00DA5A93" w:rsidRPr="00185BC0">
        <w:rPr>
          <w:sz w:val="28"/>
          <w:szCs w:val="28"/>
        </w:rPr>
        <w:t>–</w:t>
      </w:r>
      <w:r w:rsidRPr="00185BC0">
        <w:rPr>
          <w:sz w:val="28"/>
          <w:szCs w:val="28"/>
        </w:rPr>
        <w:t xml:space="preserve"> выраженное функциональное ограничение.</w:t>
      </w:r>
    </w:p>
    <w:p w14:paraId="448252B4" w14:textId="5053A8C6" w:rsidR="00A178C0" w:rsidRPr="00185BC0" w:rsidRDefault="00A178C0" w:rsidP="00A178C0">
      <w:pPr>
        <w:ind w:firstLine="633"/>
        <w:jc w:val="both"/>
        <w:rPr>
          <w:bCs/>
          <w:sz w:val="28"/>
          <w:szCs w:val="28"/>
        </w:rPr>
      </w:pPr>
      <w:r w:rsidRPr="00185BC0">
        <w:rPr>
          <w:bCs/>
          <w:sz w:val="28"/>
          <w:szCs w:val="28"/>
        </w:rPr>
        <w:t>Анкетирование проводилось в плановом порядке до момента госпитализации</w:t>
      </w:r>
      <w:r w:rsidR="00E31B7F" w:rsidRPr="00185BC0">
        <w:rPr>
          <w:bCs/>
          <w:sz w:val="28"/>
          <w:szCs w:val="28"/>
          <w:lang w:val="kk-KZ"/>
        </w:rPr>
        <w:t xml:space="preserve"> и после операции</w:t>
      </w:r>
      <w:r w:rsidRPr="00185BC0">
        <w:rPr>
          <w:bCs/>
          <w:sz w:val="28"/>
          <w:szCs w:val="28"/>
        </w:rPr>
        <w:t xml:space="preserve"> в стабильных амбулаторных условиях. Полученные результаты заносились в индивидуальную медицинскую документацию пациента и служили исходной точкой для последующей оценки эффективности проведённого хирургического лечения в динамике.</w:t>
      </w:r>
    </w:p>
    <w:p w14:paraId="10EF6FC8" w14:textId="77777777" w:rsidR="00A178C0" w:rsidRPr="00185BC0" w:rsidRDefault="00A178C0" w:rsidP="00A178C0">
      <w:pPr>
        <w:ind w:firstLine="633"/>
        <w:contextualSpacing/>
        <w:jc w:val="both"/>
        <w:rPr>
          <w:bCs/>
          <w:i/>
          <w:iCs/>
          <w:sz w:val="28"/>
          <w:szCs w:val="28"/>
        </w:rPr>
      </w:pPr>
      <w:r w:rsidRPr="00185BC0">
        <w:rPr>
          <w:bCs/>
          <w:i/>
          <w:iCs/>
          <w:sz w:val="28"/>
          <w:szCs w:val="28"/>
        </w:rPr>
        <w:t>Предоперационное планирование</w:t>
      </w:r>
    </w:p>
    <w:p w14:paraId="315C0967" w14:textId="3799650C" w:rsidR="00A178C0" w:rsidRPr="00185BC0" w:rsidRDefault="00A178C0" w:rsidP="00A178C0">
      <w:pPr>
        <w:ind w:firstLine="709"/>
        <w:jc w:val="both"/>
        <w:rPr>
          <w:bCs/>
          <w:sz w:val="28"/>
          <w:szCs w:val="28"/>
        </w:rPr>
      </w:pPr>
      <w:r w:rsidRPr="00185BC0">
        <w:rPr>
          <w:bCs/>
          <w:sz w:val="28"/>
          <w:szCs w:val="28"/>
        </w:rPr>
        <w:t xml:space="preserve">Предоперационное планирование проводилось в обязательном порядке для всех пациентов и включало использование рентгенографических, </w:t>
      </w:r>
      <w:proofErr w:type="spellStart"/>
      <w:r w:rsidRPr="00185BC0">
        <w:rPr>
          <w:bCs/>
          <w:sz w:val="28"/>
          <w:szCs w:val="28"/>
        </w:rPr>
        <w:lastRenderedPageBreak/>
        <w:t>телерентгенографических</w:t>
      </w:r>
      <w:proofErr w:type="spellEnd"/>
      <w:r w:rsidRPr="00185BC0">
        <w:rPr>
          <w:bCs/>
          <w:sz w:val="28"/>
          <w:szCs w:val="28"/>
        </w:rPr>
        <w:t xml:space="preserve"> и компьютерно-</w:t>
      </w:r>
      <w:proofErr w:type="spellStart"/>
      <w:r w:rsidRPr="00185BC0">
        <w:rPr>
          <w:bCs/>
          <w:sz w:val="28"/>
          <w:szCs w:val="28"/>
        </w:rPr>
        <w:t>томографических</w:t>
      </w:r>
      <w:proofErr w:type="spellEnd"/>
      <w:r w:rsidRPr="00185BC0">
        <w:rPr>
          <w:bCs/>
          <w:sz w:val="28"/>
          <w:szCs w:val="28"/>
        </w:rPr>
        <w:t xml:space="preserve"> методов визуализации. Планирование осуществлялось в рамках стандартного диагностического протокола и направлялось на определение объёма оперативного вмешательства, параметров остеотомии и подбор</w:t>
      </w:r>
      <w:r w:rsidR="004A105D" w:rsidRPr="00185BC0">
        <w:rPr>
          <w:bCs/>
          <w:sz w:val="28"/>
          <w:szCs w:val="28"/>
          <w:lang w:val="kk-KZ"/>
        </w:rPr>
        <w:t>а</w:t>
      </w:r>
      <w:r w:rsidRPr="00185BC0">
        <w:rPr>
          <w:bCs/>
          <w:sz w:val="28"/>
          <w:szCs w:val="28"/>
        </w:rPr>
        <w:t xml:space="preserve"> компонентов эндопротеза. Рентгенография таза выполнялась в переднезадней проекции в положении стоя с равномерной нагрузкой на обе нижние конечности. На основании рентгенограмм оценивались уровень проксимального смещения головки бедренной кости, степень гипоплазии вертлужной впадины, морфология проксимального отдела бедренной кости. Для подбора размеров вертлужного и бедренного компонентов использовались прозрачные или цифровые рентгенологические шаблоны. </w:t>
      </w:r>
      <w:proofErr w:type="spellStart"/>
      <w:r w:rsidRPr="00185BC0">
        <w:rPr>
          <w:bCs/>
          <w:sz w:val="28"/>
          <w:szCs w:val="28"/>
        </w:rPr>
        <w:t>Телерентгенография</w:t>
      </w:r>
      <w:proofErr w:type="spellEnd"/>
      <w:r w:rsidRPr="00185BC0">
        <w:rPr>
          <w:bCs/>
          <w:sz w:val="28"/>
          <w:szCs w:val="28"/>
        </w:rPr>
        <w:t xml:space="preserve"> нижних конечностей в положении стоя применялась для количественной оценки анатомического укорочения поражённой конечности и определения необходимости выполнения укорачивающей остеотомии. На основании полученных измерений рассчитывались параметры предполагаемой резекции. Компьютерная томография тазобедренного сустава проводилась в аксиальной плоскости с тонкими срезами. Исследование применялось для уточнения состояния костномозгового канала бедренной кости, определения его диаметра, формы и проходимости, а также для детальной визуализации анатомии вертлужной впадины. В рамках предоперационного этапа также выполнялась оценка </w:t>
      </w:r>
      <w:proofErr w:type="spellStart"/>
      <w:r w:rsidRPr="00185BC0">
        <w:rPr>
          <w:bCs/>
          <w:sz w:val="28"/>
          <w:szCs w:val="28"/>
        </w:rPr>
        <w:t>трансфузионной</w:t>
      </w:r>
      <w:proofErr w:type="spellEnd"/>
      <w:r w:rsidRPr="00185BC0">
        <w:rPr>
          <w:bCs/>
          <w:sz w:val="28"/>
          <w:szCs w:val="28"/>
        </w:rPr>
        <w:t xml:space="preserve"> готовности, включая расчет предполагаемой </w:t>
      </w:r>
      <w:r w:rsidR="002518E4" w:rsidRPr="00185BC0">
        <w:rPr>
          <w:bCs/>
          <w:sz w:val="28"/>
          <w:szCs w:val="28"/>
        </w:rPr>
        <w:t>кровопотери</w:t>
      </w:r>
      <w:r w:rsidR="002518E4" w:rsidRPr="00185BC0">
        <w:rPr>
          <w:bCs/>
          <w:sz w:val="28"/>
          <w:szCs w:val="28"/>
          <w:lang w:val="kk-KZ"/>
        </w:rPr>
        <w:t xml:space="preserve">, </w:t>
      </w:r>
      <w:r w:rsidR="002518E4" w:rsidRPr="00185BC0">
        <w:rPr>
          <w:bCs/>
          <w:sz w:val="28"/>
          <w:szCs w:val="28"/>
        </w:rPr>
        <w:t>определение</w:t>
      </w:r>
      <w:r w:rsidRPr="00185BC0">
        <w:rPr>
          <w:bCs/>
          <w:sz w:val="28"/>
          <w:szCs w:val="28"/>
        </w:rPr>
        <w:t xml:space="preserve"> объёма заготовки крови при наличии показаний.</w:t>
      </w:r>
    </w:p>
    <w:p w14:paraId="06763E07" w14:textId="77777777" w:rsidR="00A178C0" w:rsidRPr="00185BC0" w:rsidRDefault="00A178C0" w:rsidP="00A178C0">
      <w:pPr>
        <w:pStyle w:val="1"/>
        <w:ind w:left="0" w:firstLine="567"/>
        <w:jc w:val="both"/>
        <w:rPr>
          <w:rFonts w:eastAsiaTheme="minorHAnsi"/>
          <w:lang w:val="kk-KZ"/>
        </w:rPr>
      </w:pPr>
    </w:p>
    <w:p w14:paraId="6C8B097C" w14:textId="5EABF8D7" w:rsidR="00A178C0" w:rsidRPr="00185BC0" w:rsidRDefault="00A178C0" w:rsidP="00A178C0">
      <w:pPr>
        <w:pStyle w:val="1"/>
        <w:ind w:left="0" w:firstLine="567"/>
        <w:jc w:val="both"/>
        <w:rPr>
          <w:rFonts w:eastAsiaTheme="minorHAnsi"/>
          <w:lang w:val="kk-KZ"/>
        </w:rPr>
      </w:pPr>
      <w:bookmarkStart w:id="31" w:name="_Toc217561935"/>
      <w:r w:rsidRPr="00185BC0">
        <w:rPr>
          <w:rFonts w:eastAsiaTheme="minorHAnsi"/>
          <w:lang w:val="kk-KZ"/>
        </w:rPr>
        <w:t xml:space="preserve">2.4 </w:t>
      </w:r>
      <w:r w:rsidRPr="00185BC0">
        <w:rPr>
          <w:rFonts w:eastAsiaTheme="minorHAnsi"/>
        </w:rPr>
        <w:t>Хирургическая техника</w:t>
      </w:r>
      <w:r w:rsidRPr="00185BC0">
        <w:rPr>
          <w:rFonts w:eastAsiaTheme="minorHAnsi"/>
          <w:lang w:val="kk-KZ"/>
        </w:rPr>
        <w:t xml:space="preserve"> </w:t>
      </w:r>
      <w:r w:rsidRPr="00185BC0">
        <w:rPr>
          <w:rFonts w:eastAsiaTheme="minorHAnsi"/>
        </w:rPr>
        <w:t>укорачивающей</w:t>
      </w:r>
      <w:r w:rsidRPr="00185BC0">
        <w:rPr>
          <w:rFonts w:eastAsiaTheme="minorHAnsi"/>
          <w:lang w:val="kk-KZ"/>
        </w:rPr>
        <w:t xml:space="preserve"> подвертельной поперечной</w:t>
      </w:r>
      <w:r w:rsidRPr="00185BC0">
        <w:rPr>
          <w:rFonts w:eastAsiaTheme="minorHAnsi"/>
        </w:rPr>
        <w:t xml:space="preserve"> остеотомии бедренной кости</w:t>
      </w:r>
      <w:r w:rsidRPr="00185BC0">
        <w:rPr>
          <w:rFonts w:eastAsiaTheme="minorHAnsi"/>
          <w:lang w:val="kk-KZ"/>
        </w:rPr>
        <w:t xml:space="preserve"> при тотальном эндопротезировании тазобедренного сустава</w:t>
      </w:r>
      <w:bookmarkEnd w:id="31"/>
    </w:p>
    <w:p w14:paraId="2DE4E734" w14:textId="68641507" w:rsidR="00915DC4" w:rsidRPr="00185BC0" w:rsidRDefault="003200AA" w:rsidP="00A178C0">
      <w:pPr>
        <w:ind w:firstLine="709"/>
        <w:contextualSpacing/>
        <w:jc w:val="both"/>
        <w:rPr>
          <w:bCs/>
          <w:sz w:val="28"/>
          <w:szCs w:val="28"/>
          <w:lang w:val="kk-KZ"/>
        </w:rPr>
      </w:pPr>
      <w:r w:rsidRPr="00185BC0">
        <w:rPr>
          <w:bCs/>
          <w:sz w:val="28"/>
          <w:szCs w:val="28"/>
          <w:lang w:val="kk-KZ"/>
        </w:rPr>
        <w:t>Оперативное вмешательство выполнялось под общей эндотрахеальной анестезией при укладке пациента на контралатеральный бок с обязательной фиксацией таза и нижней конечности для обеспечения стабильности операционного поля</w:t>
      </w:r>
      <w:r w:rsidR="00D16B1C" w:rsidRPr="00185BC0">
        <w:rPr>
          <w:bCs/>
          <w:sz w:val="28"/>
          <w:szCs w:val="28"/>
          <w:lang w:val="kk-KZ"/>
        </w:rPr>
        <w:t xml:space="preserve">. </w:t>
      </w:r>
      <w:r w:rsidR="00441F09" w:rsidRPr="00185BC0">
        <w:rPr>
          <w:bCs/>
          <w:sz w:val="28"/>
          <w:szCs w:val="28"/>
          <w:lang w:val="kk-KZ"/>
        </w:rPr>
        <w:t>Хирургический подход к тазобедренному суставу осуществлялся через передне-боковой подход по Хардингу,</w:t>
      </w:r>
      <w:r w:rsidR="00D16B1C" w:rsidRPr="00185BC0">
        <w:rPr>
          <w:bCs/>
          <w:sz w:val="28"/>
          <w:szCs w:val="28"/>
          <w:lang w:val="kk-KZ"/>
        </w:rPr>
        <w:t xml:space="preserve"> </w:t>
      </w:r>
      <w:r w:rsidR="00441F09" w:rsidRPr="00185BC0">
        <w:rPr>
          <w:bCs/>
          <w:sz w:val="28"/>
          <w:szCs w:val="28"/>
          <w:lang w:val="kk-KZ"/>
        </w:rPr>
        <w:t>создающий оптимальные условия для визуального контроля и поэтапного выполнения вмешательства на тазобедренном суставе.</w:t>
      </w:r>
      <w:r w:rsidR="00D16B1C" w:rsidRPr="00185BC0">
        <w:rPr>
          <w:bCs/>
          <w:sz w:val="28"/>
          <w:szCs w:val="28"/>
          <w:lang w:val="kk-KZ"/>
        </w:rPr>
        <w:t xml:space="preserve"> </w:t>
      </w:r>
      <w:r w:rsidR="009B20BD" w:rsidRPr="00185BC0">
        <w:rPr>
          <w:bCs/>
          <w:sz w:val="28"/>
          <w:szCs w:val="28"/>
          <w:lang w:val="kk-KZ"/>
        </w:rPr>
        <w:t>Последовательное рассечение мягкотканных слоёв выполнялось до достижения уровня большого вертела, после чего осуществлялось вскрытие суставной капсулы по её передней поверхности.</w:t>
      </w:r>
      <w:r w:rsidR="00D16B1C" w:rsidRPr="00185BC0">
        <w:rPr>
          <w:bCs/>
          <w:sz w:val="28"/>
          <w:szCs w:val="28"/>
          <w:lang w:val="kk-KZ"/>
        </w:rPr>
        <w:t xml:space="preserve"> </w:t>
      </w:r>
      <w:r w:rsidR="009B20BD" w:rsidRPr="00185BC0">
        <w:rPr>
          <w:bCs/>
          <w:sz w:val="28"/>
          <w:szCs w:val="28"/>
          <w:lang w:val="kk-KZ"/>
        </w:rPr>
        <w:t>При выявлении выраженных дегенеративно-дистрофических изменений капсулы сустава, включая её гипертрофию и фиброз, выполнялось частичное иссечение с целью увеличения операционного пространства и улучшения подвижности окружающих тканей.</w:t>
      </w:r>
      <w:r w:rsidR="00D16B1C" w:rsidRPr="00185BC0">
        <w:rPr>
          <w:bCs/>
          <w:sz w:val="28"/>
          <w:szCs w:val="28"/>
          <w:lang w:val="kk-KZ"/>
        </w:rPr>
        <w:t xml:space="preserve"> </w:t>
      </w:r>
      <w:r w:rsidR="009B20BD" w:rsidRPr="00185BC0">
        <w:rPr>
          <w:bCs/>
          <w:sz w:val="28"/>
          <w:szCs w:val="28"/>
          <w:lang w:val="kk-KZ"/>
        </w:rPr>
        <w:t>После оценки состояния зоны неоартроза осуществлялось удаление деформированной головки бедренной кости.</w:t>
      </w:r>
    </w:p>
    <w:p w14:paraId="62FFA233" w14:textId="6C9DA650" w:rsidR="00915DC4" w:rsidRPr="00185BC0" w:rsidRDefault="009B20BD" w:rsidP="00A178C0">
      <w:pPr>
        <w:ind w:firstLine="709"/>
        <w:contextualSpacing/>
        <w:jc w:val="both"/>
        <w:rPr>
          <w:bCs/>
          <w:sz w:val="28"/>
          <w:szCs w:val="28"/>
          <w:lang w:val="kk-KZ"/>
        </w:rPr>
      </w:pPr>
      <w:r w:rsidRPr="00185BC0">
        <w:rPr>
          <w:bCs/>
          <w:sz w:val="28"/>
          <w:szCs w:val="28"/>
          <w:lang w:val="kk-KZ"/>
        </w:rPr>
        <w:t>Анатомическое размещение вертлужного компонента обеспечивалось за счёт выполнения поперечной остеотомии в подвертельной зоне бедренной кости</w:t>
      </w:r>
      <w:r w:rsidR="00D16B1C" w:rsidRPr="00185BC0">
        <w:rPr>
          <w:bCs/>
          <w:sz w:val="28"/>
          <w:szCs w:val="28"/>
          <w:lang w:val="kk-KZ"/>
        </w:rPr>
        <w:t xml:space="preserve">. Истинное расположение вертлужной впадины определялось визуально и пальпаторно, после чего впадина обрабатывалась сферическими фрезами с </w:t>
      </w:r>
      <w:r w:rsidR="00D16B1C" w:rsidRPr="00185BC0">
        <w:rPr>
          <w:bCs/>
          <w:sz w:val="28"/>
          <w:szCs w:val="28"/>
          <w:lang w:val="kk-KZ"/>
        </w:rPr>
        <w:lastRenderedPageBreak/>
        <w:t xml:space="preserve">последовательным увеличением диаметра. Ацетабулярный компонент устанавливался методом пресс-фита. </w:t>
      </w:r>
      <w:r w:rsidR="005D40EC" w:rsidRPr="00185BC0">
        <w:rPr>
          <w:bCs/>
          <w:sz w:val="28"/>
          <w:szCs w:val="28"/>
          <w:lang w:val="kk-KZ"/>
        </w:rPr>
        <w:t>В случаях</w:t>
      </w:r>
      <w:r w:rsidRPr="00185BC0">
        <w:rPr>
          <w:bCs/>
          <w:sz w:val="28"/>
          <w:szCs w:val="28"/>
          <w:lang w:val="kk-KZ"/>
        </w:rPr>
        <w:t>, когда полная посадка чашки в истинную вертлужную впадину была недостижима, применялась дополнительная фиксация имплантата винтами</w:t>
      </w:r>
      <w:r w:rsidR="00D16B1C" w:rsidRPr="00185BC0">
        <w:rPr>
          <w:bCs/>
          <w:sz w:val="28"/>
          <w:szCs w:val="28"/>
          <w:lang w:val="kk-KZ"/>
        </w:rPr>
        <w:t xml:space="preserve">. </w:t>
      </w:r>
      <w:r w:rsidR="005D40EC" w:rsidRPr="00185BC0">
        <w:rPr>
          <w:bCs/>
          <w:sz w:val="28"/>
          <w:szCs w:val="28"/>
          <w:lang w:val="kk-KZ"/>
        </w:rPr>
        <w:t>После установки вертлужного компонента производилась установка полиэтиленового вкладыша.</w:t>
      </w:r>
      <w:r w:rsidR="00D16B1C" w:rsidRPr="00185BC0">
        <w:rPr>
          <w:bCs/>
          <w:sz w:val="28"/>
          <w:szCs w:val="28"/>
          <w:lang w:val="kk-KZ"/>
        </w:rPr>
        <w:t xml:space="preserve"> </w:t>
      </w:r>
    </w:p>
    <w:p w14:paraId="4F997F6F" w14:textId="6E13A2A2" w:rsidR="00915DC4" w:rsidRPr="00185BC0" w:rsidRDefault="005D40EC" w:rsidP="003D39EA">
      <w:pPr>
        <w:ind w:firstLine="709"/>
        <w:contextualSpacing/>
        <w:jc w:val="both"/>
        <w:rPr>
          <w:bCs/>
          <w:sz w:val="28"/>
          <w:szCs w:val="28"/>
          <w:lang w:val="kk-KZ"/>
        </w:rPr>
      </w:pPr>
      <w:r w:rsidRPr="00185BC0">
        <w:rPr>
          <w:bCs/>
          <w:sz w:val="28"/>
          <w:szCs w:val="28"/>
          <w:lang w:val="kk-KZ"/>
        </w:rPr>
        <w:t>Подготовка канала бедренной кости выполнялась поэтапным применением рашпилей и разверток до получения необходимого размера для имплантации выбранного бедренного компонента</w:t>
      </w:r>
      <w:r w:rsidR="00D16B1C" w:rsidRPr="00185BC0">
        <w:rPr>
          <w:bCs/>
          <w:sz w:val="28"/>
          <w:szCs w:val="28"/>
          <w:lang w:val="kk-KZ"/>
        </w:rPr>
        <w:t xml:space="preserve">. </w:t>
      </w:r>
      <w:r w:rsidRPr="00185BC0">
        <w:rPr>
          <w:bCs/>
          <w:sz w:val="28"/>
          <w:szCs w:val="28"/>
          <w:lang w:val="kk-KZ"/>
        </w:rPr>
        <w:t xml:space="preserve">Объём резекции в зоне остеотомии задавался предоперационно на основании поэтапного алгоритма, а после пробной репозиции фрагментов выполнялась его интраоперационная верификация с учётом состояния мягкотканных структур и длины нижней конечности. </w:t>
      </w:r>
      <w:r w:rsidR="00D16B1C" w:rsidRPr="00185BC0">
        <w:rPr>
          <w:bCs/>
          <w:sz w:val="28"/>
          <w:szCs w:val="28"/>
          <w:lang w:val="kk-KZ"/>
        </w:rPr>
        <w:t xml:space="preserve">Линия остеотомии на дистальном фрагменте маркировалась электрокоагулятором, после чего проводилась резекция в пределах анатомически обоснованного объёма. </w:t>
      </w:r>
      <w:r w:rsidR="003D39EA" w:rsidRPr="00185BC0">
        <w:rPr>
          <w:bCs/>
          <w:sz w:val="28"/>
          <w:szCs w:val="28"/>
          <w:lang w:val="kk-KZ"/>
        </w:rPr>
        <w:t>После восстановления осевой конфигурации и коррекции длины фрагментов выполнялась имплантация окончательного бедренного компонента.</w:t>
      </w:r>
    </w:p>
    <w:p w14:paraId="0783D965" w14:textId="5AD2A240" w:rsidR="008767C4" w:rsidRPr="00185BC0" w:rsidRDefault="00D16B1C" w:rsidP="00A178C0">
      <w:pPr>
        <w:ind w:firstLine="709"/>
        <w:contextualSpacing/>
        <w:jc w:val="both"/>
        <w:rPr>
          <w:bCs/>
          <w:sz w:val="28"/>
          <w:szCs w:val="28"/>
          <w:lang w:val="kk-KZ"/>
        </w:rPr>
      </w:pPr>
      <w:r w:rsidRPr="00185BC0">
        <w:rPr>
          <w:bCs/>
          <w:sz w:val="28"/>
          <w:szCs w:val="28"/>
          <w:lang w:val="kk-KZ"/>
        </w:rPr>
        <w:t xml:space="preserve">При наличии </w:t>
      </w:r>
      <w:r w:rsidR="004A105D" w:rsidRPr="00185BC0">
        <w:rPr>
          <w:bCs/>
          <w:sz w:val="28"/>
          <w:szCs w:val="28"/>
          <w:lang w:val="kk-KZ"/>
        </w:rPr>
        <w:t xml:space="preserve">в зоне остеотомии </w:t>
      </w:r>
      <w:r w:rsidRPr="00185BC0">
        <w:rPr>
          <w:bCs/>
          <w:sz w:val="28"/>
          <w:szCs w:val="28"/>
          <w:lang w:val="kk-KZ"/>
        </w:rPr>
        <w:t xml:space="preserve">признаков ротационной либо аксиальной нестабильности применялась </w:t>
      </w:r>
      <w:r w:rsidR="008767C4" w:rsidRPr="00185BC0">
        <w:rPr>
          <w:bCs/>
          <w:sz w:val="28"/>
          <w:szCs w:val="28"/>
          <w:lang w:val="kk-KZ"/>
        </w:rPr>
        <w:t xml:space="preserve">дополнительная </w:t>
      </w:r>
      <w:r w:rsidRPr="00185BC0">
        <w:rPr>
          <w:bCs/>
          <w:sz w:val="28"/>
          <w:szCs w:val="28"/>
          <w:lang w:val="kk-KZ"/>
        </w:rPr>
        <w:t>фиксация</w:t>
      </w:r>
      <w:r w:rsidR="008767C4" w:rsidRPr="00185BC0">
        <w:rPr>
          <w:bCs/>
          <w:sz w:val="28"/>
          <w:szCs w:val="28"/>
          <w:lang w:val="kk-KZ"/>
        </w:rPr>
        <w:t xml:space="preserve">. </w:t>
      </w:r>
    </w:p>
    <w:p w14:paraId="79DFDB4E" w14:textId="1E57DB53" w:rsidR="008767C4" w:rsidRPr="00185BC0" w:rsidRDefault="008767C4" w:rsidP="008767C4">
      <w:pPr>
        <w:ind w:firstLine="709"/>
        <w:contextualSpacing/>
        <w:jc w:val="both"/>
        <w:rPr>
          <w:bCs/>
          <w:sz w:val="28"/>
          <w:szCs w:val="28"/>
          <w:lang w:val="kk-KZ"/>
        </w:rPr>
      </w:pPr>
      <w:r w:rsidRPr="00185BC0">
        <w:rPr>
          <w:bCs/>
          <w:sz w:val="28"/>
          <w:szCs w:val="28"/>
          <w:lang w:val="kk-KZ"/>
        </w:rPr>
        <w:t>Особенности фиксации зоны остеотомии в основной и контрольной группах:</w:t>
      </w:r>
    </w:p>
    <w:p w14:paraId="7B885280" w14:textId="7547E37F" w:rsidR="00A178C0" w:rsidRPr="00185BC0" w:rsidRDefault="004A105D" w:rsidP="008767C4">
      <w:pPr>
        <w:ind w:firstLine="709"/>
        <w:contextualSpacing/>
        <w:jc w:val="both"/>
        <w:rPr>
          <w:bCs/>
          <w:sz w:val="28"/>
          <w:szCs w:val="28"/>
          <w:lang w:val="kk-KZ"/>
        </w:rPr>
      </w:pPr>
      <w:r w:rsidRPr="00185BC0">
        <w:rPr>
          <w:bCs/>
          <w:sz w:val="28"/>
          <w:szCs w:val="28"/>
          <w:lang w:val="kk-KZ"/>
        </w:rPr>
        <w:t>Так, в</w:t>
      </w:r>
      <w:r w:rsidR="008767C4" w:rsidRPr="00185BC0">
        <w:rPr>
          <w:bCs/>
          <w:sz w:val="28"/>
          <w:szCs w:val="28"/>
          <w:lang w:val="kk-KZ"/>
        </w:rPr>
        <w:t xml:space="preserve"> основной группе при наличии ротационной и/или аксиальной нестабильности выполнялась фиксация разработанной деротационной пластиной с угловой стабильностью (патент РК № KZ8955 от 29.03.2024 г.)</w:t>
      </w:r>
      <w:r w:rsidRPr="00185BC0">
        <w:rPr>
          <w:bCs/>
          <w:sz w:val="28"/>
          <w:szCs w:val="28"/>
          <w:lang w:val="kk-KZ"/>
        </w:rPr>
        <w:t>, п</w:t>
      </w:r>
      <w:r w:rsidR="008767C4" w:rsidRPr="00185BC0">
        <w:rPr>
          <w:bCs/>
          <w:sz w:val="28"/>
          <w:szCs w:val="28"/>
          <w:lang w:val="kk-KZ"/>
        </w:rPr>
        <w:t>осле выравнивания остеотомированных проксимального и дистального фрагментов пластина устанавливала</w:t>
      </w:r>
      <w:r w:rsidR="00B80E10" w:rsidRPr="00185BC0">
        <w:rPr>
          <w:bCs/>
          <w:sz w:val="28"/>
          <w:szCs w:val="28"/>
          <w:lang w:val="kk-KZ"/>
        </w:rPr>
        <w:t>с</w:t>
      </w:r>
      <w:r w:rsidR="008767C4" w:rsidRPr="00185BC0">
        <w:rPr>
          <w:bCs/>
          <w:sz w:val="28"/>
          <w:szCs w:val="28"/>
          <w:lang w:val="kk-KZ"/>
        </w:rPr>
        <w:t xml:space="preserve">ь на латеральную поверхность бедренной кости в соответствии с анатомическим профилем участка. </w:t>
      </w:r>
      <w:r w:rsidR="003D39EA" w:rsidRPr="00185BC0">
        <w:rPr>
          <w:bCs/>
          <w:sz w:val="28"/>
          <w:szCs w:val="28"/>
          <w:lang w:val="kk-KZ"/>
        </w:rPr>
        <w:t>Фиксация выполнялась блокируемыми винтами в количестве не менее трёх на каждый фрагмент.</w:t>
      </w:r>
      <w:r w:rsidR="008767C4" w:rsidRPr="00185BC0">
        <w:rPr>
          <w:bCs/>
          <w:sz w:val="28"/>
          <w:szCs w:val="28"/>
          <w:lang w:val="kk-KZ"/>
        </w:rPr>
        <w:t xml:space="preserve"> Конструкция пластины обеспечивала проведение винтов под заданными углами, что позволяла формировать двукортикальную опору и надёжно обходить ножку бедренного компонента эндопротеза, исключая её контакт с винтовыми каналами </w:t>
      </w:r>
      <w:r w:rsidR="00915DC4" w:rsidRPr="00185BC0">
        <w:rPr>
          <w:bCs/>
          <w:sz w:val="28"/>
          <w:szCs w:val="28"/>
          <w:lang w:val="kk-KZ"/>
        </w:rPr>
        <w:t>(рисунок 2</w:t>
      </w:r>
      <w:r w:rsidR="00CF3657" w:rsidRPr="00185BC0">
        <w:rPr>
          <w:bCs/>
          <w:sz w:val="28"/>
          <w:szCs w:val="28"/>
          <w:lang w:val="kk-KZ"/>
        </w:rPr>
        <w:t>2</w:t>
      </w:r>
      <w:r w:rsidR="00915DC4" w:rsidRPr="00185BC0">
        <w:rPr>
          <w:bCs/>
          <w:sz w:val="28"/>
          <w:szCs w:val="28"/>
          <w:lang w:val="kk-KZ"/>
        </w:rPr>
        <w:t>).</w:t>
      </w:r>
    </w:p>
    <w:p w14:paraId="38D1D167" w14:textId="77777777" w:rsidR="009C1588" w:rsidRPr="00185BC0" w:rsidRDefault="009C1588" w:rsidP="008767C4">
      <w:pPr>
        <w:ind w:firstLine="709"/>
        <w:contextualSpacing/>
        <w:jc w:val="both"/>
        <w:rPr>
          <w:bCs/>
          <w:sz w:val="28"/>
          <w:szCs w:val="28"/>
          <w:lang w:val="kk-KZ"/>
        </w:rPr>
      </w:pPr>
    </w:p>
    <w:p w14:paraId="03023443" w14:textId="204760EF" w:rsidR="00426487" w:rsidRPr="00185BC0" w:rsidRDefault="00426487" w:rsidP="00426487">
      <w:pPr>
        <w:contextualSpacing/>
        <w:jc w:val="center"/>
        <w:rPr>
          <w:bCs/>
          <w:sz w:val="28"/>
          <w:szCs w:val="28"/>
          <w:lang w:val="kk-KZ"/>
        </w:rPr>
      </w:pPr>
      <w:r w:rsidRPr="00185BC0">
        <w:rPr>
          <w:bCs/>
          <w:noProof/>
          <w:sz w:val="28"/>
          <w:szCs w:val="28"/>
          <w:lang w:val="kk-KZ"/>
        </w:rPr>
        <w:drawing>
          <wp:inline distT="0" distB="0" distL="0" distR="0" wp14:anchorId="58B8E943" wp14:editId="36A9944C">
            <wp:extent cx="5486400" cy="215315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95155" cy="2156587"/>
                    </a:xfrm>
                    <a:prstGeom prst="rect">
                      <a:avLst/>
                    </a:prstGeom>
                  </pic:spPr>
                </pic:pic>
              </a:graphicData>
            </a:graphic>
          </wp:inline>
        </w:drawing>
      </w:r>
    </w:p>
    <w:p w14:paraId="6D5E6DE3" w14:textId="14F4E738" w:rsidR="00426487" w:rsidRPr="00185BC0" w:rsidRDefault="00426487" w:rsidP="00F520DB">
      <w:pPr>
        <w:contextualSpacing/>
        <w:jc w:val="center"/>
        <w:rPr>
          <w:bCs/>
          <w:sz w:val="28"/>
          <w:szCs w:val="28"/>
          <w:lang w:val="kk-KZ"/>
        </w:rPr>
      </w:pPr>
      <w:r w:rsidRPr="00185BC0">
        <w:rPr>
          <w:bCs/>
          <w:noProof/>
          <w:sz w:val="28"/>
          <w:szCs w:val="28"/>
          <w:lang w:val="kk-KZ"/>
        </w:rPr>
        <w:lastRenderedPageBreak/>
        <w:drawing>
          <wp:inline distT="0" distB="0" distL="0" distR="0" wp14:anchorId="17BEFEEC" wp14:editId="71E0E804">
            <wp:extent cx="5080959" cy="2084203"/>
            <wp:effectExtent l="0" t="0" r="571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102591" cy="2093077"/>
                    </a:xfrm>
                    <a:prstGeom prst="rect">
                      <a:avLst/>
                    </a:prstGeom>
                  </pic:spPr>
                </pic:pic>
              </a:graphicData>
            </a:graphic>
          </wp:inline>
        </w:drawing>
      </w:r>
    </w:p>
    <w:p w14:paraId="125714A8" w14:textId="77777777" w:rsidR="00F520DB" w:rsidRPr="00185BC0" w:rsidRDefault="00F520DB" w:rsidP="00F520DB">
      <w:pPr>
        <w:contextualSpacing/>
        <w:jc w:val="center"/>
        <w:rPr>
          <w:bCs/>
          <w:sz w:val="28"/>
          <w:szCs w:val="28"/>
          <w:lang w:val="kk-KZ"/>
        </w:rPr>
      </w:pPr>
    </w:p>
    <w:p w14:paraId="10FD2B44" w14:textId="4E2337C2" w:rsidR="00426487" w:rsidRPr="00185BC0" w:rsidRDefault="00426487" w:rsidP="009C1588">
      <w:pPr>
        <w:contextualSpacing/>
        <w:jc w:val="center"/>
        <w:rPr>
          <w:bCs/>
          <w:sz w:val="28"/>
          <w:szCs w:val="28"/>
          <w:lang w:val="kk-KZ"/>
        </w:rPr>
      </w:pPr>
      <w:r w:rsidRPr="00185BC0">
        <w:rPr>
          <w:bCs/>
          <w:noProof/>
          <w:sz w:val="28"/>
          <w:szCs w:val="28"/>
          <w:lang w:val="kk-KZ"/>
        </w:rPr>
        <w:drawing>
          <wp:inline distT="0" distB="0" distL="0" distR="0" wp14:anchorId="381EE837" wp14:editId="240CFB05">
            <wp:extent cx="2639683" cy="2063621"/>
            <wp:effectExtent l="0" t="0" r="889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54593" cy="2075277"/>
                    </a:xfrm>
                    <a:prstGeom prst="rect">
                      <a:avLst/>
                    </a:prstGeom>
                  </pic:spPr>
                </pic:pic>
              </a:graphicData>
            </a:graphic>
          </wp:inline>
        </w:drawing>
      </w:r>
    </w:p>
    <w:p w14:paraId="4173A782" w14:textId="163C6DCA" w:rsidR="00915DC4" w:rsidRPr="00185BC0" w:rsidRDefault="00915DC4" w:rsidP="00EF5D1F">
      <w:pPr>
        <w:widowControl/>
        <w:autoSpaceDE/>
        <w:autoSpaceDN/>
        <w:spacing w:before="100" w:beforeAutospacing="1" w:after="100" w:afterAutospacing="1"/>
        <w:ind w:firstLine="708"/>
        <w:jc w:val="center"/>
        <w:rPr>
          <w:kern w:val="36"/>
          <w:sz w:val="28"/>
          <w:szCs w:val="28"/>
          <w:lang w:val="kk-KZ" w:eastAsia="ru-RU"/>
        </w:rPr>
      </w:pPr>
      <w:bookmarkStart w:id="32" w:name="_Hlk216134331"/>
      <w:r w:rsidRPr="00185BC0">
        <w:rPr>
          <w:kern w:val="36"/>
          <w:sz w:val="28"/>
          <w:szCs w:val="28"/>
          <w:lang w:val="kk-KZ" w:eastAsia="ru-RU"/>
        </w:rPr>
        <w:t>Рисунок 2</w:t>
      </w:r>
      <w:r w:rsidR="00CF3657" w:rsidRPr="00185BC0">
        <w:rPr>
          <w:kern w:val="36"/>
          <w:sz w:val="28"/>
          <w:szCs w:val="28"/>
          <w:lang w:val="kk-KZ" w:eastAsia="ru-RU"/>
        </w:rPr>
        <w:t>2</w:t>
      </w:r>
      <w:r w:rsidR="00EF5D1F" w:rsidRPr="00185BC0">
        <w:rPr>
          <w:kern w:val="36"/>
          <w:sz w:val="28"/>
          <w:szCs w:val="28"/>
          <w:lang w:val="kk-KZ" w:eastAsia="ru-RU"/>
        </w:rPr>
        <w:t xml:space="preserve"> – </w:t>
      </w:r>
      <w:r w:rsidRPr="00185BC0">
        <w:rPr>
          <w:kern w:val="36"/>
          <w:sz w:val="28"/>
          <w:szCs w:val="28"/>
          <w:lang w:val="kk-KZ" w:eastAsia="ru-RU"/>
        </w:rPr>
        <w:t>Интраоперационные этапы ТЭТС с поперечной подвертельной остеотомией бедра и фиксацией с деротационной пластин</w:t>
      </w:r>
      <w:r w:rsidR="000B3FF7" w:rsidRPr="00185BC0">
        <w:rPr>
          <w:kern w:val="36"/>
          <w:sz w:val="28"/>
          <w:szCs w:val="28"/>
          <w:lang w:val="kk-KZ" w:eastAsia="ru-RU"/>
        </w:rPr>
        <w:t>ой</w:t>
      </w:r>
      <w:r w:rsidRPr="00185BC0">
        <w:rPr>
          <w:kern w:val="36"/>
          <w:sz w:val="28"/>
          <w:szCs w:val="28"/>
          <w:lang w:val="kk-KZ" w:eastAsia="ru-RU"/>
        </w:rPr>
        <w:t xml:space="preserve"> с угловой стабильностью у пациента с дисплазией тазобедренного сустава </w:t>
      </w:r>
      <w:r w:rsidR="0006711E" w:rsidRPr="00185BC0">
        <w:rPr>
          <w:kern w:val="36"/>
          <w:sz w:val="28"/>
          <w:szCs w:val="28"/>
          <w:lang w:val="kk-KZ" w:eastAsia="ru-RU"/>
        </w:rPr>
        <w:t>IV типа по Crowe</w:t>
      </w:r>
      <w:r w:rsidRPr="00185BC0">
        <w:rPr>
          <w:kern w:val="36"/>
          <w:sz w:val="28"/>
          <w:szCs w:val="28"/>
          <w:lang w:val="kk-KZ" w:eastAsia="ru-RU"/>
        </w:rPr>
        <w:t xml:space="preserve">: </w:t>
      </w:r>
      <w:r w:rsidR="0006711E" w:rsidRPr="00185BC0">
        <w:rPr>
          <w:kern w:val="36"/>
          <w:sz w:val="28"/>
          <w:szCs w:val="28"/>
          <w:lang w:val="kk-KZ" w:eastAsia="ru-RU"/>
        </w:rPr>
        <w:t>А</w:t>
      </w:r>
      <w:r w:rsidRPr="00185BC0">
        <w:rPr>
          <w:kern w:val="36"/>
          <w:sz w:val="28"/>
          <w:szCs w:val="28"/>
          <w:lang w:val="kk-KZ" w:eastAsia="ru-RU"/>
        </w:rPr>
        <w:t xml:space="preserve">) </w:t>
      </w:r>
      <w:r w:rsidR="004A105D" w:rsidRPr="00185BC0">
        <w:rPr>
          <w:kern w:val="36"/>
          <w:sz w:val="28"/>
          <w:szCs w:val="28"/>
          <w:lang w:val="kk-KZ" w:eastAsia="ru-RU"/>
        </w:rPr>
        <w:t>и</w:t>
      </w:r>
      <w:r w:rsidR="0028648E" w:rsidRPr="00185BC0">
        <w:rPr>
          <w:kern w:val="36"/>
          <w:sz w:val="28"/>
          <w:szCs w:val="28"/>
          <w:lang w:val="kk-KZ" w:eastAsia="ru-RU"/>
        </w:rPr>
        <w:t>мплантация вертлужного компонента в анатомическое ложе</w:t>
      </w:r>
      <w:r w:rsidRPr="00185BC0">
        <w:rPr>
          <w:kern w:val="36"/>
          <w:sz w:val="28"/>
          <w:szCs w:val="28"/>
          <w:lang w:val="kk-KZ" w:eastAsia="ru-RU"/>
        </w:rPr>
        <w:t xml:space="preserve">; </w:t>
      </w:r>
      <w:r w:rsidR="0006711E" w:rsidRPr="00185BC0">
        <w:rPr>
          <w:kern w:val="36"/>
          <w:sz w:val="28"/>
          <w:szCs w:val="28"/>
          <w:lang w:val="kk-KZ" w:eastAsia="ru-RU"/>
        </w:rPr>
        <w:t>Б</w:t>
      </w:r>
      <w:r w:rsidRPr="00185BC0">
        <w:rPr>
          <w:kern w:val="36"/>
          <w:sz w:val="28"/>
          <w:szCs w:val="28"/>
          <w:lang w:val="kk-KZ" w:eastAsia="ru-RU"/>
        </w:rPr>
        <w:t xml:space="preserve">) </w:t>
      </w:r>
      <w:r w:rsidR="004A105D" w:rsidRPr="00185BC0">
        <w:rPr>
          <w:kern w:val="36"/>
          <w:sz w:val="28"/>
          <w:szCs w:val="28"/>
          <w:lang w:val="kk-KZ" w:eastAsia="ru-RU"/>
        </w:rPr>
        <w:t>в</w:t>
      </w:r>
      <w:r w:rsidRPr="00185BC0">
        <w:rPr>
          <w:kern w:val="36"/>
          <w:sz w:val="28"/>
          <w:szCs w:val="28"/>
          <w:lang w:val="kk-KZ" w:eastAsia="ru-RU"/>
        </w:rPr>
        <w:t xml:space="preserve">ыполнение поперечной подвертельной остеотомии бедра; </w:t>
      </w:r>
      <w:r w:rsidR="0006711E" w:rsidRPr="00185BC0">
        <w:rPr>
          <w:kern w:val="36"/>
          <w:sz w:val="28"/>
          <w:szCs w:val="28"/>
          <w:lang w:val="kk-KZ" w:eastAsia="ru-RU"/>
        </w:rPr>
        <w:t>В</w:t>
      </w:r>
      <w:r w:rsidRPr="00185BC0">
        <w:rPr>
          <w:kern w:val="36"/>
          <w:sz w:val="28"/>
          <w:szCs w:val="28"/>
          <w:lang w:val="kk-KZ" w:eastAsia="ru-RU"/>
        </w:rPr>
        <w:t xml:space="preserve">) </w:t>
      </w:r>
      <w:r w:rsidR="004A105D" w:rsidRPr="00185BC0">
        <w:rPr>
          <w:kern w:val="36"/>
          <w:sz w:val="28"/>
          <w:szCs w:val="28"/>
          <w:lang w:val="kk-KZ" w:eastAsia="ru-RU"/>
        </w:rPr>
        <w:t>у</w:t>
      </w:r>
      <w:r w:rsidR="0028648E" w:rsidRPr="00185BC0">
        <w:rPr>
          <w:kern w:val="36"/>
          <w:sz w:val="28"/>
          <w:szCs w:val="28"/>
          <w:lang w:val="kk-KZ" w:eastAsia="ru-RU"/>
        </w:rPr>
        <w:t>даление предварительно рассчитанного костного фрагмента</w:t>
      </w:r>
      <w:r w:rsidRPr="00185BC0">
        <w:rPr>
          <w:kern w:val="36"/>
          <w:sz w:val="28"/>
          <w:szCs w:val="28"/>
          <w:lang w:val="kk-KZ" w:eastAsia="ru-RU"/>
        </w:rPr>
        <w:t xml:space="preserve">; </w:t>
      </w:r>
      <w:r w:rsidR="0006711E" w:rsidRPr="00185BC0">
        <w:rPr>
          <w:kern w:val="36"/>
          <w:sz w:val="28"/>
          <w:szCs w:val="28"/>
          <w:lang w:val="kk-KZ" w:eastAsia="ru-RU"/>
        </w:rPr>
        <w:t>Г</w:t>
      </w:r>
      <w:r w:rsidRPr="00185BC0">
        <w:rPr>
          <w:kern w:val="36"/>
          <w:sz w:val="28"/>
          <w:szCs w:val="28"/>
          <w:lang w:val="kk-KZ" w:eastAsia="ru-RU"/>
        </w:rPr>
        <w:t xml:space="preserve">) </w:t>
      </w:r>
      <w:r w:rsidR="004A105D" w:rsidRPr="00185BC0">
        <w:rPr>
          <w:kern w:val="36"/>
          <w:sz w:val="28"/>
          <w:szCs w:val="28"/>
          <w:lang w:val="kk-KZ" w:eastAsia="ru-RU"/>
        </w:rPr>
        <w:t>и</w:t>
      </w:r>
      <w:r w:rsidRPr="00185BC0">
        <w:rPr>
          <w:kern w:val="36"/>
          <w:sz w:val="28"/>
          <w:szCs w:val="28"/>
          <w:lang w:val="kk-KZ" w:eastAsia="ru-RU"/>
        </w:rPr>
        <w:t xml:space="preserve">мплантация бедренного компонента; </w:t>
      </w:r>
      <w:r w:rsidR="0006711E" w:rsidRPr="00185BC0">
        <w:rPr>
          <w:kern w:val="36"/>
          <w:sz w:val="28"/>
          <w:szCs w:val="28"/>
          <w:lang w:val="kk-KZ" w:eastAsia="ru-RU"/>
        </w:rPr>
        <w:t>Д</w:t>
      </w:r>
      <w:r w:rsidRPr="00185BC0">
        <w:rPr>
          <w:kern w:val="36"/>
          <w:sz w:val="28"/>
          <w:szCs w:val="28"/>
          <w:lang w:val="kk-KZ" w:eastAsia="ru-RU"/>
        </w:rPr>
        <w:t xml:space="preserve">) </w:t>
      </w:r>
      <w:r w:rsidR="004A105D" w:rsidRPr="00185BC0">
        <w:rPr>
          <w:kern w:val="36"/>
          <w:sz w:val="28"/>
          <w:szCs w:val="28"/>
          <w:lang w:val="kk-KZ" w:eastAsia="ru-RU"/>
        </w:rPr>
        <w:t>ф</w:t>
      </w:r>
      <w:r w:rsidRPr="00185BC0">
        <w:rPr>
          <w:kern w:val="36"/>
          <w:sz w:val="28"/>
          <w:szCs w:val="28"/>
          <w:lang w:val="kk-KZ" w:eastAsia="ru-RU"/>
        </w:rPr>
        <w:t>иксация</w:t>
      </w:r>
      <w:r w:rsidR="000B3FF7" w:rsidRPr="00185BC0">
        <w:rPr>
          <w:kern w:val="36"/>
          <w:sz w:val="28"/>
          <w:szCs w:val="28"/>
          <w:lang w:val="kk-KZ" w:eastAsia="ru-RU"/>
        </w:rPr>
        <w:t xml:space="preserve"> зоны</w:t>
      </w:r>
      <w:r w:rsidRPr="00185BC0">
        <w:rPr>
          <w:kern w:val="36"/>
          <w:sz w:val="28"/>
          <w:szCs w:val="28"/>
          <w:lang w:val="kk-KZ" w:eastAsia="ru-RU"/>
        </w:rPr>
        <w:t xml:space="preserve"> остеотомии с деротационной пластин</w:t>
      </w:r>
      <w:r w:rsidR="000B3FF7" w:rsidRPr="00185BC0">
        <w:rPr>
          <w:kern w:val="36"/>
          <w:sz w:val="28"/>
          <w:szCs w:val="28"/>
          <w:lang w:val="kk-KZ" w:eastAsia="ru-RU"/>
        </w:rPr>
        <w:t>ой</w:t>
      </w:r>
    </w:p>
    <w:bookmarkEnd w:id="32"/>
    <w:p w14:paraId="29AAEEB7" w14:textId="1435FC82" w:rsidR="008767C4" w:rsidRPr="00185BC0" w:rsidRDefault="008767C4" w:rsidP="008767C4">
      <w:pPr>
        <w:widowControl/>
        <w:autoSpaceDE/>
        <w:autoSpaceDN/>
        <w:spacing w:before="100" w:beforeAutospacing="1" w:after="100" w:afterAutospacing="1"/>
        <w:ind w:firstLine="708"/>
        <w:jc w:val="both"/>
        <w:rPr>
          <w:kern w:val="36"/>
          <w:sz w:val="28"/>
          <w:szCs w:val="28"/>
          <w:lang w:val="kk-KZ" w:eastAsia="ru-RU"/>
        </w:rPr>
      </w:pPr>
      <w:r w:rsidRPr="00185BC0">
        <w:rPr>
          <w:kern w:val="36"/>
          <w:sz w:val="28"/>
          <w:szCs w:val="28"/>
          <w:lang w:val="kk-KZ" w:eastAsia="ru-RU"/>
        </w:rPr>
        <w:t>В контрольной группе фиксация зоны подвертельной остеотомии выполнялась с использованием традиционной прямой пластины с блокируемыми винтами, применяемой в рутинной ортопедической практике. После выравнивания проксимального и дистального фрагментов пластина устанавливалаcь на латеральную поверхность бедренной кости с последующей поэтапной фиксацией винтами. Направление винтовых каналов данной конструкции ориентировано преимущественно перпендикулярно оси бедренной кости, вследствие чего проводимые винты фиксировались преимущественно в одном кортикальном слое, что ограничивало возможность выполнения двукортикальной фиксации при наличии бедренной ножки эндопротеза (рисунок 2</w:t>
      </w:r>
      <w:r w:rsidR="00CF3657" w:rsidRPr="00185BC0">
        <w:rPr>
          <w:kern w:val="36"/>
          <w:sz w:val="28"/>
          <w:szCs w:val="28"/>
          <w:lang w:val="kk-KZ" w:eastAsia="ru-RU"/>
        </w:rPr>
        <w:t>3</w:t>
      </w:r>
      <w:r w:rsidRPr="00185BC0">
        <w:rPr>
          <w:kern w:val="36"/>
          <w:sz w:val="28"/>
          <w:szCs w:val="28"/>
          <w:lang w:val="kk-KZ" w:eastAsia="ru-RU"/>
        </w:rPr>
        <w:t>).</w:t>
      </w:r>
    </w:p>
    <w:p w14:paraId="25E216DF" w14:textId="34F2FEDB" w:rsidR="009C1588" w:rsidRPr="00185BC0" w:rsidRDefault="009C1588" w:rsidP="009C1588">
      <w:pPr>
        <w:widowControl/>
        <w:autoSpaceDE/>
        <w:autoSpaceDN/>
        <w:spacing w:before="100" w:beforeAutospacing="1" w:after="100" w:afterAutospacing="1"/>
        <w:jc w:val="center"/>
        <w:rPr>
          <w:kern w:val="36"/>
          <w:sz w:val="28"/>
          <w:szCs w:val="28"/>
          <w:lang w:val="kk-KZ" w:eastAsia="ru-RU"/>
        </w:rPr>
      </w:pPr>
      <w:r w:rsidRPr="00185BC0">
        <w:rPr>
          <w:noProof/>
          <w:kern w:val="36"/>
          <w:sz w:val="28"/>
          <w:szCs w:val="28"/>
          <w:lang w:val="kk-KZ" w:eastAsia="ru-RU"/>
        </w:rPr>
        <w:lastRenderedPageBreak/>
        <w:drawing>
          <wp:inline distT="0" distB="0" distL="0" distR="0" wp14:anchorId="3CFF18EC" wp14:editId="7739690A">
            <wp:extent cx="5141343" cy="2084789"/>
            <wp:effectExtent l="0" t="0" r="254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173750" cy="2097930"/>
                    </a:xfrm>
                    <a:prstGeom prst="rect">
                      <a:avLst/>
                    </a:prstGeom>
                  </pic:spPr>
                </pic:pic>
              </a:graphicData>
            </a:graphic>
          </wp:inline>
        </w:drawing>
      </w:r>
    </w:p>
    <w:p w14:paraId="6927DC57" w14:textId="2E3BA468" w:rsidR="009C1588" w:rsidRPr="00185BC0" w:rsidRDefault="009C1588" w:rsidP="009C1588">
      <w:pPr>
        <w:widowControl/>
        <w:autoSpaceDE/>
        <w:autoSpaceDN/>
        <w:spacing w:before="100" w:beforeAutospacing="1" w:after="100" w:afterAutospacing="1"/>
        <w:jc w:val="center"/>
        <w:rPr>
          <w:kern w:val="36"/>
          <w:sz w:val="28"/>
          <w:szCs w:val="28"/>
          <w:lang w:val="kk-KZ" w:eastAsia="ru-RU"/>
        </w:rPr>
      </w:pPr>
      <w:r w:rsidRPr="00185BC0">
        <w:rPr>
          <w:noProof/>
          <w:kern w:val="36"/>
          <w:sz w:val="28"/>
          <w:szCs w:val="28"/>
          <w:lang w:val="kk-KZ" w:eastAsia="ru-RU"/>
        </w:rPr>
        <w:drawing>
          <wp:inline distT="0" distB="0" distL="0" distR="0" wp14:anchorId="3A6EF303" wp14:editId="69CF5FF7">
            <wp:extent cx="5115464" cy="1929373"/>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35238" cy="1936831"/>
                    </a:xfrm>
                    <a:prstGeom prst="rect">
                      <a:avLst/>
                    </a:prstGeom>
                  </pic:spPr>
                </pic:pic>
              </a:graphicData>
            </a:graphic>
          </wp:inline>
        </w:drawing>
      </w:r>
    </w:p>
    <w:p w14:paraId="411F0545" w14:textId="127BF9BF" w:rsidR="009C1588" w:rsidRPr="00185BC0" w:rsidRDefault="009C1588" w:rsidP="009C1588">
      <w:pPr>
        <w:widowControl/>
        <w:autoSpaceDE/>
        <w:autoSpaceDN/>
        <w:spacing w:before="100" w:beforeAutospacing="1" w:after="100" w:afterAutospacing="1"/>
        <w:jc w:val="center"/>
        <w:rPr>
          <w:kern w:val="36"/>
          <w:sz w:val="28"/>
          <w:szCs w:val="28"/>
          <w:lang w:val="kk-KZ" w:eastAsia="ru-RU"/>
        </w:rPr>
      </w:pPr>
      <w:r w:rsidRPr="00185BC0">
        <w:rPr>
          <w:noProof/>
          <w:kern w:val="36"/>
          <w:sz w:val="28"/>
          <w:szCs w:val="28"/>
          <w:lang w:val="kk-KZ" w:eastAsia="ru-RU"/>
        </w:rPr>
        <w:drawing>
          <wp:inline distT="0" distB="0" distL="0" distR="0" wp14:anchorId="3928CBAF" wp14:editId="1F3597E8">
            <wp:extent cx="2622430" cy="1987137"/>
            <wp:effectExtent l="0" t="0" r="698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32184" cy="1994528"/>
                    </a:xfrm>
                    <a:prstGeom prst="rect">
                      <a:avLst/>
                    </a:prstGeom>
                  </pic:spPr>
                </pic:pic>
              </a:graphicData>
            </a:graphic>
          </wp:inline>
        </w:drawing>
      </w:r>
    </w:p>
    <w:p w14:paraId="3E43EFED" w14:textId="1F9E836E" w:rsidR="000B3FF7" w:rsidRPr="00185BC0" w:rsidRDefault="000B3FF7" w:rsidP="00EF5D1F">
      <w:pPr>
        <w:widowControl/>
        <w:autoSpaceDE/>
        <w:autoSpaceDN/>
        <w:spacing w:before="100" w:beforeAutospacing="1" w:after="100" w:afterAutospacing="1"/>
        <w:ind w:firstLine="708"/>
        <w:jc w:val="center"/>
        <w:rPr>
          <w:kern w:val="36"/>
          <w:sz w:val="28"/>
          <w:szCs w:val="28"/>
          <w:lang w:val="kk-KZ" w:eastAsia="ru-RU"/>
        </w:rPr>
      </w:pPr>
      <w:r w:rsidRPr="00185BC0">
        <w:rPr>
          <w:kern w:val="36"/>
          <w:sz w:val="28"/>
          <w:szCs w:val="28"/>
          <w:lang w:val="kk-KZ" w:eastAsia="ru-RU"/>
        </w:rPr>
        <w:t>Рисунок 2</w:t>
      </w:r>
      <w:r w:rsidR="00CF3657" w:rsidRPr="00185BC0">
        <w:rPr>
          <w:kern w:val="36"/>
          <w:sz w:val="28"/>
          <w:szCs w:val="28"/>
          <w:lang w:val="kk-KZ" w:eastAsia="ru-RU"/>
        </w:rPr>
        <w:t>3</w:t>
      </w:r>
      <w:r w:rsidR="00EF5D1F" w:rsidRPr="00185BC0">
        <w:rPr>
          <w:kern w:val="36"/>
          <w:sz w:val="28"/>
          <w:szCs w:val="28"/>
          <w:lang w:val="kk-KZ" w:eastAsia="ru-RU"/>
        </w:rPr>
        <w:t xml:space="preserve"> – </w:t>
      </w:r>
      <w:r w:rsidRPr="00185BC0">
        <w:rPr>
          <w:kern w:val="36"/>
          <w:sz w:val="28"/>
          <w:szCs w:val="28"/>
          <w:lang w:val="kk-KZ" w:eastAsia="ru-RU"/>
        </w:rPr>
        <w:t xml:space="preserve"> Интраоперационные этапы ТЭТС с поперечной подвертельной остеотомией бедра и фиксацией с использованием  традиционной пластиной с угловой стабильностью у пациента с дисплазией тазобедренного сустава IV типа по Crowe: А) </w:t>
      </w:r>
      <w:r w:rsidR="004A105D" w:rsidRPr="00185BC0">
        <w:rPr>
          <w:kern w:val="36"/>
          <w:sz w:val="28"/>
          <w:szCs w:val="28"/>
          <w:lang w:val="kk-KZ" w:eastAsia="ru-RU"/>
        </w:rPr>
        <w:t>н</w:t>
      </w:r>
      <w:r w:rsidRPr="00185BC0">
        <w:rPr>
          <w:kern w:val="36"/>
          <w:sz w:val="28"/>
          <w:szCs w:val="28"/>
          <w:lang w:val="kk-KZ" w:eastAsia="ru-RU"/>
        </w:rPr>
        <w:t xml:space="preserve">ахождение истинной вертлужной впадины; Б) </w:t>
      </w:r>
      <w:r w:rsidR="004A105D" w:rsidRPr="00185BC0">
        <w:rPr>
          <w:kern w:val="36"/>
          <w:sz w:val="28"/>
          <w:szCs w:val="28"/>
          <w:lang w:val="kk-KZ" w:eastAsia="ru-RU"/>
        </w:rPr>
        <w:t>р</w:t>
      </w:r>
      <w:r w:rsidR="0028648E" w:rsidRPr="00185BC0">
        <w:rPr>
          <w:kern w:val="36"/>
          <w:sz w:val="28"/>
          <w:szCs w:val="28"/>
          <w:lang w:val="kk-KZ" w:eastAsia="ru-RU"/>
        </w:rPr>
        <w:t>азмещение ацетабулярного компонента в анатомически правильном положении</w:t>
      </w:r>
      <w:r w:rsidRPr="00185BC0">
        <w:rPr>
          <w:kern w:val="36"/>
          <w:sz w:val="28"/>
          <w:szCs w:val="28"/>
          <w:lang w:val="kk-KZ" w:eastAsia="ru-RU"/>
        </w:rPr>
        <w:t xml:space="preserve">; В) </w:t>
      </w:r>
      <w:r w:rsidR="004A105D" w:rsidRPr="00185BC0">
        <w:rPr>
          <w:kern w:val="36"/>
          <w:sz w:val="28"/>
          <w:szCs w:val="28"/>
          <w:lang w:val="kk-KZ" w:eastAsia="ru-RU"/>
        </w:rPr>
        <w:t>и</w:t>
      </w:r>
      <w:r w:rsidRPr="00185BC0">
        <w:rPr>
          <w:kern w:val="36"/>
          <w:sz w:val="28"/>
          <w:szCs w:val="28"/>
          <w:lang w:val="kk-KZ" w:eastAsia="ru-RU"/>
        </w:rPr>
        <w:t xml:space="preserve">змеренние костного сегмента для резекции; Г) </w:t>
      </w:r>
      <w:r w:rsidR="004A105D" w:rsidRPr="00185BC0">
        <w:rPr>
          <w:kern w:val="36"/>
          <w:sz w:val="28"/>
          <w:szCs w:val="28"/>
          <w:lang w:val="kk-KZ" w:eastAsia="ru-RU"/>
        </w:rPr>
        <w:t>и</w:t>
      </w:r>
      <w:r w:rsidRPr="00185BC0">
        <w:rPr>
          <w:kern w:val="36"/>
          <w:sz w:val="28"/>
          <w:szCs w:val="28"/>
          <w:lang w:val="kk-KZ" w:eastAsia="ru-RU"/>
        </w:rPr>
        <w:t xml:space="preserve">мплантация бедренного компонента; Д) </w:t>
      </w:r>
      <w:r w:rsidR="004A105D" w:rsidRPr="00185BC0">
        <w:rPr>
          <w:kern w:val="36"/>
          <w:sz w:val="28"/>
          <w:szCs w:val="28"/>
          <w:lang w:val="kk-KZ" w:eastAsia="ru-RU"/>
        </w:rPr>
        <w:t>ф</w:t>
      </w:r>
      <w:r w:rsidRPr="00185BC0">
        <w:rPr>
          <w:kern w:val="36"/>
          <w:sz w:val="28"/>
          <w:szCs w:val="28"/>
          <w:lang w:val="kk-KZ" w:eastAsia="ru-RU"/>
        </w:rPr>
        <w:t>иксация зоны остеотомии с использованием традиционной  пластиной.</w:t>
      </w:r>
    </w:p>
    <w:p w14:paraId="1EBDBA4C" w14:textId="67F242A8" w:rsidR="00E31B7F" w:rsidRPr="00185BC0" w:rsidRDefault="0028648E" w:rsidP="00E31B7F">
      <w:pPr>
        <w:widowControl/>
        <w:autoSpaceDE/>
        <w:autoSpaceDN/>
        <w:spacing w:before="100" w:beforeAutospacing="1" w:after="100" w:afterAutospacing="1"/>
        <w:ind w:firstLine="708"/>
        <w:jc w:val="both"/>
        <w:rPr>
          <w:kern w:val="36"/>
          <w:sz w:val="28"/>
          <w:szCs w:val="28"/>
          <w:lang w:val="kk-KZ" w:eastAsia="ru-RU"/>
        </w:rPr>
      </w:pPr>
      <w:r w:rsidRPr="00185BC0">
        <w:rPr>
          <w:kern w:val="36"/>
          <w:sz w:val="28"/>
          <w:szCs w:val="28"/>
          <w:lang w:val="kk-KZ" w:eastAsia="ru-RU"/>
        </w:rPr>
        <w:t>Финальным этапом вмешательства являлся контроль корректности функционирования эндопротеза, включая оценку его устойчивости и подвижности в суставе, после чего выполняли последовательное закрытие хирургического доступа с дренированием операционной области</w:t>
      </w:r>
      <w:r w:rsidR="00E31B7F" w:rsidRPr="00185BC0">
        <w:rPr>
          <w:kern w:val="36"/>
          <w:sz w:val="28"/>
          <w:szCs w:val="28"/>
          <w:lang w:val="kk-KZ" w:eastAsia="ru-RU"/>
        </w:rPr>
        <w:t>.</w:t>
      </w:r>
    </w:p>
    <w:p w14:paraId="6B41878A" w14:textId="01F35E03" w:rsidR="00915DC4" w:rsidRPr="00185BC0" w:rsidRDefault="00915DC4" w:rsidP="00915DC4">
      <w:pPr>
        <w:pStyle w:val="1"/>
      </w:pPr>
      <w:bookmarkStart w:id="33" w:name="_Toc217561936"/>
      <w:bookmarkStart w:id="34" w:name="_Hlk201578382"/>
      <w:r w:rsidRPr="00185BC0">
        <w:rPr>
          <w:lang w:val="kk-KZ"/>
        </w:rPr>
        <w:lastRenderedPageBreak/>
        <w:t xml:space="preserve">2.5 </w:t>
      </w:r>
      <w:r w:rsidRPr="00185BC0">
        <w:t>Статистические методы</w:t>
      </w:r>
      <w:bookmarkEnd w:id="33"/>
    </w:p>
    <w:p w14:paraId="696FC531" w14:textId="62872355" w:rsidR="00F520DB" w:rsidRPr="00185BC0" w:rsidRDefault="00F520DB" w:rsidP="00312F9F">
      <w:pPr>
        <w:ind w:firstLine="720"/>
        <w:jc w:val="both"/>
        <w:rPr>
          <w:i/>
          <w:iCs/>
          <w:sz w:val="28"/>
          <w:szCs w:val="28"/>
        </w:rPr>
      </w:pPr>
      <w:r w:rsidRPr="00185BC0">
        <w:rPr>
          <w:i/>
          <w:iCs/>
          <w:sz w:val="28"/>
          <w:szCs w:val="28"/>
        </w:rPr>
        <w:t>Расчёт объёма выборки</w:t>
      </w:r>
    </w:p>
    <w:p w14:paraId="4F30FCE4" w14:textId="77777777" w:rsidR="00F520DB" w:rsidRPr="00185BC0" w:rsidRDefault="00F520DB" w:rsidP="00F520DB">
      <w:pPr>
        <w:ind w:firstLine="720"/>
        <w:jc w:val="both"/>
        <w:rPr>
          <w:sz w:val="28"/>
          <w:szCs w:val="28"/>
        </w:rPr>
      </w:pPr>
      <w:r w:rsidRPr="00185BC0">
        <w:rPr>
          <w:sz w:val="28"/>
          <w:szCs w:val="28"/>
        </w:rPr>
        <w:t>Априорный расчёт объёма выборки был выполнен с использованием программного обеспечения G*Power версии 3.1.9.7 (</w:t>
      </w:r>
      <w:proofErr w:type="spellStart"/>
      <w:r w:rsidRPr="00185BC0">
        <w:rPr>
          <w:sz w:val="28"/>
          <w:szCs w:val="28"/>
        </w:rPr>
        <w:t>Heinrich</w:t>
      </w:r>
      <w:proofErr w:type="spellEnd"/>
      <w:r w:rsidRPr="00185BC0">
        <w:rPr>
          <w:sz w:val="28"/>
          <w:szCs w:val="28"/>
        </w:rPr>
        <w:t xml:space="preserve"> </w:t>
      </w:r>
      <w:proofErr w:type="spellStart"/>
      <w:r w:rsidRPr="00185BC0">
        <w:rPr>
          <w:sz w:val="28"/>
          <w:szCs w:val="28"/>
        </w:rPr>
        <w:t>Heine</w:t>
      </w:r>
      <w:proofErr w:type="spellEnd"/>
      <w:r w:rsidRPr="00185BC0">
        <w:rPr>
          <w:sz w:val="28"/>
          <w:szCs w:val="28"/>
        </w:rPr>
        <w:t xml:space="preserve"> University </w:t>
      </w:r>
      <w:proofErr w:type="spellStart"/>
      <w:r w:rsidRPr="00185BC0">
        <w:rPr>
          <w:sz w:val="28"/>
          <w:szCs w:val="28"/>
        </w:rPr>
        <w:t>Düsseldorf</w:t>
      </w:r>
      <w:proofErr w:type="spellEnd"/>
      <w:r w:rsidRPr="00185BC0">
        <w:rPr>
          <w:sz w:val="28"/>
          <w:szCs w:val="28"/>
        </w:rPr>
        <w:t xml:space="preserve">, Германия). Расчёт проводился для </w:t>
      </w:r>
      <w:proofErr w:type="spellStart"/>
      <w:r w:rsidRPr="00185BC0">
        <w:rPr>
          <w:sz w:val="28"/>
          <w:szCs w:val="28"/>
        </w:rPr>
        <w:t>двухвыборочного</w:t>
      </w:r>
      <w:proofErr w:type="spellEnd"/>
      <w:r w:rsidRPr="00185BC0">
        <w:rPr>
          <w:sz w:val="28"/>
          <w:szCs w:val="28"/>
        </w:rPr>
        <w:t xml:space="preserve"> сравнения независимых групп с применением двустороннего t-критерия Стьюдента (</w:t>
      </w:r>
      <w:proofErr w:type="spellStart"/>
      <w:r w:rsidRPr="00185BC0">
        <w:rPr>
          <w:sz w:val="28"/>
          <w:szCs w:val="28"/>
        </w:rPr>
        <w:t>Means</w:t>
      </w:r>
      <w:proofErr w:type="spellEnd"/>
      <w:r w:rsidRPr="00185BC0">
        <w:rPr>
          <w:sz w:val="28"/>
          <w:szCs w:val="28"/>
        </w:rPr>
        <w:t xml:space="preserve">: </w:t>
      </w:r>
      <w:proofErr w:type="spellStart"/>
      <w:r w:rsidRPr="00185BC0">
        <w:rPr>
          <w:sz w:val="28"/>
          <w:szCs w:val="28"/>
        </w:rPr>
        <w:t>Difference</w:t>
      </w:r>
      <w:proofErr w:type="spellEnd"/>
      <w:r w:rsidRPr="00185BC0">
        <w:rPr>
          <w:sz w:val="28"/>
          <w:szCs w:val="28"/>
        </w:rPr>
        <w:t xml:space="preserve"> </w:t>
      </w:r>
      <w:proofErr w:type="spellStart"/>
      <w:r w:rsidRPr="00185BC0">
        <w:rPr>
          <w:sz w:val="28"/>
          <w:szCs w:val="28"/>
        </w:rPr>
        <w:t>between</w:t>
      </w:r>
      <w:proofErr w:type="spellEnd"/>
      <w:r w:rsidRPr="00185BC0">
        <w:rPr>
          <w:sz w:val="28"/>
          <w:szCs w:val="28"/>
        </w:rPr>
        <w:t xml:space="preserve"> </w:t>
      </w:r>
      <w:proofErr w:type="spellStart"/>
      <w:r w:rsidRPr="00185BC0">
        <w:rPr>
          <w:sz w:val="28"/>
          <w:szCs w:val="28"/>
        </w:rPr>
        <w:t>two</w:t>
      </w:r>
      <w:proofErr w:type="spellEnd"/>
      <w:r w:rsidRPr="00185BC0">
        <w:rPr>
          <w:sz w:val="28"/>
          <w:szCs w:val="28"/>
        </w:rPr>
        <w:t xml:space="preserve"> </w:t>
      </w:r>
      <w:proofErr w:type="spellStart"/>
      <w:r w:rsidRPr="00185BC0">
        <w:rPr>
          <w:sz w:val="28"/>
          <w:szCs w:val="28"/>
        </w:rPr>
        <w:t>independent</w:t>
      </w:r>
      <w:proofErr w:type="spellEnd"/>
      <w:r w:rsidRPr="00185BC0">
        <w:rPr>
          <w:sz w:val="28"/>
          <w:szCs w:val="28"/>
        </w:rPr>
        <w:t xml:space="preserve"> </w:t>
      </w:r>
      <w:proofErr w:type="spellStart"/>
      <w:r w:rsidRPr="00185BC0">
        <w:rPr>
          <w:sz w:val="28"/>
          <w:szCs w:val="28"/>
        </w:rPr>
        <w:t>means</w:t>
      </w:r>
      <w:proofErr w:type="spellEnd"/>
      <w:r w:rsidRPr="00185BC0">
        <w:rPr>
          <w:sz w:val="28"/>
          <w:szCs w:val="28"/>
        </w:rPr>
        <w:t xml:space="preserve">, </w:t>
      </w:r>
      <w:proofErr w:type="spellStart"/>
      <w:r w:rsidRPr="00185BC0">
        <w:rPr>
          <w:sz w:val="28"/>
          <w:szCs w:val="28"/>
        </w:rPr>
        <w:t>two-tailed</w:t>
      </w:r>
      <w:proofErr w:type="spellEnd"/>
      <w:r w:rsidRPr="00185BC0">
        <w:rPr>
          <w:sz w:val="28"/>
          <w:szCs w:val="28"/>
        </w:rPr>
        <w:t>), что соответствовало дизайну исследования и характеру анализируемых количественных показателей.</w:t>
      </w:r>
    </w:p>
    <w:p w14:paraId="2562A92C" w14:textId="77777777" w:rsidR="00F520DB" w:rsidRPr="00185BC0" w:rsidRDefault="00F520DB" w:rsidP="00F520DB">
      <w:pPr>
        <w:ind w:firstLine="720"/>
        <w:jc w:val="both"/>
        <w:rPr>
          <w:sz w:val="28"/>
          <w:szCs w:val="28"/>
        </w:rPr>
      </w:pPr>
      <w:r w:rsidRPr="00185BC0">
        <w:rPr>
          <w:sz w:val="28"/>
          <w:szCs w:val="28"/>
        </w:rPr>
        <w:t xml:space="preserve">В расчёте использовались следующие параметры: уровень статистической значимости α = 0,05, статистическая мощность 1–β = 0,80, соотношение численности групп 1:1, а также ожидаемый размер эффекта </w:t>
      </w:r>
      <w:proofErr w:type="spellStart"/>
      <w:r w:rsidRPr="00185BC0">
        <w:rPr>
          <w:sz w:val="28"/>
          <w:szCs w:val="28"/>
        </w:rPr>
        <w:t>Cohen’s</w:t>
      </w:r>
      <w:proofErr w:type="spellEnd"/>
      <w:r w:rsidRPr="00185BC0">
        <w:rPr>
          <w:sz w:val="28"/>
          <w:szCs w:val="28"/>
        </w:rPr>
        <w:t xml:space="preserve"> d = 0,75, соответствующий умеренно-крупному клинически значимому эффекту. Выбор величины ожидаемого эффекта был обусловлен характером хирургического вмешательства и масштабом различий клинических, функциональных и </w:t>
      </w:r>
      <w:proofErr w:type="spellStart"/>
      <w:r w:rsidRPr="00185BC0">
        <w:rPr>
          <w:sz w:val="28"/>
          <w:szCs w:val="28"/>
        </w:rPr>
        <w:t>интраоперационных</w:t>
      </w:r>
      <w:proofErr w:type="spellEnd"/>
      <w:r w:rsidRPr="00185BC0">
        <w:rPr>
          <w:sz w:val="28"/>
          <w:szCs w:val="28"/>
        </w:rPr>
        <w:t xml:space="preserve"> показателей, выявленных в пилотных данных и подтверждённых результатами исследования.</w:t>
      </w:r>
    </w:p>
    <w:p w14:paraId="75634DCA" w14:textId="3F319BE2" w:rsidR="00F520DB" w:rsidRPr="00185BC0" w:rsidRDefault="00F520DB" w:rsidP="00F520DB">
      <w:pPr>
        <w:ind w:firstLine="720"/>
        <w:jc w:val="both"/>
        <w:rPr>
          <w:sz w:val="28"/>
          <w:szCs w:val="28"/>
          <w:lang w:val="kk-KZ"/>
        </w:rPr>
      </w:pPr>
      <w:r w:rsidRPr="00185BC0">
        <w:rPr>
          <w:sz w:val="28"/>
          <w:szCs w:val="28"/>
        </w:rPr>
        <w:t>Согласно результатам априорного расчёта, минимально необходимый объём выборки составил 29 пациентов в каждой группе (общий объём — 58 пациентов), при фактической статистической мощности 0,80. С учётом возможных потерь на этапе наблюдения и для повышения надёжности статистического анализа в исследование было включено по 30 пациентов в основную и контрольную группы, что обеспечило достаточную статистическую мощность для проведения межгруппового сравнительного анализа</w:t>
      </w:r>
      <w:r w:rsidRPr="00185BC0">
        <w:rPr>
          <w:sz w:val="28"/>
          <w:szCs w:val="28"/>
          <w:lang w:val="kk-KZ"/>
        </w:rPr>
        <w:t xml:space="preserve"> (рисунок</w:t>
      </w:r>
      <w:r w:rsidR="00654A28" w:rsidRPr="00185BC0">
        <w:rPr>
          <w:sz w:val="28"/>
          <w:szCs w:val="28"/>
          <w:lang w:val="kk-KZ"/>
        </w:rPr>
        <w:t xml:space="preserve"> 24</w:t>
      </w:r>
      <w:r w:rsidRPr="00185BC0">
        <w:rPr>
          <w:sz w:val="28"/>
          <w:szCs w:val="28"/>
          <w:lang w:val="kk-KZ"/>
        </w:rPr>
        <w:t>)</w:t>
      </w:r>
    </w:p>
    <w:p w14:paraId="418C8F0E" w14:textId="77777777" w:rsidR="00F520DB" w:rsidRPr="00185BC0" w:rsidRDefault="00F520DB" w:rsidP="00F520DB">
      <w:pPr>
        <w:ind w:firstLine="720"/>
        <w:jc w:val="both"/>
        <w:rPr>
          <w:sz w:val="28"/>
          <w:szCs w:val="28"/>
          <w:lang w:val="kk-KZ"/>
        </w:rPr>
      </w:pPr>
    </w:p>
    <w:p w14:paraId="35132649" w14:textId="12FCB6E9" w:rsidR="00F520DB" w:rsidRPr="00185BC0" w:rsidRDefault="00F520DB" w:rsidP="00F520DB">
      <w:pPr>
        <w:ind w:firstLine="720"/>
        <w:jc w:val="center"/>
        <w:rPr>
          <w:sz w:val="28"/>
          <w:szCs w:val="28"/>
          <w:lang w:val="kk-KZ"/>
        </w:rPr>
      </w:pPr>
      <w:r w:rsidRPr="00185BC0">
        <w:rPr>
          <w:noProof/>
        </w:rPr>
        <w:drawing>
          <wp:inline distT="0" distB="0" distL="0" distR="0" wp14:anchorId="38E1E602" wp14:editId="0AC6855A">
            <wp:extent cx="2705100" cy="329571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18432" cy="3311956"/>
                    </a:xfrm>
                    <a:prstGeom prst="rect">
                      <a:avLst/>
                    </a:prstGeom>
                  </pic:spPr>
                </pic:pic>
              </a:graphicData>
            </a:graphic>
          </wp:inline>
        </w:drawing>
      </w:r>
    </w:p>
    <w:p w14:paraId="0401C078" w14:textId="14402869" w:rsidR="00F520DB" w:rsidRPr="00185BC0" w:rsidRDefault="00F520DB" w:rsidP="00F520DB">
      <w:pPr>
        <w:ind w:firstLine="720"/>
        <w:jc w:val="center"/>
        <w:rPr>
          <w:sz w:val="28"/>
          <w:szCs w:val="28"/>
          <w:lang w:val="kk-KZ"/>
        </w:rPr>
      </w:pPr>
    </w:p>
    <w:p w14:paraId="577E349D" w14:textId="2397863A" w:rsidR="00F520DB" w:rsidRPr="00185BC0" w:rsidRDefault="00F520DB" w:rsidP="00F520DB">
      <w:pPr>
        <w:jc w:val="center"/>
        <w:rPr>
          <w:sz w:val="28"/>
          <w:szCs w:val="28"/>
          <w:lang w:val="kk-KZ"/>
        </w:rPr>
      </w:pPr>
      <w:r w:rsidRPr="00185BC0">
        <w:rPr>
          <w:sz w:val="28"/>
          <w:szCs w:val="28"/>
          <w:lang w:val="kk-KZ"/>
        </w:rPr>
        <w:t xml:space="preserve">Рисунок </w:t>
      </w:r>
      <w:r w:rsidR="00654A28" w:rsidRPr="00185BC0">
        <w:rPr>
          <w:sz w:val="28"/>
          <w:szCs w:val="28"/>
          <w:lang w:val="kk-KZ"/>
        </w:rPr>
        <w:t xml:space="preserve">24 – </w:t>
      </w:r>
      <w:r w:rsidRPr="00185BC0">
        <w:rPr>
          <w:sz w:val="28"/>
          <w:szCs w:val="28"/>
          <w:lang w:val="kk-KZ"/>
        </w:rPr>
        <w:t>Априорный расчёт объёма выборки для сравнения двух независимых групп с использованием программы G*Power 3.1.9.7 (α = 0,05; 1–β = 0,80; Cohen’s d = 0,75; двусторонний t-критерий).</w:t>
      </w:r>
    </w:p>
    <w:p w14:paraId="7C5B0A46" w14:textId="77777777" w:rsidR="00F520DB" w:rsidRPr="00185BC0" w:rsidRDefault="00F520DB" w:rsidP="00F520DB">
      <w:pPr>
        <w:ind w:firstLine="720"/>
        <w:jc w:val="center"/>
        <w:rPr>
          <w:sz w:val="28"/>
          <w:szCs w:val="28"/>
          <w:lang w:val="kk-KZ"/>
        </w:rPr>
      </w:pPr>
    </w:p>
    <w:p w14:paraId="47FC15AE" w14:textId="77777777" w:rsidR="00F520DB" w:rsidRPr="00185BC0" w:rsidRDefault="00F520DB" w:rsidP="00F520DB">
      <w:pPr>
        <w:ind w:firstLine="720"/>
        <w:jc w:val="both"/>
        <w:rPr>
          <w:sz w:val="28"/>
          <w:szCs w:val="28"/>
        </w:rPr>
      </w:pPr>
    </w:p>
    <w:p w14:paraId="4873E698" w14:textId="772F3777" w:rsidR="00312F9F" w:rsidRPr="00185BC0" w:rsidRDefault="00312F9F" w:rsidP="00312F9F">
      <w:pPr>
        <w:ind w:firstLine="720"/>
        <w:jc w:val="both"/>
        <w:rPr>
          <w:sz w:val="28"/>
          <w:szCs w:val="28"/>
        </w:rPr>
      </w:pPr>
      <w:r w:rsidRPr="00185BC0">
        <w:rPr>
          <w:sz w:val="28"/>
          <w:szCs w:val="28"/>
        </w:rPr>
        <w:t xml:space="preserve">Обработка и анализ полученных данных выполнялись с применением программного пакета IBM SPSS </w:t>
      </w:r>
      <w:proofErr w:type="spellStart"/>
      <w:r w:rsidRPr="00185BC0">
        <w:rPr>
          <w:sz w:val="28"/>
          <w:szCs w:val="28"/>
        </w:rPr>
        <w:t>Statistics</w:t>
      </w:r>
      <w:proofErr w:type="spellEnd"/>
      <w:r w:rsidRPr="00185BC0">
        <w:rPr>
          <w:sz w:val="28"/>
          <w:szCs w:val="28"/>
        </w:rPr>
        <w:t>, версия 26.0 (IBM Corp., США). Проверка количественных показателей на соответствие нормальному распределению осуществлялась с использованием критерия Шапиро–</w:t>
      </w:r>
      <w:proofErr w:type="spellStart"/>
      <w:r w:rsidRPr="00185BC0">
        <w:rPr>
          <w:sz w:val="28"/>
          <w:szCs w:val="28"/>
        </w:rPr>
        <w:t>Уилка</w:t>
      </w:r>
      <w:proofErr w:type="spellEnd"/>
      <w:r w:rsidRPr="00185BC0">
        <w:rPr>
          <w:sz w:val="28"/>
          <w:szCs w:val="28"/>
        </w:rPr>
        <w:t xml:space="preserve"> при объёме выборки менее 50 наблюдений.</w:t>
      </w:r>
    </w:p>
    <w:p w14:paraId="4EE50D63" w14:textId="77777777" w:rsidR="00312F9F" w:rsidRPr="00185BC0" w:rsidRDefault="00312F9F" w:rsidP="00312F9F">
      <w:pPr>
        <w:ind w:firstLine="720"/>
        <w:jc w:val="both"/>
        <w:rPr>
          <w:sz w:val="28"/>
          <w:szCs w:val="28"/>
        </w:rPr>
      </w:pPr>
      <w:r w:rsidRPr="00185BC0">
        <w:rPr>
          <w:sz w:val="28"/>
          <w:szCs w:val="28"/>
        </w:rPr>
        <w:t xml:space="preserve">При наличии нормального распределения результаты количественных переменных представлялись в виде среднего арифметического значения (M) и стандартного отклонения (SD); дополнительно указывались 95% доверительные интервалы (95% ДИ). В случаях, когда распределение отличалось от нормального, данные описывались с использованием медианы (Me) и </w:t>
      </w:r>
      <w:proofErr w:type="spellStart"/>
      <w:r w:rsidRPr="00185BC0">
        <w:rPr>
          <w:sz w:val="28"/>
          <w:szCs w:val="28"/>
        </w:rPr>
        <w:t>интерквартильного</w:t>
      </w:r>
      <w:proofErr w:type="spellEnd"/>
      <w:r w:rsidRPr="00185BC0">
        <w:rPr>
          <w:sz w:val="28"/>
          <w:szCs w:val="28"/>
        </w:rPr>
        <w:t xml:space="preserve"> диапазона (Q1–Q3).</w:t>
      </w:r>
    </w:p>
    <w:p w14:paraId="4F5F7B9C" w14:textId="77777777" w:rsidR="00312F9F" w:rsidRPr="00185BC0" w:rsidRDefault="00312F9F" w:rsidP="00312F9F">
      <w:pPr>
        <w:ind w:firstLine="720"/>
        <w:jc w:val="both"/>
        <w:rPr>
          <w:sz w:val="28"/>
          <w:szCs w:val="28"/>
        </w:rPr>
      </w:pPr>
      <w:r w:rsidRPr="00185BC0">
        <w:rPr>
          <w:sz w:val="28"/>
          <w:szCs w:val="28"/>
        </w:rPr>
        <w:t>Качественные (категориальные) показатели анализировались с представлением абсолютных значений и относительных частот (%). Для сравнения двух независимых групп по количественным признакам при нормальном распределении и гомогенности дисперсий применялся t-критерий Стьюдента; при нарушении равенства дисперсий использовался t-критерий Уэлча. В случае ненормального распределения данных применялся U-критерий Манна–Уитни.</w:t>
      </w:r>
    </w:p>
    <w:p w14:paraId="140FB301" w14:textId="4AB15D17" w:rsidR="00915DC4" w:rsidRPr="00185BC0" w:rsidRDefault="00312F9F" w:rsidP="00312F9F">
      <w:pPr>
        <w:ind w:firstLine="720"/>
        <w:jc w:val="both"/>
        <w:rPr>
          <w:sz w:val="28"/>
          <w:szCs w:val="28"/>
        </w:rPr>
      </w:pPr>
      <w:r w:rsidRPr="00185BC0">
        <w:rPr>
          <w:sz w:val="28"/>
          <w:szCs w:val="28"/>
        </w:rPr>
        <w:t xml:space="preserve">Оценка различий между долями и анализ взаимосвязей в таблицах сопряжённости проводились с использованием χ²-критерия Пирсона при ожидаемых частотах более 10; при меньших ожидаемых значениях применялся точный критерий Фишера. В качестве показателя силы эффекта для относительных величин рассчитывалось отношение шансов (ОШ) с указанием 95% доверительного </w:t>
      </w:r>
      <w:proofErr w:type="spellStart"/>
      <w:proofErr w:type="gramStart"/>
      <w:r w:rsidRPr="00185BC0">
        <w:rPr>
          <w:sz w:val="28"/>
          <w:szCs w:val="28"/>
        </w:rPr>
        <w:t>интервала.При</w:t>
      </w:r>
      <w:proofErr w:type="spellEnd"/>
      <w:proofErr w:type="gramEnd"/>
      <w:r w:rsidRPr="00185BC0">
        <w:rPr>
          <w:sz w:val="28"/>
          <w:szCs w:val="28"/>
        </w:rPr>
        <w:t xml:space="preserve"> анализе многопольных таблиц сопряжённости сравнение процентных распределений осуществлялось с применением χ²-критерия Пирсона. Различия считались статистически значимыми при уровне значимости p &lt;0,05.</w:t>
      </w:r>
    </w:p>
    <w:p w14:paraId="27344CF2" w14:textId="62A9B61A" w:rsidR="009C1588" w:rsidRPr="00185BC0" w:rsidRDefault="009C1588" w:rsidP="00915DC4">
      <w:pPr>
        <w:ind w:firstLine="720"/>
        <w:jc w:val="both"/>
        <w:rPr>
          <w:sz w:val="28"/>
          <w:szCs w:val="28"/>
        </w:rPr>
      </w:pPr>
    </w:p>
    <w:p w14:paraId="23BBDFD5" w14:textId="0D073D00" w:rsidR="009C1588" w:rsidRPr="00185BC0" w:rsidRDefault="009C1588" w:rsidP="00915DC4">
      <w:pPr>
        <w:ind w:firstLine="720"/>
        <w:jc w:val="both"/>
        <w:rPr>
          <w:sz w:val="28"/>
          <w:szCs w:val="28"/>
        </w:rPr>
      </w:pPr>
    </w:p>
    <w:p w14:paraId="69BBD0B6" w14:textId="15D8AA27" w:rsidR="009C1588" w:rsidRPr="00185BC0" w:rsidRDefault="009C1588" w:rsidP="00915DC4">
      <w:pPr>
        <w:ind w:firstLine="720"/>
        <w:jc w:val="both"/>
        <w:rPr>
          <w:sz w:val="28"/>
          <w:szCs w:val="28"/>
        </w:rPr>
      </w:pPr>
    </w:p>
    <w:p w14:paraId="34044F5E" w14:textId="3DC5DC7D" w:rsidR="009C1588" w:rsidRPr="00185BC0" w:rsidRDefault="009C1588" w:rsidP="00915DC4">
      <w:pPr>
        <w:ind w:firstLine="720"/>
        <w:jc w:val="both"/>
        <w:rPr>
          <w:sz w:val="28"/>
          <w:szCs w:val="28"/>
        </w:rPr>
      </w:pPr>
    </w:p>
    <w:p w14:paraId="6AA86EE4" w14:textId="7029002B" w:rsidR="009C1588" w:rsidRPr="00185BC0" w:rsidRDefault="009C1588" w:rsidP="00915DC4">
      <w:pPr>
        <w:ind w:firstLine="720"/>
        <w:jc w:val="both"/>
        <w:rPr>
          <w:sz w:val="28"/>
          <w:szCs w:val="28"/>
        </w:rPr>
      </w:pPr>
    </w:p>
    <w:p w14:paraId="6FF8768B" w14:textId="0034BD27" w:rsidR="009C1588" w:rsidRPr="00185BC0" w:rsidRDefault="009C1588" w:rsidP="00915DC4">
      <w:pPr>
        <w:ind w:firstLine="720"/>
        <w:jc w:val="both"/>
        <w:rPr>
          <w:sz w:val="28"/>
          <w:szCs w:val="28"/>
        </w:rPr>
      </w:pPr>
    </w:p>
    <w:p w14:paraId="02492B82" w14:textId="2284663E" w:rsidR="009C1588" w:rsidRPr="00185BC0" w:rsidRDefault="009C1588" w:rsidP="00915DC4">
      <w:pPr>
        <w:ind w:firstLine="720"/>
        <w:jc w:val="both"/>
        <w:rPr>
          <w:sz w:val="28"/>
          <w:szCs w:val="28"/>
        </w:rPr>
      </w:pPr>
    </w:p>
    <w:p w14:paraId="4C531AE9" w14:textId="297ECFF4" w:rsidR="009C1588" w:rsidRPr="00185BC0" w:rsidRDefault="009C1588" w:rsidP="00915DC4">
      <w:pPr>
        <w:ind w:firstLine="720"/>
        <w:jc w:val="both"/>
        <w:rPr>
          <w:sz w:val="28"/>
          <w:szCs w:val="28"/>
        </w:rPr>
      </w:pPr>
    </w:p>
    <w:p w14:paraId="00FC8522" w14:textId="16A3A0A5" w:rsidR="009C1588" w:rsidRPr="00185BC0" w:rsidRDefault="009C1588" w:rsidP="00915DC4">
      <w:pPr>
        <w:ind w:firstLine="720"/>
        <w:jc w:val="both"/>
        <w:rPr>
          <w:sz w:val="28"/>
          <w:szCs w:val="28"/>
        </w:rPr>
      </w:pPr>
    </w:p>
    <w:p w14:paraId="1E569E48" w14:textId="440E10D2" w:rsidR="009C1588" w:rsidRPr="00185BC0" w:rsidRDefault="009C1588" w:rsidP="00915DC4">
      <w:pPr>
        <w:ind w:firstLine="720"/>
        <w:jc w:val="both"/>
        <w:rPr>
          <w:sz w:val="28"/>
          <w:szCs w:val="28"/>
        </w:rPr>
      </w:pPr>
    </w:p>
    <w:p w14:paraId="6AA82832" w14:textId="7CF6952C" w:rsidR="009C1588" w:rsidRPr="00185BC0" w:rsidRDefault="009C1588" w:rsidP="00915DC4">
      <w:pPr>
        <w:ind w:firstLine="720"/>
        <w:jc w:val="both"/>
        <w:rPr>
          <w:sz w:val="28"/>
          <w:szCs w:val="28"/>
        </w:rPr>
      </w:pPr>
    </w:p>
    <w:p w14:paraId="1AC5C421" w14:textId="3001E54E" w:rsidR="00F520DB" w:rsidRPr="00185BC0" w:rsidRDefault="00F520DB" w:rsidP="00915DC4">
      <w:pPr>
        <w:ind w:firstLine="720"/>
        <w:jc w:val="both"/>
        <w:rPr>
          <w:sz w:val="28"/>
          <w:szCs w:val="28"/>
        </w:rPr>
      </w:pPr>
    </w:p>
    <w:p w14:paraId="53C6A778" w14:textId="07138109" w:rsidR="00F520DB" w:rsidRPr="00185BC0" w:rsidRDefault="00F520DB" w:rsidP="00915DC4">
      <w:pPr>
        <w:ind w:firstLine="720"/>
        <w:jc w:val="both"/>
        <w:rPr>
          <w:sz w:val="28"/>
          <w:szCs w:val="28"/>
        </w:rPr>
      </w:pPr>
    </w:p>
    <w:p w14:paraId="1249F2F7" w14:textId="39FAA627" w:rsidR="00F520DB" w:rsidRPr="00185BC0" w:rsidRDefault="00F520DB" w:rsidP="00915DC4">
      <w:pPr>
        <w:ind w:firstLine="720"/>
        <w:jc w:val="both"/>
        <w:rPr>
          <w:sz w:val="28"/>
          <w:szCs w:val="28"/>
        </w:rPr>
      </w:pPr>
    </w:p>
    <w:p w14:paraId="5FC4F763" w14:textId="77777777" w:rsidR="00F520DB" w:rsidRPr="00185BC0" w:rsidRDefault="00F520DB" w:rsidP="00915DC4">
      <w:pPr>
        <w:ind w:firstLine="720"/>
        <w:jc w:val="both"/>
        <w:rPr>
          <w:sz w:val="28"/>
          <w:szCs w:val="28"/>
        </w:rPr>
      </w:pPr>
    </w:p>
    <w:p w14:paraId="5ED79787" w14:textId="15B8DFE3" w:rsidR="009C1588" w:rsidRPr="00185BC0" w:rsidRDefault="009C1588" w:rsidP="00915DC4">
      <w:pPr>
        <w:ind w:firstLine="720"/>
        <w:jc w:val="both"/>
        <w:rPr>
          <w:sz w:val="28"/>
          <w:szCs w:val="28"/>
        </w:rPr>
      </w:pPr>
    </w:p>
    <w:p w14:paraId="365C6952" w14:textId="59A7E370" w:rsidR="00915DC4" w:rsidRPr="00185BC0" w:rsidRDefault="00153523" w:rsidP="00153523">
      <w:pPr>
        <w:pStyle w:val="1"/>
      </w:pPr>
      <w:bookmarkStart w:id="35" w:name="_Toc217561937"/>
      <w:bookmarkEnd w:id="34"/>
      <w:r w:rsidRPr="00185BC0">
        <w:rPr>
          <w:lang w:val="kk-KZ"/>
        </w:rPr>
        <w:lastRenderedPageBreak/>
        <w:t xml:space="preserve">3         </w:t>
      </w:r>
      <w:r w:rsidR="00915DC4" w:rsidRPr="00185BC0">
        <w:t>РЕЗУЛЬТАТЫ ИССЛЕДОВАНИЯ</w:t>
      </w:r>
      <w:bookmarkEnd w:id="35"/>
    </w:p>
    <w:p w14:paraId="2E87EB9D" w14:textId="1F24C6A8" w:rsidR="00915DC4" w:rsidRPr="00185BC0" w:rsidRDefault="00915DC4" w:rsidP="00915DC4">
      <w:pPr>
        <w:ind w:firstLine="720"/>
        <w:jc w:val="both"/>
        <w:rPr>
          <w:sz w:val="28"/>
          <w:szCs w:val="28"/>
        </w:rPr>
      </w:pPr>
      <w:r w:rsidRPr="00185BC0">
        <w:rPr>
          <w:sz w:val="28"/>
          <w:szCs w:val="28"/>
        </w:rPr>
        <w:t xml:space="preserve">В соответствии с поставленными задачами результаты исследования изложены поэтапно: от разработки и математического моделирования новой </w:t>
      </w:r>
      <w:proofErr w:type="spellStart"/>
      <w:r w:rsidRPr="00185BC0">
        <w:rPr>
          <w:sz w:val="28"/>
          <w:szCs w:val="28"/>
        </w:rPr>
        <w:t>деротационной</w:t>
      </w:r>
      <w:proofErr w:type="spellEnd"/>
      <w:r w:rsidRPr="00185BC0">
        <w:rPr>
          <w:sz w:val="28"/>
          <w:szCs w:val="28"/>
        </w:rPr>
        <w:t xml:space="preserve"> пластины до клинической оценки её эффективности при тотальном эндопротезировании тазобедренного сустава у пациентов с диспластическим коксартрозом IV типа по классификации </w:t>
      </w:r>
      <w:proofErr w:type="spellStart"/>
      <w:r w:rsidRPr="00185BC0">
        <w:rPr>
          <w:sz w:val="28"/>
          <w:szCs w:val="28"/>
        </w:rPr>
        <w:t>Crowe</w:t>
      </w:r>
      <w:proofErr w:type="spellEnd"/>
      <w:r w:rsidRPr="00185BC0">
        <w:rPr>
          <w:sz w:val="28"/>
          <w:szCs w:val="28"/>
        </w:rPr>
        <w:t>.</w:t>
      </w:r>
    </w:p>
    <w:p w14:paraId="2F66A20E" w14:textId="119B8D7A" w:rsidR="00915DC4" w:rsidRPr="00185BC0" w:rsidRDefault="00915DC4" w:rsidP="00915DC4">
      <w:pPr>
        <w:ind w:firstLine="720"/>
        <w:jc w:val="both"/>
        <w:rPr>
          <w:sz w:val="28"/>
          <w:szCs w:val="28"/>
        </w:rPr>
      </w:pPr>
      <w:r w:rsidRPr="00185BC0">
        <w:rPr>
          <w:sz w:val="28"/>
          <w:szCs w:val="28"/>
        </w:rPr>
        <w:t xml:space="preserve">На первом этапе была сконструирована модель </w:t>
      </w:r>
      <w:proofErr w:type="spellStart"/>
      <w:r w:rsidRPr="00185BC0">
        <w:rPr>
          <w:sz w:val="28"/>
          <w:szCs w:val="28"/>
        </w:rPr>
        <w:t>деротационной</w:t>
      </w:r>
      <w:proofErr w:type="spellEnd"/>
      <w:r w:rsidRPr="00185BC0">
        <w:rPr>
          <w:sz w:val="28"/>
          <w:szCs w:val="28"/>
        </w:rPr>
        <w:t xml:space="preserve"> пластины и проведён её биомеханический анализ методом конечных элементов с целью предварительного обоснования прочности и устойчивости конструкции. Далее были выполнены клинические исследования, включающие две группы пациентов: основную </w:t>
      </w:r>
      <w:r w:rsidR="00DA5A93" w:rsidRPr="00185BC0">
        <w:rPr>
          <w:sz w:val="28"/>
          <w:szCs w:val="28"/>
        </w:rPr>
        <w:t>–</w:t>
      </w:r>
      <w:r w:rsidRPr="00185BC0">
        <w:rPr>
          <w:sz w:val="28"/>
          <w:szCs w:val="28"/>
        </w:rPr>
        <w:t xml:space="preserve"> с применением разработанной </w:t>
      </w:r>
      <w:proofErr w:type="spellStart"/>
      <w:r w:rsidRPr="00185BC0">
        <w:rPr>
          <w:sz w:val="28"/>
          <w:szCs w:val="28"/>
        </w:rPr>
        <w:t>деротационной</w:t>
      </w:r>
      <w:proofErr w:type="spellEnd"/>
      <w:r w:rsidRPr="00185BC0">
        <w:rPr>
          <w:sz w:val="28"/>
          <w:szCs w:val="28"/>
        </w:rPr>
        <w:t xml:space="preserve"> пластины и контрольную </w:t>
      </w:r>
      <w:r w:rsidR="00DA5A93" w:rsidRPr="00185BC0">
        <w:rPr>
          <w:sz w:val="28"/>
          <w:szCs w:val="28"/>
        </w:rPr>
        <w:t>–</w:t>
      </w:r>
      <w:r w:rsidRPr="00185BC0">
        <w:rPr>
          <w:sz w:val="28"/>
          <w:szCs w:val="28"/>
        </w:rPr>
        <w:t xml:space="preserve"> с использованием традиционного метода остеосинтеза. Сравнительный анализ охватывает </w:t>
      </w:r>
      <w:proofErr w:type="spellStart"/>
      <w:r w:rsidRPr="00185BC0">
        <w:rPr>
          <w:sz w:val="28"/>
          <w:szCs w:val="28"/>
        </w:rPr>
        <w:t>интраоперационные</w:t>
      </w:r>
      <w:proofErr w:type="spellEnd"/>
      <w:r w:rsidRPr="00185BC0">
        <w:rPr>
          <w:sz w:val="28"/>
          <w:szCs w:val="28"/>
        </w:rPr>
        <w:t xml:space="preserve"> параметры, послеоперационную динамику, сроки консолидации остеотомии, функциональные исходы, частоту осложнений и другие показатели.</w:t>
      </w:r>
    </w:p>
    <w:p w14:paraId="0F63D086" w14:textId="5B111600" w:rsidR="00915DC4" w:rsidRPr="00185BC0" w:rsidRDefault="00915DC4" w:rsidP="00915DC4">
      <w:pPr>
        <w:ind w:firstLine="720"/>
        <w:jc w:val="both"/>
        <w:rPr>
          <w:sz w:val="28"/>
          <w:szCs w:val="28"/>
        </w:rPr>
      </w:pPr>
      <w:r w:rsidRPr="00185BC0">
        <w:rPr>
          <w:sz w:val="28"/>
          <w:szCs w:val="28"/>
        </w:rPr>
        <w:t>Представленные ниже результаты позволяют комплексно оценить целесообразность применения новой конструкции в условиях высокого уровня анатомической деформации и технической сложности оперативного вмешательства.</w:t>
      </w:r>
    </w:p>
    <w:p w14:paraId="783379C2" w14:textId="77777777" w:rsidR="00EF196D" w:rsidRPr="00185BC0" w:rsidRDefault="00EF196D" w:rsidP="00915DC4">
      <w:pPr>
        <w:pStyle w:val="1"/>
        <w:ind w:left="0" w:firstLine="567"/>
        <w:jc w:val="both"/>
        <w:rPr>
          <w:lang w:val="kk-KZ"/>
        </w:rPr>
      </w:pPr>
    </w:p>
    <w:p w14:paraId="11F307B1" w14:textId="636D6E75" w:rsidR="00915DC4" w:rsidRPr="00185BC0" w:rsidRDefault="00915DC4" w:rsidP="00915DC4">
      <w:pPr>
        <w:pStyle w:val="1"/>
        <w:ind w:left="0" w:firstLine="567"/>
        <w:jc w:val="both"/>
      </w:pPr>
      <w:bookmarkStart w:id="36" w:name="_Toc217561938"/>
      <w:r w:rsidRPr="00185BC0">
        <w:rPr>
          <w:lang w:val="kk-KZ"/>
        </w:rPr>
        <w:t xml:space="preserve">3.1 </w:t>
      </w:r>
      <w:r w:rsidRPr="00185BC0">
        <w:t xml:space="preserve">Результаты математического моделирования </w:t>
      </w:r>
      <w:proofErr w:type="spellStart"/>
      <w:r w:rsidRPr="00185BC0">
        <w:t>деротационной</w:t>
      </w:r>
      <w:proofErr w:type="spellEnd"/>
      <w:r w:rsidRPr="00185BC0">
        <w:t xml:space="preserve"> пластины</w:t>
      </w:r>
      <w:bookmarkEnd w:id="36"/>
      <w:r w:rsidRPr="00185BC0">
        <w:t xml:space="preserve"> </w:t>
      </w:r>
    </w:p>
    <w:p w14:paraId="628A6FE6" w14:textId="62AAC548" w:rsidR="00915DC4" w:rsidRPr="00185BC0" w:rsidRDefault="00915DC4" w:rsidP="00915DC4">
      <w:pPr>
        <w:ind w:firstLine="720"/>
        <w:jc w:val="both"/>
        <w:rPr>
          <w:sz w:val="28"/>
          <w:szCs w:val="28"/>
        </w:rPr>
      </w:pPr>
      <w:r w:rsidRPr="00185BC0">
        <w:rPr>
          <w:sz w:val="28"/>
          <w:szCs w:val="28"/>
        </w:rPr>
        <w:t>Метод конечных элементов (МКЭ) позволил всесторонне оценить биомеханические характеристики системы «эндопротез</w:t>
      </w:r>
      <w:r w:rsidR="004A105D" w:rsidRPr="00185BC0">
        <w:rPr>
          <w:sz w:val="28"/>
          <w:szCs w:val="28"/>
          <w:lang w:val="kk-KZ"/>
        </w:rPr>
        <w:t xml:space="preserve"> </w:t>
      </w:r>
      <w:r w:rsidRPr="00185BC0">
        <w:rPr>
          <w:sz w:val="28"/>
          <w:szCs w:val="28"/>
        </w:rPr>
        <w:t>–</w:t>
      </w:r>
      <w:r w:rsidR="004A105D" w:rsidRPr="00185BC0">
        <w:rPr>
          <w:sz w:val="28"/>
          <w:szCs w:val="28"/>
          <w:lang w:val="kk-KZ"/>
        </w:rPr>
        <w:t xml:space="preserve"> </w:t>
      </w:r>
      <w:r w:rsidRPr="00185BC0">
        <w:rPr>
          <w:sz w:val="28"/>
          <w:szCs w:val="28"/>
        </w:rPr>
        <w:t>бедренная кость</w:t>
      </w:r>
      <w:r w:rsidR="004A105D" w:rsidRPr="00185BC0">
        <w:rPr>
          <w:sz w:val="28"/>
          <w:szCs w:val="28"/>
          <w:lang w:val="kk-KZ"/>
        </w:rPr>
        <w:t xml:space="preserve"> </w:t>
      </w:r>
      <w:r w:rsidRPr="00185BC0">
        <w:rPr>
          <w:sz w:val="28"/>
          <w:szCs w:val="28"/>
        </w:rPr>
        <w:t>–</w:t>
      </w:r>
      <w:r w:rsidR="004A105D" w:rsidRPr="00185BC0">
        <w:rPr>
          <w:sz w:val="28"/>
          <w:szCs w:val="28"/>
          <w:lang w:val="kk-KZ"/>
        </w:rPr>
        <w:t xml:space="preserve"> </w:t>
      </w:r>
      <w:proofErr w:type="spellStart"/>
      <w:r w:rsidRPr="00185BC0">
        <w:rPr>
          <w:sz w:val="28"/>
          <w:szCs w:val="28"/>
        </w:rPr>
        <w:t>деротационная</w:t>
      </w:r>
      <w:proofErr w:type="spellEnd"/>
      <w:r w:rsidRPr="00185BC0">
        <w:rPr>
          <w:sz w:val="28"/>
          <w:szCs w:val="28"/>
        </w:rPr>
        <w:t xml:space="preserve"> пластина» в условиях физиологической нагрузки. Проведённый анализ дал важную информацию о распределении напряжений, смещениях и коэффициентах запаса прочности, подтвердив механическую надёжность и устойчивость компонентов системы.</w:t>
      </w:r>
    </w:p>
    <w:p w14:paraId="6697460B" w14:textId="77777777" w:rsidR="00EF196D" w:rsidRPr="00185BC0" w:rsidRDefault="00915DC4" w:rsidP="00EF196D">
      <w:pPr>
        <w:ind w:firstLine="720"/>
        <w:jc w:val="both"/>
        <w:rPr>
          <w:sz w:val="28"/>
          <w:szCs w:val="28"/>
        </w:rPr>
      </w:pPr>
      <w:r w:rsidRPr="00185BC0">
        <w:rPr>
          <w:sz w:val="28"/>
          <w:szCs w:val="28"/>
        </w:rPr>
        <w:t xml:space="preserve">Анализ по напряжениям </w:t>
      </w:r>
      <w:proofErr w:type="spellStart"/>
      <w:r w:rsidRPr="00185BC0">
        <w:rPr>
          <w:sz w:val="28"/>
          <w:szCs w:val="28"/>
        </w:rPr>
        <w:t>Мизеса</w:t>
      </w:r>
      <w:proofErr w:type="spellEnd"/>
      <w:r w:rsidRPr="00185BC0">
        <w:rPr>
          <w:sz w:val="28"/>
          <w:szCs w:val="28"/>
        </w:rPr>
        <w:t xml:space="preserve"> выявил зоны наибольшей нагрузки, сосредоточенные в ключевых участках конструкции. Результаты представлены на рисунке 2</w:t>
      </w:r>
      <w:r w:rsidR="00654A28" w:rsidRPr="00185BC0">
        <w:rPr>
          <w:sz w:val="28"/>
          <w:szCs w:val="28"/>
          <w:lang w:val="kk-KZ"/>
        </w:rPr>
        <w:t>5</w:t>
      </w:r>
      <w:r w:rsidRPr="00185BC0">
        <w:rPr>
          <w:sz w:val="28"/>
          <w:szCs w:val="28"/>
        </w:rPr>
        <w:t>, где отмечены концентрации напряжений в области головки бедренной кости, на границе «эндопротез</w:t>
      </w:r>
      <w:r w:rsidR="004A105D" w:rsidRPr="00185BC0">
        <w:rPr>
          <w:sz w:val="28"/>
          <w:szCs w:val="28"/>
          <w:lang w:val="kk-KZ"/>
        </w:rPr>
        <w:t xml:space="preserve"> </w:t>
      </w:r>
      <w:r w:rsidRPr="00185BC0">
        <w:rPr>
          <w:sz w:val="28"/>
          <w:szCs w:val="28"/>
        </w:rPr>
        <w:t>–</w:t>
      </w:r>
      <w:r w:rsidR="004A105D" w:rsidRPr="00185BC0">
        <w:rPr>
          <w:sz w:val="28"/>
          <w:szCs w:val="28"/>
          <w:lang w:val="kk-KZ"/>
        </w:rPr>
        <w:t xml:space="preserve"> </w:t>
      </w:r>
      <w:r w:rsidRPr="00185BC0">
        <w:rPr>
          <w:sz w:val="28"/>
          <w:szCs w:val="28"/>
        </w:rPr>
        <w:t xml:space="preserve">кость» и в зоне </w:t>
      </w:r>
      <w:proofErr w:type="spellStart"/>
      <w:r w:rsidRPr="00185BC0">
        <w:rPr>
          <w:sz w:val="28"/>
          <w:szCs w:val="28"/>
        </w:rPr>
        <w:t>деротационной</w:t>
      </w:r>
      <w:proofErr w:type="spellEnd"/>
      <w:r w:rsidRPr="00185BC0">
        <w:rPr>
          <w:sz w:val="28"/>
          <w:szCs w:val="28"/>
        </w:rPr>
        <w:t xml:space="preserve"> пластины.</w:t>
      </w:r>
    </w:p>
    <w:p w14:paraId="0EB2FA68" w14:textId="77777777" w:rsidR="00EF196D" w:rsidRPr="00185BC0" w:rsidRDefault="00EF196D" w:rsidP="00EF196D">
      <w:pPr>
        <w:ind w:firstLine="720"/>
        <w:jc w:val="both"/>
        <w:rPr>
          <w:sz w:val="28"/>
          <w:szCs w:val="28"/>
        </w:rPr>
      </w:pPr>
    </w:p>
    <w:p w14:paraId="58C7761B" w14:textId="77777777" w:rsidR="00EF196D" w:rsidRPr="00185BC0" w:rsidRDefault="00EF196D" w:rsidP="00EF196D">
      <w:pPr>
        <w:ind w:firstLine="720"/>
        <w:jc w:val="both"/>
        <w:rPr>
          <w:sz w:val="28"/>
          <w:szCs w:val="28"/>
        </w:rPr>
      </w:pPr>
    </w:p>
    <w:p w14:paraId="75D21F84" w14:textId="77777777" w:rsidR="00EF196D" w:rsidRPr="00185BC0" w:rsidRDefault="00EF196D" w:rsidP="00EF196D">
      <w:pPr>
        <w:ind w:firstLine="720"/>
        <w:jc w:val="both"/>
        <w:rPr>
          <w:sz w:val="28"/>
          <w:szCs w:val="28"/>
        </w:rPr>
      </w:pPr>
    </w:p>
    <w:p w14:paraId="6D1B5D65" w14:textId="770AD674" w:rsidR="00EF196D" w:rsidRPr="00185BC0" w:rsidRDefault="00915DC4" w:rsidP="00EF196D">
      <w:pPr>
        <w:ind w:firstLine="720"/>
        <w:jc w:val="both"/>
        <w:rPr>
          <w:sz w:val="28"/>
          <w:szCs w:val="28"/>
        </w:rPr>
      </w:pPr>
      <w:r w:rsidRPr="00185BC0">
        <w:rPr>
          <w:sz w:val="28"/>
          <w:szCs w:val="28"/>
        </w:rPr>
        <w:t xml:space="preserve"> </w:t>
      </w:r>
    </w:p>
    <w:p w14:paraId="32026E70" w14:textId="5D6B013D" w:rsidR="00915DC4" w:rsidRPr="00185BC0" w:rsidRDefault="009C1588" w:rsidP="00EF196D">
      <w:pPr>
        <w:jc w:val="center"/>
        <w:rPr>
          <w:sz w:val="28"/>
          <w:szCs w:val="28"/>
        </w:rPr>
      </w:pPr>
      <w:r w:rsidRPr="00185BC0">
        <w:rPr>
          <w:noProof/>
          <w:sz w:val="28"/>
          <w:szCs w:val="28"/>
        </w:rPr>
        <w:lastRenderedPageBreak/>
        <w:drawing>
          <wp:inline distT="0" distB="0" distL="0" distR="0" wp14:anchorId="28200AC1" wp14:editId="7CA82461">
            <wp:extent cx="4962525" cy="1699066"/>
            <wp:effectExtent l="0" t="0" r="0" b="0"/>
            <wp:docPr id="1507999106" name="Рисунок 150799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17735" cy="1717969"/>
                    </a:xfrm>
                    <a:prstGeom prst="rect">
                      <a:avLst/>
                    </a:prstGeom>
                  </pic:spPr>
                </pic:pic>
              </a:graphicData>
            </a:graphic>
          </wp:inline>
        </w:drawing>
      </w:r>
    </w:p>
    <w:p w14:paraId="7A90F5E9" w14:textId="5356AF99" w:rsidR="00915DC4" w:rsidRPr="00185BC0" w:rsidRDefault="00915DC4" w:rsidP="00EF5D1F">
      <w:pPr>
        <w:ind w:firstLine="720"/>
        <w:jc w:val="center"/>
        <w:rPr>
          <w:sz w:val="28"/>
          <w:szCs w:val="28"/>
          <w:lang w:val="kk-KZ"/>
        </w:rPr>
      </w:pPr>
      <w:r w:rsidRPr="00185BC0">
        <w:rPr>
          <w:sz w:val="28"/>
          <w:szCs w:val="28"/>
        </w:rPr>
        <w:t>Рисунок 2</w:t>
      </w:r>
      <w:r w:rsidR="00654A28" w:rsidRPr="00185BC0">
        <w:rPr>
          <w:sz w:val="28"/>
          <w:szCs w:val="28"/>
          <w:lang w:val="kk-KZ"/>
        </w:rPr>
        <w:t>5</w:t>
      </w:r>
      <w:r w:rsidR="00EF5D1F" w:rsidRPr="00185BC0">
        <w:rPr>
          <w:sz w:val="28"/>
          <w:szCs w:val="28"/>
          <w:lang w:val="kk-KZ"/>
        </w:rPr>
        <w:t xml:space="preserve"> –</w:t>
      </w:r>
      <w:r w:rsidR="00EF5D1F" w:rsidRPr="00185BC0">
        <w:rPr>
          <w:b/>
          <w:bCs/>
          <w:sz w:val="28"/>
          <w:szCs w:val="28"/>
        </w:rPr>
        <w:t xml:space="preserve"> </w:t>
      </w:r>
      <w:r w:rsidRPr="00185BC0">
        <w:rPr>
          <w:sz w:val="28"/>
          <w:szCs w:val="28"/>
        </w:rPr>
        <w:t xml:space="preserve">Распределение эквивалентных напряжений по </w:t>
      </w:r>
      <w:proofErr w:type="spellStart"/>
      <w:r w:rsidRPr="00185BC0">
        <w:rPr>
          <w:sz w:val="28"/>
          <w:szCs w:val="28"/>
        </w:rPr>
        <w:t>Мизесу</w:t>
      </w:r>
      <w:proofErr w:type="spellEnd"/>
      <w:r w:rsidRPr="00185BC0">
        <w:rPr>
          <w:sz w:val="28"/>
          <w:szCs w:val="28"/>
        </w:rPr>
        <w:t xml:space="preserve"> (МПа): </w:t>
      </w:r>
      <w:r w:rsidR="00EF5D1F" w:rsidRPr="00185BC0">
        <w:rPr>
          <w:sz w:val="28"/>
          <w:szCs w:val="28"/>
          <w:lang w:val="kk-KZ"/>
        </w:rPr>
        <w:t>А</w:t>
      </w:r>
      <w:r w:rsidRPr="00185BC0">
        <w:rPr>
          <w:sz w:val="28"/>
          <w:szCs w:val="28"/>
        </w:rPr>
        <w:t>) напряжение в бедренной кости при физиологической нагрузке, максимальное значение зафиксировано в области головки бедренной кости;</w:t>
      </w:r>
      <w:r w:rsidR="004A105D" w:rsidRPr="00185BC0">
        <w:rPr>
          <w:sz w:val="28"/>
          <w:szCs w:val="28"/>
          <w:lang w:val="kk-KZ"/>
        </w:rPr>
        <w:t xml:space="preserve"> </w:t>
      </w:r>
      <w:r w:rsidR="00EF5D1F" w:rsidRPr="00185BC0">
        <w:rPr>
          <w:sz w:val="28"/>
          <w:szCs w:val="28"/>
          <w:lang w:val="kk-KZ"/>
        </w:rPr>
        <w:t>Б</w:t>
      </w:r>
      <w:r w:rsidRPr="00185BC0">
        <w:rPr>
          <w:sz w:val="28"/>
          <w:szCs w:val="28"/>
        </w:rPr>
        <w:t>) напряжение на границе «эндопротез</w:t>
      </w:r>
      <w:r w:rsidR="004A105D" w:rsidRPr="00185BC0">
        <w:rPr>
          <w:sz w:val="28"/>
          <w:szCs w:val="28"/>
          <w:lang w:val="kk-KZ"/>
        </w:rPr>
        <w:t xml:space="preserve"> </w:t>
      </w:r>
      <w:r w:rsidRPr="00185BC0">
        <w:rPr>
          <w:sz w:val="28"/>
          <w:szCs w:val="28"/>
        </w:rPr>
        <w:t>–</w:t>
      </w:r>
      <w:r w:rsidR="004A105D" w:rsidRPr="00185BC0">
        <w:rPr>
          <w:sz w:val="28"/>
          <w:szCs w:val="28"/>
          <w:lang w:val="kk-KZ"/>
        </w:rPr>
        <w:t xml:space="preserve"> </w:t>
      </w:r>
      <w:r w:rsidRPr="00185BC0">
        <w:rPr>
          <w:sz w:val="28"/>
          <w:szCs w:val="28"/>
        </w:rPr>
        <w:t>кость»</w:t>
      </w:r>
      <w:r w:rsidR="004A105D" w:rsidRPr="00185BC0">
        <w:rPr>
          <w:sz w:val="28"/>
          <w:szCs w:val="28"/>
          <w:lang w:val="kk-KZ"/>
        </w:rPr>
        <w:t xml:space="preserve"> </w:t>
      </w:r>
      <w:r w:rsidRPr="00185BC0">
        <w:rPr>
          <w:sz w:val="28"/>
          <w:szCs w:val="28"/>
        </w:rPr>
        <w:t>с концентрацией в области головки эндопротеза;</w:t>
      </w:r>
      <w:r w:rsidR="004A105D" w:rsidRPr="00185BC0">
        <w:rPr>
          <w:sz w:val="28"/>
          <w:szCs w:val="28"/>
          <w:lang w:val="kk-KZ"/>
        </w:rPr>
        <w:t xml:space="preserve"> </w:t>
      </w:r>
      <w:r w:rsidR="00EF5D1F" w:rsidRPr="00185BC0">
        <w:rPr>
          <w:sz w:val="28"/>
          <w:szCs w:val="28"/>
          <w:lang w:val="kk-KZ"/>
        </w:rPr>
        <w:t>В</w:t>
      </w:r>
      <w:r w:rsidRPr="00185BC0">
        <w:rPr>
          <w:sz w:val="28"/>
          <w:szCs w:val="28"/>
        </w:rPr>
        <w:t xml:space="preserve">) напряжение в </w:t>
      </w:r>
      <w:proofErr w:type="spellStart"/>
      <w:r w:rsidRPr="00185BC0">
        <w:rPr>
          <w:sz w:val="28"/>
          <w:szCs w:val="28"/>
        </w:rPr>
        <w:t>деротационной</w:t>
      </w:r>
      <w:proofErr w:type="spellEnd"/>
      <w:r w:rsidRPr="00185BC0">
        <w:rPr>
          <w:sz w:val="28"/>
          <w:szCs w:val="28"/>
        </w:rPr>
        <w:t xml:space="preserve"> пластине, максимальные значения наблюдаются вблизи отверстий под винт</w:t>
      </w:r>
      <w:r w:rsidR="004A105D" w:rsidRPr="00185BC0">
        <w:rPr>
          <w:sz w:val="28"/>
          <w:szCs w:val="28"/>
          <w:lang w:val="kk-KZ"/>
        </w:rPr>
        <w:t>ами</w:t>
      </w:r>
    </w:p>
    <w:p w14:paraId="05D178FD" w14:textId="77777777" w:rsidR="009C1588" w:rsidRPr="00185BC0" w:rsidRDefault="009C1588" w:rsidP="00915DC4">
      <w:pPr>
        <w:ind w:firstLine="720"/>
        <w:jc w:val="both"/>
        <w:rPr>
          <w:i/>
          <w:iCs/>
          <w:sz w:val="28"/>
          <w:szCs w:val="28"/>
        </w:rPr>
      </w:pPr>
    </w:p>
    <w:p w14:paraId="7D3D93AC" w14:textId="5641BFFC" w:rsidR="009C1588" w:rsidRPr="00185BC0" w:rsidRDefault="009C1588" w:rsidP="009C1588">
      <w:pPr>
        <w:widowControl/>
        <w:autoSpaceDE/>
        <w:autoSpaceDN/>
        <w:ind w:firstLine="720"/>
        <w:jc w:val="both"/>
        <w:rPr>
          <w:sz w:val="28"/>
          <w:szCs w:val="28"/>
        </w:rPr>
      </w:pPr>
      <w:r w:rsidRPr="00185BC0">
        <w:rPr>
          <w:sz w:val="28"/>
          <w:szCs w:val="28"/>
        </w:rPr>
        <w:t xml:space="preserve">Максимальное напряжение 167,2 МПа наблюдалось в области головки бедренной кости, что связано с сосредоточением вертикальных и горизонтальных сил. На границе между эндопротезом и костью уровень напряжения составил 122 МПа, а максимальное напряжение в </w:t>
      </w:r>
      <w:proofErr w:type="spellStart"/>
      <w:r w:rsidRPr="00185BC0">
        <w:rPr>
          <w:sz w:val="28"/>
          <w:szCs w:val="28"/>
        </w:rPr>
        <w:t>деротационной</w:t>
      </w:r>
      <w:proofErr w:type="spellEnd"/>
      <w:r w:rsidRPr="00185BC0">
        <w:rPr>
          <w:sz w:val="28"/>
          <w:szCs w:val="28"/>
        </w:rPr>
        <w:t xml:space="preserve"> пластине достигло 76 МПа. Указанные значения значительно ниже предела текучести соответствующих материалов, что свидетельствует о безопасной эксплуатации конструкции как при нормальных, так и при экстремальных нагрузках. Равномерное распределение напряжений в </w:t>
      </w:r>
      <w:proofErr w:type="spellStart"/>
      <w:r w:rsidRPr="00185BC0">
        <w:rPr>
          <w:sz w:val="28"/>
          <w:szCs w:val="28"/>
        </w:rPr>
        <w:t>деротационной</w:t>
      </w:r>
      <w:proofErr w:type="spellEnd"/>
      <w:r w:rsidRPr="00185BC0">
        <w:rPr>
          <w:sz w:val="28"/>
          <w:szCs w:val="28"/>
        </w:rPr>
        <w:t xml:space="preserve"> пластине дополнительно подтверждает её способность эффективно воспринимать биомеханическую нагрузку без риска механического разрушения.</w:t>
      </w:r>
    </w:p>
    <w:p w14:paraId="2636F66A" w14:textId="0DF02A84" w:rsidR="00915DC4" w:rsidRPr="00185BC0" w:rsidRDefault="00915DC4" w:rsidP="009C1588">
      <w:pPr>
        <w:widowControl/>
        <w:autoSpaceDE/>
        <w:autoSpaceDN/>
        <w:ind w:firstLine="720"/>
        <w:jc w:val="both"/>
        <w:rPr>
          <w:sz w:val="28"/>
          <w:szCs w:val="28"/>
        </w:rPr>
      </w:pPr>
      <w:r w:rsidRPr="00185BC0">
        <w:rPr>
          <w:sz w:val="28"/>
          <w:szCs w:val="28"/>
        </w:rPr>
        <w:t>Анализ смещений позволил глубже оценить относительное перемещение элементов системы под нагрузкой. На рисунке 2</w:t>
      </w:r>
      <w:r w:rsidR="00654A28" w:rsidRPr="00185BC0">
        <w:rPr>
          <w:sz w:val="28"/>
          <w:szCs w:val="28"/>
          <w:lang w:val="kk-KZ"/>
        </w:rPr>
        <w:t>6</w:t>
      </w:r>
      <w:r w:rsidRPr="00185BC0">
        <w:rPr>
          <w:sz w:val="28"/>
          <w:szCs w:val="28"/>
        </w:rPr>
        <w:t xml:space="preserve"> представлено распределение смещений в конструкции. </w:t>
      </w:r>
    </w:p>
    <w:p w14:paraId="25980345" w14:textId="58B8C6AD" w:rsidR="00915DC4" w:rsidRPr="00185BC0" w:rsidRDefault="004F2E0D" w:rsidP="00EF196D">
      <w:pPr>
        <w:widowControl/>
        <w:autoSpaceDE/>
        <w:autoSpaceDN/>
        <w:spacing w:before="100" w:beforeAutospacing="1" w:after="100" w:afterAutospacing="1"/>
        <w:jc w:val="center"/>
        <w:rPr>
          <w:sz w:val="28"/>
          <w:szCs w:val="28"/>
        </w:rPr>
      </w:pPr>
      <w:r w:rsidRPr="00185BC0">
        <w:rPr>
          <w:noProof/>
          <w:sz w:val="28"/>
          <w:szCs w:val="28"/>
        </w:rPr>
        <w:drawing>
          <wp:inline distT="0" distB="0" distL="0" distR="0" wp14:anchorId="43AAB895" wp14:editId="64F41DDC">
            <wp:extent cx="4867275" cy="1598489"/>
            <wp:effectExtent l="0" t="0" r="0" b="1905"/>
            <wp:docPr id="1507999110" name="Рисунок 150799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90017" cy="1605958"/>
                    </a:xfrm>
                    <a:prstGeom prst="rect">
                      <a:avLst/>
                    </a:prstGeom>
                  </pic:spPr>
                </pic:pic>
              </a:graphicData>
            </a:graphic>
          </wp:inline>
        </w:drawing>
      </w:r>
    </w:p>
    <w:p w14:paraId="55D044E6" w14:textId="4B093331" w:rsidR="004A105D" w:rsidRPr="00185BC0" w:rsidRDefault="00915DC4" w:rsidP="00EF5D1F">
      <w:pPr>
        <w:widowControl/>
        <w:autoSpaceDE/>
        <w:autoSpaceDN/>
        <w:spacing w:before="100" w:beforeAutospacing="1" w:after="100" w:afterAutospacing="1"/>
        <w:ind w:firstLine="720"/>
        <w:jc w:val="center"/>
        <w:rPr>
          <w:sz w:val="28"/>
          <w:szCs w:val="28"/>
        </w:rPr>
      </w:pPr>
      <w:r w:rsidRPr="00185BC0">
        <w:rPr>
          <w:sz w:val="28"/>
          <w:szCs w:val="28"/>
        </w:rPr>
        <w:t>Рисунок 2</w:t>
      </w:r>
      <w:r w:rsidR="00654A28" w:rsidRPr="00185BC0">
        <w:rPr>
          <w:sz w:val="28"/>
          <w:szCs w:val="28"/>
          <w:lang w:val="kk-KZ"/>
        </w:rPr>
        <w:t>6</w:t>
      </w:r>
      <w:r w:rsidR="00EF5D1F" w:rsidRPr="00185BC0">
        <w:rPr>
          <w:sz w:val="28"/>
          <w:szCs w:val="28"/>
          <w:lang w:val="kk-KZ"/>
        </w:rPr>
        <w:t xml:space="preserve"> –</w:t>
      </w:r>
      <w:r w:rsidR="00EF5D1F" w:rsidRPr="00185BC0">
        <w:rPr>
          <w:b/>
          <w:bCs/>
          <w:sz w:val="28"/>
          <w:szCs w:val="28"/>
        </w:rPr>
        <w:t xml:space="preserve"> </w:t>
      </w:r>
      <w:r w:rsidRPr="00185BC0">
        <w:rPr>
          <w:sz w:val="28"/>
          <w:szCs w:val="28"/>
        </w:rPr>
        <w:t xml:space="preserve"> Смещения элементов системы (мм): </w:t>
      </w:r>
      <w:r w:rsidR="004F2E0D" w:rsidRPr="00185BC0">
        <w:rPr>
          <w:sz w:val="28"/>
          <w:szCs w:val="28"/>
          <w:lang w:val="kk-KZ"/>
        </w:rPr>
        <w:t>А</w:t>
      </w:r>
      <w:r w:rsidRPr="00185BC0">
        <w:rPr>
          <w:sz w:val="28"/>
          <w:szCs w:val="28"/>
        </w:rPr>
        <w:t xml:space="preserve">) смещение бедренной кости под воздействием физиологической нагрузки, максимальные значения отмечены в области головки эндопротеза; </w:t>
      </w:r>
      <w:r w:rsidR="004F2E0D" w:rsidRPr="00185BC0">
        <w:rPr>
          <w:sz w:val="28"/>
          <w:szCs w:val="28"/>
          <w:lang w:val="kk-KZ"/>
        </w:rPr>
        <w:t>Б</w:t>
      </w:r>
      <w:r w:rsidRPr="00185BC0">
        <w:rPr>
          <w:sz w:val="28"/>
          <w:szCs w:val="28"/>
        </w:rPr>
        <w:t>) распределение смещений на границе «эндопротез</w:t>
      </w:r>
      <w:r w:rsidR="004A105D" w:rsidRPr="00185BC0">
        <w:rPr>
          <w:sz w:val="28"/>
          <w:szCs w:val="28"/>
          <w:lang w:val="kk-KZ"/>
        </w:rPr>
        <w:t xml:space="preserve"> </w:t>
      </w:r>
      <w:r w:rsidRPr="00185BC0">
        <w:rPr>
          <w:sz w:val="28"/>
          <w:szCs w:val="28"/>
        </w:rPr>
        <w:t>–</w:t>
      </w:r>
      <w:r w:rsidR="004A105D" w:rsidRPr="00185BC0">
        <w:rPr>
          <w:sz w:val="28"/>
          <w:szCs w:val="28"/>
          <w:lang w:val="kk-KZ"/>
        </w:rPr>
        <w:t xml:space="preserve"> </w:t>
      </w:r>
      <w:r w:rsidRPr="00185BC0">
        <w:rPr>
          <w:sz w:val="28"/>
          <w:szCs w:val="28"/>
        </w:rPr>
        <w:t xml:space="preserve">кость», наибольшее смещение зафиксировано в области головки эндопротеза; </w:t>
      </w:r>
      <w:r w:rsidR="004F2E0D" w:rsidRPr="00185BC0">
        <w:rPr>
          <w:sz w:val="28"/>
          <w:szCs w:val="28"/>
          <w:lang w:val="kk-KZ"/>
        </w:rPr>
        <w:t>В</w:t>
      </w:r>
      <w:r w:rsidRPr="00185BC0">
        <w:rPr>
          <w:sz w:val="28"/>
          <w:szCs w:val="28"/>
        </w:rPr>
        <w:t xml:space="preserve">) смещение </w:t>
      </w:r>
      <w:proofErr w:type="spellStart"/>
      <w:r w:rsidRPr="00185BC0">
        <w:rPr>
          <w:sz w:val="28"/>
          <w:szCs w:val="28"/>
        </w:rPr>
        <w:t>деротационной</w:t>
      </w:r>
      <w:proofErr w:type="spellEnd"/>
      <w:r w:rsidRPr="00185BC0">
        <w:rPr>
          <w:sz w:val="28"/>
          <w:szCs w:val="28"/>
        </w:rPr>
        <w:t xml:space="preserve"> пластины, минимальные значения сосредоточены в области тела пластины и винтов, что подтверждает её стабилизирующую функцию. </w:t>
      </w:r>
    </w:p>
    <w:p w14:paraId="282405EE" w14:textId="35E8977D" w:rsidR="004F2E0D" w:rsidRPr="00185BC0" w:rsidRDefault="009C1588" w:rsidP="004F2E0D">
      <w:pPr>
        <w:widowControl/>
        <w:autoSpaceDE/>
        <w:autoSpaceDN/>
        <w:ind w:firstLine="720"/>
        <w:jc w:val="both"/>
        <w:rPr>
          <w:sz w:val="28"/>
          <w:szCs w:val="28"/>
        </w:rPr>
      </w:pPr>
      <w:r w:rsidRPr="00185BC0">
        <w:rPr>
          <w:sz w:val="28"/>
          <w:szCs w:val="28"/>
        </w:rPr>
        <w:lastRenderedPageBreak/>
        <w:t xml:space="preserve">Максимальное </w:t>
      </w:r>
      <w:r w:rsidR="00654A28" w:rsidRPr="00185BC0">
        <w:rPr>
          <w:sz w:val="28"/>
          <w:szCs w:val="28"/>
        </w:rPr>
        <w:t>смещение 0</w:t>
      </w:r>
      <w:r w:rsidRPr="00185BC0">
        <w:rPr>
          <w:sz w:val="28"/>
          <w:szCs w:val="28"/>
        </w:rPr>
        <w:t xml:space="preserve">,1451 </w:t>
      </w:r>
      <w:proofErr w:type="gramStart"/>
      <w:r w:rsidRPr="00185BC0">
        <w:rPr>
          <w:sz w:val="28"/>
          <w:szCs w:val="28"/>
        </w:rPr>
        <w:t>мм  зафиксировано</w:t>
      </w:r>
      <w:proofErr w:type="gramEnd"/>
      <w:r w:rsidRPr="00185BC0">
        <w:rPr>
          <w:sz w:val="28"/>
          <w:szCs w:val="28"/>
        </w:rPr>
        <w:t xml:space="preserve"> в области головки эндопротеза, тогда как </w:t>
      </w:r>
      <w:proofErr w:type="spellStart"/>
      <w:r w:rsidRPr="00185BC0">
        <w:rPr>
          <w:sz w:val="28"/>
          <w:szCs w:val="28"/>
        </w:rPr>
        <w:t>деротационная</w:t>
      </w:r>
      <w:proofErr w:type="spellEnd"/>
      <w:r w:rsidRPr="00185BC0">
        <w:rPr>
          <w:sz w:val="28"/>
          <w:szCs w:val="28"/>
        </w:rPr>
        <w:t xml:space="preserve"> пластина продемонстрировала минимальное смещение – 0,08 мм. Этот результат подчёркивает стабилизирующую роль пластины в конструкции и её способность эффективно контролировать ротационные и аксиальные движения. Полученные данные свидетельствуют о значительном вкладе пластины в поддержание механической целостности зоны остеотомии и обеспечении долгосрочной стабильности всей системы.</w:t>
      </w:r>
    </w:p>
    <w:p w14:paraId="0EC09BC5" w14:textId="3190034D" w:rsidR="00EF196D" w:rsidRPr="00185BC0" w:rsidRDefault="00915DC4" w:rsidP="004F2E0D">
      <w:pPr>
        <w:widowControl/>
        <w:autoSpaceDE/>
        <w:autoSpaceDN/>
        <w:ind w:firstLine="720"/>
        <w:jc w:val="both"/>
        <w:rPr>
          <w:sz w:val="28"/>
          <w:szCs w:val="28"/>
        </w:rPr>
      </w:pPr>
      <w:r w:rsidRPr="00185BC0">
        <w:rPr>
          <w:sz w:val="28"/>
          <w:szCs w:val="28"/>
        </w:rPr>
        <w:t>Оценка коэффициента запаса прочности позволила всесторонне проанализировать механическую надёжность системы. Распределение коэффициентов запаса по компонентам конструкции представлено на рисунке 2</w:t>
      </w:r>
      <w:r w:rsidR="00654A28" w:rsidRPr="00185BC0">
        <w:rPr>
          <w:sz w:val="28"/>
          <w:szCs w:val="28"/>
          <w:lang w:val="kk-KZ"/>
        </w:rPr>
        <w:t>7</w:t>
      </w:r>
      <w:r w:rsidRPr="00185BC0">
        <w:rPr>
          <w:sz w:val="28"/>
          <w:szCs w:val="28"/>
        </w:rPr>
        <w:t xml:space="preserve">, где особо подчёркивается прочность </w:t>
      </w:r>
      <w:proofErr w:type="spellStart"/>
      <w:r w:rsidRPr="00185BC0">
        <w:rPr>
          <w:sz w:val="28"/>
          <w:szCs w:val="28"/>
        </w:rPr>
        <w:t>деротационной</w:t>
      </w:r>
      <w:proofErr w:type="spellEnd"/>
      <w:r w:rsidRPr="00185BC0">
        <w:rPr>
          <w:sz w:val="28"/>
          <w:szCs w:val="28"/>
        </w:rPr>
        <w:t xml:space="preserve"> пластины.</w:t>
      </w:r>
    </w:p>
    <w:p w14:paraId="7CDB78F0" w14:textId="77777777" w:rsidR="00EF196D" w:rsidRPr="00185BC0" w:rsidRDefault="00EF196D" w:rsidP="004F2E0D">
      <w:pPr>
        <w:widowControl/>
        <w:autoSpaceDE/>
        <w:autoSpaceDN/>
        <w:ind w:firstLine="720"/>
        <w:jc w:val="both"/>
        <w:rPr>
          <w:sz w:val="28"/>
          <w:szCs w:val="28"/>
        </w:rPr>
      </w:pPr>
    </w:p>
    <w:p w14:paraId="5E648B6D" w14:textId="02CA9A59" w:rsidR="00915DC4" w:rsidRPr="00185BC0" w:rsidRDefault="00EF196D" w:rsidP="00EF196D">
      <w:pPr>
        <w:widowControl/>
        <w:autoSpaceDE/>
        <w:autoSpaceDN/>
        <w:jc w:val="center"/>
        <w:rPr>
          <w:sz w:val="28"/>
          <w:szCs w:val="28"/>
        </w:rPr>
      </w:pPr>
      <w:r w:rsidRPr="00185BC0">
        <w:rPr>
          <w:noProof/>
          <w:sz w:val="28"/>
          <w:szCs w:val="28"/>
        </w:rPr>
        <w:drawing>
          <wp:inline distT="0" distB="0" distL="0" distR="0" wp14:anchorId="46E198A5" wp14:editId="1C76111D">
            <wp:extent cx="5086350" cy="1656792"/>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102407" cy="1662022"/>
                    </a:xfrm>
                    <a:prstGeom prst="rect">
                      <a:avLst/>
                    </a:prstGeom>
                  </pic:spPr>
                </pic:pic>
              </a:graphicData>
            </a:graphic>
          </wp:inline>
        </w:drawing>
      </w:r>
    </w:p>
    <w:p w14:paraId="5A3882B5" w14:textId="05F4A584" w:rsidR="00915DC4" w:rsidRPr="00185BC0" w:rsidRDefault="00915DC4" w:rsidP="00EF5D1F">
      <w:pPr>
        <w:widowControl/>
        <w:autoSpaceDE/>
        <w:autoSpaceDN/>
        <w:spacing w:before="100" w:beforeAutospacing="1" w:after="100" w:afterAutospacing="1"/>
        <w:ind w:firstLine="720"/>
        <w:jc w:val="center"/>
        <w:rPr>
          <w:sz w:val="28"/>
          <w:szCs w:val="28"/>
        </w:rPr>
      </w:pPr>
      <w:r w:rsidRPr="00185BC0">
        <w:rPr>
          <w:sz w:val="28"/>
          <w:szCs w:val="28"/>
        </w:rPr>
        <w:t>Рисунок 2</w:t>
      </w:r>
      <w:r w:rsidR="00654A28" w:rsidRPr="00185BC0">
        <w:rPr>
          <w:sz w:val="28"/>
          <w:szCs w:val="28"/>
          <w:lang w:val="kk-KZ"/>
        </w:rPr>
        <w:t>7</w:t>
      </w:r>
      <w:r w:rsidR="00EF5D1F" w:rsidRPr="00185BC0">
        <w:rPr>
          <w:sz w:val="28"/>
          <w:szCs w:val="28"/>
          <w:lang w:val="kk-KZ"/>
        </w:rPr>
        <w:t xml:space="preserve"> –</w:t>
      </w:r>
      <w:r w:rsidR="00EF5D1F" w:rsidRPr="00185BC0">
        <w:rPr>
          <w:b/>
          <w:bCs/>
          <w:sz w:val="28"/>
          <w:szCs w:val="28"/>
        </w:rPr>
        <w:t xml:space="preserve"> </w:t>
      </w:r>
      <w:r w:rsidRPr="00185BC0">
        <w:rPr>
          <w:sz w:val="28"/>
          <w:szCs w:val="28"/>
        </w:rPr>
        <w:t>Коэффициент запаса прочности системы:</w:t>
      </w:r>
      <w:r w:rsidR="00E661AD" w:rsidRPr="00185BC0">
        <w:rPr>
          <w:sz w:val="28"/>
          <w:szCs w:val="28"/>
          <w:lang w:val="kk-KZ"/>
        </w:rPr>
        <w:t xml:space="preserve"> </w:t>
      </w:r>
      <w:r w:rsidR="00147BC6" w:rsidRPr="00185BC0">
        <w:rPr>
          <w:sz w:val="28"/>
          <w:szCs w:val="28"/>
          <w:lang w:val="kk-KZ"/>
        </w:rPr>
        <w:t>А</w:t>
      </w:r>
      <w:r w:rsidRPr="00185BC0">
        <w:rPr>
          <w:sz w:val="28"/>
          <w:szCs w:val="28"/>
        </w:rPr>
        <w:t xml:space="preserve">) распределение коэффициента запаса прочности в бедренной кости при воздействии нагрузки, минимальное значение 1,24 отмечено в области кортикального слоя; </w:t>
      </w:r>
      <w:r w:rsidR="00147BC6" w:rsidRPr="00185BC0">
        <w:rPr>
          <w:sz w:val="28"/>
          <w:szCs w:val="28"/>
          <w:lang w:val="kk-KZ"/>
        </w:rPr>
        <w:t>Б</w:t>
      </w:r>
      <w:r w:rsidRPr="00185BC0">
        <w:rPr>
          <w:sz w:val="28"/>
          <w:szCs w:val="28"/>
        </w:rPr>
        <w:t>) коэффициент запаса прочности на границе «эндопротез</w:t>
      </w:r>
      <w:r w:rsidR="00E661AD" w:rsidRPr="00185BC0">
        <w:rPr>
          <w:sz w:val="28"/>
          <w:szCs w:val="28"/>
          <w:lang w:val="kk-KZ"/>
        </w:rPr>
        <w:t xml:space="preserve"> </w:t>
      </w:r>
      <w:r w:rsidRPr="00185BC0">
        <w:rPr>
          <w:sz w:val="28"/>
          <w:szCs w:val="28"/>
        </w:rPr>
        <w:t>–</w:t>
      </w:r>
      <w:r w:rsidR="00E661AD" w:rsidRPr="00185BC0">
        <w:rPr>
          <w:sz w:val="28"/>
          <w:szCs w:val="28"/>
          <w:lang w:val="kk-KZ"/>
        </w:rPr>
        <w:t xml:space="preserve"> </w:t>
      </w:r>
      <w:r w:rsidRPr="00185BC0">
        <w:rPr>
          <w:sz w:val="28"/>
          <w:szCs w:val="28"/>
        </w:rPr>
        <w:t xml:space="preserve">кость», минимальное значение 2,26 зафиксировано в области шейки эндопротеза; </w:t>
      </w:r>
      <w:r w:rsidR="00147BC6" w:rsidRPr="00185BC0">
        <w:rPr>
          <w:sz w:val="28"/>
          <w:szCs w:val="28"/>
          <w:lang w:val="kk-KZ"/>
        </w:rPr>
        <w:t>В</w:t>
      </w:r>
      <w:r w:rsidRPr="00185BC0">
        <w:rPr>
          <w:sz w:val="28"/>
          <w:szCs w:val="28"/>
        </w:rPr>
        <w:t xml:space="preserve">) коэффициент запаса прочности </w:t>
      </w:r>
      <w:proofErr w:type="spellStart"/>
      <w:r w:rsidRPr="00185BC0">
        <w:rPr>
          <w:sz w:val="28"/>
          <w:szCs w:val="28"/>
        </w:rPr>
        <w:t>деротационной</w:t>
      </w:r>
      <w:proofErr w:type="spellEnd"/>
      <w:r w:rsidRPr="00185BC0">
        <w:rPr>
          <w:sz w:val="28"/>
          <w:szCs w:val="28"/>
        </w:rPr>
        <w:t xml:space="preserve"> пластины, минимальное значение 3,63 локализовано вблизи отверстий под винты, что указывает на достаточный запас прочности конструкции</w:t>
      </w:r>
    </w:p>
    <w:p w14:paraId="1845ED28" w14:textId="64547FC7" w:rsidR="004F2E0D" w:rsidRPr="00185BC0" w:rsidRDefault="004F2E0D" w:rsidP="004F2E0D">
      <w:pPr>
        <w:widowControl/>
        <w:autoSpaceDE/>
        <w:autoSpaceDN/>
        <w:ind w:firstLine="720"/>
        <w:jc w:val="both"/>
        <w:rPr>
          <w:sz w:val="28"/>
          <w:szCs w:val="28"/>
        </w:rPr>
      </w:pPr>
      <w:r w:rsidRPr="00185BC0">
        <w:rPr>
          <w:sz w:val="28"/>
          <w:szCs w:val="28"/>
        </w:rPr>
        <w:t>Минимальный коэффициент запаса 3,63 был зафиксирован в области пластины, в то время как для кости и эндопротеза он составил 1,24 и 2,26 соответственно. Полученные результаты подчёркивают важность точного позиционирования винтов и правильно</w:t>
      </w:r>
      <w:r w:rsidR="00E661AD" w:rsidRPr="00185BC0">
        <w:rPr>
          <w:sz w:val="28"/>
          <w:szCs w:val="28"/>
          <w:lang w:val="kk-KZ"/>
        </w:rPr>
        <w:t>сть</w:t>
      </w:r>
      <w:r w:rsidRPr="00185BC0">
        <w:rPr>
          <w:sz w:val="28"/>
          <w:szCs w:val="28"/>
        </w:rPr>
        <w:t xml:space="preserve"> выбора материалов для снижения концентрации напряжений и обеспечения долговечности имплантата.</w:t>
      </w:r>
    </w:p>
    <w:p w14:paraId="44FB3637" w14:textId="78E9380B" w:rsidR="00915DC4" w:rsidRPr="00185BC0" w:rsidRDefault="00915DC4" w:rsidP="004F2E0D">
      <w:pPr>
        <w:widowControl/>
        <w:autoSpaceDE/>
        <w:autoSpaceDN/>
        <w:ind w:firstLine="720"/>
        <w:jc w:val="both"/>
        <w:rPr>
          <w:sz w:val="28"/>
          <w:szCs w:val="28"/>
        </w:rPr>
      </w:pPr>
      <w:r w:rsidRPr="00185BC0">
        <w:rPr>
          <w:sz w:val="28"/>
          <w:szCs w:val="28"/>
        </w:rPr>
        <w:t xml:space="preserve">Целевая оценка </w:t>
      </w:r>
      <w:proofErr w:type="spellStart"/>
      <w:r w:rsidRPr="00185BC0">
        <w:rPr>
          <w:sz w:val="28"/>
          <w:szCs w:val="28"/>
        </w:rPr>
        <w:t>деротационной</w:t>
      </w:r>
      <w:proofErr w:type="spellEnd"/>
      <w:r w:rsidRPr="00185BC0">
        <w:rPr>
          <w:sz w:val="28"/>
          <w:szCs w:val="28"/>
        </w:rPr>
        <w:t xml:space="preserve"> пластины выявила зоны концентрации напряжений при нагрузке. На </w:t>
      </w:r>
      <w:r w:rsidR="00E661AD" w:rsidRPr="00185BC0">
        <w:rPr>
          <w:sz w:val="28"/>
          <w:szCs w:val="28"/>
          <w:lang w:val="kk-KZ"/>
        </w:rPr>
        <w:t xml:space="preserve">следующем </w:t>
      </w:r>
      <w:r w:rsidRPr="00185BC0">
        <w:rPr>
          <w:sz w:val="28"/>
          <w:szCs w:val="28"/>
        </w:rPr>
        <w:t>рисунке</w:t>
      </w:r>
      <w:r w:rsidR="00654A28" w:rsidRPr="00185BC0">
        <w:rPr>
          <w:sz w:val="28"/>
          <w:szCs w:val="28"/>
          <w:lang w:val="kk-KZ"/>
        </w:rPr>
        <w:t xml:space="preserve"> 28</w:t>
      </w:r>
      <w:r w:rsidRPr="00185BC0">
        <w:rPr>
          <w:sz w:val="28"/>
          <w:szCs w:val="28"/>
        </w:rPr>
        <w:t xml:space="preserve"> максимальное значение 76,02 МПа локализовано в области отверстий под винты. Это значение значительно ниже предела текучести титанового сплава (900–1100 МПа), что свидетельствует о способности пластины выдерживать высокие напряжения без потери структурной целостности. Умеренные уровни напряжений в диапазоне 4,63–10,71 МПа наблюдались вдоль тела пластины, что подтверждает равномерное распределение нагрузки, повышающее её долговечность и надёжность при несущих функциях.</w:t>
      </w:r>
    </w:p>
    <w:p w14:paraId="745BBB5C" w14:textId="77777777" w:rsidR="00915DC4" w:rsidRPr="00185BC0" w:rsidRDefault="00915DC4" w:rsidP="00EF196D">
      <w:pPr>
        <w:widowControl/>
        <w:autoSpaceDE/>
        <w:autoSpaceDN/>
        <w:spacing w:before="100" w:beforeAutospacing="1" w:after="100" w:afterAutospacing="1"/>
        <w:jc w:val="center"/>
        <w:rPr>
          <w:sz w:val="28"/>
          <w:szCs w:val="28"/>
        </w:rPr>
      </w:pPr>
      <w:r w:rsidRPr="00185BC0">
        <w:rPr>
          <w:noProof/>
          <w:sz w:val="28"/>
          <w:szCs w:val="28"/>
        </w:rPr>
        <w:lastRenderedPageBreak/>
        <w:drawing>
          <wp:inline distT="0" distB="0" distL="0" distR="0" wp14:anchorId="61C5686B" wp14:editId="7B8C7932">
            <wp:extent cx="5057775" cy="26724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063130" cy="2675259"/>
                    </a:xfrm>
                    <a:prstGeom prst="rect">
                      <a:avLst/>
                    </a:prstGeom>
                  </pic:spPr>
                </pic:pic>
              </a:graphicData>
            </a:graphic>
          </wp:inline>
        </w:drawing>
      </w:r>
    </w:p>
    <w:p w14:paraId="7E2FC163" w14:textId="309C2C68" w:rsidR="00915DC4" w:rsidRPr="00185BC0" w:rsidRDefault="00915DC4" w:rsidP="00915DC4">
      <w:pPr>
        <w:jc w:val="center"/>
        <w:rPr>
          <w:rFonts w:eastAsiaTheme="majorEastAsia"/>
          <w:sz w:val="28"/>
          <w:szCs w:val="28"/>
        </w:rPr>
      </w:pPr>
      <w:r w:rsidRPr="00185BC0">
        <w:rPr>
          <w:rFonts w:eastAsiaTheme="majorEastAsia"/>
          <w:sz w:val="28"/>
          <w:szCs w:val="28"/>
        </w:rPr>
        <w:t>Рисунок 2</w:t>
      </w:r>
      <w:r w:rsidR="00654A28" w:rsidRPr="00185BC0">
        <w:rPr>
          <w:rFonts w:eastAsiaTheme="majorEastAsia"/>
          <w:sz w:val="28"/>
          <w:szCs w:val="28"/>
          <w:lang w:val="kk-KZ"/>
        </w:rPr>
        <w:t>8</w:t>
      </w:r>
      <w:r w:rsidR="00EF5D1F" w:rsidRPr="00185BC0">
        <w:rPr>
          <w:sz w:val="28"/>
          <w:szCs w:val="28"/>
          <w:lang w:val="kk-KZ"/>
        </w:rPr>
        <w:t>–</w:t>
      </w:r>
      <w:r w:rsidR="00EF5D1F" w:rsidRPr="00185BC0">
        <w:rPr>
          <w:b/>
          <w:bCs/>
          <w:sz w:val="28"/>
          <w:szCs w:val="28"/>
        </w:rPr>
        <w:t xml:space="preserve"> </w:t>
      </w:r>
      <w:r w:rsidRPr="00185BC0">
        <w:rPr>
          <w:rFonts w:eastAsiaTheme="majorEastAsia"/>
          <w:sz w:val="28"/>
          <w:szCs w:val="28"/>
        </w:rPr>
        <w:t xml:space="preserve">Напряжения по </w:t>
      </w:r>
      <w:proofErr w:type="spellStart"/>
      <w:r w:rsidRPr="00185BC0">
        <w:rPr>
          <w:rFonts w:eastAsiaTheme="majorEastAsia"/>
          <w:sz w:val="28"/>
          <w:szCs w:val="28"/>
        </w:rPr>
        <w:t>Мизесу</w:t>
      </w:r>
      <w:proofErr w:type="spellEnd"/>
      <w:r w:rsidRPr="00185BC0">
        <w:rPr>
          <w:rFonts w:eastAsiaTheme="majorEastAsia"/>
          <w:sz w:val="28"/>
          <w:szCs w:val="28"/>
        </w:rPr>
        <w:t xml:space="preserve"> в </w:t>
      </w:r>
      <w:proofErr w:type="spellStart"/>
      <w:r w:rsidRPr="00185BC0">
        <w:rPr>
          <w:rFonts w:eastAsiaTheme="majorEastAsia"/>
          <w:sz w:val="28"/>
          <w:szCs w:val="28"/>
        </w:rPr>
        <w:t>деротационной</w:t>
      </w:r>
      <w:proofErr w:type="spellEnd"/>
      <w:r w:rsidRPr="00185BC0">
        <w:rPr>
          <w:rFonts w:eastAsiaTheme="majorEastAsia"/>
          <w:sz w:val="28"/>
          <w:szCs w:val="28"/>
        </w:rPr>
        <w:t xml:space="preserve"> пластине</w:t>
      </w:r>
    </w:p>
    <w:p w14:paraId="091AF4AB" w14:textId="55F0D0E6" w:rsidR="00915DC4" w:rsidRPr="00185BC0" w:rsidRDefault="00915DC4" w:rsidP="00915DC4">
      <w:pPr>
        <w:jc w:val="center"/>
        <w:rPr>
          <w:b/>
          <w:bCs/>
          <w:sz w:val="28"/>
          <w:szCs w:val="28"/>
        </w:rPr>
      </w:pPr>
      <w:r w:rsidRPr="00185BC0">
        <w:rPr>
          <w:rFonts w:eastAsiaTheme="majorEastAsia"/>
          <w:sz w:val="28"/>
          <w:szCs w:val="28"/>
        </w:rPr>
        <w:t xml:space="preserve">в </w:t>
      </w:r>
      <w:proofErr w:type="spellStart"/>
      <w:r w:rsidRPr="00185BC0">
        <w:rPr>
          <w:rFonts w:eastAsiaTheme="majorEastAsia"/>
          <w:sz w:val="28"/>
          <w:szCs w:val="28"/>
        </w:rPr>
        <w:t>диапозоне</w:t>
      </w:r>
      <w:proofErr w:type="spellEnd"/>
      <w:r w:rsidRPr="00185BC0">
        <w:rPr>
          <w:rFonts w:eastAsiaTheme="majorEastAsia"/>
          <w:sz w:val="28"/>
          <w:szCs w:val="28"/>
        </w:rPr>
        <w:t xml:space="preserve"> от 0 до 20 МПа</w:t>
      </w:r>
    </w:p>
    <w:p w14:paraId="6A2907C7" w14:textId="2E7D9738" w:rsidR="00915DC4" w:rsidRPr="00185BC0" w:rsidRDefault="00915DC4" w:rsidP="00915DC4">
      <w:pPr>
        <w:widowControl/>
        <w:autoSpaceDE/>
        <w:autoSpaceDN/>
        <w:spacing w:before="100" w:beforeAutospacing="1" w:after="100" w:afterAutospacing="1"/>
        <w:jc w:val="both"/>
        <w:rPr>
          <w:sz w:val="28"/>
          <w:szCs w:val="28"/>
        </w:rPr>
      </w:pPr>
      <w:r w:rsidRPr="00185BC0">
        <w:rPr>
          <w:sz w:val="28"/>
          <w:szCs w:val="28"/>
        </w:rPr>
        <w:tab/>
        <w:t xml:space="preserve">Общая оценка работы компонентов системы представлена в сводных результатах расчёта напряжённо-деформированного состояния (НДС), приведённых в таблице </w:t>
      </w:r>
      <w:r w:rsidR="00E9567F" w:rsidRPr="00185BC0">
        <w:rPr>
          <w:sz w:val="28"/>
          <w:szCs w:val="28"/>
        </w:rPr>
        <w:t>4,</w:t>
      </w:r>
      <w:r w:rsidRPr="00185BC0">
        <w:rPr>
          <w:sz w:val="28"/>
          <w:szCs w:val="28"/>
        </w:rPr>
        <w:t xml:space="preserve"> и оно подчёркивает, что для </w:t>
      </w:r>
      <w:proofErr w:type="spellStart"/>
      <w:r w:rsidRPr="00185BC0">
        <w:rPr>
          <w:sz w:val="28"/>
          <w:szCs w:val="28"/>
        </w:rPr>
        <w:t>деротационной</w:t>
      </w:r>
      <w:proofErr w:type="spellEnd"/>
      <w:r w:rsidRPr="00185BC0">
        <w:rPr>
          <w:sz w:val="28"/>
          <w:szCs w:val="28"/>
        </w:rPr>
        <w:t xml:space="preserve"> пластины максимальное напряжение по </w:t>
      </w:r>
      <w:proofErr w:type="spellStart"/>
      <w:r w:rsidRPr="00185BC0">
        <w:rPr>
          <w:sz w:val="28"/>
          <w:szCs w:val="28"/>
        </w:rPr>
        <w:t>Мизесу</w:t>
      </w:r>
      <w:proofErr w:type="spellEnd"/>
      <w:r w:rsidRPr="00185BC0">
        <w:rPr>
          <w:sz w:val="28"/>
          <w:szCs w:val="28"/>
        </w:rPr>
        <w:t xml:space="preserve"> составило 76 МПа, </w:t>
      </w:r>
      <w:r w:rsidR="00E661AD" w:rsidRPr="00185BC0">
        <w:rPr>
          <w:sz w:val="28"/>
          <w:szCs w:val="28"/>
          <w:lang w:val="kk-KZ"/>
        </w:rPr>
        <w:t xml:space="preserve">что привело к </w:t>
      </w:r>
      <w:proofErr w:type="spellStart"/>
      <w:r w:rsidRPr="00185BC0">
        <w:rPr>
          <w:sz w:val="28"/>
          <w:szCs w:val="28"/>
        </w:rPr>
        <w:t>смещени</w:t>
      </w:r>
      <w:proofErr w:type="spellEnd"/>
      <w:r w:rsidR="00E661AD" w:rsidRPr="00185BC0">
        <w:rPr>
          <w:sz w:val="28"/>
          <w:szCs w:val="28"/>
          <w:lang w:val="kk-KZ"/>
        </w:rPr>
        <w:t xml:space="preserve">ю на </w:t>
      </w:r>
      <w:r w:rsidRPr="00185BC0">
        <w:rPr>
          <w:sz w:val="28"/>
          <w:szCs w:val="28"/>
        </w:rPr>
        <w:t>0,08 мм, а минимальный коэффициент запаса прочности</w:t>
      </w:r>
      <w:r w:rsidR="00E661AD" w:rsidRPr="00185BC0">
        <w:rPr>
          <w:sz w:val="28"/>
          <w:szCs w:val="28"/>
          <w:lang w:val="kk-KZ"/>
        </w:rPr>
        <w:t xml:space="preserve"> </w:t>
      </w:r>
      <w:r w:rsidR="00654A28" w:rsidRPr="00185BC0">
        <w:rPr>
          <w:sz w:val="28"/>
          <w:szCs w:val="28"/>
          <w:lang w:val="kk-KZ"/>
        </w:rPr>
        <w:t xml:space="preserve">составил </w:t>
      </w:r>
      <w:r w:rsidR="00654A28" w:rsidRPr="00185BC0">
        <w:rPr>
          <w:sz w:val="28"/>
          <w:szCs w:val="28"/>
        </w:rPr>
        <w:t>3</w:t>
      </w:r>
      <w:r w:rsidRPr="00185BC0">
        <w:rPr>
          <w:sz w:val="28"/>
          <w:szCs w:val="28"/>
        </w:rPr>
        <w:t xml:space="preserve">,63. Эти показатели подтверждают хорошую совместимость пластины с эндопротезом и бедренной костью, а также надёжную работу всех компонентов конструкции в условиях физиологической нагрузки. </w:t>
      </w:r>
    </w:p>
    <w:p w14:paraId="431C5E52" w14:textId="0349E085" w:rsidR="00915DC4" w:rsidRPr="00185BC0" w:rsidRDefault="00915DC4" w:rsidP="00915DC4">
      <w:pPr>
        <w:widowControl/>
        <w:autoSpaceDE/>
        <w:autoSpaceDN/>
        <w:spacing w:before="100" w:beforeAutospacing="1" w:after="100" w:afterAutospacing="1"/>
        <w:ind w:firstLine="720"/>
        <w:jc w:val="both"/>
        <w:rPr>
          <w:b/>
          <w:bCs/>
          <w:sz w:val="28"/>
          <w:szCs w:val="28"/>
        </w:rPr>
      </w:pPr>
      <w:r w:rsidRPr="00185BC0">
        <w:rPr>
          <w:b/>
          <w:bCs/>
          <w:sz w:val="28"/>
          <w:szCs w:val="28"/>
        </w:rPr>
        <w:t>Таблица 4. Сравнительные результаты расчёта напряжённо-деформированного состояния (НДС)</w:t>
      </w:r>
    </w:p>
    <w:tbl>
      <w:tblPr>
        <w:tblStyle w:val="34"/>
        <w:tblW w:w="0" w:type="auto"/>
        <w:tblLook w:val="04A0" w:firstRow="1" w:lastRow="0" w:firstColumn="1" w:lastColumn="0" w:noHBand="0" w:noVBand="1"/>
      </w:tblPr>
      <w:tblGrid>
        <w:gridCol w:w="3964"/>
        <w:gridCol w:w="1701"/>
        <w:gridCol w:w="1843"/>
        <w:gridCol w:w="1837"/>
      </w:tblGrid>
      <w:tr w:rsidR="00915DC4" w:rsidRPr="00185BC0" w14:paraId="3B01877F" w14:textId="77777777" w:rsidTr="00907AE6">
        <w:tc>
          <w:tcPr>
            <w:tcW w:w="3964" w:type="dxa"/>
          </w:tcPr>
          <w:p w14:paraId="325B4163" w14:textId="77777777" w:rsidR="00915DC4" w:rsidRPr="00185BC0" w:rsidRDefault="00915DC4" w:rsidP="00915DC4">
            <w:pPr>
              <w:widowControl/>
              <w:autoSpaceDE/>
              <w:autoSpaceDN/>
              <w:spacing w:before="100" w:beforeAutospacing="1" w:after="100" w:afterAutospacing="1"/>
              <w:jc w:val="center"/>
              <w:rPr>
                <w:b/>
                <w:bCs/>
                <w:sz w:val="20"/>
                <w:szCs w:val="20"/>
              </w:rPr>
            </w:pPr>
            <w:r w:rsidRPr="00185BC0">
              <w:rPr>
                <w:b/>
                <w:bCs/>
                <w:sz w:val="20"/>
                <w:szCs w:val="20"/>
              </w:rPr>
              <w:t>Показатели</w:t>
            </w:r>
          </w:p>
        </w:tc>
        <w:tc>
          <w:tcPr>
            <w:tcW w:w="1701" w:type="dxa"/>
          </w:tcPr>
          <w:p w14:paraId="71E84562" w14:textId="77777777" w:rsidR="00915DC4" w:rsidRPr="00185BC0" w:rsidRDefault="00915DC4" w:rsidP="00915DC4">
            <w:pPr>
              <w:widowControl/>
              <w:autoSpaceDE/>
              <w:autoSpaceDN/>
              <w:spacing w:before="100" w:beforeAutospacing="1" w:after="100" w:afterAutospacing="1"/>
              <w:jc w:val="center"/>
              <w:rPr>
                <w:b/>
                <w:bCs/>
                <w:sz w:val="20"/>
                <w:szCs w:val="20"/>
              </w:rPr>
            </w:pPr>
            <w:r w:rsidRPr="00185BC0">
              <w:rPr>
                <w:b/>
                <w:bCs/>
                <w:sz w:val="20"/>
                <w:szCs w:val="20"/>
              </w:rPr>
              <w:t>Пластина</w:t>
            </w:r>
          </w:p>
        </w:tc>
        <w:tc>
          <w:tcPr>
            <w:tcW w:w="1843" w:type="dxa"/>
          </w:tcPr>
          <w:p w14:paraId="76BAB94F" w14:textId="77777777" w:rsidR="00915DC4" w:rsidRPr="00185BC0" w:rsidRDefault="00915DC4" w:rsidP="00915DC4">
            <w:pPr>
              <w:widowControl/>
              <w:autoSpaceDE/>
              <w:autoSpaceDN/>
              <w:spacing w:before="100" w:beforeAutospacing="1" w:after="100" w:afterAutospacing="1"/>
              <w:jc w:val="center"/>
              <w:rPr>
                <w:b/>
                <w:bCs/>
                <w:sz w:val="20"/>
                <w:szCs w:val="20"/>
              </w:rPr>
            </w:pPr>
            <w:r w:rsidRPr="00185BC0">
              <w:rPr>
                <w:b/>
                <w:bCs/>
                <w:sz w:val="20"/>
                <w:szCs w:val="20"/>
              </w:rPr>
              <w:t>Кость</w:t>
            </w:r>
          </w:p>
        </w:tc>
        <w:tc>
          <w:tcPr>
            <w:tcW w:w="1837" w:type="dxa"/>
          </w:tcPr>
          <w:p w14:paraId="7463FD83" w14:textId="77777777" w:rsidR="00915DC4" w:rsidRPr="00185BC0" w:rsidRDefault="00915DC4" w:rsidP="00915DC4">
            <w:pPr>
              <w:widowControl/>
              <w:autoSpaceDE/>
              <w:autoSpaceDN/>
              <w:spacing w:before="100" w:beforeAutospacing="1" w:after="100" w:afterAutospacing="1"/>
              <w:jc w:val="center"/>
              <w:rPr>
                <w:b/>
                <w:bCs/>
                <w:sz w:val="20"/>
                <w:szCs w:val="20"/>
              </w:rPr>
            </w:pPr>
            <w:r w:rsidRPr="00185BC0">
              <w:rPr>
                <w:b/>
                <w:bCs/>
                <w:sz w:val="20"/>
                <w:szCs w:val="20"/>
              </w:rPr>
              <w:t>Эндопротез</w:t>
            </w:r>
          </w:p>
        </w:tc>
      </w:tr>
      <w:tr w:rsidR="00915DC4" w:rsidRPr="00185BC0" w14:paraId="15BDDE6D" w14:textId="77777777" w:rsidTr="00907AE6">
        <w:tc>
          <w:tcPr>
            <w:tcW w:w="3964" w:type="dxa"/>
          </w:tcPr>
          <w:p w14:paraId="44B7E52F" w14:textId="0FD73A1E" w:rsidR="00915DC4" w:rsidRPr="00185BC0" w:rsidRDefault="00915DC4" w:rsidP="00915DC4">
            <w:pPr>
              <w:widowControl/>
              <w:autoSpaceDE/>
              <w:autoSpaceDN/>
              <w:spacing w:before="100" w:beforeAutospacing="1" w:after="100" w:afterAutospacing="1"/>
              <w:jc w:val="both"/>
              <w:rPr>
                <w:sz w:val="20"/>
                <w:szCs w:val="20"/>
                <w:lang w:val="kk-KZ"/>
              </w:rPr>
            </w:pPr>
            <w:r w:rsidRPr="00185BC0">
              <w:rPr>
                <w:sz w:val="20"/>
                <w:szCs w:val="20"/>
              </w:rPr>
              <w:t xml:space="preserve">Максимальное эквивалентное напряжение по </w:t>
            </w:r>
            <w:proofErr w:type="spellStart"/>
            <w:r w:rsidRPr="00185BC0">
              <w:rPr>
                <w:sz w:val="20"/>
                <w:szCs w:val="20"/>
              </w:rPr>
              <w:t>Мизесу</w:t>
            </w:r>
            <w:proofErr w:type="spellEnd"/>
            <w:r w:rsidRPr="00185BC0">
              <w:rPr>
                <w:sz w:val="20"/>
                <w:szCs w:val="20"/>
              </w:rPr>
              <w:t xml:space="preserve">, </w:t>
            </w:r>
            <w:r w:rsidR="00E661AD" w:rsidRPr="00185BC0">
              <w:rPr>
                <w:sz w:val="20"/>
                <w:szCs w:val="20"/>
                <w:lang w:val="kk-KZ"/>
              </w:rPr>
              <w:t>(</w:t>
            </w:r>
            <w:r w:rsidRPr="00185BC0">
              <w:rPr>
                <w:sz w:val="20"/>
                <w:szCs w:val="20"/>
              </w:rPr>
              <w:t>М</w:t>
            </w:r>
            <w:r w:rsidR="00E661AD" w:rsidRPr="00185BC0">
              <w:rPr>
                <w:sz w:val="20"/>
                <w:szCs w:val="20"/>
              </w:rPr>
              <w:t>п</w:t>
            </w:r>
            <w:r w:rsidRPr="00185BC0">
              <w:rPr>
                <w:sz w:val="20"/>
                <w:szCs w:val="20"/>
              </w:rPr>
              <w:t>а</w:t>
            </w:r>
            <w:r w:rsidR="00E661AD" w:rsidRPr="00185BC0">
              <w:rPr>
                <w:sz w:val="20"/>
                <w:szCs w:val="20"/>
                <w:lang w:val="kk-KZ"/>
              </w:rPr>
              <w:t>)</w:t>
            </w:r>
          </w:p>
        </w:tc>
        <w:tc>
          <w:tcPr>
            <w:tcW w:w="1701" w:type="dxa"/>
          </w:tcPr>
          <w:p w14:paraId="5DE011F1"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76</w:t>
            </w:r>
          </w:p>
        </w:tc>
        <w:tc>
          <w:tcPr>
            <w:tcW w:w="1843" w:type="dxa"/>
          </w:tcPr>
          <w:p w14:paraId="781D2A88"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167,2</w:t>
            </w:r>
          </w:p>
        </w:tc>
        <w:tc>
          <w:tcPr>
            <w:tcW w:w="1837" w:type="dxa"/>
          </w:tcPr>
          <w:p w14:paraId="11F59766"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122</w:t>
            </w:r>
          </w:p>
        </w:tc>
      </w:tr>
      <w:tr w:rsidR="00915DC4" w:rsidRPr="00185BC0" w14:paraId="7394694D" w14:textId="77777777" w:rsidTr="00907AE6">
        <w:trPr>
          <w:trHeight w:val="411"/>
        </w:trPr>
        <w:tc>
          <w:tcPr>
            <w:tcW w:w="3964" w:type="dxa"/>
          </w:tcPr>
          <w:p w14:paraId="300AC22E" w14:textId="1813B9E1" w:rsidR="00915DC4" w:rsidRPr="00185BC0" w:rsidRDefault="00915DC4" w:rsidP="00915DC4">
            <w:pPr>
              <w:widowControl/>
              <w:autoSpaceDE/>
              <w:autoSpaceDN/>
              <w:spacing w:before="100" w:beforeAutospacing="1" w:after="100" w:afterAutospacing="1"/>
              <w:jc w:val="both"/>
              <w:rPr>
                <w:sz w:val="20"/>
                <w:szCs w:val="20"/>
                <w:lang w:val="kk-KZ"/>
              </w:rPr>
            </w:pPr>
            <w:r w:rsidRPr="00185BC0">
              <w:rPr>
                <w:sz w:val="20"/>
                <w:szCs w:val="20"/>
              </w:rPr>
              <w:t xml:space="preserve">Максимальное линейное смещение, </w:t>
            </w:r>
            <w:r w:rsidR="00E661AD" w:rsidRPr="00185BC0">
              <w:rPr>
                <w:sz w:val="20"/>
                <w:szCs w:val="20"/>
                <w:lang w:val="kk-KZ"/>
              </w:rPr>
              <w:t>(</w:t>
            </w:r>
            <w:r w:rsidRPr="00185BC0">
              <w:rPr>
                <w:sz w:val="20"/>
                <w:szCs w:val="20"/>
              </w:rPr>
              <w:t>мм</w:t>
            </w:r>
            <w:r w:rsidR="00E661AD" w:rsidRPr="00185BC0">
              <w:rPr>
                <w:sz w:val="20"/>
                <w:szCs w:val="20"/>
                <w:lang w:val="kk-KZ"/>
              </w:rPr>
              <w:t>)</w:t>
            </w:r>
          </w:p>
        </w:tc>
        <w:tc>
          <w:tcPr>
            <w:tcW w:w="1701" w:type="dxa"/>
          </w:tcPr>
          <w:p w14:paraId="27C83C99"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0,08</w:t>
            </w:r>
          </w:p>
        </w:tc>
        <w:tc>
          <w:tcPr>
            <w:tcW w:w="1843" w:type="dxa"/>
          </w:tcPr>
          <w:p w14:paraId="47C983E9"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0,094</w:t>
            </w:r>
          </w:p>
        </w:tc>
        <w:tc>
          <w:tcPr>
            <w:tcW w:w="1837" w:type="dxa"/>
          </w:tcPr>
          <w:p w14:paraId="18D662AE"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0,145</w:t>
            </w:r>
          </w:p>
        </w:tc>
      </w:tr>
      <w:tr w:rsidR="00915DC4" w:rsidRPr="00185BC0" w14:paraId="45971676" w14:textId="77777777" w:rsidTr="00907AE6">
        <w:tc>
          <w:tcPr>
            <w:tcW w:w="3964" w:type="dxa"/>
          </w:tcPr>
          <w:p w14:paraId="1F98A2BD" w14:textId="77777777" w:rsidR="00915DC4" w:rsidRPr="00185BC0" w:rsidRDefault="00915DC4" w:rsidP="00915DC4">
            <w:pPr>
              <w:widowControl/>
              <w:autoSpaceDE/>
              <w:autoSpaceDN/>
              <w:spacing w:before="100" w:beforeAutospacing="1" w:after="100" w:afterAutospacing="1"/>
              <w:jc w:val="both"/>
              <w:rPr>
                <w:sz w:val="20"/>
                <w:szCs w:val="20"/>
              </w:rPr>
            </w:pPr>
            <w:r w:rsidRPr="00185BC0">
              <w:rPr>
                <w:sz w:val="20"/>
                <w:szCs w:val="20"/>
              </w:rPr>
              <w:t>Минимальный коэффициент запаса прочности</w:t>
            </w:r>
          </w:p>
        </w:tc>
        <w:tc>
          <w:tcPr>
            <w:tcW w:w="1701" w:type="dxa"/>
          </w:tcPr>
          <w:p w14:paraId="3DA7F890"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3,63</w:t>
            </w:r>
          </w:p>
        </w:tc>
        <w:tc>
          <w:tcPr>
            <w:tcW w:w="1843" w:type="dxa"/>
          </w:tcPr>
          <w:p w14:paraId="6FF78639"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1,24</w:t>
            </w:r>
          </w:p>
        </w:tc>
        <w:tc>
          <w:tcPr>
            <w:tcW w:w="1837" w:type="dxa"/>
          </w:tcPr>
          <w:p w14:paraId="05E537B7" w14:textId="77777777" w:rsidR="00915DC4" w:rsidRPr="00185BC0" w:rsidRDefault="00915DC4" w:rsidP="00915DC4">
            <w:pPr>
              <w:widowControl/>
              <w:autoSpaceDE/>
              <w:autoSpaceDN/>
              <w:spacing w:before="100" w:beforeAutospacing="1" w:after="100" w:afterAutospacing="1"/>
              <w:jc w:val="center"/>
              <w:rPr>
                <w:sz w:val="20"/>
                <w:szCs w:val="20"/>
              </w:rPr>
            </w:pPr>
            <w:r w:rsidRPr="00185BC0">
              <w:rPr>
                <w:sz w:val="20"/>
                <w:szCs w:val="20"/>
              </w:rPr>
              <w:t>2,26</w:t>
            </w:r>
          </w:p>
        </w:tc>
      </w:tr>
    </w:tbl>
    <w:p w14:paraId="5045826F" w14:textId="0AD838D3" w:rsidR="00915DC4" w:rsidRPr="00185BC0" w:rsidRDefault="00915DC4" w:rsidP="00915DC4">
      <w:pPr>
        <w:widowControl/>
        <w:autoSpaceDE/>
        <w:autoSpaceDN/>
        <w:spacing w:before="100" w:beforeAutospacing="1" w:after="100" w:afterAutospacing="1"/>
        <w:ind w:firstLine="720"/>
        <w:jc w:val="both"/>
        <w:rPr>
          <w:sz w:val="28"/>
          <w:szCs w:val="28"/>
        </w:rPr>
      </w:pPr>
      <w:r w:rsidRPr="00185BC0">
        <w:rPr>
          <w:sz w:val="28"/>
          <w:szCs w:val="28"/>
        </w:rPr>
        <w:t xml:space="preserve">Полученные результаты подчёркивают важность применения современных методов вычислительного моделирования для оптимизации конструкции имплантатов. Эффективность </w:t>
      </w:r>
      <w:proofErr w:type="spellStart"/>
      <w:r w:rsidRPr="00185BC0">
        <w:rPr>
          <w:sz w:val="28"/>
          <w:szCs w:val="28"/>
        </w:rPr>
        <w:t>деротационной</w:t>
      </w:r>
      <w:proofErr w:type="spellEnd"/>
      <w:r w:rsidRPr="00185BC0">
        <w:rPr>
          <w:sz w:val="28"/>
          <w:szCs w:val="28"/>
        </w:rPr>
        <w:t xml:space="preserve"> пластины демонстрирует её способность снижать риск осложнений, связанных с </w:t>
      </w:r>
      <w:proofErr w:type="spellStart"/>
      <w:r w:rsidRPr="00185BC0">
        <w:rPr>
          <w:sz w:val="28"/>
          <w:szCs w:val="28"/>
        </w:rPr>
        <w:t>подвертельной</w:t>
      </w:r>
      <w:proofErr w:type="spellEnd"/>
      <w:r w:rsidRPr="00185BC0">
        <w:rPr>
          <w:sz w:val="28"/>
          <w:szCs w:val="28"/>
        </w:rPr>
        <w:t xml:space="preserve"> укорачивающей остеотомией таких</w:t>
      </w:r>
      <w:r w:rsidR="00E661AD" w:rsidRPr="00185BC0">
        <w:rPr>
          <w:sz w:val="28"/>
          <w:szCs w:val="28"/>
          <w:lang w:val="kk-KZ"/>
        </w:rPr>
        <w:t>,</w:t>
      </w:r>
      <w:r w:rsidRPr="00185BC0">
        <w:rPr>
          <w:sz w:val="28"/>
          <w:szCs w:val="28"/>
        </w:rPr>
        <w:t xml:space="preserve"> как нестабильность и чрезмерное смещение. Благодаря равномерному распределению напряжений и сохранению структурной целостности пластина доказала свою пригодность для клинического применения при тяжёлых формах дисплазии тазобедренного сустава. Проведённое исследование подтверждает, что </w:t>
      </w:r>
      <w:proofErr w:type="spellStart"/>
      <w:r w:rsidRPr="00185BC0">
        <w:rPr>
          <w:sz w:val="28"/>
          <w:szCs w:val="28"/>
        </w:rPr>
        <w:t>деротационная</w:t>
      </w:r>
      <w:proofErr w:type="spellEnd"/>
      <w:r w:rsidRPr="00185BC0">
        <w:rPr>
          <w:sz w:val="28"/>
          <w:szCs w:val="28"/>
        </w:rPr>
        <w:t xml:space="preserve"> пластина является надёжным элементом системы «эндопротез</w:t>
      </w:r>
      <w:r w:rsidR="00E661AD" w:rsidRPr="00185BC0">
        <w:rPr>
          <w:sz w:val="28"/>
          <w:szCs w:val="28"/>
          <w:lang w:val="kk-KZ"/>
        </w:rPr>
        <w:t xml:space="preserve"> </w:t>
      </w:r>
      <w:r w:rsidRPr="00185BC0">
        <w:rPr>
          <w:sz w:val="28"/>
          <w:szCs w:val="28"/>
        </w:rPr>
        <w:t>–</w:t>
      </w:r>
      <w:r w:rsidR="00E661AD" w:rsidRPr="00185BC0">
        <w:rPr>
          <w:sz w:val="28"/>
          <w:szCs w:val="28"/>
          <w:lang w:val="kk-KZ"/>
        </w:rPr>
        <w:t xml:space="preserve"> </w:t>
      </w:r>
      <w:r w:rsidRPr="00185BC0">
        <w:rPr>
          <w:sz w:val="28"/>
          <w:szCs w:val="28"/>
        </w:rPr>
        <w:t xml:space="preserve">бедренная кость» и </w:t>
      </w:r>
      <w:r w:rsidRPr="00185BC0">
        <w:rPr>
          <w:sz w:val="28"/>
          <w:szCs w:val="28"/>
        </w:rPr>
        <w:lastRenderedPageBreak/>
        <w:t>обладает значительным потенциалом для улучшения клинических исходов в ортопедической хирургии</w:t>
      </w:r>
      <w:r w:rsidR="001D29A3" w:rsidRPr="00185BC0">
        <w:rPr>
          <w:sz w:val="28"/>
          <w:szCs w:val="28"/>
        </w:rPr>
        <w:t xml:space="preserve"> (Приложение Б, авторское свидетельство РК № 65522 от 19.11.2025г.) </w:t>
      </w:r>
      <w:r w:rsidR="001D29A3" w:rsidRPr="00185BC0">
        <w:rPr>
          <w:sz w:val="28"/>
          <w:szCs w:val="28"/>
        </w:rPr>
        <w:fldChar w:fldCharType="begin" w:fldLock="1"/>
      </w:r>
      <w:r w:rsidR="00483103" w:rsidRPr="00185BC0">
        <w:rPr>
          <w:sz w:val="28"/>
          <w:szCs w:val="28"/>
        </w:rPr>
        <w:instrText>ADDIN CSL_CITATION {"citationItems":[{"id":"ITEM-1","itemData":{"id":"ITEM-1","issued":{"date-parts":[["2025"]]},"page":"65522","title":"Авторское свидетельство: Математическое моделирование деротационной пластины при эндопротезировании диспластического коксартроза IV типа по Crowe. Авторы: Октяброва Д.Г., Ашимов К.Д., Б.Н. Горбунов, Абильмажинов М.Т., Байдалин Т.Т., Сулейменов Б.Т., Бекна","type":"article-journal"},"uris":["http://www.mendeley.com/documents/?uuid=c017b748-9fde-4e66-abe9-d015c7c71498"]}],"mendeley":{"formattedCitation":"[106]","plainTextFormattedCitation":"[106]","previouslyFormattedCitation":"[106]"},"properties":{"noteIndex":0},"schema":"https://github.com/citation-style-language/schema/raw/master/csl-citation.json"}</w:instrText>
      </w:r>
      <w:r w:rsidR="001D29A3" w:rsidRPr="00185BC0">
        <w:rPr>
          <w:sz w:val="28"/>
          <w:szCs w:val="28"/>
        </w:rPr>
        <w:fldChar w:fldCharType="separate"/>
      </w:r>
      <w:r w:rsidR="00483103" w:rsidRPr="00185BC0">
        <w:rPr>
          <w:noProof/>
          <w:sz w:val="28"/>
          <w:szCs w:val="28"/>
        </w:rPr>
        <w:t>[106]</w:t>
      </w:r>
      <w:r w:rsidR="001D29A3" w:rsidRPr="00185BC0">
        <w:rPr>
          <w:sz w:val="28"/>
          <w:szCs w:val="28"/>
        </w:rPr>
        <w:fldChar w:fldCharType="end"/>
      </w:r>
      <w:r w:rsidRPr="00185BC0">
        <w:rPr>
          <w:sz w:val="28"/>
          <w:szCs w:val="28"/>
        </w:rPr>
        <w:t xml:space="preserve">. Анализ, учитывающий ключевые параметры </w:t>
      </w:r>
      <w:proofErr w:type="spellStart"/>
      <w:r w:rsidRPr="00185BC0">
        <w:rPr>
          <w:sz w:val="28"/>
          <w:szCs w:val="28"/>
        </w:rPr>
        <w:t>распределени</w:t>
      </w:r>
      <w:proofErr w:type="spellEnd"/>
      <w:r w:rsidR="00333B77" w:rsidRPr="00185BC0">
        <w:rPr>
          <w:sz w:val="28"/>
          <w:szCs w:val="28"/>
          <w:lang w:val="kk-KZ"/>
        </w:rPr>
        <w:t>я</w:t>
      </w:r>
      <w:r w:rsidRPr="00185BC0">
        <w:rPr>
          <w:sz w:val="28"/>
          <w:szCs w:val="28"/>
        </w:rPr>
        <w:t xml:space="preserve"> напряжений, контроль смещений и коэффициенты запаса прочности, создаёт основу для последующей экспериментальной верификации и внедрения данной конструкции в клиническую практику.</w:t>
      </w:r>
    </w:p>
    <w:p w14:paraId="3DB4DC3A" w14:textId="36A3DF5C" w:rsidR="00E9567F" w:rsidRPr="00185BC0" w:rsidRDefault="00E277EC" w:rsidP="00D91A58">
      <w:pPr>
        <w:pStyle w:val="1"/>
        <w:numPr>
          <w:ilvl w:val="1"/>
          <w:numId w:val="12"/>
        </w:numPr>
        <w:jc w:val="both"/>
      </w:pPr>
      <w:r w:rsidRPr="00185BC0">
        <w:rPr>
          <w:lang w:val="kk-KZ"/>
        </w:rPr>
        <w:t xml:space="preserve"> </w:t>
      </w:r>
      <w:bookmarkStart w:id="37" w:name="_Toc217561939"/>
      <w:r w:rsidR="00C413E2" w:rsidRPr="00185BC0">
        <w:rPr>
          <w:lang w:val="kk-KZ"/>
        </w:rPr>
        <w:t>А</w:t>
      </w:r>
      <w:proofErr w:type="spellStart"/>
      <w:r w:rsidR="00E9567F" w:rsidRPr="00185BC0">
        <w:t>лгоритм</w:t>
      </w:r>
      <w:proofErr w:type="spellEnd"/>
      <w:r w:rsidR="00E9567F" w:rsidRPr="00185BC0">
        <w:t xml:space="preserve"> предоперационного планирования укорачивающей остеотомии</w:t>
      </w:r>
      <w:bookmarkEnd w:id="37"/>
    </w:p>
    <w:p w14:paraId="325D898C" w14:textId="015039AE" w:rsidR="00E9567F" w:rsidRPr="00185BC0" w:rsidRDefault="00E9567F" w:rsidP="00E9567F">
      <w:pPr>
        <w:widowControl/>
        <w:autoSpaceDE/>
        <w:autoSpaceDN/>
        <w:ind w:firstLine="567"/>
        <w:jc w:val="both"/>
        <w:rPr>
          <w:sz w:val="28"/>
          <w:szCs w:val="28"/>
        </w:rPr>
      </w:pPr>
      <w:r w:rsidRPr="00185BC0">
        <w:rPr>
          <w:sz w:val="28"/>
          <w:szCs w:val="28"/>
        </w:rPr>
        <w:t xml:space="preserve">В результате проведённого исследования разработан алгоритм предоперационного планирования укорачивающей остеотомии бедренной кости у пациентов с диспластическим коксартрозом IV типа по </w:t>
      </w:r>
      <w:proofErr w:type="spellStart"/>
      <w:r w:rsidRPr="00185BC0">
        <w:rPr>
          <w:sz w:val="28"/>
          <w:szCs w:val="28"/>
        </w:rPr>
        <w:t>Crowe</w:t>
      </w:r>
      <w:proofErr w:type="spellEnd"/>
      <w:r w:rsidRPr="00185BC0">
        <w:rPr>
          <w:sz w:val="28"/>
          <w:szCs w:val="28"/>
        </w:rPr>
        <w:t xml:space="preserve">. Данный алгоритм основан на комплексной рентгенодиагностике и компьютерной томографии, </w:t>
      </w:r>
      <w:proofErr w:type="spellStart"/>
      <w:r w:rsidRPr="00185BC0">
        <w:rPr>
          <w:sz w:val="28"/>
          <w:szCs w:val="28"/>
        </w:rPr>
        <w:t>позволяющи</w:t>
      </w:r>
      <w:proofErr w:type="spellEnd"/>
      <w:r w:rsidR="00333B77" w:rsidRPr="00185BC0">
        <w:rPr>
          <w:sz w:val="28"/>
          <w:szCs w:val="28"/>
          <w:lang w:val="kk-KZ"/>
        </w:rPr>
        <w:t>е</w:t>
      </w:r>
      <w:r w:rsidRPr="00185BC0">
        <w:rPr>
          <w:sz w:val="28"/>
          <w:szCs w:val="28"/>
        </w:rPr>
        <w:t xml:space="preserve"> точно оценить укорочение конечности и спланировать оптимальное вмешательство</w:t>
      </w:r>
      <w:r w:rsidR="00483103" w:rsidRPr="00185BC0">
        <w:rPr>
          <w:sz w:val="28"/>
          <w:szCs w:val="28"/>
          <w:lang w:val="tr-TR"/>
        </w:rPr>
        <w:t xml:space="preserve"> </w:t>
      </w:r>
      <w:r w:rsidR="00483103" w:rsidRPr="00185BC0">
        <w:rPr>
          <w:sz w:val="28"/>
          <w:szCs w:val="28"/>
        </w:rPr>
        <w:t>(Приложение Б, авторское свидетельство РК № 6</w:t>
      </w:r>
      <w:r w:rsidR="00483103" w:rsidRPr="00185BC0">
        <w:rPr>
          <w:sz w:val="28"/>
          <w:szCs w:val="28"/>
          <w:lang w:val="tr-TR"/>
        </w:rPr>
        <w:t>3260</w:t>
      </w:r>
      <w:r w:rsidR="00483103" w:rsidRPr="00185BC0">
        <w:rPr>
          <w:sz w:val="28"/>
          <w:szCs w:val="28"/>
        </w:rPr>
        <w:t xml:space="preserve"> от </w:t>
      </w:r>
      <w:r w:rsidR="00483103" w:rsidRPr="00185BC0">
        <w:rPr>
          <w:sz w:val="28"/>
          <w:szCs w:val="28"/>
          <w:lang w:val="tr-TR"/>
        </w:rPr>
        <w:t>06</w:t>
      </w:r>
      <w:r w:rsidR="00483103" w:rsidRPr="00185BC0">
        <w:rPr>
          <w:sz w:val="28"/>
          <w:szCs w:val="28"/>
        </w:rPr>
        <w:t>.1</w:t>
      </w:r>
      <w:r w:rsidR="00483103" w:rsidRPr="00185BC0">
        <w:rPr>
          <w:sz w:val="28"/>
          <w:szCs w:val="28"/>
          <w:lang w:val="tr-TR"/>
        </w:rPr>
        <w:t>0</w:t>
      </w:r>
      <w:r w:rsidR="00483103" w:rsidRPr="00185BC0">
        <w:rPr>
          <w:sz w:val="28"/>
          <w:szCs w:val="28"/>
        </w:rPr>
        <w:t>.2025г.)</w:t>
      </w:r>
      <w:r w:rsidR="00483103" w:rsidRPr="00185BC0">
        <w:rPr>
          <w:sz w:val="28"/>
          <w:szCs w:val="28"/>
          <w:lang w:val="tr-TR"/>
        </w:rPr>
        <w:t xml:space="preserve"> </w:t>
      </w:r>
      <w:r w:rsidR="00483103" w:rsidRPr="00185BC0">
        <w:rPr>
          <w:sz w:val="28"/>
          <w:szCs w:val="28"/>
          <w:lang w:val="tr-TR"/>
        </w:rPr>
        <w:fldChar w:fldCharType="begin" w:fldLock="1"/>
      </w:r>
      <w:r w:rsidR="00483103" w:rsidRPr="00185BC0">
        <w:rPr>
          <w:sz w:val="28"/>
          <w:szCs w:val="28"/>
          <w:lang w:val="tr-TR"/>
        </w:rPr>
        <w:instrText>ADDIN CSL_CITATION {"citationItems":[{"id":"ITEM-1","itemData":{"id":"ITEM-1","issued":{"date-parts":[["0"]]},"title":"algorıtm plan.pdf","type":"article"},"uris":["http://www.mendeley.com/documents/?uuid=12f05ee2-b56f-4057-936b-d0b33d902553"]}],"mendeley":{"formattedCitation":"[107]","plainTextFormattedCitation":"[107]"},"properties":{"noteIndex":0},"schema":"https://github.com/citation-style-language/schema/raw/master/csl-citation.json"}</w:instrText>
      </w:r>
      <w:r w:rsidR="00483103" w:rsidRPr="00185BC0">
        <w:rPr>
          <w:sz w:val="28"/>
          <w:szCs w:val="28"/>
          <w:lang w:val="tr-TR"/>
        </w:rPr>
        <w:fldChar w:fldCharType="separate"/>
      </w:r>
      <w:r w:rsidR="00483103" w:rsidRPr="00185BC0">
        <w:rPr>
          <w:noProof/>
          <w:sz w:val="28"/>
          <w:szCs w:val="28"/>
          <w:lang w:val="tr-TR"/>
        </w:rPr>
        <w:t>[107]</w:t>
      </w:r>
      <w:r w:rsidR="00483103" w:rsidRPr="00185BC0">
        <w:rPr>
          <w:sz w:val="28"/>
          <w:szCs w:val="28"/>
          <w:lang w:val="tr-TR"/>
        </w:rPr>
        <w:fldChar w:fldCharType="end"/>
      </w:r>
      <w:r w:rsidRPr="00185BC0">
        <w:rPr>
          <w:sz w:val="28"/>
          <w:szCs w:val="28"/>
        </w:rPr>
        <w:t xml:space="preserve">. Алгоритм включает последовательно выполняемые этапы. </w:t>
      </w:r>
    </w:p>
    <w:p w14:paraId="49728731" w14:textId="77777777" w:rsidR="00E9567F" w:rsidRPr="00185BC0" w:rsidRDefault="00E9567F" w:rsidP="00E9567F">
      <w:pPr>
        <w:widowControl/>
        <w:autoSpaceDE/>
        <w:autoSpaceDN/>
        <w:ind w:firstLine="567"/>
        <w:jc w:val="both"/>
        <w:rPr>
          <w:i/>
          <w:iCs/>
          <w:sz w:val="28"/>
          <w:szCs w:val="28"/>
          <w:lang w:val="kk-KZ"/>
        </w:rPr>
      </w:pPr>
      <w:r w:rsidRPr="00185BC0">
        <w:rPr>
          <w:i/>
          <w:iCs/>
          <w:sz w:val="28"/>
          <w:szCs w:val="28"/>
          <w:lang w:val="kk-KZ"/>
        </w:rPr>
        <w:t xml:space="preserve">Этап 1. Определение истинной разницы в длине конечностей. </w:t>
      </w:r>
    </w:p>
    <w:p w14:paraId="49B939A4" w14:textId="7AC5931F" w:rsidR="00E9567F" w:rsidRPr="00185BC0" w:rsidRDefault="00E9567F" w:rsidP="00E9567F">
      <w:pPr>
        <w:widowControl/>
        <w:autoSpaceDE/>
        <w:autoSpaceDN/>
        <w:ind w:firstLine="567"/>
        <w:jc w:val="both"/>
        <w:rPr>
          <w:sz w:val="28"/>
          <w:szCs w:val="28"/>
          <w:lang w:val="kk-KZ"/>
        </w:rPr>
      </w:pPr>
      <w:r w:rsidRPr="00185BC0">
        <w:rPr>
          <w:sz w:val="28"/>
          <w:szCs w:val="28"/>
          <w:lang w:val="kk-KZ"/>
        </w:rPr>
        <w:t>На первом этапе выполнялась рентгеногафия, КТ и телерентгенография нижних конечностей в положении стоя, обеспечивающая панорамное изображение обеих ног в прямой проекции. Проводилось измерение длины бедренной и большеберцовой костей по сегментам: от вершины головки бедра (или от верхушки большого вертела) до межсуставной линии коленного сустава и до основания медиальной лодыжки. Суммирование сегментов позволяло определить анатомическую длину каждой конечности. Разница между полученными значениями фиксировалась как абсолютное укорочение. При одностороннем поражении сравнение проводили с контралатеральной здоровой стороной, при двустороннем с</w:t>
      </w:r>
      <w:r w:rsidR="00333B77" w:rsidRPr="00185BC0">
        <w:rPr>
          <w:sz w:val="28"/>
          <w:szCs w:val="28"/>
          <w:lang w:val="kk-KZ"/>
        </w:rPr>
        <w:t xml:space="preserve"> учетом</w:t>
      </w:r>
      <w:r w:rsidRPr="00185BC0">
        <w:rPr>
          <w:sz w:val="28"/>
          <w:szCs w:val="28"/>
          <w:lang w:val="kk-KZ"/>
        </w:rPr>
        <w:t xml:space="preserve"> нормативны</w:t>
      </w:r>
      <w:r w:rsidR="00333B77" w:rsidRPr="00185BC0">
        <w:rPr>
          <w:sz w:val="28"/>
          <w:szCs w:val="28"/>
          <w:lang w:val="kk-KZ"/>
        </w:rPr>
        <w:t>х</w:t>
      </w:r>
      <w:r w:rsidRPr="00185BC0">
        <w:rPr>
          <w:sz w:val="28"/>
          <w:szCs w:val="28"/>
          <w:lang w:val="kk-KZ"/>
        </w:rPr>
        <w:t xml:space="preserve"> показател</w:t>
      </w:r>
      <w:r w:rsidR="00333B77" w:rsidRPr="00185BC0">
        <w:rPr>
          <w:sz w:val="28"/>
          <w:szCs w:val="28"/>
          <w:lang w:val="kk-KZ"/>
        </w:rPr>
        <w:t>ей</w:t>
      </w:r>
      <w:r w:rsidRPr="00185BC0">
        <w:rPr>
          <w:sz w:val="28"/>
          <w:szCs w:val="28"/>
          <w:lang w:val="kk-KZ"/>
        </w:rPr>
        <w:t xml:space="preserve">. </w:t>
      </w:r>
    </w:p>
    <w:p w14:paraId="61E5366C" w14:textId="77777777" w:rsidR="00E9567F" w:rsidRPr="00185BC0" w:rsidRDefault="00E9567F" w:rsidP="00E9567F">
      <w:pPr>
        <w:widowControl/>
        <w:autoSpaceDE/>
        <w:autoSpaceDN/>
        <w:ind w:firstLine="567"/>
        <w:jc w:val="both"/>
        <w:rPr>
          <w:i/>
          <w:iCs/>
          <w:sz w:val="28"/>
          <w:szCs w:val="28"/>
          <w:lang w:val="kk-KZ"/>
        </w:rPr>
      </w:pPr>
      <w:r w:rsidRPr="00185BC0">
        <w:rPr>
          <w:i/>
          <w:iCs/>
          <w:sz w:val="28"/>
          <w:szCs w:val="28"/>
          <w:lang w:val="kk-KZ"/>
        </w:rPr>
        <w:t>Этап 2. Оценка компонента укорочения за счёт вывиха бедра (высоты смещения головки)</w:t>
      </w:r>
    </w:p>
    <w:p w14:paraId="3165B204" w14:textId="13BD3DD4" w:rsidR="00E9567F" w:rsidRPr="00185BC0" w:rsidRDefault="00E9567F" w:rsidP="00E277EC">
      <w:pPr>
        <w:widowControl/>
        <w:autoSpaceDE/>
        <w:autoSpaceDN/>
        <w:ind w:firstLine="567"/>
        <w:jc w:val="both"/>
        <w:rPr>
          <w:sz w:val="28"/>
          <w:szCs w:val="28"/>
          <w:lang w:val="kk-KZ"/>
        </w:rPr>
      </w:pPr>
      <w:r w:rsidRPr="00185BC0">
        <w:rPr>
          <w:sz w:val="28"/>
          <w:szCs w:val="28"/>
          <w:lang w:val="kk-KZ"/>
        </w:rPr>
        <w:t>На втором этапе алгоритма определяется высота смещения головки бедренной кости относительно истинного центра вращения вертлужной впадины по данным обзорной рентгенографии таза и КТ-реконструкции</w:t>
      </w:r>
      <w:r w:rsidR="00333B77" w:rsidRPr="00185BC0">
        <w:rPr>
          <w:sz w:val="28"/>
          <w:szCs w:val="28"/>
          <w:lang w:val="kk-KZ"/>
        </w:rPr>
        <w:t>.</w:t>
      </w:r>
      <w:r w:rsidRPr="00185BC0">
        <w:rPr>
          <w:sz w:val="28"/>
          <w:szCs w:val="28"/>
          <w:lang w:val="kk-KZ"/>
        </w:rPr>
        <w:t xml:space="preserve"> </w:t>
      </w:r>
      <w:r w:rsidR="00333B77" w:rsidRPr="00185BC0">
        <w:rPr>
          <w:sz w:val="28"/>
          <w:szCs w:val="28"/>
          <w:lang w:val="kk-KZ"/>
        </w:rPr>
        <w:t>П</w:t>
      </w:r>
      <w:r w:rsidRPr="00185BC0">
        <w:rPr>
          <w:sz w:val="28"/>
          <w:szCs w:val="28"/>
          <w:lang w:val="kk-KZ"/>
        </w:rPr>
        <w:t>ри этом фиксируется вертикальная дистанция от верхушки большого вертела до анатомического центра вертлужной впадины. При одностороннем вывихе (Crowe IV) показатель сопоставляется с контралатеральной стороной, при двустороннем поражении оценка проводится для каждой конечности отдельно. Прогнозируемое удлинение конечности рассчитывается по величине смещения: удлинение свыше 40 мм рассматривается как фактор высокого риска повреждения седалищного нерва и мягкотканных осложнений. Одномоментное удлинение более 50 мм без выполнения остеотомии считается недопустимым. Исходя из полученных измерений, укорачивающую остеотомию включали в план, если прогнозируемое удлинение при вправлении превышало 30–40 мм. При крайне высоких вывихах</w:t>
      </w:r>
      <w:r w:rsidR="00333B77" w:rsidRPr="00185BC0">
        <w:rPr>
          <w:sz w:val="28"/>
          <w:szCs w:val="28"/>
          <w:lang w:val="kk-KZ"/>
        </w:rPr>
        <w:t xml:space="preserve">, когда </w:t>
      </w:r>
      <w:r w:rsidRPr="00185BC0">
        <w:rPr>
          <w:sz w:val="28"/>
          <w:szCs w:val="28"/>
          <w:lang w:val="kk-KZ"/>
        </w:rPr>
        <w:t xml:space="preserve">головка располагается на уровне крыла подвздошной кости когда величина смещения заведомо превосходит безопасный </w:t>
      </w:r>
      <w:r w:rsidRPr="00185BC0">
        <w:rPr>
          <w:sz w:val="28"/>
          <w:szCs w:val="28"/>
          <w:lang w:val="kk-KZ"/>
        </w:rPr>
        <w:lastRenderedPageBreak/>
        <w:t>предел одномоментного удлинения выполнение укорачивающей остеотомии рассматривали как обязательное</w:t>
      </w:r>
    </w:p>
    <w:p w14:paraId="256B02B2" w14:textId="77777777" w:rsidR="00E9567F" w:rsidRPr="00185BC0" w:rsidRDefault="00E9567F" w:rsidP="00E277EC">
      <w:pPr>
        <w:widowControl/>
        <w:autoSpaceDE/>
        <w:autoSpaceDN/>
        <w:ind w:firstLine="567"/>
        <w:jc w:val="both"/>
        <w:rPr>
          <w:i/>
          <w:iCs/>
          <w:sz w:val="28"/>
          <w:szCs w:val="28"/>
        </w:rPr>
      </w:pPr>
      <w:r w:rsidRPr="00185BC0">
        <w:rPr>
          <w:i/>
          <w:iCs/>
          <w:sz w:val="28"/>
          <w:szCs w:val="28"/>
        </w:rPr>
        <w:t>Этап 3. Расчёт оптимального размера укорачивающей остеотомии бедренной кости</w:t>
      </w:r>
    </w:p>
    <w:p w14:paraId="155325D5" w14:textId="27C20A0B" w:rsidR="00E9567F" w:rsidRPr="00185BC0" w:rsidRDefault="00E9567F" w:rsidP="00E9567F">
      <w:pPr>
        <w:pStyle w:val="a5"/>
        <w:ind w:firstLine="567"/>
        <w:jc w:val="both"/>
        <w:rPr>
          <w:sz w:val="28"/>
          <w:szCs w:val="28"/>
          <w:lang w:val="kk-KZ"/>
        </w:rPr>
      </w:pPr>
      <w:r w:rsidRPr="00185BC0">
        <w:rPr>
          <w:sz w:val="28"/>
          <w:szCs w:val="28"/>
        </w:rPr>
        <w:t xml:space="preserve">На третьем этапе алгоритма </w:t>
      </w:r>
      <w:r w:rsidR="00681582" w:rsidRPr="00185BC0">
        <w:rPr>
          <w:sz w:val="28"/>
          <w:szCs w:val="28"/>
        </w:rPr>
        <w:t xml:space="preserve">при установке вертлужного компонента в истинный центр вертлужной впадины </w:t>
      </w:r>
      <w:r w:rsidRPr="00185BC0">
        <w:rPr>
          <w:sz w:val="28"/>
          <w:szCs w:val="28"/>
        </w:rPr>
        <w:t xml:space="preserve">выполнялся расчёт оптимальной длины </w:t>
      </w:r>
      <w:proofErr w:type="spellStart"/>
      <w:r w:rsidRPr="00185BC0">
        <w:rPr>
          <w:sz w:val="28"/>
          <w:szCs w:val="28"/>
        </w:rPr>
        <w:t>подвертельной</w:t>
      </w:r>
      <w:proofErr w:type="spellEnd"/>
      <w:r w:rsidRPr="00185BC0">
        <w:rPr>
          <w:sz w:val="28"/>
          <w:szCs w:val="28"/>
        </w:rPr>
        <w:t xml:space="preserve"> поперечной укорачивающей остеотомии бедренной кости у пациентов с высоким врождённым вывихом бедра (</w:t>
      </w:r>
      <w:proofErr w:type="spellStart"/>
      <w:r w:rsidRPr="00185BC0">
        <w:rPr>
          <w:sz w:val="28"/>
          <w:szCs w:val="28"/>
        </w:rPr>
        <w:t>Crowe</w:t>
      </w:r>
      <w:proofErr w:type="spellEnd"/>
      <w:r w:rsidRPr="00185BC0">
        <w:rPr>
          <w:sz w:val="28"/>
          <w:szCs w:val="28"/>
        </w:rPr>
        <w:t xml:space="preserve"> IV). Цель расчёта заключалась в выборе объёма резекции, позволяющего достигнуть планового баланса длины конечностей при ограничении острого удлинения до безопасного предела.</w:t>
      </w:r>
      <w:r w:rsidRPr="00185BC0">
        <w:rPr>
          <w:sz w:val="28"/>
          <w:szCs w:val="28"/>
          <w:lang w:val="kk-KZ"/>
        </w:rPr>
        <w:t xml:space="preserve"> </w:t>
      </w:r>
      <w:r w:rsidR="00681582" w:rsidRPr="00185BC0">
        <w:rPr>
          <w:sz w:val="28"/>
          <w:szCs w:val="28"/>
          <w:lang w:val="kk-KZ"/>
        </w:rPr>
        <w:t>Для того ч</w:t>
      </w:r>
      <w:r w:rsidRPr="00185BC0">
        <w:rPr>
          <w:sz w:val="28"/>
          <w:szCs w:val="28"/>
          <w:lang w:val="kk-KZ"/>
        </w:rPr>
        <w:t xml:space="preserve">тобы не «перетягивать» мягкие ткани, размер укорачивающей остеотомии рассчитывали как разность между потенциальным удлинением </w:t>
      </w:r>
      <w:r w:rsidRPr="00185BC0">
        <w:rPr>
          <w:rFonts w:ascii="Cambria Math" w:hAnsi="Cambria Math" w:cs="Cambria Math"/>
          <w:sz w:val="28"/>
          <w:szCs w:val="28"/>
          <w:lang w:val="kk-KZ"/>
        </w:rPr>
        <w:t xml:space="preserve">𝐻 </w:t>
      </w:r>
      <w:r w:rsidRPr="00185BC0">
        <w:rPr>
          <w:sz w:val="28"/>
          <w:szCs w:val="28"/>
          <w:lang w:val="kk-KZ"/>
        </w:rPr>
        <w:t xml:space="preserve">+ </w:t>
      </w:r>
      <w:r w:rsidRPr="00185BC0">
        <w:rPr>
          <w:rFonts w:ascii="Cambria Math" w:hAnsi="Cambria Math" w:cs="Cambria Math"/>
          <w:sz w:val="28"/>
          <w:szCs w:val="28"/>
          <w:lang w:val="kk-KZ"/>
        </w:rPr>
        <w:t>𝑆 и</w:t>
      </w:r>
      <w:r w:rsidRPr="00185BC0">
        <w:rPr>
          <w:sz w:val="28"/>
          <w:szCs w:val="28"/>
          <w:lang w:val="kk-KZ"/>
        </w:rPr>
        <w:t xml:space="preserve"> целевым удлинением</w:t>
      </w:r>
      <w:r w:rsidR="00C7757A" w:rsidRPr="00185BC0">
        <w:rPr>
          <w:sz w:val="28"/>
          <w:szCs w:val="28"/>
          <w:lang w:val="kk-KZ"/>
        </w:rPr>
        <w:t>, формула (2)</w:t>
      </w:r>
      <w:r w:rsidRPr="00185BC0">
        <w:rPr>
          <w:sz w:val="28"/>
          <w:szCs w:val="28"/>
          <w:lang w:val="kk-KZ"/>
        </w:rPr>
        <w:t>:</w:t>
      </w:r>
    </w:p>
    <w:p w14:paraId="31DF1494" w14:textId="77777777" w:rsidR="00E9567F" w:rsidRPr="00185BC0" w:rsidRDefault="00E9567F" w:rsidP="00E9567F">
      <w:pPr>
        <w:pStyle w:val="a5"/>
        <w:ind w:firstLine="567"/>
        <w:jc w:val="both"/>
      </w:pPr>
    </w:p>
    <w:p w14:paraId="56252E15" w14:textId="6C787E25" w:rsidR="00E9567F" w:rsidRPr="00185BC0" w:rsidRDefault="00E9567F" w:rsidP="00E9567F">
      <w:pPr>
        <w:pStyle w:val="a5"/>
        <w:ind w:firstLine="567"/>
        <w:jc w:val="center"/>
        <w:rPr>
          <w:sz w:val="36"/>
          <w:szCs w:val="36"/>
          <w:lang w:val="kk-KZ"/>
        </w:rPr>
      </w:pPr>
      <w:r w:rsidRPr="00185BC0">
        <w:rPr>
          <w:sz w:val="28"/>
          <w:szCs w:val="28"/>
          <w:lang w:val="en-US"/>
        </w:rPr>
        <w:t>L</w:t>
      </w:r>
      <w:r w:rsidRPr="00185BC0">
        <w:rPr>
          <w:sz w:val="28"/>
          <w:szCs w:val="28"/>
          <w:vertAlign w:val="subscript"/>
          <w:lang w:val="tr-TR"/>
        </w:rPr>
        <w:t xml:space="preserve">ost, plan </w:t>
      </w:r>
      <w:r w:rsidRPr="00185BC0">
        <w:rPr>
          <w:sz w:val="28"/>
          <w:szCs w:val="28"/>
          <w:lang w:val="en-US"/>
        </w:rPr>
        <w:t xml:space="preserve">= </w:t>
      </w:r>
      <w:r w:rsidRPr="00185BC0">
        <w:rPr>
          <w:sz w:val="28"/>
          <w:szCs w:val="28"/>
          <w:lang w:val="kk-KZ"/>
        </w:rPr>
        <w:t>(</w:t>
      </w:r>
      <w:r w:rsidRPr="00185BC0">
        <w:rPr>
          <w:sz w:val="28"/>
          <w:szCs w:val="28"/>
          <w:lang w:val="tr-TR"/>
        </w:rPr>
        <w:t>H + S</w:t>
      </w:r>
      <w:r w:rsidRPr="00185BC0">
        <w:rPr>
          <w:sz w:val="28"/>
          <w:szCs w:val="28"/>
          <w:lang w:val="en-US"/>
        </w:rPr>
        <w:t xml:space="preserve">) – </w:t>
      </w:r>
      <w:proofErr w:type="spellStart"/>
      <w:r w:rsidRPr="00185BC0">
        <w:rPr>
          <w:sz w:val="28"/>
          <w:szCs w:val="28"/>
          <w:lang w:val="en-US"/>
        </w:rPr>
        <w:t>ΔLL</w:t>
      </w:r>
      <w:r w:rsidRPr="00185BC0">
        <w:rPr>
          <w:sz w:val="28"/>
          <w:szCs w:val="28"/>
          <w:vertAlign w:val="subscript"/>
          <w:lang w:val="en-US"/>
        </w:rPr>
        <w:t>post</w:t>
      </w:r>
      <w:proofErr w:type="spellEnd"/>
      <w:r w:rsidR="00C7757A" w:rsidRPr="00185BC0">
        <w:rPr>
          <w:sz w:val="28"/>
          <w:szCs w:val="28"/>
          <w:vertAlign w:val="subscript"/>
          <w:lang w:val="kk-KZ"/>
        </w:rPr>
        <w:t xml:space="preserve">   </w:t>
      </w:r>
      <w:proofErr w:type="gramStart"/>
      <w:r w:rsidR="00C7757A" w:rsidRPr="00185BC0">
        <w:rPr>
          <w:sz w:val="28"/>
          <w:szCs w:val="28"/>
          <w:vertAlign w:val="subscript"/>
          <w:lang w:val="kk-KZ"/>
        </w:rPr>
        <w:t xml:space="preserve">   </w:t>
      </w:r>
      <w:r w:rsidR="00C7757A" w:rsidRPr="00185BC0">
        <w:rPr>
          <w:sz w:val="28"/>
          <w:szCs w:val="28"/>
          <w:lang w:val="kk-KZ"/>
        </w:rPr>
        <w:t>(</w:t>
      </w:r>
      <w:proofErr w:type="gramEnd"/>
      <w:r w:rsidR="00C7757A" w:rsidRPr="00185BC0">
        <w:rPr>
          <w:sz w:val="28"/>
          <w:szCs w:val="28"/>
          <w:lang w:val="kk-KZ"/>
        </w:rPr>
        <w:t>2)</w:t>
      </w:r>
    </w:p>
    <w:p w14:paraId="26F01140" w14:textId="77777777" w:rsidR="00E277EC" w:rsidRPr="00185BC0" w:rsidRDefault="00E277EC" w:rsidP="00E9567F">
      <w:pPr>
        <w:pStyle w:val="a5"/>
        <w:ind w:firstLine="720"/>
        <w:jc w:val="both"/>
        <w:rPr>
          <w:i/>
          <w:iCs/>
          <w:sz w:val="28"/>
          <w:szCs w:val="28"/>
          <w:lang w:val="en-US"/>
        </w:rPr>
      </w:pPr>
    </w:p>
    <w:p w14:paraId="39345FA7" w14:textId="68EB5385" w:rsidR="00E9567F" w:rsidRPr="00185BC0" w:rsidRDefault="00E9567F" w:rsidP="00E9567F">
      <w:pPr>
        <w:pStyle w:val="a5"/>
        <w:ind w:firstLine="720"/>
        <w:jc w:val="both"/>
        <w:rPr>
          <w:i/>
          <w:iCs/>
          <w:sz w:val="28"/>
          <w:szCs w:val="28"/>
        </w:rPr>
      </w:pPr>
      <w:r w:rsidRPr="00185BC0">
        <w:rPr>
          <w:i/>
          <w:iCs/>
          <w:sz w:val="28"/>
          <w:szCs w:val="28"/>
        </w:rPr>
        <w:t>Исходные параметры и обозначения (мм)</w:t>
      </w:r>
    </w:p>
    <w:p w14:paraId="29465DD0" w14:textId="6F30A310" w:rsidR="00E9567F" w:rsidRPr="00185BC0" w:rsidRDefault="00E9567F" w:rsidP="00D47CC4">
      <w:pPr>
        <w:pStyle w:val="a5"/>
        <w:numPr>
          <w:ilvl w:val="0"/>
          <w:numId w:val="11"/>
        </w:numPr>
        <w:ind w:left="0" w:firstLine="709"/>
        <w:jc w:val="both"/>
        <w:rPr>
          <w:sz w:val="28"/>
          <w:szCs w:val="28"/>
        </w:rPr>
      </w:pPr>
      <w:r w:rsidRPr="00185BC0">
        <w:rPr>
          <w:sz w:val="28"/>
          <w:szCs w:val="28"/>
        </w:rPr>
        <w:t xml:space="preserve">H </w:t>
      </w:r>
      <w:r w:rsidR="00DA5A93" w:rsidRPr="00185BC0">
        <w:rPr>
          <w:sz w:val="28"/>
          <w:szCs w:val="28"/>
        </w:rPr>
        <w:t>–</w:t>
      </w:r>
      <w:r w:rsidRPr="00185BC0">
        <w:rPr>
          <w:sz w:val="28"/>
          <w:szCs w:val="28"/>
        </w:rPr>
        <w:t xml:space="preserve"> вертикальная высота смещения центра головки бедренной кости над истинным центром вертлужной впадины (по калиброванной AP-рентгенограмме/КТ);</w:t>
      </w:r>
    </w:p>
    <w:p w14:paraId="0B89CDBB" w14:textId="3B7D4403" w:rsidR="00E9567F" w:rsidRPr="00185BC0" w:rsidRDefault="00E9567F" w:rsidP="00D47CC4">
      <w:pPr>
        <w:pStyle w:val="a5"/>
        <w:numPr>
          <w:ilvl w:val="0"/>
          <w:numId w:val="11"/>
        </w:numPr>
        <w:ind w:left="0" w:firstLine="709"/>
        <w:jc w:val="both"/>
        <w:rPr>
          <w:sz w:val="28"/>
          <w:szCs w:val="28"/>
          <w:lang w:val="kk-KZ"/>
        </w:rPr>
      </w:pPr>
      <w:r w:rsidRPr="00185BC0">
        <w:rPr>
          <w:sz w:val="28"/>
          <w:szCs w:val="28"/>
          <w:lang w:val="en-US"/>
        </w:rPr>
        <w:t>S</w:t>
      </w:r>
      <w:r w:rsidRPr="00185BC0">
        <w:rPr>
          <w:sz w:val="28"/>
          <w:szCs w:val="28"/>
        </w:rPr>
        <w:t xml:space="preserve"> </w:t>
      </w:r>
      <w:r w:rsidR="00DA5A93" w:rsidRPr="00185BC0">
        <w:rPr>
          <w:sz w:val="28"/>
          <w:szCs w:val="28"/>
          <w:lang w:val="kk-KZ"/>
        </w:rPr>
        <w:t>–</w:t>
      </w:r>
      <w:r w:rsidRPr="00185BC0">
        <w:rPr>
          <w:sz w:val="28"/>
          <w:szCs w:val="28"/>
          <w:lang w:val="kk-KZ"/>
        </w:rPr>
        <w:t xml:space="preserve"> суммарная «геометрическая» поправка имплантов вдоль оси конечности</w:t>
      </w:r>
      <w:r w:rsidR="00C7757A" w:rsidRPr="00185BC0">
        <w:rPr>
          <w:sz w:val="28"/>
          <w:szCs w:val="28"/>
          <w:lang w:val="kk-KZ"/>
        </w:rPr>
        <w:t>, формула (3)</w:t>
      </w:r>
      <w:r w:rsidRPr="00185BC0">
        <w:rPr>
          <w:sz w:val="28"/>
          <w:szCs w:val="28"/>
          <w:lang w:val="kk-KZ"/>
        </w:rPr>
        <w:t>:</w:t>
      </w:r>
    </w:p>
    <w:p w14:paraId="40A63841" w14:textId="32F090CD" w:rsidR="00E9567F" w:rsidRPr="00185BC0" w:rsidRDefault="00E9567F" w:rsidP="00E9567F">
      <w:pPr>
        <w:pStyle w:val="a5"/>
        <w:ind w:firstLine="720"/>
        <w:jc w:val="center"/>
        <w:rPr>
          <w:sz w:val="28"/>
          <w:szCs w:val="28"/>
          <w:lang w:val="tr-TR"/>
        </w:rPr>
      </w:pPr>
      <w:r w:rsidRPr="00185BC0">
        <w:rPr>
          <w:sz w:val="28"/>
          <w:szCs w:val="28"/>
          <w:lang w:val="kk-KZ"/>
        </w:rPr>
        <w:t>S = Δ</w:t>
      </w:r>
      <w:r w:rsidRPr="00185BC0">
        <w:rPr>
          <w:sz w:val="28"/>
          <w:szCs w:val="28"/>
          <w:vertAlign w:val="subscript"/>
          <w:lang w:val="kk-KZ"/>
        </w:rPr>
        <w:t>cup</w:t>
      </w:r>
      <w:r w:rsidRPr="00185BC0">
        <w:rPr>
          <w:sz w:val="28"/>
          <w:szCs w:val="28"/>
          <w:lang w:val="kk-KZ"/>
        </w:rPr>
        <w:t xml:space="preserve"> + p Δ </w:t>
      </w:r>
      <w:r w:rsidRPr="00185BC0">
        <w:rPr>
          <w:sz w:val="28"/>
          <w:szCs w:val="28"/>
          <w:vertAlign w:val="subscript"/>
          <w:lang w:val="kk-KZ"/>
        </w:rPr>
        <w:t>head</w:t>
      </w:r>
      <w:r w:rsidRPr="00185BC0">
        <w:rPr>
          <w:sz w:val="28"/>
          <w:szCs w:val="28"/>
          <w:lang w:val="tr-TR"/>
        </w:rPr>
        <w:t xml:space="preserve">, </w:t>
      </w:r>
      <w:r w:rsidRPr="00185BC0">
        <w:rPr>
          <w:sz w:val="28"/>
          <w:szCs w:val="28"/>
          <w:vertAlign w:val="subscript"/>
          <w:lang w:val="tr-TR"/>
        </w:rPr>
        <w:t xml:space="preserve">  </w:t>
      </w:r>
      <w:r w:rsidR="00C7757A" w:rsidRPr="00185BC0">
        <w:rPr>
          <w:sz w:val="28"/>
          <w:szCs w:val="28"/>
          <w:lang w:val="tr-TR"/>
        </w:rPr>
        <w:t>(</w:t>
      </w:r>
      <w:r w:rsidR="00C7757A" w:rsidRPr="00185BC0">
        <w:rPr>
          <w:sz w:val="28"/>
          <w:szCs w:val="28"/>
          <w:lang w:val="kk-KZ"/>
        </w:rPr>
        <w:t>3</w:t>
      </w:r>
      <w:r w:rsidR="00C7757A" w:rsidRPr="00185BC0">
        <w:rPr>
          <w:sz w:val="28"/>
          <w:szCs w:val="28"/>
          <w:lang w:val="tr-TR"/>
        </w:rPr>
        <w:t>)</w:t>
      </w:r>
      <w:r w:rsidRPr="00185BC0">
        <w:rPr>
          <w:sz w:val="28"/>
          <w:szCs w:val="28"/>
          <w:vertAlign w:val="subscript"/>
          <w:lang w:val="tr-TR"/>
        </w:rPr>
        <w:t xml:space="preserve">         </w:t>
      </w:r>
      <w:r w:rsidRPr="00185BC0">
        <w:rPr>
          <w:sz w:val="28"/>
          <w:szCs w:val="28"/>
          <w:lang w:val="tr-TR"/>
        </w:rPr>
        <w:t>p=cos(180</w:t>
      </w:r>
      <w:r w:rsidRPr="00185BC0">
        <w:rPr>
          <w:rFonts w:ascii="Cambria Math" w:hAnsi="Cambria Math" w:cs="Cambria Math"/>
          <w:sz w:val="28"/>
          <w:szCs w:val="28"/>
          <w:lang w:val="tr-TR"/>
        </w:rPr>
        <w:t>∘</w:t>
      </w:r>
      <w:r w:rsidRPr="00185BC0">
        <w:rPr>
          <w:sz w:val="28"/>
          <w:szCs w:val="28"/>
          <w:lang w:val="tr-TR"/>
        </w:rPr>
        <w:t>−CCD)</w:t>
      </w:r>
    </w:p>
    <w:p w14:paraId="43C8EDBB" w14:textId="77777777" w:rsidR="00E9567F" w:rsidRPr="00185BC0" w:rsidRDefault="00E9567F" w:rsidP="00E9567F">
      <w:pPr>
        <w:pStyle w:val="a5"/>
        <w:ind w:firstLine="720"/>
        <w:jc w:val="center"/>
        <w:rPr>
          <w:sz w:val="36"/>
          <w:szCs w:val="36"/>
          <w:lang w:val="kk-KZ"/>
        </w:rPr>
      </w:pPr>
    </w:p>
    <w:p w14:paraId="0E54E9CA" w14:textId="77777777" w:rsidR="00E9567F" w:rsidRPr="00185BC0" w:rsidRDefault="00E9567F" w:rsidP="00E9567F">
      <w:pPr>
        <w:pStyle w:val="a5"/>
        <w:ind w:firstLine="720"/>
        <w:jc w:val="both"/>
        <w:rPr>
          <w:sz w:val="28"/>
          <w:szCs w:val="28"/>
          <w:lang w:val="kk-KZ"/>
        </w:rPr>
      </w:pPr>
      <w:r w:rsidRPr="00185BC0">
        <w:rPr>
          <w:sz w:val="28"/>
          <w:szCs w:val="28"/>
          <w:lang w:val="en-US"/>
        </w:rPr>
        <w:t xml:space="preserve"> </w:t>
      </w:r>
      <w:r w:rsidRPr="00185BC0">
        <w:rPr>
          <w:sz w:val="28"/>
          <w:szCs w:val="28"/>
        </w:rPr>
        <w:t>где</w:t>
      </w:r>
    </w:p>
    <w:p w14:paraId="6A99AF77" w14:textId="68E5A6FC" w:rsidR="00E9567F" w:rsidRPr="00185BC0" w:rsidRDefault="00E9567F" w:rsidP="00E9567F">
      <w:pPr>
        <w:pStyle w:val="a5"/>
        <w:ind w:firstLine="720"/>
        <w:jc w:val="both"/>
        <w:rPr>
          <w:sz w:val="28"/>
          <w:szCs w:val="28"/>
          <w:lang w:val="kk-KZ"/>
        </w:rPr>
      </w:pPr>
      <w:r w:rsidRPr="00185BC0">
        <w:rPr>
          <w:sz w:val="28"/>
          <w:szCs w:val="28"/>
        </w:rPr>
        <w:t xml:space="preserve"> </w:t>
      </w:r>
      <w:proofErr w:type="spellStart"/>
      <w:r w:rsidRPr="00185BC0">
        <w:rPr>
          <w:sz w:val="28"/>
          <w:szCs w:val="28"/>
          <w:lang w:val="en-US"/>
        </w:rPr>
        <w:t>Δ</w:t>
      </w:r>
      <w:r w:rsidRPr="00185BC0">
        <w:rPr>
          <w:sz w:val="28"/>
          <w:szCs w:val="28"/>
          <w:vertAlign w:val="subscript"/>
          <w:lang w:val="en-US"/>
        </w:rPr>
        <w:t>cup</w:t>
      </w:r>
      <w:proofErr w:type="spellEnd"/>
      <w:r w:rsidRPr="00185BC0">
        <w:rPr>
          <w:sz w:val="28"/>
          <w:szCs w:val="28"/>
          <w:vertAlign w:val="subscript"/>
        </w:rPr>
        <w:t xml:space="preserve"> </w:t>
      </w:r>
      <w:r w:rsidR="00681582" w:rsidRPr="00185BC0">
        <w:rPr>
          <w:sz w:val="28"/>
          <w:szCs w:val="28"/>
          <w:lang w:val="kk-KZ"/>
        </w:rPr>
        <w:t xml:space="preserve">– </w:t>
      </w:r>
      <w:r w:rsidRPr="00185BC0">
        <w:rPr>
          <w:sz w:val="28"/>
          <w:szCs w:val="28"/>
          <w:lang w:val="kk-KZ"/>
        </w:rPr>
        <w:t>вертикальное смещение чашки относительно истинного центра</w:t>
      </w:r>
      <w:r w:rsidR="00681582" w:rsidRPr="00185BC0">
        <w:rPr>
          <w:sz w:val="28"/>
          <w:szCs w:val="28"/>
          <w:lang w:val="kk-KZ"/>
        </w:rPr>
        <w:t xml:space="preserve">. </w:t>
      </w:r>
      <w:r w:rsidRPr="00185BC0">
        <w:rPr>
          <w:sz w:val="28"/>
          <w:szCs w:val="28"/>
          <w:lang w:val="kk-KZ"/>
        </w:rPr>
        <w:t xml:space="preserve">Δcup  </w:t>
      </w:r>
      <w:r w:rsidRPr="00185BC0">
        <w:rPr>
          <w:sz w:val="28"/>
          <w:szCs w:val="28"/>
        </w:rPr>
        <w:t>= 0 при установке вертлужного компонента на истинный центр вращения</w:t>
      </w:r>
      <w:r w:rsidRPr="00185BC0">
        <w:rPr>
          <w:sz w:val="28"/>
          <w:szCs w:val="28"/>
          <w:lang w:val="kk-KZ"/>
        </w:rPr>
        <w:t>;</w:t>
      </w:r>
    </w:p>
    <w:p w14:paraId="24ED5434" w14:textId="469BA4D1" w:rsidR="00E9567F" w:rsidRPr="00185BC0" w:rsidRDefault="00E9567F" w:rsidP="00E9567F">
      <w:pPr>
        <w:pStyle w:val="a5"/>
        <w:ind w:firstLine="720"/>
        <w:jc w:val="both"/>
        <w:rPr>
          <w:sz w:val="28"/>
          <w:szCs w:val="28"/>
          <w:lang w:val="kk-KZ"/>
        </w:rPr>
      </w:pPr>
      <w:r w:rsidRPr="00185BC0">
        <w:rPr>
          <w:sz w:val="28"/>
          <w:szCs w:val="28"/>
          <w:lang w:val="kk-KZ"/>
        </w:rPr>
        <w:t xml:space="preserve">Δ </w:t>
      </w:r>
      <w:r w:rsidRPr="00185BC0">
        <w:rPr>
          <w:sz w:val="28"/>
          <w:szCs w:val="28"/>
          <w:vertAlign w:val="subscript"/>
          <w:lang w:val="kk-KZ"/>
        </w:rPr>
        <w:t xml:space="preserve">head </w:t>
      </w:r>
      <w:r w:rsidR="00681582" w:rsidRPr="00185BC0">
        <w:rPr>
          <w:sz w:val="28"/>
          <w:szCs w:val="28"/>
          <w:lang w:val="kk-KZ"/>
        </w:rPr>
        <w:t xml:space="preserve">– </w:t>
      </w:r>
      <w:r w:rsidRPr="00185BC0">
        <w:rPr>
          <w:sz w:val="28"/>
          <w:szCs w:val="28"/>
          <w:lang w:val="kk-KZ"/>
        </w:rPr>
        <w:t xml:space="preserve"> «номинальная» длина головки (короткая −3,5 мм; стандарт 0 мм; длинная +3,5; и т.д.). Вклад в длину конечности </w:t>
      </w:r>
      <w:r w:rsidR="00DA5A93" w:rsidRPr="00185BC0">
        <w:rPr>
          <w:sz w:val="28"/>
          <w:szCs w:val="28"/>
          <w:lang w:val="kk-KZ"/>
        </w:rPr>
        <w:t>–</w:t>
      </w:r>
      <w:r w:rsidRPr="00185BC0">
        <w:rPr>
          <w:sz w:val="28"/>
          <w:szCs w:val="28"/>
          <w:lang w:val="kk-KZ"/>
        </w:rPr>
        <w:t xml:space="preserve"> не вся эта величина, а её проекция вдоль оси конечности: </w:t>
      </w:r>
      <w:r w:rsidRPr="00185BC0">
        <w:rPr>
          <w:rFonts w:ascii="Cambria Math" w:hAnsi="Cambria Math" w:cs="Cambria Math"/>
          <w:sz w:val="28"/>
          <w:szCs w:val="28"/>
          <w:lang w:val="kk-KZ"/>
        </w:rPr>
        <w:t xml:space="preserve">𝑝 </w:t>
      </w:r>
      <w:r w:rsidRPr="00185BC0">
        <w:rPr>
          <w:sz w:val="28"/>
          <w:szCs w:val="28"/>
          <w:lang w:val="kk-KZ"/>
        </w:rPr>
        <w:t xml:space="preserve">Δ </w:t>
      </w:r>
      <w:r w:rsidRPr="00185BC0">
        <w:rPr>
          <w:sz w:val="28"/>
          <w:szCs w:val="28"/>
          <w:vertAlign w:val="subscript"/>
          <w:lang w:val="kk-KZ"/>
        </w:rPr>
        <w:t>head</w:t>
      </w:r>
      <w:r w:rsidRPr="00185BC0">
        <w:rPr>
          <w:sz w:val="28"/>
          <w:szCs w:val="28"/>
          <w:lang w:val="kk-KZ"/>
        </w:rPr>
        <w:t>.</w:t>
      </w:r>
    </w:p>
    <w:p w14:paraId="3FC41EEA" w14:textId="2BB81C0F" w:rsidR="00E9567F" w:rsidRPr="00185BC0" w:rsidRDefault="00E9567F" w:rsidP="00E9567F">
      <w:pPr>
        <w:pStyle w:val="a5"/>
        <w:ind w:firstLine="720"/>
        <w:jc w:val="both"/>
        <w:rPr>
          <w:sz w:val="28"/>
          <w:szCs w:val="28"/>
          <w:lang w:val="kk-KZ"/>
        </w:rPr>
      </w:pPr>
      <w:r w:rsidRPr="00185BC0">
        <w:rPr>
          <w:rFonts w:ascii="Cambria Math" w:hAnsi="Cambria Math" w:cs="Cambria Math"/>
          <w:sz w:val="28"/>
          <w:szCs w:val="28"/>
          <w:lang w:val="kk-KZ"/>
        </w:rPr>
        <w:t xml:space="preserve">𝑝 </w:t>
      </w:r>
      <w:r w:rsidRPr="00185BC0">
        <w:rPr>
          <w:sz w:val="28"/>
          <w:szCs w:val="28"/>
          <w:lang w:val="kk-KZ"/>
        </w:rPr>
        <w:t xml:space="preserve">= cos  (180° − CCD) </w:t>
      </w:r>
      <w:r w:rsidR="00DA5A93" w:rsidRPr="00185BC0">
        <w:rPr>
          <w:sz w:val="28"/>
          <w:szCs w:val="28"/>
          <w:lang w:val="kk-KZ"/>
        </w:rPr>
        <w:t>–</w:t>
      </w:r>
      <w:r w:rsidRPr="00185BC0">
        <w:rPr>
          <w:sz w:val="28"/>
          <w:szCs w:val="28"/>
          <w:lang w:val="kk-KZ"/>
        </w:rPr>
        <w:t xml:space="preserve"> коэффициент проекции для угла шейка-диафиз (CCD): </w:t>
      </w:r>
    </w:p>
    <w:p w14:paraId="61E2D08C" w14:textId="5BE1030C" w:rsidR="00E9567F" w:rsidRPr="00185BC0" w:rsidRDefault="00E9567F" w:rsidP="00E9567F">
      <w:pPr>
        <w:ind w:firstLine="720"/>
        <w:rPr>
          <w:sz w:val="28"/>
          <w:szCs w:val="28"/>
          <w:lang w:val="kk-KZ"/>
        </w:rPr>
      </w:pPr>
      <w:r w:rsidRPr="00185BC0">
        <w:rPr>
          <w:sz w:val="28"/>
          <w:szCs w:val="28"/>
          <w:lang w:val="kk-KZ"/>
        </w:rPr>
        <w:t xml:space="preserve">для Wagner </w:t>
      </w:r>
      <w:r w:rsidRPr="00185BC0">
        <w:rPr>
          <w:sz w:val="28"/>
          <w:szCs w:val="28"/>
          <w:lang w:val="en-US"/>
        </w:rPr>
        <w:t>Cone</w:t>
      </w:r>
      <w:r w:rsidRPr="00185BC0">
        <w:rPr>
          <w:sz w:val="28"/>
          <w:szCs w:val="28"/>
          <w:lang w:val="kk-KZ"/>
        </w:rPr>
        <w:t xml:space="preserve"> 135°: 180-135 = 45° </w:t>
      </w:r>
      <w:r w:rsidRPr="00185BC0">
        <w:rPr>
          <w:rFonts w:ascii="Cambria Math" w:hAnsi="Cambria Math" w:cs="Cambria Math"/>
          <w:sz w:val="28"/>
          <w:szCs w:val="28"/>
          <w:lang w:val="kk-KZ"/>
        </w:rPr>
        <w:t xml:space="preserve">⇒ 𝑝 </w:t>
      </w:r>
      <w:r w:rsidRPr="00185BC0">
        <w:rPr>
          <w:sz w:val="28"/>
          <w:szCs w:val="28"/>
          <w:lang w:val="kk-KZ"/>
        </w:rPr>
        <w:t xml:space="preserve">= cos  45° =    </w:t>
      </w:r>
      <m:oMath>
        <m:f>
          <m:fPr>
            <m:ctrlPr>
              <w:rPr>
                <w:rFonts w:ascii="Cambria Math" w:hAnsi="Cambria Math"/>
                <w:sz w:val="28"/>
                <w:szCs w:val="28"/>
              </w:rPr>
            </m:ctrlPr>
          </m:fPr>
          <m:num>
            <m:rad>
              <m:radPr>
                <m:ctrlPr>
                  <w:rPr>
                    <w:rFonts w:ascii="Cambria Math" w:hAnsi="Cambria Math"/>
                    <w:sz w:val="28"/>
                    <w:szCs w:val="28"/>
                  </w:rPr>
                </m:ctrlPr>
              </m:radPr>
              <m:deg/>
              <m:e>
                <m:r>
                  <w:rPr>
                    <w:rFonts w:ascii="Cambria Math" w:hAnsi="Cambria Math"/>
                    <w:sz w:val="28"/>
                    <w:szCs w:val="28"/>
                    <w:lang w:val="en-US"/>
                  </w:rPr>
                  <m:t>2</m:t>
                </m:r>
              </m:e>
            </m:rad>
          </m:num>
          <m:den>
            <m:r>
              <w:rPr>
                <w:rFonts w:ascii="Cambria Math" w:hAnsi="Cambria Math"/>
                <w:sz w:val="28"/>
                <w:szCs w:val="28"/>
                <w:lang w:val="en-US"/>
              </w:rPr>
              <m:t>2</m:t>
            </m:r>
          </m:den>
        </m:f>
      </m:oMath>
      <w:r w:rsidRPr="00185BC0">
        <w:rPr>
          <w:sz w:val="28"/>
          <w:szCs w:val="28"/>
          <w:lang w:val="kk-KZ"/>
        </w:rPr>
        <w:t xml:space="preserve">     </w:t>
      </w:r>
      <w:r w:rsidRPr="00185BC0">
        <w:rPr>
          <w:rStyle w:val="mrel"/>
          <w:sz w:val="28"/>
          <w:szCs w:val="28"/>
          <w:lang w:val="kk-KZ"/>
        </w:rPr>
        <w:t xml:space="preserve">≈ </w:t>
      </w:r>
      <w:r w:rsidRPr="00185BC0">
        <w:rPr>
          <w:rStyle w:val="mord"/>
          <w:sz w:val="28"/>
          <w:szCs w:val="28"/>
          <w:lang w:val="kk-KZ"/>
        </w:rPr>
        <w:t>0</w:t>
      </w:r>
      <w:r w:rsidRPr="00185BC0">
        <w:rPr>
          <w:rStyle w:val="mpunct"/>
          <w:sz w:val="28"/>
          <w:szCs w:val="28"/>
          <w:lang w:val="kk-KZ"/>
        </w:rPr>
        <w:t>,</w:t>
      </w:r>
      <w:r w:rsidRPr="00185BC0">
        <w:rPr>
          <w:rStyle w:val="mord"/>
          <w:sz w:val="28"/>
          <w:szCs w:val="28"/>
          <w:lang w:val="kk-KZ"/>
        </w:rPr>
        <w:t>707</w:t>
      </w:r>
      <w:r w:rsidRPr="00185BC0">
        <w:rPr>
          <w:sz w:val="28"/>
          <w:szCs w:val="28"/>
          <w:lang w:val="kk-KZ"/>
        </w:rPr>
        <w:t>.</w:t>
      </w:r>
    </w:p>
    <w:p w14:paraId="623EDCE4" w14:textId="77777777" w:rsidR="00907AE6" w:rsidRPr="00185BC0" w:rsidRDefault="00907AE6" w:rsidP="00E9567F">
      <w:pPr>
        <w:ind w:firstLine="720"/>
        <w:rPr>
          <w:sz w:val="28"/>
          <w:szCs w:val="28"/>
          <w:lang w:val="en-US"/>
        </w:rPr>
      </w:pPr>
    </w:p>
    <w:p w14:paraId="55676705" w14:textId="77777777" w:rsidR="00E9567F" w:rsidRPr="00185BC0" w:rsidRDefault="00E9567F" w:rsidP="00E9567F">
      <w:pPr>
        <w:pStyle w:val="a5"/>
        <w:ind w:firstLine="720"/>
        <w:jc w:val="both"/>
        <w:rPr>
          <w:sz w:val="28"/>
          <w:szCs w:val="28"/>
          <w:lang w:val="kk-KZ"/>
        </w:rPr>
      </w:pPr>
      <w:r w:rsidRPr="00185BC0">
        <w:rPr>
          <w:sz w:val="28"/>
          <w:szCs w:val="28"/>
          <w:lang w:val="kk-KZ"/>
        </w:rPr>
        <w:t xml:space="preserve">Отсюда: </w:t>
      </w:r>
    </w:p>
    <w:p w14:paraId="7AE814B0" w14:textId="20AD087F" w:rsidR="00E9567F" w:rsidRPr="00185BC0" w:rsidRDefault="00E9567F" w:rsidP="00E9567F">
      <w:pPr>
        <w:pStyle w:val="a5"/>
        <w:ind w:firstLine="720"/>
        <w:jc w:val="both"/>
        <w:rPr>
          <w:sz w:val="28"/>
          <w:szCs w:val="28"/>
          <w:lang w:val="kk-KZ"/>
        </w:rPr>
      </w:pPr>
      <w:r w:rsidRPr="00185BC0">
        <w:rPr>
          <w:sz w:val="28"/>
          <w:szCs w:val="28"/>
          <w:lang w:val="kk-KZ"/>
        </w:rPr>
        <w:t>головки ±3,5/±7,0/±10,5 мм дают по длине примерно ±2,5/±5,0/±7,4 мм (3,5 × 0,707 ≈ 2,47 → 2,5; 7,0 × 0,707 ≈ 4,95 → 5,0; 10,5 × 0,707 ≈ 7,41 → 7,4).</w:t>
      </w:r>
    </w:p>
    <w:p w14:paraId="346E9707" w14:textId="77777777" w:rsidR="00E9567F" w:rsidRPr="00185BC0" w:rsidRDefault="00E9567F" w:rsidP="00E9567F">
      <w:pPr>
        <w:pStyle w:val="a5"/>
        <w:ind w:firstLine="720"/>
        <w:jc w:val="both"/>
        <w:rPr>
          <w:rStyle w:val="katex-mathml"/>
          <w:sz w:val="28"/>
          <w:szCs w:val="28"/>
          <w:lang w:val="tr-TR"/>
        </w:rPr>
      </w:pPr>
      <w:r w:rsidRPr="00185BC0">
        <w:rPr>
          <w:sz w:val="28"/>
          <w:szCs w:val="28"/>
          <w:lang w:val="kk-KZ"/>
        </w:rPr>
        <w:t xml:space="preserve"> Фактическую посадку стержня учитывали интраоперационно, при необходимости </w:t>
      </w:r>
      <w:r w:rsidRPr="00185BC0">
        <w:rPr>
          <w:sz w:val="28"/>
          <w:szCs w:val="28"/>
          <w:lang w:val="tr-TR"/>
        </w:rPr>
        <w:t xml:space="preserve">S </w:t>
      </w:r>
      <w:r w:rsidRPr="00185BC0">
        <w:rPr>
          <w:sz w:val="28"/>
          <w:szCs w:val="28"/>
        </w:rPr>
        <w:t xml:space="preserve">корректировали на </w:t>
      </w:r>
      <w:r w:rsidRPr="00185BC0">
        <w:rPr>
          <w:rStyle w:val="katex-mathml"/>
          <w:sz w:val="28"/>
          <w:szCs w:val="28"/>
        </w:rPr>
        <w:t>−</w:t>
      </w:r>
      <w:proofErr w:type="spellStart"/>
      <w:r w:rsidRPr="00185BC0">
        <w:rPr>
          <w:rStyle w:val="katex-mathml"/>
          <w:sz w:val="28"/>
          <w:szCs w:val="28"/>
        </w:rPr>
        <w:t>Δ</w:t>
      </w:r>
      <w:r w:rsidRPr="00185BC0">
        <w:rPr>
          <w:rStyle w:val="katex-mathml"/>
          <w:sz w:val="28"/>
          <w:szCs w:val="28"/>
          <w:vertAlign w:val="subscript"/>
        </w:rPr>
        <w:t>sink</w:t>
      </w:r>
      <w:proofErr w:type="spellEnd"/>
      <w:r w:rsidRPr="00185BC0">
        <w:rPr>
          <w:rStyle w:val="katex-mathml"/>
          <w:sz w:val="28"/>
          <w:szCs w:val="28"/>
          <w:lang w:val="tr-TR"/>
        </w:rPr>
        <w:t xml:space="preserve"> </w:t>
      </w:r>
      <w:r w:rsidRPr="00185BC0">
        <w:rPr>
          <w:sz w:val="28"/>
          <w:szCs w:val="28"/>
        </w:rPr>
        <w:t>(1 мм дополнительного углубления снижает длину на 1 мм)</w:t>
      </w:r>
      <w:r w:rsidRPr="00185BC0">
        <w:rPr>
          <w:rStyle w:val="katex-mathml"/>
          <w:sz w:val="28"/>
          <w:szCs w:val="28"/>
          <w:lang w:val="tr-TR"/>
        </w:rPr>
        <w:t>.</w:t>
      </w:r>
    </w:p>
    <w:p w14:paraId="11A4C163" w14:textId="79221E6C" w:rsidR="00E9567F" w:rsidRPr="00185BC0" w:rsidRDefault="00E9567F" w:rsidP="00E9567F">
      <w:pPr>
        <w:pStyle w:val="a5"/>
        <w:ind w:firstLine="720"/>
        <w:jc w:val="both"/>
        <w:rPr>
          <w:rStyle w:val="katex-mathml"/>
          <w:sz w:val="28"/>
          <w:szCs w:val="28"/>
          <w:lang w:val="kk-KZ"/>
        </w:rPr>
      </w:pPr>
      <w:r w:rsidRPr="00185BC0">
        <w:rPr>
          <w:rStyle w:val="katex-mathml"/>
          <w:sz w:val="28"/>
          <w:szCs w:val="28"/>
          <w:lang w:val="tr-TR"/>
        </w:rPr>
        <w:t>В одностороннем случае величина планируемого острого удлинения ограничивается двумя величинами: требуемым для выравнивания удлинением D (по телерентгенографии) и безопасным пределом одномоментного удлинения</w:t>
      </w:r>
      <w:r w:rsidRPr="00185BC0">
        <w:rPr>
          <w:rStyle w:val="katex-mathml"/>
          <w:sz w:val="28"/>
          <w:szCs w:val="28"/>
          <w:lang w:val="kk-KZ"/>
        </w:rPr>
        <w:t xml:space="preserve"> </w:t>
      </w:r>
      <w:r w:rsidRPr="00185BC0">
        <w:rPr>
          <w:sz w:val="36"/>
          <w:szCs w:val="36"/>
          <w:lang w:val="kk-KZ"/>
        </w:rPr>
        <w:lastRenderedPageBreak/>
        <w:t>L</w:t>
      </w:r>
      <w:r w:rsidRPr="00185BC0">
        <w:rPr>
          <w:sz w:val="36"/>
          <w:szCs w:val="36"/>
          <w:vertAlign w:val="subscript"/>
          <w:lang w:val="kk-KZ"/>
        </w:rPr>
        <w:t>safe</w:t>
      </w:r>
      <w:r w:rsidRPr="00185BC0">
        <w:rPr>
          <w:sz w:val="36"/>
          <w:szCs w:val="36"/>
          <w:lang w:val="kk-KZ"/>
        </w:rPr>
        <w:t xml:space="preserve">. </w:t>
      </w:r>
      <w:r w:rsidRPr="00185BC0">
        <w:rPr>
          <w:sz w:val="28"/>
          <w:szCs w:val="28"/>
          <w:lang w:val="kk-KZ"/>
        </w:rPr>
        <w:t>Поэтому целевое удлинение задавали как</w:t>
      </w:r>
      <w:r w:rsidR="00C7757A" w:rsidRPr="00185BC0">
        <w:rPr>
          <w:sz w:val="28"/>
          <w:szCs w:val="28"/>
          <w:lang w:val="kk-KZ"/>
        </w:rPr>
        <w:t>, формула (4):</w:t>
      </w:r>
    </w:p>
    <w:p w14:paraId="789B9E45" w14:textId="77777777" w:rsidR="00E9567F" w:rsidRPr="00185BC0" w:rsidRDefault="00E9567F" w:rsidP="00E9567F">
      <w:pPr>
        <w:pStyle w:val="a5"/>
        <w:ind w:firstLine="720"/>
        <w:jc w:val="center"/>
        <w:rPr>
          <w:sz w:val="36"/>
          <w:szCs w:val="36"/>
          <w:lang w:val="kk-KZ"/>
        </w:rPr>
      </w:pPr>
    </w:p>
    <w:p w14:paraId="5EE77D93" w14:textId="4CC6E45F" w:rsidR="00E9567F" w:rsidRPr="00185BC0" w:rsidRDefault="00E9567F" w:rsidP="00E9567F">
      <w:pPr>
        <w:pStyle w:val="a5"/>
        <w:ind w:firstLine="720"/>
        <w:jc w:val="center"/>
        <w:rPr>
          <w:sz w:val="28"/>
          <w:szCs w:val="28"/>
          <w:vertAlign w:val="subscript"/>
          <w:lang w:val="kk-KZ"/>
        </w:rPr>
      </w:pPr>
      <w:r w:rsidRPr="00185BC0">
        <w:rPr>
          <w:sz w:val="28"/>
          <w:szCs w:val="28"/>
          <w:lang w:val="kk-KZ"/>
        </w:rPr>
        <w:t>ΔLL</w:t>
      </w:r>
      <w:r w:rsidRPr="00185BC0">
        <w:rPr>
          <w:sz w:val="28"/>
          <w:szCs w:val="28"/>
          <w:vertAlign w:val="subscript"/>
          <w:lang w:val="kk-KZ"/>
        </w:rPr>
        <w:t>post</w:t>
      </w:r>
      <w:r w:rsidRPr="00185BC0">
        <w:rPr>
          <w:sz w:val="28"/>
          <w:szCs w:val="28"/>
          <w:lang w:val="kk-KZ"/>
        </w:rPr>
        <w:t xml:space="preserve"> = min (D, L</w:t>
      </w:r>
      <w:r w:rsidRPr="00185BC0">
        <w:rPr>
          <w:sz w:val="28"/>
          <w:szCs w:val="28"/>
          <w:vertAlign w:val="subscript"/>
          <w:lang w:val="kk-KZ"/>
        </w:rPr>
        <w:t>safe</w:t>
      </w:r>
      <w:r w:rsidRPr="00185BC0">
        <w:rPr>
          <w:sz w:val="28"/>
          <w:szCs w:val="28"/>
          <w:lang w:val="kk-KZ"/>
        </w:rPr>
        <w:t xml:space="preserve">), </w:t>
      </w:r>
      <w:r w:rsidR="00C7757A" w:rsidRPr="00185BC0">
        <w:rPr>
          <w:sz w:val="28"/>
          <w:szCs w:val="28"/>
          <w:lang w:val="kk-KZ"/>
        </w:rPr>
        <w:t xml:space="preserve"> (4)        </w:t>
      </w:r>
      <w:r w:rsidRPr="00185BC0">
        <w:rPr>
          <w:sz w:val="28"/>
          <w:szCs w:val="28"/>
          <w:lang w:val="kk-KZ"/>
        </w:rPr>
        <w:t>ΔLL</w:t>
      </w:r>
      <w:r w:rsidRPr="00185BC0">
        <w:rPr>
          <w:sz w:val="28"/>
          <w:szCs w:val="28"/>
          <w:vertAlign w:val="subscript"/>
          <w:lang w:val="kk-KZ"/>
        </w:rPr>
        <w:t>рost</w:t>
      </w:r>
      <w:r w:rsidRPr="00185BC0">
        <w:rPr>
          <w:sz w:val="28"/>
          <w:szCs w:val="28"/>
          <w:lang w:val="kk-KZ"/>
        </w:rPr>
        <w:t xml:space="preserve"> ≤ L</w:t>
      </w:r>
      <w:r w:rsidRPr="00185BC0">
        <w:rPr>
          <w:sz w:val="28"/>
          <w:szCs w:val="28"/>
          <w:vertAlign w:val="subscript"/>
          <w:lang w:val="kk-KZ"/>
        </w:rPr>
        <w:t>safe</w:t>
      </w:r>
    </w:p>
    <w:p w14:paraId="71C95E9F" w14:textId="77777777" w:rsidR="00E9567F" w:rsidRPr="00185BC0" w:rsidRDefault="00E9567F" w:rsidP="00E9567F">
      <w:pPr>
        <w:pStyle w:val="a5"/>
        <w:ind w:firstLine="720"/>
        <w:jc w:val="center"/>
        <w:rPr>
          <w:sz w:val="36"/>
          <w:szCs w:val="36"/>
          <w:lang w:val="kk-KZ"/>
        </w:rPr>
      </w:pPr>
    </w:p>
    <w:p w14:paraId="553FDB05" w14:textId="236D6A4E" w:rsidR="00E9567F" w:rsidRPr="00185BC0" w:rsidRDefault="00E9567F" w:rsidP="00E9567F">
      <w:pPr>
        <w:pStyle w:val="a5"/>
        <w:ind w:firstLine="720"/>
        <w:rPr>
          <w:sz w:val="28"/>
          <w:szCs w:val="28"/>
          <w:lang w:val="kk-KZ"/>
        </w:rPr>
      </w:pPr>
      <w:r w:rsidRPr="00185BC0">
        <w:rPr>
          <w:sz w:val="28"/>
          <w:szCs w:val="28"/>
          <w:lang w:val="kk-KZ"/>
        </w:rPr>
        <w:t>ΔLL</w:t>
      </w:r>
      <w:r w:rsidRPr="00185BC0">
        <w:rPr>
          <w:sz w:val="28"/>
          <w:szCs w:val="28"/>
          <w:vertAlign w:val="subscript"/>
          <w:lang w:val="kk-KZ"/>
        </w:rPr>
        <w:t>post</w:t>
      </w:r>
      <w:r w:rsidRPr="00185BC0">
        <w:rPr>
          <w:sz w:val="28"/>
          <w:szCs w:val="28"/>
          <w:lang w:val="kk-KZ"/>
        </w:rPr>
        <w:t xml:space="preserve"> </w:t>
      </w:r>
      <w:r w:rsidR="00681582" w:rsidRPr="00185BC0">
        <w:rPr>
          <w:sz w:val="28"/>
          <w:szCs w:val="28"/>
          <w:lang w:val="kk-KZ"/>
        </w:rPr>
        <w:t xml:space="preserve">– </w:t>
      </w:r>
      <w:r w:rsidRPr="00185BC0">
        <w:rPr>
          <w:sz w:val="28"/>
          <w:szCs w:val="28"/>
          <w:lang w:val="kk-KZ"/>
        </w:rPr>
        <w:t>фактическое острое удлинение оперируемой конечности после редукции;</w:t>
      </w:r>
    </w:p>
    <w:p w14:paraId="0DC21FF8" w14:textId="508704EF" w:rsidR="00E9567F" w:rsidRPr="00185BC0" w:rsidRDefault="00E9567F" w:rsidP="00E9567F">
      <w:pPr>
        <w:pStyle w:val="a5"/>
        <w:ind w:firstLine="720"/>
        <w:jc w:val="both"/>
        <w:rPr>
          <w:sz w:val="28"/>
          <w:szCs w:val="28"/>
          <w:lang w:val="kk-KZ"/>
        </w:rPr>
      </w:pPr>
      <w:r w:rsidRPr="00185BC0">
        <w:rPr>
          <w:sz w:val="28"/>
          <w:szCs w:val="28"/>
          <w:lang w:val="kk-KZ"/>
        </w:rPr>
        <w:t xml:space="preserve">D </w:t>
      </w:r>
      <w:r w:rsidR="00DA5A93" w:rsidRPr="00185BC0">
        <w:rPr>
          <w:sz w:val="28"/>
          <w:szCs w:val="28"/>
          <w:lang w:val="kk-KZ"/>
        </w:rPr>
        <w:t>–</w:t>
      </w:r>
      <w:r w:rsidRPr="00185BC0">
        <w:rPr>
          <w:sz w:val="28"/>
          <w:szCs w:val="28"/>
          <w:lang w:val="kk-KZ"/>
        </w:rPr>
        <w:t xml:space="preserve"> требуемое удлинение оперируемой конечности для выравнивания (по телерентгенографии нижних конечностей): D&gt;0, если оперируемая нога короче;</w:t>
      </w:r>
    </w:p>
    <w:p w14:paraId="6B5115B4" w14:textId="1B8FD434" w:rsidR="00E9567F" w:rsidRPr="00185BC0" w:rsidRDefault="00E9567F" w:rsidP="00E9567F">
      <w:pPr>
        <w:pStyle w:val="a5"/>
        <w:ind w:firstLine="720"/>
        <w:jc w:val="both"/>
        <w:rPr>
          <w:sz w:val="28"/>
          <w:szCs w:val="28"/>
          <w:lang w:val="kk-KZ"/>
        </w:rPr>
      </w:pPr>
      <w:r w:rsidRPr="00185BC0">
        <w:rPr>
          <w:rFonts w:ascii="Cambria Math" w:hAnsi="Cambria Math" w:cs="Cambria Math"/>
          <w:sz w:val="28"/>
          <w:szCs w:val="28"/>
          <w:lang w:val="kk-KZ"/>
        </w:rPr>
        <w:t>𝐿</w:t>
      </w:r>
      <w:r w:rsidRPr="00185BC0">
        <w:rPr>
          <w:sz w:val="28"/>
          <w:szCs w:val="28"/>
          <w:vertAlign w:val="subscript"/>
          <w:lang w:val="kk-KZ"/>
        </w:rPr>
        <w:t>safe</w:t>
      </w:r>
      <w:r w:rsidRPr="00185BC0">
        <w:rPr>
          <w:sz w:val="28"/>
          <w:szCs w:val="28"/>
          <w:lang w:val="kk-KZ"/>
        </w:rPr>
        <w:t xml:space="preserve"> </w:t>
      </w:r>
      <w:r w:rsidR="00DA5A93" w:rsidRPr="00185BC0">
        <w:rPr>
          <w:sz w:val="28"/>
          <w:szCs w:val="28"/>
          <w:lang w:val="kk-KZ"/>
        </w:rPr>
        <w:t>–</w:t>
      </w:r>
      <w:r w:rsidRPr="00185BC0">
        <w:rPr>
          <w:sz w:val="28"/>
          <w:szCs w:val="28"/>
          <w:lang w:val="kk-KZ"/>
        </w:rPr>
        <w:t xml:space="preserve"> предел допустимого острого удлинения (обычно 40 мм; при повышенных нейрорисках 35 мм).</w:t>
      </w:r>
    </w:p>
    <w:p w14:paraId="20BA8577" w14:textId="77777777" w:rsidR="00E9567F" w:rsidRPr="00185BC0" w:rsidRDefault="00E9567F" w:rsidP="00E9567F">
      <w:pPr>
        <w:pStyle w:val="a5"/>
        <w:ind w:firstLine="567"/>
        <w:jc w:val="both"/>
        <w:rPr>
          <w:sz w:val="28"/>
          <w:szCs w:val="28"/>
          <w:lang w:val="kk-KZ"/>
        </w:rPr>
      </w:pPr>
      <w:r w:rsidRPr="00185BC0">
        <w:rPr>
          <w:sz w:val="28"/>
          <w:szCs w:val="28"/>
          <w:lang w:val="kk-KZ"/>
        </w:rPr>
        <w:t xml:space="preserve">Если вычисленное </w:t>
      </w:r>
      <w:r w:rsidRPr="00185BC0">
        <w:rPr>
          <w:sz w:val="28"/>
          <w:szCs w:val="28"/>
          <w:lang w:val="en-US"/>
        </w:rPr>
        <w:t>L</w:t>
      </w:r>
      <w:r w:rsidRPr="00185BC0">
        <w:rPr>
          <w:sz w:val="28"/>
          <w:szCs w:val="28"/>
          <w:vertAlign w:val="subscript"/>
          <w:lang w:val="tr-TR"/>
        </w:rPr>
        <w:t>ost,plan</w:t>
      </w:r>
      <w:r w:rsidRPr="00185BC0">
        <w:rPr>
          <w:sz w:val="28"/>
          <w:szCs w:val="28"/>
          <w:vertAlign w:val="subscript"/>
          <w:lang w:val="kk-KZ"/>
        </w:rPr>
        <w:t xml:space="preserve"> </w:t>
      </w:r>
      <w:r w:rsidRPr="00185BC0">
        <w:rPr>
          <w:sz w:val="28"/>
          <w:szCs w:val="28"/>
          <w:lang w:val="kk-KZ"/>
        </w:rPr>
        <w:t>оказывалось отрицательным, остеотомию не выполняли (принимали L</w:t>
      </w:r>
      <w:r w:rsidRPr="00185BC0">
        <w:rPr>
          <w:sz w:val="28"/>
          <w:szCs w:val="28"/>
          <w:vertAlign w:val="subscript"/>
          <w:lang w:val="kk-KZ"/>
        </w:rPr>
        <w:t>ost,plan</w:t>
      </w:r>
      <w:r w:rsidRPr="00185BC0">
        <w:rPr>
          <w:sz w:val="28"/>
          <w:szCs w:val="28"/>
          <w:lang w:val="kk-KZ"/>
        </w:rPr>
        <w:t xml:space="preserve"> </w:t>
      </w:r>
      <w:r w:rsidRPr="00185BC0">
        <w:rPr>
          <w:sz w:val="28"/>
          <w:szCs w:val="28"/>
        </w:rPr>
        <w:t>=</w:t>
      </w:r>
      <w:r w:rsidRPr="00185BC0">
        <w:rPr>
          <w:sz w:val="28"/>
          <w:szCs w:val="28"/>
          <w:lang w:val="kk-KZ"/>
        </w:rPr>
        <w:t xml:space="preserve">0). </w:t>
      </w:r>
      <w:r w:rsidRPr="00185BC0">
        <w:rPr>
          <w:sz w:val="28"/>
          <w:szCs w:val="28"/>
        </w:rPr>
        <w:t xml:space="preserve">Величину резекции рассчитывали по формуле и, при необходимости, </w:t>
      </w:r>
      <w:proofErr w:type="spellStart"/>
      <w:r w:rsidRPr="00185BC0">
        <w:rPr>
          <w:sz w:val="28"/>
          <w:szCs w:val="28"/>
        </w:rPr>
        <w:t>интраоперационно</w:t>
      </w:r>
      <w:proofErr w:type="spellEnd"/>
      <w:r w:rsidRPr="00185BC0">
        <w:rPr>
          <w:sz w:val="28"/>
          <w:szCs w:val="28"/>
        </w:rPr>
        <w:t xml:space="preserve"> корректировали</w:t>
      </w:r>
      <w:r w:rsidRPr="00185BC0">
        <w:rPr>
          <w:sz w:val="28"/>
          <w:szCs w:val="28"/>
          <w:lang w:val="kk-KZ"/>
        </w:rPr>
        <w:t>.</w:t>
      </w:r>
    </w:p>
    <w:p w14:paraId="2E9EEF70" w14:textId="6E543A36" w:rsidR="00E9567F" w:rsidRPr="00185BC0" w:rsidRDefault="00E9567F" w:rsidP="00E9567F">
      <w:pPr>
        <w:pStyle w:val="a5"/>
        <w:ind w:firstLine="567"/>
        <w:jc w:val="both"/>
        <w:rPr>
          <w:sz w:val="28"/>
          <w:szCs w:val="28"/>
          <w:lang w:val="kk-KZ"/>
        </w:rPr>
      </w:pPr>
      <w:r w:rsidRPr="00185BC0">
        <w:rPr>
          <w:sz w:val="28"/>
          <w:szCs w:val="28"/>
          <w:lang w:val="kk-KZ"/>
        </w:rPr>
        <w:t>Данная формула применима к односторонним случаям. При двустороннем поражении целевое удлинение требуется заранее распределить между сторонами (например, симметрично или этапно), после чего расчёт выполняют раздельно для каждой стороны.</w:t>
      </w:r>
    </w:p>
    <w:p w14:paraId="304A11C5" w14:textId="4CB12342" w:rsidR="00C413E2" w:rsidRPr="00185BC0" w:rsidRDefault="00C413E2" w:rsidP="00E9567F">
      <w:pPr>
        <w:pStyle w:val="a5"/>
        <w:ind w:firstLine="567"/>
        <w:jc w:val="both"/>
        <w:rPr>
          <w:sz w:val="28"/>
          <w:szCs w:val="28"/>
        </w:rPr>
      </w:pPr>
      <w:r w:rsidRPr="00185BC0">
        <w:rPr>
          <w:sz w:val="28"/>
          <w:szCs w:val="28"/>
          <w:lang w:val="kk-KZ"/>
        </w:rPr>
        <w:t xml:space="preserve">Предложенная формула представляет собой модифицированный авторский вариант, основанный на геометрических взаимосвязях между центрами вращения тазобедренного сустава и параметрами имплантатов. Коррекция выполнена с учётом принципов восстановления длины конечности при тотальном эндопротезировании, описанных Ranawat C.S. и соавт. </w:t>
      </w:r>
      <w:r w:rsidR="0097588E" w:rsidRPr="00185BC0">
        <w:rPr>
          <w:sz w:val="28"/>
          <w:szCs w:val="28"/>
          <w:lang w:val="kk-KZ"/>
        </w:rPr>
        <w:fldChar w:fldCharType="begin" w:fldLock="1"/>
      </w:r>
      <w:r w:rsidR="00483103" w:rsidRPr="00185BC0">
        <w:rPr>
          <w:sz w:val="28"/>
          <w:szCs w:val="28"/>
          <w:lang w:val="kk-KZ"/>
        </w:rPr>
        <w:instrText>ADDIN CSL_CITATION {"citationItems":[{"id":"ITEM-1","itemData":{"DOI":"10.1054/arth.2001.24442","ISSN":"08835403","abstract":"Although several methods of intraoperative limb-length measurements have been described, their success in predicting the limb-length correction is not well documented. A new technique of measuring intraoperative limb lengthening using a vertical Steinmann pin at the infracotyloid groove of the acetabulum was studied in 100 consecutive primary total hip arthroplasties, Correlation of the predicted intraoperative correction was done with the postoperative radiographic measurements. Preoperative limb-length inequality ranged from -24 mm (short) to +2 mm (long) (mean, -4.2 mm). Intraoperative measurement of lengthening ranged from 0 to 15 mm (mean, 5.9 mm). Radiographic measurements of postoperative radiographs showed lengthening ranging from 0 to 17 mm (mean, 7.4 mm). There was significant correlation between the 2 values (r = .84). Postoperative limb-length inequality ranged from -7 mm to +8 mm (mean, 1.9 mm). None of the patients had to use shoe lifts for equalization of limb lengths.","author":[{"dropping-particle":"","family":"Ranawat","given":"Chitranjan S.","non-dropping-particle":"","parse-names":false,"suffix":""},{"dropping-particle":"","family":"Rao","given":"Rajesh R.","non-dropping-particle":"","parse-names":false,"suffix":""},{"dropping-particle":"","family":"Rodriguez","given":"Jose A.","non-dropping-particle":"","parse-names":false,"suffix":""},{"dropping-particle":"","family":"Bhende","given":"Harish S.","non-dropping-particle":"","parse-names":false,"suffix":""}],"container-title":"Journal of Arthroplasty","id":"ITEM-1","issue":"6","issued":{"date-parts":[["2001"]]},"title":"Correction of limb-length inequality during total hip arthroplasty","type":"article-journal","volume":"16"},"uris":["http://www.mendeley.com/documents/?uuid=ac65080e-99c8-3b28-980b-2513ff2f2106"]}],"mendeley":{"formattedCitation":"[108]","plainTextFormattedCitation":"[108]","previouslyFormattedCitation":"[107]"},"properties":{"noteIndex":0},"schema":"https://github.com/citation-style-language/schema/raw/master/csl-citation.json"}</w:instrText>
      </w:r>
      <w:r w:rsidR="0097588E" w:rsidRPr="00185BC0">
        <w:rPr>
          <w:sz w:val="28"/>
          <w:szCs w:val="28"/>
          <w:lang w:val="kk-KZ"/>
        </w:rPr>
        <w:fldChar w:fldCharType="separate"/>
      </w:r>
      <w:r w:rsidR="00483103" w:rsidRPr="00185BC0">
        <w:rPr>
          <w:noProof/>
          <w:sz w:val="28"/>
          <w:szCs w:val="28"/>
          <w:lang w:val="kk-KZ"/>
        </w:rPr>
        <w:t>[108]</w:t>
      </w:r>
      <w:r w:rsidR="0097588E" w:rsidRPr="00185BC0">
        <w:rPr>
          <w:sz w:val="28"/>
          <w:szCs w:val="28"/>
          <w:lang w:val="kk-KZ"/>
        </w:rPr>
        <w:fldChar w:fldCharType="end"/>
      </w:r>
      <w:r w:rsidR="0097588E" w:rsidRPr="00185BC0">
        <w:rPr>
          <w:sz w:val="28"/>
          <w:szCs w:val="28"/>
        </w:rPr>
        <w:t>.</w:t>
      </w:r>
    </w:p>
    <w:p w14:paraId="1A171148" w14:textId="77777777" w:rsidR="00E9567F" w:rsidRPr="00185BC0" w:rsidRDefault="00E9567F" w:rsidP="00E9567F">
      <w:pPr>
        <w:pStyle w:val="a5"/>
        <w:ind w:firstLine="720"/>
        <w:jc w:val="both"/>
        <w:rPr>
          <w:i/>
          <w:iCs/>
          <w:sz w:val="28"/>
          <w:szCs w:val="28"/>
          <w:lang w:val="tr-TR"/>
        </w:rPr>
      </w:pPr>
      <w:r w:rsidRPr="00185BC0">
        <w:rPr>
          <w:i/>
          <w:iCs/>
          <w:sz w:val="28"/>
          <w:szCs w:val="28"/>
          <w:lang w:val="tr-TR"/>
        </w:rPr>
        <w:t>Этап 4. Выбор уровня и типа остеотомии</w:t>
      </w:r>
    </w:p>
    <w:p w14:paraId="24EFD77A" w14:textId="52296EEA" w:rsidR="00E9567F" w:rsidRPr="00185BC0" w:rsidRDefault="00E9567F" w:rsidP="00E9567F">
      <w:pPr>
        <w:pStyle w:val="a5"/>
        <w:ind w:firstLine="720"/>
        <w:jc w:val="both"/>
        <w:rPr>
          <w:sz w:val="28"/>
          <w:szCs w:val="28"/>
          <w:lang w:val="kk-KZ"/>
        </w:rPr>
      </w:pPr>
      <w:r w:rsidRPr="00185BC0">
        <w:rPr>
          <w:sz w:val="28"/>
          <w:szCs w:val="28"/>
          <w:lang w:val="tr-TR"/>
        </w:rPr>
        <w:t xml:space="preserve">На </w:t>
      </w:r>
      <w:r w:rsidRPr="00185BC0">
        <w:rPr>
          <w:sz w:val="28"/>
          <w:szCs w:val="28"/>
          <w:lang w:val="kk-KZ"/>
        </w:rPr>
        <w:t>четвертом</w:t>
      </w:r>
      <w:r w:rsidRPr="00185BC0">
        <w:rPr>
          <w:sz w:val="28"/>
          <w:szCs w:val="28"/>
          <w:lang w:val="tr-TR"/>
        </w:rPr>
        <w:t xml:space="preserve"> этапе алгоритма после расчёта необходимой длины резецируемого фрагмента определяется уровень остеотомии. При высоких врождённых вывихах оптимальным считается выполнение остеотомии в подвертельной области примерно на 1 см ниже нижнего края малого вертела. Такой уровень позволяет эффективно </w:t>
      </w:r>
      <w:r w:rsidRPr="00185BC0">
        <w:rPr>
          <w:sz w:val="28"/>
          <w:szCs w:val="28"/>
          <w:lang w:val="kk-KZ"/>
        </w:rPr>
        <w:t xml:space="preserve">низводит </w:t>
      </w:r>
      <w:r w:rsidRPr="00185BC0">
        <w:rPr>
          <w:sz w:val="28"/>
          <w:szCs w:val="28"/>
          <w:lang w:val="tr-TR"/>
        </w:rPr>
        <w:t>бедро вниз, не нарушая целостности вертельной зоны, и обеспечивает сопоставление костных отломков с достаточной площадью контакта.</w:t>
      </w:r>
      <w:r w:rsidRPr="00185BC0">
        <w:rPr>
          <w:sz w:val="28"/>
          <w:szCs w:val="28"/>
        </w:rPr>
        <w:t xml:space="preserve"> </w:t>
      </w:r>
      <w:r w:rsidRPr="00185BC0">
        <w:rPr>
          <w:sz w:val="28"/>
          <w:szCs w:val="28"/>
          <w:lang w:val="tr-TR"/>
        </w:rPr>
        <w:t>В рамках разработанного алгоритма предпочтение отдано поперечной остеотомии. Этот вариант технически прост, воспроизводим и при правильной фиксации обеспечивает необходимую стабильность отломков. Унификация выбора в пользу поперечной остеотомии делает алгоритм стандартизированным и удобным для практического применения в широкой клинической практике.</w:t>
      </w:r>
      <w:r w:rsidRPr="00185BC0">
        <w:rPr>
          <w:sz w:val="28"/>
          <w:szCs w:val="28"/>
        </w:rPr>
        <w:t xml:space="preserve"> </w:t>
      </w:r>
      <w:r w:rsidRPr="00185BC0">
        <w:rPr>
          <w:sz w:val="28"/>
          <w:szCs w:val="28"/>
          <w:lang w:val="tr-TR"/>
        </w:rPr>
        <w:t>Дополнительно на этапе планирования учитывается возможность ротационной коррекции. При наличии избыточной антеверсии проксимального фрагмента, характерной для диспластического коксартроза IV типа по Crowe, предусматривается</w:t>
      </w:r>
      <w:r w:rsidR="00681582" w:rsidRPr="00185BC0">
        <w:rPr>
          <w:sz w:val="28"/>
          <w:szCs w:val="28"/>
          <w:lang w:val="kk-KZ"/>
        </w:rPr>
        <w:t xml:space="preserve"> перед окончательной фиксацией</w:t>
      </w:r>
      <w:r w:rsidRPr="00185BC0">
        <w:rPr>
          <w:sz w:val="28"/>
          <w:szCs w:val="28"/>
          <w:lang w:val="tr-TR"/>
        </w:rPr>
        <w:t xml:space="preserve"> корректирующий поворот отломков. Планирование угла выполняется по данным КТ, ориентируясь на ось шейки и дистальный отдел бедра с целевым значением антеверсии около 10</w:t>
      </w:r>
      <w:r w:rsidR="00681582" w:rsidRPr="00185BC0">
        <w:rPr>
          <w:sz w:val="28"/>
          <w:szCs w:val="28"/>
          <w:lang w:val="kk-KZ"/>
        </w:rPr>
        <w:t xml:space="preserve"> </w:t>
      </w:r>
      <w:r w:rsidRPr="00185BC0">
        <w:rPr>
          <w:sz w:val="28"/>
          <w:szCs w:val="28"/>
          <w:lang w:val="tr-TR"/>
        </w:rPr>
        <w:t>–</w:t>
      </w:r>
      <w:r w:rsidR="00681582" w:rsidRPr="00185BC0">
        <w:rPr>
          <w:sz w:val="28"/>
          <w:szCs w:val="28"/>
          <w:lang w:val="kk-KZ"/>
        </w:rPr>
        <w:t xml:space="preserve"> </w:t>
      </w:r>
      <w:r w:rsidRPr="00185BC0">
        <w:rPr>
          <w:sz w:val="28"/>
          <w:szCs w:val="28"/>
          <w:lang w:val="tr-TR"/>
        </w:rPr>
        <w:t>15°.</w:t>
      </w:r>
      <w:r w:rsidRPr="00185BC0">
        <w:rPr>
          <w:sz w:val="28"/>
          <w:szCs w:val="28"/>
        </w:rPr>
        <w:t xml:space="preserve"> </w:t>
      </w:r>
      <w:r w:rsidRPr="00185BC0">
        <w:rPr>
          <w:sz w:val="28"/>
          <w:szCs w:val="28"/>
          <w:lang w:val="tr-TR"/>
        </w:rPr>
        <w:t xml:space="preserve">Все параметры </w:t>
      </w:r>
      <w:r w:rsidR="00DA5A93" w:rsidRPr="00185BC0">
        <w:rPr>
          <w:sz w:val="28"/>
          <w:szCs w:val="28"/>
          <w:lang w:val="tr-TR"/>
        </w:rPr>
        <w:t>–</w:t>
      </w:r>
      <w:r w:rsidRPr="00185BC0">
        <w:rPr>
          <w:sz w:val="28"/>
          <w:szCs w:val="28"/>
          <w:lang w:val="tr-TR"/>
        </w:rPr>
        <w:t xml:space="preserve"> уровень остеотомии, её длина, необходимость и объём ротационной коррекции </w:t>
      </w:r>
      <w:r w:rsidR="00DA5A93" w:rsidRPr="00185BC0">
        <w:rPr>
          <w:sz w:val="28"/>
          <w:szCs w:val="28"/>
          <w:lang w:val="tr-TR"/>
        </w:rPr>
        <w:t>–</w:t>
      </w:r>
      <w:r w:rsidRPr="00185BC0">
        <w:rPr>
          <w:sz w:val="28"/>
          <w:szCs w:val="28"/>
          <w:lang w:val="tr-TR"/>
        </w:rPr>
        <w:t xml:space="preserve"> фиксируются в протоколе предоперационного планирования и служат основой для выполнения хирургического этапа</w:t>
      </w:r>
      <w:r w:rsidRPr="00185BC0">
        <w:rPr>
          <w:sz w:val="28"/>
          <w:szCs w:val="28"/>
          <w:lang w:val="kk-KZ"/>
        </w:rPr>
        <w:t>.</w:t>
      </w:r>
    </w:p>
    <w:p w14:paraId="0EC41EB8" w14:textId="77777777" w:rsidR="00E9567F" w:rsidRPr="00185BC0" w:rsidRDefault="00E9567F" w:rsidP="00E9567F">
      <w:pPr>
        <w:pStyle w:val="a5"/>
        <w:ind w:firstLine="720"/>
        <w:jc w:val="both"/>
        <w:rPr>
          <w:i/>
          <w:iCs/>
          <w:sz w:val="28"/>
          <w:szCs w:val="28"/>
          <w:lang w:val="kk-KZ"/>
        </w:rPr>
      </w:pPr>
      <w:r w:rsidRPr="00185BC0">
        <w:rPr>
          <w:i/>
          <w:iCs/>
          <w:sz w:val="28"/>
          <w:szCs w:val="28"/>
          <w:lang w:val="kk-KZ"/>
        </w:rPr>
        <w:lastRenderedPageBreak/>
        <w:t>Этап 5. Планирование тактики эндопротезирования и фиксации остеотомии</w:t>
      </w:r>
    </w:p>
    <w:p w14:paraId="3A3CB510" w14:textId="1B8A8D53" w:rsidR="00E9567F" w:rsidRPr="00185BC0" w:rsidRDefault="00E9567F" w:rsidP="00E9567F">
      <w:pPr>
        <w:pStyle w:val="a5"/>
        <w:ind w:firstLine="720"/>
        <w:jc w:val="both"/>
        <w:rPr>
          <w:sz w:val="28"/>
          <w:szCs w:val="28"/>
          <w:lang w:val="kk-KZ"/>
        </w:rPr>
      </w:pPr>
      <w:r w:rsidRPr="00185BC0">
        <w:rPr>
          <w:sz w:val="28"/>
          <w:szCs w:val="28"/>
          <w:lang w:val="kk-KZ"/>
        </w:rPr>
        <w:t>Завершающим шагом алгоритма являлся выбор тактики эндопротезирования и способа фиксации остеотомии. На основании данных КТ и рентген-разметки выполняли шаблонное планирование (templating) размеров компонентов эндопротеза. Ацетабулярный компонент планировали к установке в истинный центр вертлужной впадины с максимально возможным погружением в костное ложе; при гипоплазии предусматривали чаши малого диаметра (44</w:t>
      </w:r>
      <w:r w:rsidR="00681582" w:rsidRPr="00185BC0">
        <w:rPr>
          <w:sz w:val="28"/>
          <w:szCs w:val="28"/>
          <w:lang w:val="kk-KZ"/>
        </w:rPr>
        <w:t xml:space="preserve"> </w:t>
      </w:r>
      <w:r w:rsidRPr="00185BC0">
        <w:rPr>
          <w:sz w:val="28"/>
          <w:szCs w:val="28"/>
          <w:lang w:val="kk-KZ"/>
        </w:rPr>
        <w:t>–</w:t>
      </w:r>
      <w:r w:rsidR="00681582" w:rsidRPr="00185BC0">
        <w:rPr>
          <w:sz w:val="28"/>
          <w:szCs w:val="28"/>
          <w:lang w:val="kk-KZ"/>
        </w:rPr>
        <w:t xml:space="preserve"> </w:t>
      </w:r>
      <w:r w:rsidRPr="00185BC0">
        <w:rPr>
          <w:sz w:val="28"/>
          <w:szCs w:val="28"/>
          <w:lang w:val="kk-KZ"/>
        </w:rPr>
        <w:t>46 мм) с возможностью дополнительной фиксации винтами и/или костной пластикой. Для фиксации бедренного компонента применяли удлинённые бесцементные конусные стержни, обеспечивающие диафизарную стабильность и перекрытие линии остеотомии на 4</w:t>
      </w:r>
      <w:r w:rsidR="00681582" w:rsidRPr="00185BC0">
        <w:rPr>
          <w:sz w:val="28"/>
          <w:szCs w:val="28"/>
          <w:lang w:val="kk-KZ"/>
        </w:rPr>
        <w:t xml:space="preserve"> </w:t>
      </w:r>
      <w:r w:rsidRPr="00185BC0">
        <w:rPr>
          <w:sz w:val="28"/>
          <w:szCs w:val="28"/>
          <w:lang w:val="kk-KZ"/>
        </w:rPr>
        <w:t>–</w:t>
      </w:r>
      <w:r w:rsidR="00681582" w:rsidRPr="00185BC0">
        <w:rPr>
          <w:sz w:val="28"/>
          <w:szCs w:val="28"/>
          <w:lang w:val="kk-KZ"/>
        </w:rPr>
        <w:t xml:space="preserve"> </w:t>
      </w:r>
      <w:r w:rsidRPr="00185BC0">
        <w:rPr>
          <w:sz w:val="28"/>
          <w:szCs w:val="28"/>
          <w:lang w:val="kk-KZ"/>
        </w:rPr>
        <w:t>6 см дистальнее. При признаках ротационной или осевой нестабильности алгоритм предусматривал установку деротационной пластины, что позволяло надёжно контролировать ротационную подвижность и обеспечивало дополнительную стабилизацию остеотомированных фрагментов, особенно</w:t>
      </w:r>
      <w:r w:rsidR="00681582" w:rsidRPr="00185BC0">
        <w:rPr>
          <w:sz w:val="28"/>
          <w:szCs w:val="28"/>
          <w:lang w:val="kk-KZ"/>
        </w:rPr>
        <w:t>,</w:t>
      </w:r>
      <w:r w:rsidRPr="00185BC0">
        <w:rPr>
          <w:sz w:val="28"/>
          <w:szCs w:val="28"/>
          <w:lang w:val="kk-KZ"/>
        </w:rPr>
        <w:t xml:space="preserve"> при коррекции избыточной антеверсии бедра.</w:t>
      </w:r>
    </w:p>
    <w:p w14:paraId="45FAEA2C" w14:textId="15E4877E" w:rsidR="00E9567F" w:rsidRPr="00185BC0" w:rsidRDefault="00E9567F" w:rsidP="00E9567F">
      <w:pPr>
        <w:pStyle w:val="a5"/>
        <w:ind w:firstLine="720"/>
        <w:jc w:val="both"/>
        <w:rPr>
          <w:sz w:val="28"/>
          <w:szCs w:val="28"/>
          <w:lang w:val="kk-KZ"/>
        </w:rPr>
      </w:pPr>
      <w:r w:rsidRPr="00185BC0">
        <w:rPr>
          <w:sz w:val="28"/>
          <w:szCs w:val="28"/>
          <w:lang w:val="kk-KZ"/>
        </w:rPr>
        <w:t>Кроме того, на этапе планирования оценивали необходимость мягкотканных релизов. При выраженной аддукционной контрактуре бедра в план включали частичную тенотомию приводящих мышц (и другие релизы по показаниям), что облегчало редукцию, способствовало достижению стабильности и позволяло удержать фактическое удлинение в пределах безопасного диапазона.</w:t>
      </w:r>
    </w:p>
    <w:p w14:paraId="7775400A" w14:textId="253C706A" w:rsidR="006F0329" w:rsidRPr="00185BC0" w:rsidRDefault="00E90210" w:rsidP="00E90210">
      <w:pPr>
        <w:tabs>
          <w:tab w:val="num" w:pos="720"/>
        </w:tabs>
        <w:ind w:firstLine="567"/>
        <w:jc w:val="both"/>
        <w:rPr>
          <w:sz w:val="28"/>
          <w:szCs w:val="28"/>
          <w:lang w:val="kk-KZ"/>
        </w:rPr>
      </w:pPr>
      <w:r w:rsidRPr="00185BC0">
        <w:rPr>
          <w:sz w:val="28"/>
          <w:szCs w:val="28"/>
        </w:rPr>
        <w:t xml:space="preserve">Для демонстрации практического применения предложенного алгоритма был выполнен анализ предоперационных данных пациентки </w:t>
      </w:r>
      <w:r w:rsidRPr="00185BC0">
        <w:rPr>
          <w:sz w:val="28"/>
          <w:szCs w:val="28"/>
          <w:lang w:val="kk-KZ"/>
        </w:rPr>
        <w:t>Ж</w:t>
      </w:r>
      <w:r w:rsidR="00681582" w:rsidRPr="00185BC0">
        <w:rPr>
          <w:sz w:val="28"/>
          <w:szCs w:val="28"/>
          <w:lang w:val="kk-KZ"/>
        </w:rPr>
        <w:t>.</w:t>
      </w:r>
      <w:r w:rsidRPr="00185BC0">
        <w:rPr>
          <w:sz w:val="28"/>
          <w:szCs w:val="28"/>
        </w:rPr>
        <w:t xml:space="preserve">, 38 лет, поступившей с клинико-рентгенологическими признаками </w:t>
      </w:r>
      <w:r w:rsidRPr="00185BC0">
        <w:rPr>
          <w:sz w:val="28"/>
          <w:szCs w:val="28"/>
          <w:lang w:val="kk-KZ"/>
        </w:rPr>
        <w:t>д</w:t>
      </w:r>
      <w:proofErr w:type="spellStart"/>
      <w:r w:rsidRPr="00185BC0">
        <w:rPr>
          <w:sz w:val="28"/>
          <w:szCs w:val="28"/>
        </w:rPr>
        <w:t>исплази</w:t>
      </w:r>
      <w:proofErr w:type="spellEnd"/>
      <w:r w:rsidR="00681582" w:rsidRPr="00185BC0">
        <w:rPr>
          <w:sz w:val="28"/>
          <w:szCs w:val="28"/>
          <w:lang w:val="kk-KZ"/>
        </w:rPr>
        <w:t>и</w:t>
      </w:r>
      <w:r w:rsidRPr="00185BC0">
        <w:rPr>
          <w:sz w:val="28"/>
          <w:szCs w:val="28"/>
        </w:rPr>
        <w:t xml:space="preserve"> левого тазобедренного сустава IV типа по </w:t>
      </w:r>
      <w:proofErr w:type="spellStart"/>
      <w:r w:rsidRPr="00185BC0">
        <w:rPr>
          <w:sz w:val="28"/>
          <w:szCs w:val="28"/>
        </w:rPr>
        <w:t>Crowe</w:t>
      </w:r>
      <w:proofErr w:type="spellEnd"/>
      <w:r w:rsidRPr="00185BC0">
        <w:rPr>
          <w:sz w:val="28"/>
          <w:szCs w:val="28"/>
          <w:lang w:val="kk-KZ"/>
        </w:rPr>
        <w:t>, у</w:t>
      </w:r>
      <w:proofErr w:type="spellStart"/>
      <w:r w:rsidRPr="00185BC0">
        <w:rPr>
          <w:sz w:val="28"/>
          <w:szCs w:val="28"/>
        </w:rPr>
        <w:t>корочени</w:t>
      </w:r>
      <w:proofErr w:type="spellEnd"/>
      <w:r w:rsidR="00681582" w:rsidRPr="00185BC0">
        <w:rPr>
          <w:sz w:val="28"/>
          <w:szCs w:val="28"/>
          <w:lang w:val="kk-KZ"/>
        </w:rPr>
        <w:t>и</w:t>
      </w:r>
      <w:r w:rsidRPr="00185BC0">
        <w:rPr>
          <w:sz w:val="28"/>
          <w:szCs w:val="28"/>
        </w:rPr>
        <w:t xml:space="preserve"> левой нижней конечности на 4,0 см</w:t>
      </w:r>
      <w:r w:rsidRPr="00185BC0">
        <w:rPr>
          <w:sz w:val="28"/>
          <w:szCs w:val="28"/>
          <w:lang w:val="kk-KZ"/>
        </w:rPr>
        <w:t>. Планировалось выполнение тотального эндопротезирования тазобедренного сустава. Ориентировочные размеры: ацетабулярный компонент диаметр 44 мм, вкладыш 44/28 мм и бедренный компонент №15.</w:t>
      </w:r>
    </w:p>
    <w:p w14:paraId="7278F049" w14:textId="77777777" w:rsidR="00E90210" w:rsidRPr="00185BC0" w:rsidRDefault="00E90210" w:rsidP="00E90210">
      <w:pPr>
        <w:tabs>
          <w:tab w:val="num" w:pos="720"/>
        </w:tabs>
        <w:ind w:firstLine="567"/>
        <w:jc w:val="both"/>
        <w:rPr>
          <w:i/>
          <w:iCs/>
          <w:sz w:val="28"/>
          <w:szCs w:val="28"/>
        </w:rPr>
      </w:pPr>
      <w:r w:rsidRPr="00185BC0">
        <w:rPr>
          <w:i/>
          <w:iCs/>
          <w:sz w:val="28"/>
          <w:szCs w:val="28"/>
        </w:rPr>
        <w:t>Этап 1. Определение истинной разницы в длине нижних конечностей</w:t>
      </w:r>
    </w:p>
    <w:p w14:paraId="05F74058" w14:textId="0AE859E1" w:rsidR="00E90210" w:rsidRPr="00185BC0" w:rsidRDefault="00E90210" w:rsidP="00E90210">
      <w:pPr>
        <w:tabs>
          <w:tab w:val="num" w:pos="720"/>
        </w:tabs>
        <w:ind w:firstLine="567"/>
        <w:jc w:val="both"/>
        <w:rPr>
          <w:sz w:val="28"/>
          <w:szCs w:val="28"/>
        </w:rPr>
      </w:pPr>
      <w:r w:rsidRPr="00185BC0">
        <w:rPr>
          <w:sz w:val="28"/>
          <w:szCs w:val="28"/>
        </w:rPr>
        <w:t xml:space="preserve">По данным </w:t>
      </w:r>
      <w:proofErr w:type="spellStart"/>
      <w:r w:rsidRPr="00185BC0">
        <w:rPr>
          <w:sz w:val="28"/>
          <w:szCs w:val="28"/>
        </w:rPr>
        <w:t>телерентгенографии</w:t>
      </w:r>
      <w:proofErr w:type="spellEnd"/>
      <w:r w:rsidRPr="00185BC0">
        <w:rPr>
          <w:sz w:val="28"/>
          <w:szCs w:val="28"/>
        </w:rPr>
        <w:t xml:space="preserve"> нижних конечностей:</w:t>
      </w:r>
    </w:p>
    <w:p w14:paraId="445960EE" w14:textId="145C96EE" w:rsidR="00E90210" w:rsidRPr="00185BC0" w:rsidRDefault="00E90210" w:rsidP="00D47CC4">
      <w:pPr>
        <w:pStyle w:val="a6"/>
        <w:numPr>
          <w:ilvl w:val="0"/>
          <w:numId w:val="11"/>
        </w:numPr>
        <w:tabs>
          <w:tab w:val="num" w:pos="720"/>
        </w:tabs>
        <w:ind w:left="993"/>
        <w:jc w:val="both"/>
        <w:rPr>
          <w:sz w:val="28"/>
          <w:szCs w:val="28"/>
        </w:rPr>
      </w:pPr>
      <w:r w:rsidRPr="00185BC0">
        <w:rPr>
          <w:sz w:val="28"/>
          <w:szCs w:val="28"/>
        </w:rPr>
        <w:t xml:space="preserve">длина бедра: справа </w:t>
      </w:r>
      <w:r w:rsidR="00681582" w:rsidRPr="00185BC0">
        <w:rPr>
          <w:sz w:val="28"/>
          <w:szCs w:val="28"/>
        </w:rPr>
        <w:t>–</w:t>
      </w:r>
      <w:r w:rsidR="00F937E9" w:rsidRPr="00185BC0">
        <w:rPr>
          <w:sz w:val="28"/>
          <w:szCs w:val="28"/>
        </w:rPr>
        <w:t xml:space="preserve"> </w:t>
      </w:r>
      <w:r w:rsidRPr="00185BC0">
        <w:rPr>
          <w:sz w:val="28"/>
          <w:szCs w:val="28"/>
        </w:rPr>
        <w:t xml:space="preserve">38,59 см, слева </w:t>
      </w:r>
      <w:r w:rsidR="00DA5A93" w:rsidRPr="00185BC0">
        <w:rPr>
          <w:sz w:val="28"/>
          <w:szCs w:val="28"/>
        </w:rPr>
        <w:t>–</w:t>
      </w:r>
      <w:r w:rsidRPr="00185BC0">
        <w:rPr>
          <w:sz w:val="28"/>
          <w:szCs w:val="28"/>
        </w:rPr>
        <w:t xml:space="preserve"> 39,48 см;</w:t>
      </w:r>
    </w:p>
    <w:p w14:paraId="7762185D" w14:textId="03E8525E" w:rsidR="00E90210" w:rsidRPr="00185BC0" w:rsidRDefault="00E90210" w:rsidP="00D47CC4">
      <w:pPr>
        <w:pStyle w:val="a6"/>
        <w:numPr>
          <w:ilvl w:val="0"/>
          <w:numId w:val="11"/>
        </w:numPr>
        <w:tabs>
          <w:tab w:val="num" w:pos="720"/>
        </w:tabs>
        <w:ind w:left="993"/>
        <w:jc w:val="both"/>
        <w:rPr>
          <w:sz w:val="28"/>
          <w:szCs w:val="28"/>
        </w:rPr>
      </w:pPr>
      <w:r w:rsidRPr="00185BC0">
        <w:rPr>
          <w:sz w:val="28"/>
          <w:szCs w:val="28"/>
        </w:rPr>
        <w:t xml:space="preserve">длина голени: справа </w:t>
      </w:r>
      <w:r w:rsidR="00DA5A93" w:rsidRPr="00185BC0">
        <w:rPr>
          <w:sz w:val="28"/>
          <w:szCs w:val="28"/>
        </w:rPr>
        <w:t>–</w:t>
      </w:r>
      <w:r w:rsidRPr="00185BC0">
        <w:rPr>
          <w:sz w:val="28"/>
          <w:szCs w:val="28"/>
        </w:rPr>
        <w:t xml:space="preserve"> 33,36 см, слева </w:t>
      </w:r>
      <w:r w:rsidR="00DA5A93" w:rsidRPr="00185BC0">
        <w:rPr>
          <w:sz w:val="28"/>
          <w:szCs w:val="28"/>
        </w:rPr>
        <w:t>–</w:t>
      </w:r>
      <w:r w:rsidRPr="00185BC0">
        <w:rPr>
          <w:sz w:val="28"/>
          <w:szCs w:val="28"/>
        </w:rPr>
        <w:t xml:space="preserve"> 33,36 см;</w:t>
      </w:r>
    </w:p>
    <w:p w14:paraId="094D9AA7" w14:textId="3D991AC6" w:rsidR="00E90210" w:rsidRPr="00185BC0" w:rsidRDefault="00E90210" w:rsidP="00D47CC4">
      <w:pPr>
        <w:pStyle w:val="a6"/>
        <w:numPr>
          <w:ilvl w:val="0"/>
          <w:numId w:val="11"/>
        </w:numPr>
        <w:tabs>
          <w:tab w:val="num" w:pos="720"/>
        </w:tabs>
        <w:ind w:left="993"/>
        <w:jc w:val="both"/>
        <w:rPr>
          <w:sz w:val="28"/>
          <w:szCs w:val="28"/>
        </w:rPr>
      </w:pPr>
      <w:r w:rsidRPr="00185BC0">
        <w:rPr>
          <w:sz w:val="28"/>
          <w:szCs w:val="28"/>
        </w:rPr>
        <w:t xml:space="preserve">суммарная длина конечности: справа </w:t>
      </w:r>
      <w:r w:rsidR="00DA5A93" w:rsidRPr="00185BC0">
        <w:rPr>
          <w:sz w:val="28"/>
          <w:szCs w:val="28"/>
        </w:rPr>
        <w:t>–</w:t>
      </w:r>
      <w:r w:rsidRPr="00185BC0">
        <w:rPr>
          <w:sz w:val="28"/>
          <w:szCs w:val="28"/>
        </w:rPr>
        <w:t xml:space="preserve"> 71,95 см, слева </w:t>
      </w:r>
      <w:r w:rsidR="00DA5A93" w:rsidRPr="00185BC0">
        <w:rPr>
          <w:sz w:val="28"/>
          <w:szCs w:val="28"/>
        </w:rPr>
        <w:t>–</w:t>
      </w:r>
      <w:r w:rsidRPr="00185BC0">
        <w:rPr>
          <w:sz w:val="28"/>
          <w:szCs w:val="28"/>
        </w:rPr>
        <w:t xml:space="preserve"> 72,84 см.</w:t>
      </w:r>
    </w:p>
    <w:p w14:paraId="434999BB" w14:textId="032B69F9" w:rsidR="00E90210" w:rsidRPr="00185BC0" w:rsidRDefault="00E90210" w:rsidP="00E90210">
      <w:pPr>
        <w:tabs>
          <w:tab w:val="num" w:pos="720"/>
        </w:tabs>
        <w:ind w:firstLine="567"/>
        <w:jc w:val="both"/>
        <w:rPr>
          <w:sz w:val="28"/>
          <w:szCs w:val="28"/>
        </w:rPr>
      </w:pPr>
      <w:r w:rsidRPr="00185BC0">
        <w:rPr>
          <w:sz w:val="28"/>
          <w:szCs w:val="28"/>
        </w:rPr>
        <w:t xml:space="preserve">Несмотря на почти симметричные сегментарные </w:t>
      </w:r>
      <w:proofErr w:type="spellStart"/>
      <w:r w:rsidRPr="00185BC0">
        <w:rPr>
          <w:sz w:val="28"/>
          <w:szCs w:val="28"/>
        </w:rPr>
        <w:t>измерени</w:t>
      </w:r>
      <w:proofErr w:type="spellEnd"/>
      <w:r w:rsidR="00681582" w:rsidRPr="00185BC0">
        <w:rPr>
          <w:sz w:val="28"/>
          <w:szCs w:val="28"/>
          <w:lang w:val="kk-KZ"/>
        </w:rPr>
        <w:t>я</w:t>
      </w:r>
      <w:r w:rsidRPr="00185BC0">
        <w:rPr>
          <w:sz w:val="28"/>
          <w:szCs w:val="28"/>
        </w:rPr>
        <w:t xml:space="preserve"> клинически определялось функциональное укорочение левой нижней конечности на 4 см, обусловленное высоким проксимальным смещением головки</w:t>
      </w:r>
      <w:r w:rsidR="00F937E9" w:rsidRPr="00185BC0">
        <w:rPr>
          <w:sz w:val="28"/>
          <w:szCs w:val="28"/>
          <w:lang w:val="kk-KZ"/>
        </w:rPr>
        <w:t xml:space="preserve"> </w:t>
      </w:r>
      <w:r w:rsidR="00F937E9" w:rsidRPr="00185BC0">
        <w:rPr>
          <w:sz w:val="28"/>
          <w:szCs w:val="28"/>
        </w:rPr>
        <w:t>бедренной</w:t>
      </w:r>
      <w:r w:rsidR="00F937E9" w:rsidRPr="00185BC0">
        <w:rPr>
          <w:sz w:val="28"/>
          <w:szCs w:val="28"/>
          <w:lang w:val="kk-KZ"/>
        </w:rPr>
        <w:t xml:space="preserve"> кости</w:t>
      </w:r>
      <w:r w:rsidRPr="00185BC0">
        <w:rPr>
          <w:sz w:val="28"/>
          <w:szCs w:val="28"/>
        </w:rPr>
        <w:t>.</w:t>
      </w:r>
      <w:r w:rsidR="00F937E9" w:rsidRPr="00185BC0">
        <w:rPr>
          <w:sz w:val="28"/>
          <w:szCs w:val="28"/>
        </w:rPr>
        <w:t xml:space="preserve"> </w:t>
      </w:r>
      <w:r w:rsidRPr="00185BC0">
        <w:rPr>
          <w:sz w:val="28"/>
          <w:szCs w:val="28"/>
        </w:rPr>
        <w:t>Таким образом, необходимое удлинение конечности (D) для восстановления длины составило 40 мм.</w:t>
      </w:r>
    </w:p>
    <w:p w14:paraId="30DCBD7F" w14:textId="492390CA" w:rsidR="00F937E9" w:rsidRPr="00185BC0" w:rsidRDefault="00F937E9" w:rsidP="00F937E9">
      <w:pPr>
        <w:ind w:firstLine="567"/>
        <w:jc w:val="both"/>
        <w:rPr>
          <w:i/>
          <w:iCs/>
          <w:sz w:val="28"/>
          <w:szCs w:val="28"/>
        </w:rPr>
      </w:pPr>
      <w:r w:rsidRPr="00185BC0">
        <w:rPr>
          <w:i/>
          <w:iCs/>
          <w:sz w:val="28"/>
          <w:szCs w:val="28"/>
        </w:rPr>
        <w:t xml:space="preserve">Этап 2. Оценка компонента укорочения за счёт </w:t>
      </w:r>
      <w:r w:rsidRPr="00185BC0">
        <w:rPr>
          <w:i/>
          <w:iCs/>
          <w:sz w:val="28"/>
          <w:szCs w:val="28"/>
          <w:lang w:val="kk-KZ"/>
        </w:rPr>
        <w:t xml:space="preserve">проксимальное </w:t>
      </w:r>
      <w:r w:rsidRPr="00185BC0">
        <w:rPr>
          <w:i/>
          <w:iCs/>
          <w:sz w:val="28"/>
          <w:szCs w:val="28"/>
        </w:rPr>
        <w:t>смещения головки бедра</w:t>
      </w:r>
    </w:p>
    <w:p w14:paraId="72743E0A" w14:textId="519B7BA9" w:rsidR="006F0329" w:rsidRPr="00185BC0" w:rsidRDefault="00F937E9" w:rsidP="00F937E9">
      <w:pPr>
        <w:ind w:firstLine="567"/>
        <w:jc w:val="both"/>
        <w:rPr>
          <w:sz w:val="28"/>
          <w:szCs w:val="28"/>
        </w:rPr>
      </w:pPr>
      <w:r w:rsidRPr="00185BC0">
        <w:rPr>
          <w:sz w:val="28"/>
          <w:szCs w:val="28"/>
        </w:rPr>
        <w:t xml:space="preserve">По калиброванной переднезадней рентгенографии таза определена вертикальная дистанция между верхушкой большого вертела и истинным </w:t>
      </w:r>
      <w:r w:rsidRPr="00185BC0">
        <w:rPr>
          <w:sz w:val="28"/>
          <w:szCs w:val="28"/>
        </w:rPr>
        <w:lastRenderedPageBreak/>
        <w:t>центром вращения вертлужной впадины. У пациентки она составила:</w:t>
      </w:r>
      <w:r w:rsidRPr="00185BC0">
        <w:rPr>
          <w:sz w:val="28"/>
          <w:szCs w:val="28"/>
          <w:lang w:val="kk-KZ"/>
        </w:rPr>
        <w:t xml:space="preserve"> </w:t>
      </w:r>
      <w:r w:rsidRPr="00185BC0">
        <w:rPr>
          <w:sz w:val="28"/>
          <w:szCs w:val="28"/>
        </w:rPr>
        <w:t>H = 78,5 мм (7,85 см).</w:t>
      </w:r>
      <w:r w:rsidRPr="00185BC0">
        <w:rPr>
          <w:sz w:val="28"/>
          <w:szCs w:val="28"/>
          <w:lang w:val="kk-KZ"/>
        </w:rPr>
        <w:t xml:space="preserve"> </w:t>
      </w:r>
      <w:r w:rsidRPr="00185BC0">
        <w:rPr>
          <w:sz w:val="28"/>
          <w:szCs w:val="28"/>
        </w:rPr>
        <w:t>Смещение свыше 40 мм расценивается как критический показатель риска натяжения седалищного нерва, а величина 78,5 мм значительно превышает безопасные пределы.</w:t>
      </w:r>
      <w:r w:rsidRPr="00185BC0">
        <w:rPr>
          <w:sz w:val="28"/>
          <w:szCs w:val="28"/>
          <w:lang w:val="kk-KZ"/>
        </w:rPr>
        <w:t xml:space="preserve"> </w:t>
      </w:r>
      <w:r w:rsidRPr="00185BC0">
        <w:rPr>
          <w:sz w:val="28"/>
          <w:szCs w:val="28"/>
        </w:rPr>
        <w:t>Таким образом, вправление бедренной головки в истинный центр без укорачивающей остеотомии привело бы к одномоментному удлинению около 7,8 см, что абсолютно противопоказано.</w:t>
      </w:r>
      <w:r w:rsidRPr="00185BC0">
        <w:rPr>
          <w:sz w:val="28"/>
          <w:szCs w:val="28"/>
          <w:lang w:val="kk-KZ"/>
        </w:rPr>
        <w:t xml:space="preserve"> </w:t>
      </w:r>
      <w:r w:rsidRPr="00185BC0">
        <w:rPr>
          <w:sz w:val="28"/>
          <w:szCs w:val="28"/>
        </w:rPr>
        <w:t>Исходя из общепринятого безопасного лимита одномоментного удлинения конечности:</w:t>
      </w:r>
      <w:r w:rsidRPr="00185BC0">
        <w:rPr>
          <w:sz w:val="28"/>
          <w:szCs w:val="28"/>
          <w:lang w:val="kk-KZ"/>
        </w:rPr>
        <w:t xml:space="preserve"> </w:t>
      </w:r>
      <w:r w:rsidR="00681582" w:rsidRPr="00185BC0">
        <w:rPr>
          <w:sz w:val="28"/>
          <w:szCs w:val="28"/>
          <w:lang w:val="kk-KZ"/>
        </w:rPr>
        <w:t xml:space="preserve">до </w:t>
      </w:r>
      <w:proofErr w:type="spellStart"/>
      <w:r w:rsidRPr="00185BC0">
        <w:rPr>
          <w:sz w:val="28"/>
          <w:szCs w:val="28"/>
        </w:rPr>
        <w:t>L</w:t>
      </w:r>
      <w:r w:rsidRPr="00185BC0">
        <w:rPr>
          <w:sz w:val="28"/>
          <w:szCs w:val="28"/>
          <w:vertAlign w:val="subscript"/>
        </w:rPr>
        <w:t>safe</w:t>
      </w:r>
      <w:proofErr w:type="spellEnd"/>
      <w:r w:rsidRPr="00185BC0">
        <w:rPr>
          <w:sz w:val="28"/>
          <w:szCs w:val="28"/>
        </w:rPr>
        <w:t xml:space="preserve"> = 40 мм,</w:t>
      </w:r>
      <w:r w:rsidRPr="00185BC0">
        <w:rPr>
          <w:sz w:val="28"/>
          <w:szCs w:val="28"/>
          <w:lang w:val="kk-KZ"/>
        </w:rPr>
        <w:t xml:space="preserve"> </w:t>
      </w:r>
      <w:r w:rsidRPr="00185BC0">
        <w:rPr>
          <w:sz w:val="28"/>
          <w:szCs w:val="28"/>
        </w:rPr>
        <w:t>выполнение укорачивающей остеотомии признано обязательным.</w:t>
      </w:r>
    </w:p>
    <w:p w14:paraId="7ECD309F" w14:textId="3DA72ACC" w:rsidR="00F937E9" w:rsidRPr="00185BC0" w:rsidRDefault="00F937E9" w:rsidP="00F937E9">
      <w:pPr>
        <w:ind w:firstLine="567"/>
        <w:jc w:val="both"/>
        <w:rPr>
          <w:i/>
          <w:iCs/>
          <w:sz w:val="28"/>
          <w:szCs w:val="28"/>
          <w:lang w:val="kk-KZ"/>
        </w:rPr>
      </w:pPr>
      <w:r w:rsidRPr="00185BC0">
        <w:rPr>
          <w:i/>
          <w:iCs/>
          <w:sz w:val="28"/>
          <w:szCs w:val="28"/>
          <w:lang w:val="kk-KZ"/>
        </w:rPr>
        <w:t>Этап 3. Расчёт оптимального размера укорачивающей остеотомии бедренной кости.</w:t>
      </w:r>
    </w:p>
    <w:p w14:paraId="046A561E" w14:textId="5121B3A4" w:rsidR="006F0329" w:rsidRPr="00185BC0" w:rsidRDefault="00F937E9" w:rsidP="00F937E9">
      <w:pPr>
        <w:ind w:firstLine="567"/>
        <w:jc w:val="both"/>
        <w:rPr>
          <w:sz w:val="28"/>
          <w:szCs w:val="28"/>
          <w:lang w:val="kk-KZ"/>
        </w:rPr>
      </w:pPr>
      <w:r w:rsidRPr="00185BC0">
        <w:rPr>
          <w:sz w:val="28"/>
          <w:szCs w:val="28"/>
          <w:lang w:val="kk-KZ"/>
        </w:rPr>
        <w:t>Расчёт выполняли по модифицированной формуле:</w:t>
      </w:r>
    </w:p>
    <w:p w14:paraId="14F58B20" w14:textId="2BAEAEBB" w:rsidR="00F937E9" w:rsidRPr="00185BC0" w:rsidRDefault="00F937E9" w:rsidP="00681582">
      <w:pPr>
        <w:ind w:firstLine="567"/>
        <w:jc w:val="center"/>
        <w:rPr>
          <w:sz w:val="28"/>
          <w:szCs w:val="28"/>
          <w:lang w:val="en-US"/>
        </w:rPr>
      </w:pPr>
      <w:proofErr w:type="spellStart"/>
      <w:proofErr w:type="gramStart"/>
      <w:r w:rsidRPr="00185BC0">
        <w:rPr>
          <w:sz w:val="28"/>
          <w:szCs w:val="28"/>
          <w:lang w:val="en-US"/>
        </w:rPr>
        <w:t>L</w:t>
      </w:r>
      <w:r w:rsidRPr="00185BC0">
        <w:rPr>
          <w:sz w:val="28"/>
          <w:szCs w:val="28"/>
          <w:vertAlign w:val="subscript"/>
          <w:lang w:val="en-US"/>
        </w:rPr>
        <w:t>ost,plan</w:t>
      </w:r>
      <w:proofErr w:type="spellEnd"/>
      <w:r w:rsidRPr="00185BC0">
        <w:rPr>
          <w:sz w:val="28"/>
          <w:szCs w:val="28"/>
          <w:lang w:val="en-US"/>
        </w:rPr>
        <w:t>​</w:t>
      </w:r>
      <w:proofErr w:type="gramEnd"/>
      <w:r w:rsidR="00681582" w:rsidRPr="00185BC0">
        <w:rPr>
          <w:sz w:val="28"/>
          <w:szCs w:val="28"/>
          <w:lang w:val="kk-KZ"/>
        </w:rPr>
        <w:t xml:space="preserve"> </w:t>
      </w:r>
      <w:r w:rsidRPr="00185BC0">
        <w:rPr>
          <w:sz w:val="28"/>
          <w:szCs w:val="28"/>
          <w:lang w:val="en-US"/>
        </w:rPr>
        <w:t>=</w:t>
      </w:r>
      <w:r w:rsidR="00681582" w:rsidRPr="00185BC0">
        <w:rPr>
          <w:sz w:val="28"/>
          <w:szCs w:val="28"/>
          <w:lang w:val="kk-KZ"/>
        </w:rPr>
        <w:t xml:space="preserve"> </w:t>
      </w:r>
      <w:r w:rsidRPr="00185BC0">
        <w:rPr>
          <w:sz w:val="28"/>
          <w:szCs w:val="28"/>
          <w:lang w:val="en-US"/>
        </w:rPr>
        <w:t>(H</w:t>
      </w:r>
      <w:r w:rsidR="00681582" w:rsidRPr="00185BC0">
        <w:rPr>
          <w:sz w:val="28"/>
          <w:szCs w:val="28"/>
          <w:lang w:val="kk-KZ"/>
        </w:rPr>
        <w:t xml:space="preserve"> </w:t>
      </w:r>
      <w:r w:rsidRPr="00185BC0">
        <w:rPr>
          <w:sz w:val="28"/>
          <w:szCs w:val="28"/>
          <w:lang w:val="en-US"/>
        </w:rPr>
        <w:t>+</w:t>
      </w:r>
      <w:r w:rsidR="00681582" w:rsidRPr="00185BC0">
        <w:rPr>
          <w:sz w:val="28"/>
          <w:szCs w:val="28"/>
          <w:lang w:val="kk-KZ"/>
        </w:rPr>
        <w:t xml:space="preserve"> </w:t>
      </w:r>
      <w:r w:rsidRPr="00185BC0">
        <w:rPr>
          <w:sz w:val="28"/>
          <w:szCs w:val="28"/>
          <w:lang w:val="en-US"/>
        </w:rPr>
        <w:t>S)</w:t>
      </w:r>
      <w:r w:rsidR="00681582" w:rsidRPr="00185BC0">
        <w:rPr>
          <w:sz w:val="28"/>
          <w:szCs w:val="28"/>
          <w:lang w:val="kk-KZ"/>
        </w:rPr>
        <w:t xml:space="preserve"> </w:t>
      </w:r>
      <w:r w:rsidRPr="00185BC0">
        <w:rPr>
          <w:sz w:val="28"/>
          <w:szCs w:val="28"/>
          <w:lang w:val="en-US"/>
        </w:rPr>
        <w:t>−</w:t>
      </w:r>
      <w:r w:rsidR="00681582" w:rsidRPr="00185BC0">
        <w:rPr>
          <w:sz w:val="28"/>
          <w:szCs w:val="28"/>
          <w:lang w:val="kk-KZ"/>
        </w:rPr>
        <w:t xml:space="preserve"> </w:t>
      </w:r>
      <w:r w:rsidRPr="00185BC0">
        <w:rPr>
          <w:sz w:val="28"/>
          <w:szCs w:val="28"/>
        </w:rPr>
        <w:t>Δ</w:t>
      </w:r>
      <w:proofErr w:type="spellStart"/>
      <w:r w:rsidRPr="00185BC0">
        <w:rPr>
          <w:sz w:val="28"/>
          <w:szCs w:val="28"/>
          <w:lang w:val="en-US"/>
        </w:rPr>
        <w:t>LL</w:t>
      </w:r>
      <w:r w:rsidRPr="00185BC0">
        <w:rPr>
          <w:sz w:val="28"/>
          <w:szCs w:val="28"/>
          <w:vertAlign w:val="subscript"/>
          <w:lang w:val="en-US"/>
        </w:rPr>
        <w:t>post</w:t>
      </w:r>
      <w:proofErr w:type="spellEnd"/>
      <w:r w:rsidRPr="00185BC0">
        <w:rPr>
          <w:sz w:val="28"/>
          <w:szCs w:val="28"/>
          <w:vertAlign w:val="subscript"/>
          <w:lang w:val="en-US"/>
        </w:rPr>
        <w:t>​</w:t>
      </w:r>
    </w:p>
    <w:p w14:paraId="34309D3F" w14:textId="77777777" w:rsidR="00F937E9" w:rsidRPr="00185BC0" w:rsidRDefault="00F937E9" w:rsidP="00F937E9">
      <w:pPr>
        <w:ind w:firstLine="567"/>
        <w:jc w:val="both"/>
        <w:rPr>
          <w:sz w:val="28"/>
          <w:szCs w:val="28"/>
          <w:lang w:val="kk-KZ"/>
        </w:rPr>
      </w:pPr>
      <w:r w:rsidRPr="00185BC0">
        <w:rPr>
          <w:sz w:val="28"/>
          <w:szCs w:val="28"/>
          <w:lang w:val="kk-KZ"/>
        </w:rPr>
        <w:t>где:</w:t>
      </w:r>
    </w:p>
    <w:p w14:paraId="3FF073A9" w14:textId="159C886A" w:rsidR="00F937E9" w:rsidRPr="00185BC0" w:rsidRDefault="00F937E9" w:rsidP="00F937E9">
      <w:pPr>
        <w:ind w:firstLine="567"/>
        <w:jc w:val="both"/>
        <w:rPr>
          <w:sz w:val="28"/>
          <w:szCs w:val="28"/>
          <w:lang w:val="kk-KZ"/>
        </w:rPr>
      </w:pPr>
      <w:r w:rsidRPr="00185BC0">
        <w:rPr>
          <w:sz w:val="28"/>
          <w:szCs w:val="28"/>
          <w:lang w:val="kk-KZ"/>
        </w:rPr>
        <w:t xml:space="preserve">H = 78,5 мм </w:t>
      </w:r>
      <w:r w:rsidR="00DA5A93" w:rsidRPr="00185BC0">
        <w:rPr>
          <w:sz w:val="28"/>
          <w:szCs w:val="28"/>
          <w:lang w:val="kk-KZ"/>
        </w:rPr>
        <w:t>–</w:t>
      </w:r>
      <w:r w:rsidRPr="00185BC0">
        <w:rPr>
          <w:sz w:val="28"/>
          <w:szCs w:val="28"/>
          <w:lang w:val="kk-KZ"/>
        </w:rPr>
        <w:t xml:space="preserve"> вертикальная высота смещения;</w:t>
      </w:r>
    </w:p>
    <w:p w14:paraId="26F4C340" w14:textId="1F413887" w:rsidR="00F937E9" w:rsidRPr="00185BC0" w:rsidRDefault="00F937E9" w:rsidP="00F937E9">
      <w:pPr>
        <w:ind w:firstLine="567"/>
        <w:jc w:val="both"/>
        <w:rPr>
          <w:sz w:val="28"/>
          <w:szCs w:val="28"/>
          <w:lang w:val="kk-KZ"/>
        </w:rPr>
      </w:pPr>
      <w:r w:rsidRPr="00185BC0">
        <w:rPr>
          <w:sz w:val="28"/>
          <w:szCs w:val="28"/>
          <w:lang w:val="kk-KZ"/>
        </w:rPr>
        <w:t xml:space="preserve">S = 0 мм, поскольку чашка планируется в истинный центр (Δcup = 0), </w:t>
      </w:r>
      <w:r w:rsidR="00681582" w:rsidRPr="00185BC0">
        <w:rPr>
          <w:sz w:val="28"/>
          <w:szCs w:val="28"/>
          <w:lang w:val="kk-KZ"/>
        </w:rPr>
        <w:t>то</w:t>
      </w:r>
      <w:r w:rsidRPr="00185BC0">
        <w:rPr>
          <w:sz w:val="28"/>
          <w:szCs w:val="28"/>
          <w:lang w:val="kk-KZ"/>
        </w:rPr>
        <w:t>используется стандартная головка (Δhead = 0);</w:t>
      </w:r>
    </w:p>
    <w:p w14:paraId="08EBA80A" w14:textId="77777777" w:rsidR="00F937E9" w:rsidRPr="00185BC0" w:rsidRDefault="00F937E9" w:rsidP="00F937E9">
      <w:pPr>
        <w:ind w:firstLine="567"/>
        <w:jc w:val="both"/>
        <w:rPr>
          <w:sz w:val="28"/>
          <w:szCs w:val="28"/>
          <w:lang w:val="kk-KZ"/>
        </w:rPr>
      </w:pPr>
      <w:r w:rsidRPr="00185BC0">
        <w:rPr>
          <w:sz w:val="28"/>
          <w:szCs w:val="28"/>
          <w:lang w:val="kk-KZ"/>
        </w:rPr>
        <w:t>ΔLLpost = min(D, Lsafe) = min(40, 40) = 40 мм.</w:t>
      </w:r>
    </w:p>
    <w:p w14:paraId="21575DD3" w14:textId="71CD0F42" w:rsidR="006F0329" w:rsidRPr="00185BC0" w:rsidRDefault="006F0329" w:rsidP="00F937E9">
      <w:pPr>
        <w:jc w:val="both"/>
        <w:rPr>
          <w:lang w:val="kk-KZ"/>
        </w:rPr>
      </w:pPr>
    </w:p>
    <w:p w14:paraId="77D70760" w14:textId="7429A979" w:rsidR="00F937E9" w:rsidRPr="00185BC0" w:rsidRDefault="00F937E9" w:rsidP="00F937E9">
      <w:pPr>
        <w:jc w:val="center"/>
        <w:rPr>
          <w:sz w:val="28"/>
          <w:szCs w:val="28"/>
        </w:rPr>
      </w:pPr>
      <w:proofErr w:type="spellStart"/>
      <w:proofErr w:type="gramStart"/>
      <w:r w:rsidRPr="00185BC0">
        <w:rPr>
          <w:sz w:val="28"/>
          <w:szCs w:val="28"/>
        </w:rPr>
        <w:t>L</w:t>
      </w:r>
      <w:r w:rsidRPr="00185BC0">
        <w:rPr>
          <w:sz w:val="28"/>
          <w:szCs w:val="28"/>
          <w:vertAlign w:val="subscript"/>
        </w:rPr>
        <w:t>ost,plan</w:t>
      </w:r>
      <w:proofErr w:type="spellEnd"/>
      <w:proofErr w:type="gramEnd"/>
      <w:r w:rsidR="00681582" w:rsidRPr="00185BC0">
        <w:rPr>
          <w:sz w:val="28"/>
          <w:szCs w:val="28"/>
          <w:vertAlign w:val="subscript"/>
          <w:lang w:val="kk-KZ"/>
        </w:rPr>
        <w:t xml:space="preserve"> </w:t>
      </w:r>
      <w:r w:rsidRPr="00185BC0">
        <w:rPr>
          <w:sz w:val="28"/>
          <w:szCs w:val="28"/>
        </w:rPr>
        <w:t>​=</w:t>
      </w:r>
      <w:r w:rsidR="00681582" w:rsidRPr="00185BC0">
        <w:rPr>
          <w:sz w:val="28"/>
          <w:szCs w:val="28"/>
          <w:lang w:val="kk-KZ"/>
        </w:rPr>
        <w:t xml:space="preserve"> </w:t>
      </w:r>
      <w:r w:rsidRPr="00185BC0">
        <w:rPr>
          <w:sz w:val="28"/>
          <w:szCs w:val="28"/>
        </w:rPr>
        <w:t>(78,5</w:t>
      </w:r>
      <w:r w:rsidR="00681582" w:rsidRPr="00185BC0">
        <w:rPr>
          <w:sz w:val="28"/>
          <w:szCs w:val="28"/>
          <w:lang w:val="kk-KZ"/>
        </w:rPr>
        <w:t xml:space="preserve"> </w:t>
      </w:r>
      <w:r w:rsidRPr="00185BC0">
        <w:rPr>
          <w:sz w:val="28"/>
          <w:szCs w:val="28"/>
        </w:rPr>
        <w:t>+</w:t>
      </w:r>
      <w:r w:rsidR="00681582" w:rsidRPr="00185BC0">
        <w:rPr>
          <w:sz w:val="28"/>
          <w:szCs w:val="28"/>
          <w:lang w:val="kk-KZ"/>
        </w:rPr>
        <w:t xml:space="preserve"> </w:t>
      </w:r>
      <w:r w:rsidRPr="00185BC0">
        <w:rPr>
          <w:sz w:val="28"/>
          <w:szCs w:val="28"/>
        </w:rPr>
        <w:t>0)</w:t>
      </w:r>
      <w:r w:rsidR="00681582" w:rsidRPr="00185BC0">
        <w:rPr>
          <w:sz w:val="28"/>
          <w:szCs w:val="28"/>
          <w:lang w:val="kk-KZ"/>
        </w:rPr>
        <w:t xml:space="preserve"> </w:t>
      </w:r>
      <w:r w:rsidR="00681582" w:rsidRPr="00185BC0">
        <w:rPr>
          <w:sz w:val="28"/>
          <w:szCs w:val="28"/>
        </w:rPr>
        <w:t>–</w:t>
      </w:r>
      <w:r w:rsidR="00681582" w:rsidRPr="00185BC0">
        <w:rPr>
          <w:sz w:val="28"/>
          <w:szCs w:val="28"/>
          <w:lang w:val="kk-KZ"/>
        </w:rPr>
        <w:t xml:space="preserve"> </w:t>
      </w:r>
      <w:r w:rsidRPr="00185BC0">
        <w:rPr>
          <w:sz w:val="28"/>
          <w:szCs w:val="28"/>
        </w:rPr>
        <w:t>40</w:t>
      </w:r>
      <w:r w:rsidR="00681582" w:rsidRPr="00185BC0">
        <w:rPr>
          <w:sz w:val="28"/>
          <w:szCs w:val="28"/>
          <w:lang w:val="kk-KZ"/>
        </w:rPr>
        <w:t xml:space="preserve"> </w:t>
      </w:r>
      <w:r w:rsidRPr="00185BC0">
        <w:rPr>
          <w:sz w:val="28"/>
          <w:szCs w:val="28"/>
        </w:rPr>
        <w:t>=</w:t>
      </w:r>
      <w:r w:rsidR="00681582" w:rsidRPr="00185BC0">
        <w:rPr>
          <w:sz w:val="28"/>
          <w:szCs w:val="28"/>
          <w:lang w:val="kk-KZ"/>
        </w:rPr>
        <w:t xml:space="preserve"> </w:t>
      </w:r>
      <w:r w:rsidRPr="00185BC0">
        <w:rPr>
          <w:sz w:val="28"/>
          <w:szCs w:val="28"/>
        </w:rPr>
        <w:t>38,5 мм</w:t>
      </w:r>
    </w:p>
    <w:p w14:paraId="4A5D7117" w14:textId="77777777" w:rsidR="00F937E9" w:rsidRPr="00185BC0" w:rsidRDefault="00F937E9" w:rsidP="00F937E9">
      <w:pPr>
        <w:jc w:val="center"/>
        <w:rPr>
          <w:sz w:val="28"/>
          <w:szCs w:val="28"/>
        </w:rPr>
      </w:pPr>
    </w:p>
    <w:p w14:paraId="0F42F234" w14:textId="211A0AF4" w:rsidR="00F937E9" w:rsidRPr="00185BC0" w:rsidRDefault="00F937E9" w:rsidP="006549E4">
      <w:pPr>
        <w:ind w:firstLine="567"/>
        <w:jc w:val="both"/>
        <w:rPr>
          <w:sz w:val="28"/>
          <w:szCs w:val="28"/>
        </w:rPr>
      </w:pPr>
      <w:r w:rsidRPr="00185BC0">
        <w:rPr>
          <w:sz w:val="28"/>
          <w:szCs w:val="28"/>
        </w:rPr>
        <w:t>Таким образом, оптимальный объём резекции составил 38</w:t>
      </w:r>
      <w:r w:rsidR="00681582" w:rsidRPr="00185BC0">
        <w:rPr>
          <w:sz w:val="28"/>
          <w:szCs w:val="28"/>
          <w:lang w:val="kk-KZ"/>
        </w:rPr>
        <w:t xml:space="preserve"> </w:t>
      </w:r>
      <w:r w:rsidRPr="00185BC0">
        <w:rPr>
          <w:sz w:val="28"/>
          <w:szCs w:val="28"/>
        </w:rPr>
        <w:t>–</w:t>
      </w:r>
      <w:r w:rsidR="00681582" w:rsidRPr="00185BC0">
        <w:rPr>
          <w:sz w:val="28"/>
          <w:szCs w:val="28"/>
          <w:lang w:val="kk-KZ"/>
        </w:rPr>
        <w:t xml:space="preserve"> </w:t>
      </w:r>
      <w:r w:rsidRPr="00185BC0">
        <w:rPr>
          <w:sz w:val="28"/>
          <w:szCs w:val="28"/>
        </w:rPr>
        <w:t>40 мм, что обеспечивает достижение баланса длины конечностей при сохранении безопасного предела одномоментного удлинения.</w:t>
      </w:r>
    </w:p>
    <w:p w14:paraId="2B6EBD5B" w14:textId="41103532" w:rsidR="006549E4" w:rsidRPr="00185BC0" w:rsidRDefault="006549E4" w:rsidP="006549E4">
      <w:pPr>
        <w:ind w:firstLine="567"/>
        <w:jc w:val="both"/>
        <w:rPr>
          <w:i/>
          <w:iCs/>
          <w:sz w:val="28"/>
          <w:szCs w:val="28"/>
        </w:rPr>
      </w:pPr>
      <w:r w:rsidRPr="00185BC0">
        <w:rPr>
          <w:i/>
          <w:iCs/>
          <w:sz w:val="28"/>
          <w:szCs w:val="28"/>
        </w:rPr>
        <w:t>Этап 4. Определение уровня и типа укорачивающей остеотомии</w:t>
      </w:r>
    </w:p>
    <w:p w14:paraId="62CF51B5" w14:textId="12214DD9" w:rsidR="00F937E9" w:rsidRPr="00185BC0" w:rsidRDefault="006549E4" w:rsidP="006549E4">
      <w:pPr>
        <w:ind w:firstLine="567"/>
        <w:jc w:val="both"/>
        <w:rPr>
          <w:sz w:val="28"/>
          <w:szCs w:val="28"/>
        </w:rPr>
      </w:pPr>
      <w:r w:rsidRPr="00185BC0">
        <w:rPr>
          <w:sz w:val="28"/>
          <w:szCs w:val="28"/>
        </w:rPr>
        <w:t xml:space="preserve">С учётом величины резекции и анатомических особенностей у пациентки был выбран </w:t>
      </w:r>
      <w:proofErr w:type="spellStart"/>
      <w:r w:rsidRPr="00185BC0">
        <w:rPr>
          <w:sz w:val="28"/>
          <w:szCs w:val="28"/>
        </w:rPr>
        <w:t>подвертельный</w:t>
      </w:r>
      <w:proofErr w:type="spellEnd"/>
      <w:r w:rsidRPr="00185BC0">
        <w:rPr>
          <w:sz w:val="28"/>
          <w:szCs w:val="28"/>
        </w:rPr>
        <w:t xml:space="preserve"> уровень остеотомии, расположенный на 1 см ниже нижнего края малого вертела.</w:t>
      </w:r>
      <w:r w:rsidRPr="00185BC0">
        <w:rPr>
          <w:sz w:val="28"/>
          <w:szCs w:val="28"/>
          <w:lang w:val="kk-KZ"/>
        </w:rPr>
        <w:t xml:space="preserve"> </w:t>
      </w:r>
      <w:r w:rsidRPr="00185BC0">
        <w:rPr>
          <w:sz w:val="28"/>
          <w:szCs w:val="28"/>
        </w:rPr>
        <w:t xml:space="preserve">Предпочтение отдано поперечной остеотомии как наиболее воспроизводимой и позволяющей выполнить ротационную коррекцию. По данным КТ у пациентки выявлена избыточная </w:t>
      </w:r>
      <w:proofErr w:type="spellStart"/>
      <w:r w:rsidRPr="00185BC0">
        <w:rPr>
          <w:sz w:val="28"/>
          <w:szCs w:val="28"/>
        </w:rPr>
        <w:t>антеверсия</w:t>
      </w:r>
      <w:proofErr w:type="spellEnd"/>
      <w:r w:rsidRPr="00185BC0">
        <w:rPr>
          <w:sz w:val="28"/>
          <w:szCs w:val="28"/>
        </w:rPr>
        <w:t xml:space="preserve"> проксимального отдела бедренной кости, что потребовало планирования её коррекции до целевых значений 10</w:t>
      </w:r>
      <w:r w:rsidR="00681582" w:rsidRPr="00185BC0">
        <w:rPr>
          <w:sz w:val="28"/>
          <w:szCs w:val="28"/>
          <w:lang w:val="kk-KZ"/>
        </w:rPr>
        <w:t xml:space="preserve"> </w:t>
      </w:r>
      <w:r w:rsidRPr="00185BC0">
        <w:rPr>
          <w:sz w:val="28"/>
          <w:szCs w:val="28"/>
        </w:rPr>
        <w:t>–</w:t>
      </w:r>
      <w:r w:rsidR="00681582" w:rsidRPr="00185BC0">
        <w:rPr>
          <w:sz w:val="28"/>
          <w:szCs w:val="28"/>
          <w:lang w:val="kk-KZ"/>
        </w:rPr>
        <w:t xml:space="preserve"> </w:t>
      </w:r>
      <w:r w:rsidRPr="00185BC0">
        <w:rPr>
          <w:sz w:val="28"/>
          <w:szCs w:val="28"/>
        </w:rPr>
        <w:t>15°.</w:t>
      </w:r>
      <w:r w:rsidRPr="00185BC0">
        <w:rPr>
          <w:sz w:val="28"/>
          <w:szCs w:val="28"/>
          <w:lang w:val="kk-KZ"/>
        </w:rPr>
        <w:t xml:space="preserve"> </w:t>
      </w:r>
      <w:r w:rsidRPr="00185BC0">
        <w:rPr>
          <w:sz w:val="28"/>
          <w:szCs w:val="28"/>
        </w:rPr>
        <w:t>Все параметры остеотомии, включая величину резекции, уровень пересечения кости и объём ротационной коррекции, были зафиксированы в предоперационном протоколе.</w:t>
      </w:r>
    </w:p>
    <w:p w14:paraId="60BC4A81" w14:textId="4389114B" w:rsidR="006549E4" w:rsidRPr="00185BC0" w:rsidRDefault="006549E4" w:rsidP="006549E4">
      <w:pPr>
        <w:ind w:firstLine="567"/>
        <w:jc w:val="both"/>
        <w:rPr>
          <w:i/>
          <w:iCs/>
          <w:sz w:val="28"/>
          <w:szCs w:val="28"/>
        </w:rPr>
      </w:pPr>
      <w:r w:rsidRPr="00185BC0">
        <w:rPr>
          <w:i/>
          <w:iCs/>
          <w:sz w:val="28"/>
          <w:szCs w:val="28"/>
        </w:rPr>
        <w:t>Этап 5. Планирование тактики эндопротезирования и метода фиксации остеотомии</w:t>
      </w:r>
    </w:p>
    <w:p w14:paraId="690ABC39" w14:textId="4CCB7C97" w:rsidR="006549E4" w:rsidRPr="00185BC0" w:rsidRDefault="006549E4" w:rsidP="006549E4">
      <w:pPr>
        <w:ind w:firstLine="567"/>
        <w:jc w:val="both"/>
        <w:rPr>
          <w:sz w:val="28"/>
          <w:szCs w:val="28"/>
          <w:lang w:val="kk-KZ"/>
        </w:rPr>
      </w:pPr>
      <w:r w:rsidRPr="00185BC0">
        <w:rPr>
          <w:sz w:val="28"/>
          <w:szCs w:val="28"/>
        </w:rPr>
        <w:t>В ходе планирования было определено</w:t>
      </w:r>
      <w:r w:rsidR="00681582" w:rsidRPr="00185BC0">
        <w:rPr>
          <w:sz w:val="28"/>
          <w:szCs w:val="28"/>
          <w:lang w:val="kk-KZ"/>
        </w:rPr>
        <w:t>, что</w:t>
      </w:r>
    </w:p>
    <w:p w14:paraId="4E765D4A" w14:textId="4E4A84DA" w:rsidR="006549E4" w:rsidRPr="00185BC0" w:rsidRDefault="006549E4" w:rsidP="00D47CC4">
      <w:pPr>
        <w:pStyle w:val="a6"/>
        <w:numPr>
          <w:ilvl w:val="0"/>
          <w:numId w:val="19"/>
        </w:numPr>
        <w:ind w:left="0" w:firstLine="709"/>
        <w:jc w:val="both"/>
        <w:rPr>
          <w:sz w:val="28"/>
          <w:szCs w:val="28"/>
        </w:rPr>
      </w:pPr>
      <w:proofErr w:type="spellStart"/>
      <w:r w:rsidRPr="00185BC0">
        <w:rPr>
          <w:sz w:val="28"/>
          <w:szCs w:val="28"/>
        </w:rPr>
        <w:t>ацетабулярный</w:t>
      </w:r>
      <w:proofErr w:type="spellEnd"/>
      <w:r w:rsidRPr="00185BC0">
        <w:rPr>
          <w:sz w:val="28"/>
          <w:szCs w:val="28"/>
        </w:rPr>
        <w:t xml:space="preserve"> компонент диаметром 44 мм </w:t>
      </w:r>
      <w:proofErr w:type="spellStart"/>
      <w:r w:rsidRPr="00185BC0">
        <w:rPr>
          <w:sz w:val="28"/>
          <w:szCs w:val="28"/>
        </w:rPr>
        <w:t>устанавливае</w:t>
      </w:r>
      <w:proofErr w:type="spellEnd"/>
      <w:r w:rsidR="00265E1D" w:rsidRPr="00185BC0">
        <w:rPr>
          <w:sz w:val="28"/>
          <w:szCs w:val="28"/>
          <w:lang w:val="kk-KZ"/>
        </w:rPr>
        <w:t>тся</w:t>
      </w:r>
      <w:r w:rsidRPr="00185BC0">
        <w:rPr>
          <w:sz w:val="28"/>
          <w:szCs w:val="28"/>
        </w:rPr>
        <w:t xml:space="preserve"> в истинный центр вращения;</w:t>
      </w:r>
    </w:p>
    <w:p w14:paraId="63B6417C" w14:textId="610E9BE6" w:rsidR="006549E4" w:rsidRPr="00185BC0" w:rsidRDefault="006549E4" w:rsidP="00D47CC4">
      <w:pPr>
        <w:pStyle w:val="a6"/>
        <w:numPr>
          <w:ilvl w:val="0"/>
          <w:numId w:val="19"/>
        </w:numPr>
        <w:ind w:left="0" w:firstLine="709"/>
        <w:jc w:val="both"/>
        <w:rPr>
          <w:sz w:val="28"/>
          <w:szCs w:val="28"/>
        </w:rPr>
      </w:pPr>
      <w:r w:rsidRPr="00185BC0">
        <w:rPr>
          <w:sz w:val="28"/>
          <w:szCs w:val="28"/>
        </w:rPr>
        <w:t>вкладыш 44/28 мм;</w:t>
      </w:r>
    </w:p>
    <w:p w14:paraId="61FB286F" w14:textId="76402789" w:rsidR="006549E4" w:rsidRPr="00185BC0" w:rsidRDefault="006549E4" w:rsidP="00D47CC4">
      <w:pPr>
        <w:pStyle w:val="a6"/>
        <w:numPr>
          <w:ilvl w:val="0"/>
          <w:numId w:val="19"/>
        </w:numPr>
        <w:ind w:left="0" w:firstLine="709"/>
        <w:jc w:val="both"/>
        <w:rPr>
          <w:sz w:val="28"/>
          <w:szCs w:val="28"/>
        </w:rPr>
      </w:pPr>
      <w:proofErr w:type="spellStart"/>
      <w:r w:rsidRPr="00185BC0">
        <w:rPr>
          <w:sz w:val="28"/>
          <w:szCs w:val="28"/>
        </w:rPr>
        <w:t>бесцементный</w:t>
      </w:r>
      <w:proofErr w:type="spellEnd"/>
      <w:r w:rsidRPr="00185BC0">
        <w:rPr>
          <w:sz w:val="28"/>
          <w:szCs w:val="28"/>
        </w:rPr>
        <w:t xml:space="preserve"> конусный стержень </w:t>
      </w:r>
      <w:r w:rsidRPr="00185BC0">
        <w:rPr>
          <w:sz w:val="28"/>
          <w:szCs w:val="28"/>
          <w:lang w:val="kk-KZ"/>
        </w:rPr>
        <w:t>№</w:t>
      </w:r>
      <w:r w:rsidRPr="00185BC0">
        <w:rPr>
          <w:sz w:val="28"/>
          <w:szCs w:val="28"/>
        </w:rPr>
        <w:t xml:space="preserve">15 с </w:t>
      </w:r>
      <w:proofErr w:type="spellStart"/>
      <w:r w:rsidRPr="00185BC0">
        <w:rPr>
          <w:sz w:val="28"/>
          <w:szCs w:val="28"/>
        </w:rPr>
        <w:t>диафизарной</w:t>
      </w:r>
      <w:proofErr w:type="spellEnd"/>
      <w:r w:rsidRPr="00185BC0">
        <w:rPr>
          <w:sz w:val="28"/>
          <w:szCs w:val="28"/>
        </w:rPr>
        <w:t xml:space="preserve"> фиксацией </w:t>
      </w:r>
      <w:proofErr w:type="spellStart"/>
      <w:r w:rsidRPr="00185BC0">
        <w:rPr>
          <w:sz w:val="28"/>
          <w:szCs w:val="28"/>
        </w:rPr>
        <w:t>позволя</w:t>
      </w:r>
      <w:proofErr w:type="spellEnd"/>
      <w:r w:rsidR="00265E1D" w:rsidRPr="00185BC0">
        <w:rPr>
          <w:sz w:val="28"/>
          <w:szCs w:val="28"/>
          <w:lang w:val="kk-KZ"/>
        </w:rPr>
        <w:t>ет</w:t>
      </w:r>
      <w:r w:rsidRPr="00185BC0">
        <w:rPr>
          <w:sz w:val="28"/>
          <w:szCs w:val="28"/>
        </w:rPr>
        <w:t xml:space="preserve"> перекрыть линию остеотомии на 5</w:t>
      </w:r>
      <w:r w:rsidR="00265E1D" w:rsidRPr="00185BC0">
        <w:rPr>
          <w:sz w:val="28"/>
          <w:szCs w:val="28"/>
          <w:lang w:val="kk-KZ"/>
        </w:rPr>
        <w:t xml:space="preserve"> </w:t>
      </w:r>
      <w:r w:rsidRPr="00185BC0">
        <w:rPr>
          <w:sz w:val="28"/>
          <w:szCs w:val="28"/>
        </w:rPr>
        <w:t>–</w:t>
      </w:r>
      <w:r w:rsidR="00265E1D" w:rsidRPr="00185BC0">
        <w:rPr>
          <w:sz w:val="28"/>
          <w:szCs w:val="28"/>
          <w:lang w:val="kk-KZ"/>
        </w:rPr>
        <w:t xml:space="preserve"> </w:t>
      </w:r>
      <w:r w:rsidRPr="00185BC0">
        <w:rPr>
          <w:sz w:val="28"/>
          <w:szCs w:val="28"/>
        </w:rPr>
        <w:t>6 см.</w:t>
      </w:r>
    </w:p>
    <w:p w14:paraId="07E01173" w14:textId="533744AB" w:rsidR="006549E4" w:rsidRPr="00185BC0" w:rsidRDefault="006549E4" w:rsidP="006549E4">
      <w:pPr>
        <w:ind w:firstLine="567"/>
        <w:jc w:val="both"/>
        <w:rPr>
          <w:sz w:val="28"/>
          <w:szCs w:val="28"/>
        </w:rPr>
      </w:pPr>
      <w:r w:rsidRPr="00185BC0">
        <w:rPr>
          <w:sz w:val="28"/>
          <w:szCs w:val="28"/>
        </w:rPr>
        <w:t xml:space="preserve">Учитывая ожидаемую ротационную нестабильность </w:t>
      </w:r>
      <w:proofErr w:type="spellStart"/>
      <w:r w:rsidRPr="00185BC0">
        <w:rPr>
          <w:sz w:val="28"/>
          <w:szCs w:val="28"/>
        </w:rPr>
        <w:t>остеотомированных</w:t>
      </w:r>
      <w:proofErr w:type="spellEnd"/>
      <w:r w:rsidRPr="00185BC0">
        <w:rPr>
          <w:sz w:val="28"/>
          <w:szCs w:val="28"/>
        </w:rPr>
        <w:t xml:space="preserve"> фрагментов после коррекции </w:t>
      </w:r>
      <w:proofErr w:type="spellStart"/>
      <w:r w:rsidRPr="00185BC0">
        <w:rPr>
          <w:sz w:val="28"/>
          <w:szCs w:val="28"/>
        </w:rPr>
        <w:t>антеверсии</w:t>
      </w:r>
      <w:proofErr w:type="spellEnd"/>
      <w:r w:rsidRPr="00185BC0">
        <w:rPr>
          <w:sz w:val="28"/>
          <w:szCs w:val="28"/>
        </w:rPr>
        <w:t xml:space="preserve">, в план включено использование </w:t>
      </w:r>
      <w:proofErr w:type="spellStart"/>
      <w:r w:rsidRPr="00185BC0">
        <w:rPr>
          <w:sz w:val="28"/>
          <w:szCs w:val="28"/>
        </w:rPr>
        <w:t>деротационной</w:t>
      </w:r>
      <w:proofErr w:type="spellEnd"/>
      <w:r w:rsidRPr="00185BC0">
        <w:rPr>
          <w:sz w:val="28"/>
          <w:szCs w:val="28"/>
        </w:rPr>
        <w:t xml:space="preserve"> пластины как дополнительного стабилизирующего элемента.</w:t>
      </w:r>
    </w:p>
    <w:p w14:paraId="7A2C2449" w14:textId="77777777" w:rsidR="006549E4" w:rsidRPr="00185BC0" w:rsidRDefault="006549E4" w:rsidP="006549E4">
      <w:pPr>
        <w:ind w:firstLine="567"/>
        <w:jc w:val="both"/>
        <w:rPr>
          <w:sz w:val="28"/>
          <w:szCs w:val="28"/>
        </w:rPr>
      </w:pPr>
      <w:r w:rsidRPr="00185BC0">
        <w:rPr>
          <w:sz w:val="28"/>
          <w:szCs w:val="28"/>
        </w:rPr>
        <w:t>Применение алгоритма позволило:</w:t>
      </w:r>
    </w:p>
    <w:p w14:paraId="0A78F644" w14:textId="77777777" w:rsidR="006549E4" w:rsidRPr="00185BC0" w:rsidRDefault="006549E4" w:rsidP="00D47CC4">
      <w:pPr>
        <w:pStyle w:val="a6"/>
        <w:numPr>
          <w:ilvl w:val="0"/>
          <w:numId w:val="20"/>
        </w:numPr>
        <w:ind w:left="0" w:firstLine="709"/>
        <w:jc w:val="both"/>
        <w:rPr>
          <w:sz w:val="28"/>
          <w:szCs w:val="28"/>
        </w:rPr>
      </w:pPr>
      <w:r w:rsidRPr="00185BC0">
        <w:rPr>
          <w:sz w:val="28"/>
          <w:szCs w:val="28"/>
        </w:rPr>
        <w:lastRenderedPageBreak/>
        <w:t>количественно определить истинный объём смещения бедра;</w:t>
      </w:r>
    </w:p>
    <w:p w14:paraId="5D8C37FD" w14:textId="77777777" w:rsidR="006549E4" w:rsidRPr="00185BC0" w:rsidRDefault="006549E4" w:rsidP="00D47CC4">
      <w:pPr>
        <w:pStyle w:val="a6"/>
        <w:numPr>
          <w:ilvl w:val="0"/>
          <w:numId w:val="20"/>
        </w:numPr>
        <w:ind w:left="0" w:firstLine="709"/>
        <w:jc w:val="both"/>
        <w:rPr>
          <w:sz w:val="28"/>
          <w:szCs w:val="28"/>
        </w:rPr>
      </w:pPr>
      <w:r w:rsidRPr="00185BC0">
        <w:rPr>
          <w:sz w:val="28"/>
          <w:szCs w:val="28"/>
        </w:rPr>
        <w:t>рассчитать оптимальную длину резекции (≈ 4 см);</w:t>
      </w:r>
    </w:p>
    <w:p w14:paraId="674CC1F8" w14:textId="77777777" w:rsidR="006549E4" w:rsidRPr="00185BC0" w:rsidRDefault="006549E4" w:rsidP="00D47CC4">
      <w:pPr>
        <w:pStyle w:val="a6"/>
        <w:numPr>
          <w:ilvl w:val="0"/>
          <w:numId w:val="20"/>
        </w:numPr>
        <w:ind w:left="0" w:firstLine="709"/>
        <w:jc w:val="both"/>
        <w:rPr>
          <w:sz w:val="28"/>
          <w:szCs w:val="28"/>
        </w:rPr>
      </w:pPr>
      <w:r w:rsidRPr="00185BC0">
        <w:rPr>
          <w:sz w:val="28"/>
          <w:szCs w:val="28"/>
        </w:rPr>
        <w:t>выбрать безопасную тактику восстановления длины конечности;</w:t>
      </w:r>
    </w:p>
    <w:p w14:paraId="06BA37DD" w14:textId="77777777" w:rsidR="006549E4" w:rsidRPr="00185BC0" w:rsidRDefault="006549E4" w:rsidP="00D47CC4">
      <w:pPr>
        <w:pStyle w:val="a6"/>
        <w:numPr>
          <w:ilvl w:val="0"/>
          <w:numId w:val="20"/>
        </w:numPr>
        <w:ind w:left="0" w:firstLine="709"/>
        <w:jc w:val="both"/>
        <w:rPr>
          <w:sz w:val="28"/>
          <w:szCs w:val="28"/>
        </w:rPr>
      </w:pPr>
      <w:proofErr w:type="spellStart"/>
      <w:r w:rsidRPr="00185BC0">
        <w:rPr>
          <w:sz w:val="28"/>
          <w:szCs w:val="28"/>
        </w:rPr>
        <w:t>стандартировать</w:t>
      </w:r>
      <w:proofErr w:type="spellEnd"/>
      <w:r w:rsidRPr="00185BC0">
        <w:rPr>
          <w:sz w:val="28"/>
          <w:szCs w:val="28"/>
        </w:rPr>
        <w:t xml:space="preserve"> уровень и тип остеотомии;</w:t>
      </w:r>
    </w:p>
    <w:p w14:paraId="30FDDAEC" w14:textId="77777777" w:rsidR="006549E4" w:rsidRPr="00185BC0" w:rsidRDefault="006549E4" w:rsidP="00D47CC4">
      <w:pPr>
        <w:pStyle w:val="a6"/>
        <w:numPr>
          <w:ilvl w:val="0"/>
          <w:numId w:val="20"/>
        </w:numPr>
        <w:ind w:left="0" w:firstLine="709"/>
        <w:jc w:val="both"/>
        <w:rPr>
          <w:sz w:val="28"/>
          <w:szCs w:val="28"/>
        </w:rPr>
      </w:pPr>
      <w:r w:rsidRPr="00185BC0">
        <w:rPr>
          <w:sz w:val="28"/>
          <w:szCs w:val="28"/>
        </w:rPr>
        <w:t xml:space="preserve">обосновать необходимость ротационной коррекции и </w:t>
      </w:r>
      <w:proofErr w:type="spellStart"/>
      <w:r w:rsidRPr="00185BC0">
        <w:rPr>
          <w:sz w:val="28"/>
          <w:szCs w:val="28"/>
        </w:rPr>
        <w:t>деротационной</w:t>
      </w:r>
      <w:proofErr w:type="spellEnd"/>
      <w:r w:rsidRPr="00185BC0">
        <w:rPr>
          <w:sz w:val="28"/>
          <w:szCs w:val="28"/>
        </w:rPr>
        <w:t xml:space="preserve"> фиксации.</w:t>
      </w:r>
    </w:p>
    <w:p w14:paraId="15C46E12" w14:textId="1639AA5C" w:rsidR="006549E4" w:rsidRPr="00185BC0" w:rsidRDefault="006549E4" w:rsidP="006549E4">
      <w:pPr>
        <w:ind w:firstLine="567"/>
        <w:jc w:val="both"/>
        <w:rPr>
          <w:sz w:val="28"/>
          <w:szCs w:val="28"/>
        </w:rPr>
      </w:pPr>
      <w:r w:rsidRPr="00185BC0">
        <w:rPr>
          <w:sz w:val="28"/>
          <w:szCs w:val="28"/>
        </w:rPr>
        <w:t xml:space="preserve">Таким образом, пример пациентки </w:t>
      </w:r>
      <w:r w:rsidRPr="00185BC0">
        <w:rPr>
          <w:sz w:val="28"/>
          <w:szCs w:val="28"/>
          <w:lang w:val="kk-KZ"/>
        </w:rPr>
        <w:t>Ж</w:t>
      </w:r>
      <w:r w:rsidR="00265E1D" w:rsidRPr="00185BC0">
        <w:rPr>
          <w:sz w:val="28"/>
          <w:szCs w:val="28"/>
          <w:lang w:val="kk-KZ"/>
        </w:rPr>
        <w:t>.</w:t>
      </w:r>
      <w:r w:rsidRPr="00185BC0">
        <w:rPr>
          <w:sz w:val="28"/>
          <w:szCs w:val="28"/>
          <w:lang w:val="kk-KZ"/>
        </w:rPr>
        <w:t xml:space="preserve">, </w:t>
      </w:r>
      <w:r w:rsidRPr="00185BC0">
        <w:rPr>
          <w:sz w:val="28"/>
          <w:szCs w:val="28"/>
        </w:rPr>
        <w:t xml:space="preserve">демонстрирует практическую применимость разработанного алгоритма и его эффективность при планировании хирургического лечения диспластического коксартроза IV типа по </w:t>
      </w:r>
      <w:proofErr w:type="spellStart"/>
      <w:r w:rsidRPr="00185BC0">
        <w:rPr>
          <w:sz w:val="28"/>
          <w:szCs w:val="28"/>
        </w:rPr>
        <w:t>Crowe</w:t>
      </w:r>
      <w:proofErr w:type="spellEnd"/>
      <w:r w:rsidRPr="00185BC0">
        <w:rPr>
          <w:sz w:val="28"/>
          <w:szCs w:val="28"/>
        </w:rPr>
        <w:t>.</w:t>
      </w:r>
    </w:p>
    <w:p w14:paraId="0A5223EC" w14:textId="77777777" w:rsidR="006549E4" w:rsidRPr="00185BC0" w:rsidRDefault="006549E4" w:rsidP="006549E4">
      <w:pPr>
        <w:ind w:firstLine="567"/>
        <w:jc w:val="both"/>
        <w:rPr>
          <w:sz w:val="28"/>
          <w:szCs w:val="28"/>
        </w:rPr>
      </w:pPr>
    </w:p>
    <w:p w14:paraId="3C4BE0FC" w14:textId="7E767444" w:rsidR="00915DC4" w:rsidRPr="00185BC0" w:rsidRDefault="00E277EC" w:rsidP="00E277EC">
      <w:pPr>
        <w:pStyle w:val="1"/>
        <w:ind w:left="0" w:firstLine="567"/>
        <w:jc w:val="both"/>
        <w:rPr>
          <w:b w:val="0"/>
          <w:bCs w:val="0"/>
        </w:rPr>
      </w:pPr>
      <w:bookmarkStart w:id="38" w:name="_Toc217561940"/>
      <w:r w:rsidRPr="00185BC0">
        <w:rPr>
          <w:lang w:val="kk-KZ"/>
        </w:rPr>
        <w:t>3.3</w:t>
      </w:r>
      <w:r w:rsidRPr="00185BC0">
        <w:rPr>
          <w:rStyle w:val="10"/>
          <w:b/>
          <w:bCs/>
        </w:rPr>
        <w:t xml:space="preserve"> Клинические результаты применения </w:t>
      </w:r>
      <w:proofErr w:type="spellStart"/>
      <w:r w:rsidRPr="00185BC0">
        <w:rPr>
          <w:rStyle w:val="10"/>
          <w:b/>
          <w:bCs/>
        </w:rPr>
        <w:t>деротационной</w:t>
      </w:r>
      <w:proofErr w:type="spellEnd"/>
      <w:r w:rsidRPr="00185BC0">
        <w:rPr>
          <w:rStyle w:val="10"/>
          <w:b/>
          <w:bCs/>
        </w:rPr>
        <w:t xml:space="preserve"> пластины при укорачивающей остеотомии: сравнительный анализ с контрольной группой</w:t>
      </w:r>
      <w:bookmarkEnd w:id="38"/>
    </w:p>
    <w:p w14:paraId="7DA534FC" w14:textId="6A6FBD3D" w:rsidR="00153523" w:rsidRPr="00185BC0" w:rsidRDefault="00153523" w:rsidP="00AA4760">
      <w:pPr>
        <w:widowControl/>
        <w:autoSpaceDE/>
        <w:autoSpaceDN/>
        <w:ind w:firstLine="720"/>
        <w:jc w:val="both"/>
        <w:rPr>
          <w:sz w:val="28"/>
          <w:szCs w:val="28"/>
        </w:rPr>
      </w:pPr>
      <w:r w:rsidRPr="00185BC0">
        <w:rPr>
          <w:i/>
          <w:iCs/>
          <w:sz w:val="28"/>
          <w:szCs w:val="28"/>
        </w:rPr>
        <w:t>Демографические и клинические характеристики пациентов</w:t>
      </w:r>
    </w:p>
    <w:p w14:paraId="48F9D72E" w14:textId="35D0DB8D" w:rsidR="00EF5D1F" w:rsidRPr="00185BC0" w:rsidRDefault="00153523" w:rsidP="00EF5D1F">
      <w:pPr>
        <w:ind w:firstLine="567"/>
        <w:jc w:val="both"/>
        <w:rPr>
          <w:sz w:val="28"/>
          <w:szCs w:val="28"/>
        </w:rPr>
      </w:pPr>
      <w:r w:rsidRPr="00185BC0">
        <w:rPr>
          <w:sz w:val="28"/>
          <w:szCs w:val="28"/>
        </w:rPr>
        <w:t xml:space="preserve">Для оценки клинической эффективности различных методов остеосинтеза зоны остеотомии у пациентов с диспластическим коксартрозом IV типа по классификации </w:t>
      </w:r>
      <w:proofErr w:type="spellStart"/>
      <w:r w:rsidRPr="00185BC0">
        <w:rPr>
          <w:sz w:val="28"/>
          <w:szCs w:val="28"/>
        </w:rPr>
        <w:t>Crowe</w:t>
      </w:r>
      <w:proofErr w:type="spellEnd"/>
      <w:r w:rsidRPr="00185BC0">
        <w:rPr>
          <w:sz w:val="28"/>
          <w:szCs w:val="28"/>
        </w:rPr>
        <w:t xml:space="preserve"> был проведён сравнительный анализ двух клинически сопоставимых групп. По результатам анализа демографических показателей обследованных пациентов (n = 60) средний возраст составил 41,52 ± 11,43 лет (от 19 до 60 лет), что соответствует преимущественно молодой и средней возрастной категории. В исследуемой выборке преобладали женщины </w:t>
      </w:r>
      <w:r w:rsidR="00DA5A93" w:rsidRPr="00185BC0">
        <w:rPr>
          <w:sz w:val="28"/>
          <w:szCs w:val="28"/>
        </w:rPr>
        <w:t>–</w:t>
      </w:r>
      <w:r w:rsidRPr="00185BC0">
        <w:rPr>
          <w:sz w:val="28"/>
          <w:szCs w:val="28"/>
        </w:rPr>
        <w:t xml:space="preserve"> 83,3% (n = 50), мужчины составили лишь 16,7% (n = 10). По стороне поражения чаще встречалась левосторонняя локализация диспластического коксартроза </w:t>
      </w:r>
      <w:r w:rsidR="00DA5A93" w:rsidRPr="00185BC0">
        <w:rPr>
          <w:sz w:val="28"/>
          <w:szCs w:val="28"/>
        </w:rPr>
        <w:t>–</w:t>
      </w:r>
      <w:r w:rsidRPr="00185BC0">
        <w:rPr>
          <w:sz w:val="28"/>
          <w:szCs w:val="28"/>
        </w:rPr>
        <w:t xml:space="preserve"> у 61,7% пациентов (n = 37), тогда как правосторонняя локализация наблюдалась у 38,3% (n = 23). По характеру поражения в большинстве случаев регистрировалась односторонняя форма заболевания: левосторонняя </w:t>
      </w:r>
      <w:r w:rsidR="00DA5A93" w:rsidRPr="00185BC0">
        <w:rPr>
          <w:sz w:val="28"/>
          <w:szCs w:val="28"/>
        </w:rPr>
        <w:t>–</w:t>
      </w:r>
      <w:r w:rsidRPr="00185BC0">
        <w:rPr>
          <w:sz w:val="28"/>
          <w:szCs w:val="28"/>
        </w:rPr>
        <w:t xml:space="preserve"> у 43,3% пациентов (n = 26), правосторонняя </w:t>
      </w:r>
      <w:r w:rsidR="00265E1D" w:rsidRPr="00185BC0">
        <w:rPr>
          <w:sz w:val="28"/>
          <w:szCs w:val="28"/>
          <w:lang w:val="kk-KZ"/>
        </w:rPr>
        <w:t xml:space="preserve">и </w:t>
      </w:r>
      <w:r w:rsidRPr="00185BC0">
        <w:rPr>
          <w:sz w:val="28"/>
          <w:szCs w:val="28"/>
        </w:rPr>
        <w:t>у 45,0% (n = 27). Двусторонняя форма дисплазии выявлена лишь у 11,7% обследованных (n = 7). Таким образом, основная часть исследуемой группы представлена женщинами с преобладанием левосторонней локализации патологии, а двусторонние формы встречались относительно редко.</w:t>
      </w:r>
      <w:r w:rsidRPr="00185BC0">
        <w:rPr>
          <w:sz w:val="28"/>
          <w:szCs w:val="28"/>
          <w:lang w:val="kk-KZ"/>
        </w:rPr>
        <w:t xml:space="preserve"> </w:t>
      </w:r>
      <w:r w:rsidRPr="00185BC0">
        <w:rPr>
          <w:sz w:val="28"/>
          <w:szCs w:val="28"/>
        </w:rPr>
        <w:t xml:space="preserve">Медиана длительности госпитализации составила 14,0 суток (Q1–Q3: 13,0–17,0; </w:t>
      </w:r>
      <w:proofErr w:type="spellStart"/>
      <w:r w:rsidRPr="00185BC0">
        <w:rPr>
          <w:sz w:val="28"/>
          <w:szCs w:val="28"/>
        </w:rPr>
        <w:t>min</w:t>
      </w:r>
      <w:proofErr w:type="spellEnd"/>
      <w:r w:rsidRPr="00185BC0">
        <w:rPr>
          <w:sz w:val="28"/>
          <w:szCs w:val="28"/>
        </w:rPr>
        <w:t>–</w:t>
      </w:r>
      <w:proofErr w:type="spellStart"/>
      <w:r w:rsidRPr="00185BC0">
        <w:rPr>
          <w:sz w:val="28"/>
          <w:szCs w:val="28"/>
        </w:rPr>
        <w:t>max</w:t>
      </w:r>
      <w:proofErr w:type="spellEnd"/>
      <w:r w:rsidRPr="00185BC0">
        <w:rPr>
          <w:sz w:val="28"/>
          <w:szCs w:val="28"/>
        </w:rPr>
        <w:t>: 9–23).</w:t>
      </w:r>
      <w:r w:rsidRPr="00185BC0">
        <w:rPr>
          <w:sz w:val="28"/>
          <w:szCs w:val="28"/>
          <w:lang w:val="kk-KZ"/>
        </w:rPr>
        <w:t xml:space="preserve"> </w:t>
      </w:r>
      <w:r w:rsidRPr="00185BC0">
        <w:rPr>
          <w:sz w:val="28"/>
          <w:szCs w:val="28"/>
        </w:rPr>
        <w:t xml:space="preserve">Антропометрические характеристики пациентов также находились в пределах сопоставимых значений: средний рост </w:t>
      </w:r>
      <w:r w:rsidR="00DA5A93" w:rsidRPr="00185BC0">
        <w:rPr>
          <w:sz w:val="28"/>
          <w:szCs w:val="28"/>
        </w:rPr>
        <w:t>–</w:t>
      </w:r>
      <w:r w:rsidRPr="00185BC0">
        <w:rPr>
          <w:sz w:val="28"/>
          <w:szCs w:val="28"/>
        </w:rPr>
        <w:t xml:space="preserve"> 160,95 ± 8,32 см (от 140 до 178 см), масса тела </w:t>
      </w:r>
      <w:r w:rsidR="00DA5A93" w:rsidRPr="00185BC0">
        <w:rPr>
          <w:sz w:val="28"/>
          <w:szCs w:val="28"/>
        </w:rPr>
        <w:t>–</w:t>
      </w:r>
      <w:r w:rsidRPr="00185BC0">
        <w:rPr>
          <w:sz w:val="28"/>
          <w:szCs w:val="28"/>
        </w:rPr>
        <w:t xml:space="preserve"> 68,33 ± 10,29 кг (от 42 до 90 кг). Индекс массы тела (ИМТ) у включённых в исследование пациентов в среднем составил 26,41 ± 3,88 кг/м² (от 18,70 до 34,48 кг/м²), что соответствует нормальным и умеренно избыточным значениям (таблица 5).</w:t>
      </w:r>
    </w:p>
    <w:p w14:paraId="59246473" w14:textId="642E7634" w:rsidR="006A73B6" w:rsidRPr="00185BC0" w:rsidRDefault="006A73B6" w:rsidP="00EF5D1F">
      <w:pPr>
        <w:ind w:firstLine="567"/>
        <w:jc w:val="both"/>
        <w:rPr>
          <w:sz w:val="28"/>
          <w:szCs w:val="28"/>
        </w:rPr>
      </w:pPr>
    </w:p>
    <w:p w14:paraId="65798E57" w14:textId="03569D90" w:rsidR="006A73B6" w:rsidRPr="00185BC0" w:rsidRDefault="006A73B6" w:rsidP="00EF5D1F">
      <w:pPr>
        <w:ind w:firstLine="567"/>
        <w:jc w:val="both"/>
        <w:rPr>
          <w:sz w:val="28"/>
          <w:szCs w:val="28"/>
        </w:rPr>
      </w:pPr>
    </w:p>
    <w:p w14:paraId="2CE75DC1" w14:textId="57125D1D" w:rsidR="006A73B6" w:rsidRPr="00185BC0" w:rsidRDefault="006A73B6" w:rsidP="00EF5D1F">
      <w:pPr>
        <w:ind w:firstLine="567"/>
        <w:jc w:val="both"/>
        <w:rPr>
          <w:sz w:val="28"/>
          <w:szCs w:val="28"/>
        </w:rPr>
      </w:pPr>
    </w:p>
    <w:p w14:paraId="768AF560" w14:textId="77777777" w:rsidR="00EF196D" w:rsidRPr="00185BC0" w:rsidRDefault="00EF196D" w:rsidP="00EF5D1F">
      <w:pPr>
        <w:ind w:firstLine="567"/>
        <w:jc w:val="both"/>
        <w:rPr>
          <w:sz w:val="28"/>
          <w:szCs w:val="28"/>
        </w:rPr>
      </w:pPr>
    </w:p>
    <w:p w14:paraId="1C63AC90" w14:textId="36DFD2A0" w:rsidR="006A73B6" w:rsidRPr="00185BC0" w:rsidRDefault="006A73B6" w:rsidP="00EF5D1F">
      <w:pPr>
        <w:ind w:firstLine="567"/>
        <w:jc w:val="both"/>
        <w:rPr>
          <w:sz w:val="28"/>
          <w:szCs w:val="28"/>
        </w:rPr>
      </w:pPr>
    </w:p>
    <w:p w14:paraId="43A01473" w14:textId="6F3D4ED3" w:rsidR="006A73B6" w:rsidRPr="00185BC0" w:rsidRDefault="006A73B6" w:rsidP="00EF5D1F">
      <w:pPr>
        <w:ind w:firstLine="567"/>
        <w:jc w:val="both"/>
        <w:rPr>
          <w:sz w:val="28"/>
          <w:szCs w:val="28"/>
        </w:rPr>
      </w:pPr>
    </w:p>
    <w:p w14:paraId="1E05E6B2" w14:textId="77777777" w:rsidR="006A73B6" w:rsidRPr="00185BC0" w:rsidRDefault="006A73B6" w:rsidP="00EF5D1F">
      <w:pPr>
        <w:ind w:firstLine="567"/>
        <w:jc w:val="both"/>
        <w:rPr>
          <w:sz w:val="28"/>
          <w:szCs w:val="28"/>
        </w:rPr>
      </w:pPr>
    </w:p>
    <w:p w14:paraId="07E915BE" w14:textId="1570949C" w:rsidR="00153523" w:rsidRPr="00185BC0" w:rsidRDefault="00153523" w:rsidP="00EF5D1F">
      <w:pPr>
        <w:ind w:firstLine="567"/>
        <w:jc w:val="both"/>
        <w:rPr>
          <w:b/>
          <w:bCs/>
          <w:sz w:val="28"/>
          <w:szCs w:val="28"/>
        </w:rPr>
      </w:pPr>
      <w:r w:rsidRPr="00185BC0">
        <w:rPr>
          <w:b/>
          <w:bCs/>
          <w:sz w:val="28"/>
          <w:szCs w:val="28"/>
        </w:rPr>
        <w:t>Таблица 5</w:t>
      </w:r>
      <w:r w:rsidR="00EF5D1F" w:rsidRPr="00185BC0">
        <w:rPr>
          <w:b/>
          <w:bCs/>
          <w:sz w:val="28"/>
          <w:szCs w:val="28"/>
          <w:lang w:val="kk-KZ"/>
        </w:rPr>
        <w:t xml:space="preserve"> </w:t>
      </w:r>
      <w:r w:rsidR="00EF5D1F" w:rsidRPr="00185BC0">
        <w:rPr>
          <w:sz w:val="28"/>
          <w:szCs w:val="28"/>
          <w:lang w:val="kk-KZ"/>
        </w:rPr>
        <w:t>–</w:t>
      </w:r>
      <w:r w:rsidR="00EF5D1F" w:rsidRPr="00185BC0">
        <w:rPr>
          <w:b/>
          <w:bCs/>
          <w:sz w:val="28"/>
          <w:szCs w:val="28"/>
        </w:rPr>
        <w:t xml:space="preserve"> </w:t>
      </w:r>
      <w:r w:rsidRPr="00185BC0">
        <w:rPr>
          <w:b/>
          <w:bCs/>
          <w:sz w:val="28"/>
          <w:szCs w:val="28"/>
        </w:rPr>
        <w:t>Общая характеристика пациентов исследуемой выборки</w:t>
      </w:r>
    </w:p>
    <w:p w14:paraId="1B01E4AA" w14:textId="77777777" w:rsidR="006A73B6" w:rsidRPr="00185BC0" w:rsidRDefault="006A73B6" w:rsidP="00EF5D1F">
      <w:pPr>
        <w:ind w:firstLine="567"/>
        <w:jc w:val="both"/>
        <w:rPr>
          <w:b/>
          <w:bCs/>
          <w:sz w:val="28"/>
          <w:szCs w:val="28"/>
        </w:rPr>
      </w:pPr>
    </w:p>
    <w:tbl>
      <w:tblPr>
        <w:tblStyle w:val="42"/>
        <w:tblW w:w="0" w:type="auto"/>
        <w:jc w:val="center"/>
        <w:tblLook w:val="04A0" w:firstRow="1" w:lastRow="0" w:firstColumn="1" w:lastColumn="0" w:noHBand="0" w:noVBand="1"/>
      </w:tblPr>
      <w:tblGrid>
        <w:gridCol w:w="1614"/>
        <w:gridCol w:w="1555"/>
        <w:gridCol w:w="1556"/>
        <w:gridCol w:w="1507"/>
        <w:gridCol w:w="1556"/>
        <w:gridCol w:w="1556"/>
      </w:tblGrid>
      <w:tr w:rsidR="00153523" w:rsidRPr="00185BC0" w14:paraId="33EA0FDD" w14:textId="77777777" w:rsidTr="004F2E0D">
        <w:trPr>
          <w:jc w:val="center"/>
        </w:trPr>
        <w:tc>
          <w:tcPr>
            <w:tcW w:w="1614" w:type="dxa"/>
            <w:vAlign w:val="center"/>
          </w:tcPr>
          <w:p w14:paraId="13F3C8B5" w14:textId="77777777" w:rsidR="00153523" w:rsidRPr="00185BC0" w:rsidRDefault="00153523" w:rsidP="00153523">
            <w:pPr>
              <w:jc w:val="center"/>
              <w:rPr>
                <w:sz w:val="20"/>
                <w:szCs w:val="20"/>
              </w:rPr>
            </w:pPr>
            <w:r w:rsidRPr="00185BC0">
              <w:rPr>
                <w:sz w:val="20"/>
                <w:szCs w:val="20"/>
              </w:rPr>
              <w:t>Показатели</w:t>
            </w:r>
          </w:p>
        </w:tc>
        <w:tc>
          <w:tcPr>
            <w:tcW w:w="1555" w:type="dxa"/>
            <w:vAlign w:val="center"/>
          </w:tcPr>
          <w:p w14:paraId="0A678174" w14:textId="77777777" w:rsidR="00153523" w:rsidRPr="00185BC0" w:rsidRDefault="00153523" w:rsidP="00153523">
            <w:pPr>
              <w:jc w:val="center"/>
              <w:rPr>
                <w:sz w:val="20"/>
                <w:szCs w:val="20"/>
              </w:rPr>
            </w:pPr>
            <w:r w:rsidRPr="00185BC0">
              <w:rPr>
                <w:sz w:val="20"/>
                <w:szCs w:val="20"/>
              </w:rPr>
              <w:t>M ± SD / Me</w:t>
            </w:r>
          </w:p>
        </w:tc>
        <w:tc>
          <w:tcPr>
            <w:tcW w:w="1556" w:type="dxa"/>
            <w:vAlign w:val="center"/>
          </w:tcPr>
          <w:p w14:paraId="3FDDED5F" w14:textId="77777777" w:rsidR="00153523" w:rsidRPr="00185BC0" w:rsidRDefault="00153523" w:rsidP="00153523">
            <w:pPr>
              <w:jc w:val="center"/>
              <w:rPr>
                <w:sz w:val="20"/>
                <w:szCs w:val="20"/>
              </w:rPr>
            </w:pPr>
            <w:r w:rsidRPr="00185BC0">
              <w:rPr>
                <w:sz w:val="20"/>
                <w:szCs w:val="20"/>
              </w:rPr>
              <w:t>95% ДИ / Q₁ – Q₃</w:t>
            </w:r>
          </w:p>
        </w:tc>
        <w:tc>
          <w:tcPr>
            <w:tcW w:w="1507" w:type="dxa"/>
            <w:vAlign w:val="center"/>
          </w:tcPr>
          <w:p w14:paraId="3FE83220" w14:textId="77777777" w:rsidR="00153523" w:rsidRPr="00185BC0" w:rsidRDefault="00153523" w:rsidP="00153523">
            <w:pPr>
              <w:jc w:val="center"/>
              <w:rPr>
                <w:sz w:val="20"/>
                <w:szCs w:val="20"/>
              </w:rPr>
            </w:pPr>
            <w:r w:rsidRPr="00185BC0">
              <w:rPr>
                <w:sz w:val="20"/>
                <w:szCs w:val="20"/>
              </w:rPr>
              <w:t>n</w:t>
            </w:r>
          </w:p>
        </w:tc>
        <w:tc>
          <w:tcPr>
            <w:tcW w:w="1556" w:type="dxa"/>
            <w:vAlign w:val="center"/>
          </w:tcPr>
          <w:p w14:paraId="49D7BC95" w14:textId="77777777" w:rsidR="00153523" w:rsidRPr="00185BC0" w:rsidRDefault="00153523" w:rsidP="00153523">
            <w:pPr>
              <w:jc w:val="center"/>
              <w:rPr>
                <w:sz w:val="20"/>
                <w:szCs w:val="20"/>
              </w:rPr>
            </w:pPr>
            <w:proofErr w:type="spellStart"/>
            <w:r w:rsidRPr="00185BC0">
              <w:rPr>
                <w:sz w:val="20"/>
                <w:szCs w:val="20"/>
              </w:rPr>
              <w:t>min</w:t>
            </w:r>
            <w:proofErr w:type="spellEnd"/>
          </w:p>
        </w:tc>
        <w:tc>
          <w:tcPr>
            <w:tcW w:w="1556" w:type="dxa"/>
            <w:vAlign w:val="center"/>
          </w:tcPr>
          <w:p w14:paraId="746A7A7D" w14:textId="77777777" w:rsidR="00153523" w:rsidRPr="00185BC0" w:rsidRDefault="00153523" w:rsidP="00153523">
            <w:pPr>
              <w:jc w:val="center"/>
              <w:rPr>
                <w:sz w:val="20"/>
                <w:szCs w:val="20"/>
              </w:rPr>
            </w:pPr>
            <w:proofErr w:type="spellStart"/>
            <w:r w:rsidRPr="00185BC0">
              <w:rPr>
                <w:sz w:val="20"/>
                <w:szCs w:val="20"/>
              </w:rPr>
              <w:t>max</w:t>
            </w:r>
            <w:proofErr w:type="spellEnd"/>
          </w:p>
        </w:tc>
      </w:tr>
      <w:tr w:rsidR="00153523" w:rsidRPr="00185BC0" w14:paraId="10C1C223" w14:textId="77777777" w:rsidTr="004F2E0D">
        <w:trPr>
          <w:jc w:val="center"/>
        </w:trPr>
        <w:tc>
          <w:tcPr>
            <w:tcW w:w="1614" w:type="dxa"/>
            <w:vAlign w:val="center"/>
          </w:tcPr>
          <w:p w14:paraId="356F4DE7" w14:textId="77777777" w:rsidR="00153523" w:rsidRPr="00185BC0" w:rsidRDefault="00153523" w:rsidP="00153523">
            <w:pPr>
              <w:jc w:val="center"/>
              <w:rPr>
                <w:sz w:val="20"/>
                <w:szCs w:val="20"/>
              </w:rPr>
            </w:pPr>
            <w:r w:rsidRPr="00185BC0">
              <w:rPr>
                <w:sz w:val="20"/>
                <w:szCs w:val="20"/>
                <w:lang w:val="kk-KZ"/>
              </w:rPr>
              <w:t>В</w:t>
            </w:r>
            <w:proofErr w:type="spellStart"/>
            <w:r w:rsidRPr="00185BC0">
              <w:rPr>
                <w:sz w:val="20"/>
                <w:szCs w:val="20"/>
              </w:rPr>
              <w:t>озраст</w:t>
            </w:r>
            <w:proofErr w:type="spellEnd"/>
            <w:r w:rsidRPr="00185BC0">
              <w:rPr>
                <w:sz w:val="20"/>
                <w:szCs w:val="20"/>
              </w:rPr>
              <w:t xml:space="preserve"> , M ± SD</w:t>
            </w:r>
          </w:p>
        </w:tc>
        <w:tc>
          <w:tcPr>
            <w:tcW w:w="1555" w:type="dxa"/>
            <w:vAlign w:val="center"/>
          </w:tcPr>
          <w:p w14:paraId="0A0C6EBD" w14:textId="77777777" w:rsidR="00153523" w:rsidRPr="00185BC0" w:rsidRDefault="00153523" w:rsidP="00153523">
            <w:pPr>
              <w:jc w:val="center"/>
              <w:rPr>
                <w:sz w:val="20"/>
                <w:szCs w:val="20"/>
              </w:rPr>
            </w:pPr>
            <w:r w:rsidRPr="00185BC0">
              <w:rPr>
                <w:sz w:val="20"/>
                <w:szCs w:val="20"/>
              </w:rPr>
              <w:t>41,52 ± 11,43</w:t>
            </w:r>
          </w:p>
        </w:tc>
        <w:tc>
          <w:tcPr>
            <w:tcW w:w="1556" w:type="dxa"/>
            <w:vAlign w:val="center"/>
          </w:tcPr>
          <w:p w14:paraId="1A00F7A5" w14:textId="77777777" w:rsidR="00153523" w:rsidRPr="00185BC0" w:rsidRDefault="00153523" w:rsidP="00153523">
            <w:pPr>
              <w:jc w:val="center"/>
              <w:rPr>
                <w:sz w:val="20"/>
                <w:szCs w:val="20"/>
              </w:rPr>
            </w:pPr>
            <w:r w:rsidRPr="00185BC0">
              <w:rPr>
                <w:sz w:val="20"/>
                <w:szCs w:val="20"/>
              </w:rPr>
              <w:t>38,56 – 44,47</w:t>
            </w:r>
          </w:p>
        </w:tc>
        <w:tc>
          <w:tcPr>
            <w:tcW w:w="1507" w:type="dxa"/>
            <w:vAlign w:val="center"/>
          </w:tcPr>
          <w:p w14:paraId="32292426" w14:textId="77777777" w:rsidR="00153523" w:rsidRPr="00185BC0" w:rsidRDefault="00153523" w:rsidP="00153523">
            <w:pPr>
              <w:jc w:val="center"/>
              <w:rPr>
                <w:sz w:val="20"/>
                <w:szCs w:val="20"/>
              </w:rPr>
            </w:pPr>
            <w:r w:rsidRPr="00185BC0">
              <w:rPr>
                <w:sz w:val="20"/>
                <w:szCs w:val="20"/>
              </w:rPr>
              <w:t>60</w:t>
            </w:r>
          </w:p>
        </w:tc>
        <w:tc>
          <w:tcPr>
            <w:tcW w:w="1556" w:type="dxa"/>
            <w:vAlign w:val="center"/>
          </w:tcPr>
          <w:p w14:paraId="6F5C89E9" w14:textId="77777777" w:rsidR="00153523" w:rsidRPr="00185BC0" w:rsidRDefault="00153523" w:rsidP="00153523">
            <w:pPr>
              <w:jc w:val="center"/>
              <w:rPr>
                <w:sz w:val="20"/>
                <w:szCs w:val="20"/>
              </w:rPr>
            </w:pPr>
            <w:r w:rsidRPr="00185BC0">
              <w:rPr>
                <w:sz w:val="20"/>
                <w:szCs w:val="20"/>
              </w:rPr>
              <w:t>19,00</w:t>
            </w:r>
          </w:p>
        </w:tc>
        <w:tc>
          <w:tcPr>
            <w:tcW w:w="1556" w:type="dxa"/>
            <w:vAlign w:val="center"/>
          </w:tcPr>
          <w:p w14:paraId="4C23B41E" w14:textId="77777777" w:rsidR="00153523" w:rsidRPr="00185BC0" w:rsidRDefault="00153523" w:rsidP="00153523">
            <w:pPr>
              <w:jc w:val="center"/>
              <w:rPr>
                <w:sz w:val="20"/>
                <w:szCs w:val="20"/>
              </w:rPr>
            </w:pPr>
            <w:r w:rsidRPr="00185BC0">
              <w:rPr>
                <w:sz w:val="20"/>
                <w:szCs w:val="20"/>
              </w:rPr>
              <w:t>60,00</w:t>
            </w:r>
          </w:p>
        </w:tc>
      </w:tr>
      <w:tr w:rsidR="00153523" w:rsidRPr="00185BC0" w14:paraId="499C75BE" w14:textId="77777777" w:rsidTr="004F2E0D">
        <w:trPr>
          <w:jc w:val="center"/>
        </w:trPr>
        <w:tc>
          <w:tcPr>
            <w:tcW w:w="1614" w:type="dxa"/>
            <w:vAlign w:val="center"/>
          </w:tcPr>
          <w:p w14:paraId="74416705" w14:textId="77777777" w:rsidR="00153523" w:rsidRPr="00185BC0" w:rsidRDefault="00153523" w:rsidP="00153523">
            <w:pPr>
              <w:jc w:val="center"/>
              <w:rPr>
                <w:sz w:val="20"/>
                <w:szCs w:val="20"/>
              </w:rPr>
            </w:pPr>
            <w:r w:rsidRPr="00185BC0">
              <w:rPr>
                <w:sz w:val="20"/>
                <w:szCs w:val="20"/>
                <w:lang w:val="kk-KZ"/>
              </w:rPr>
              <w:t>К</w:t>
            </w:r>
            <w:proofErr w:type="spellStart"/>
            <w:r w:rsidRPr="00185BC0">
              <w:rPr>
                <w:sz w:val="20"/>
                <w:szCs w:val="20"/>
              </w:rPr>
              <w:t>ойка</w:t>
            </w:r>
            <w:proofErr w:type="spellEnd"/>
            <w:r w:rsidRPr="00185BC0">
              <w:rPr>
                <w:sz w:val="20"/>
                <w:szCs w:val="20"/>
              </w:rPr>
              <w:t xml:space="preserve"> дней, Me</w:t>
            </w:r>
          </w:p>
        </w:tc>
        <w:tc>
          <w:tcPr>
            <w:tcW w:w="1555" w:type="dxa"/>
            <w:vAlign w:val="center"/>
          </w:tcPr>
          <w:p w14:paraId="0C1A0E66" w14:textId="77777777" w:rsidR="00153523" w:rsidRPr="00185BC0" w:rsidRDefault="00153523" w:rsidP="00153523">
            <w:pPr>
              <w:jc w:val="center"/>
              <w:rPr>
                <w:sz w:val="20"/>
                <w:szCs w:val="20"/>
              </w:rPr>
            </w:pPr>
            <w:r w:rsidRPr="00185BC0">
              <w:rPr>
                <w:sz w:val="20"/>
                <w:szCs w:val="20"/>
              </w:rPr>
              <w:t>14,00</w:t>
            </w:r>
          </w:p>
        </w:tc>
        <w:tc>
          <w:tcPr>
            <w:tcW w:w="1556" w:type="dxa"/>
            <w:vAlign w:val="center"/>
          </w:tcPr>
          <w:p w14:paraId="5EA721F7" w14:textId="77777777" w:rsidR="00153523" w:rsidRPr="00185BC0" w:rsidRDefault="00153523" w:rsidP="00153523">
            <w:pPr>
              <w:jc w:val="center"/>
              <w:rPr>
                <w:sz w:val="20"/>
                <w:szCs w:val="20"/>
              </w:rPr>
            </w:pPr>
            <w:r w:rsidRPr="00185BC0">
              <w:rPr>
                <w:sz w:val="20"/>
                <w:szCs w:val="20"/>
              </w:rPr>
              <w:t>13,00 – 17,00</w:t>
            </w:r>
          </w:p>
        </w:tc>
        <w:tc>
          <w:tcPr>
            <w:tcW w:w="1507" w:type="dxa"/>
            <w:vAlign w:val="center"/>
          </w:tcPr>
          <w:p w14:paraId="4CCEE270" w14:textId="77777777" w:rsidR="00153523" w:rsidRPr="00185BC0" w:rsidRDefault="00153523" w:rsidP="00153523">
            <w:pPr>
              <w:jc w:val="center"/>
              <w:rPr>
                <w:sz w:val="20"/>
                <w:szCs w:val="20"/>
              </w:rPr>
            </w:pPr>
            <w:r w:rsidRPr="00185BC0">
              <w:rPr>
                <w:sz w:val="20"/>
                <w:szCs w:val="20"/>
              </w:rPr>
              <w:t>60</w:t>
            </w:r>
          </w:p>
        </w:tc>
        <w:tc>
          <w:tcPr>
            <w:tcW w:w="1556" w:type="dxa"/>
            <w:vAlign w:val="center"/>
          </w:tcPr>
          <w:p w14:paraId="37D1B722" w14:textId="77777777" w:rsidR="00153523" w:rsidRPr="00185BC0" w:rsidRDefault="00153523" w:rsidP="00153523">
            <w:pPr>
              <w:jc w:val="center"/>
              <w:rPr>
                <w:sz w:val="20"/>
                <w:szCs w:val="20"/>
              </w:rPr>
            </w:pPr>
            <w:r w:rsidRPr="00185BC0">
              <w:rPr>
                <w:sz w:val="20"/>
                <w:szCs w:val="20"/>
              </w:rPr>
              <w:t>9,00</w:t>
            </w:r>
          </w:p>
        </w:tc>
        <w:tc>
          <w:tcPr>
            <w:tcW w:w="1556" w:type="dxa"/>
            <w:vAlign w:val="center"/>
          </w:tcPr>
          <w:p w14:paraId="036B6208" w14:textId="77777777" w:rsidR="00153523" w:rsidRPr="00185BC0" w:rsidRDefault="00153523" w:rsidP="00153523">
            <w:pPr>
              <w:jc w:val="center"/>
              <w:rPr>
                <w:sz w:val="20"/>
                <w:szCs w:val="20"/>
              </w:rPr>
            </w:pPr>
            <w:r w:rsidRPr="00185BC0">
              <w:rPr>
                <w:sz w:val="20"/>
                <w:szCs w:val="20"/>
              </w:rPr>
              <w:t>23,00</w:t>
            </w:r>
          </w:p>
        </w:tc>
      </w:tr>
      <w:tr w:rsidR="00153523" w:rsidRPr="00185BC0" w14:paraId="6FB30870" w14:textId="77777777" w:rsidTr="004F2E0D">
        <w:trPr>
          <w:jc w:val="center"/>
        </w:trPr>
        <w:tc>
          <w:tcPr>
            <w:tcW w:w="1614" w:type="dxa"/>
            <w:vAlign w:val="center"/>
          </w:tcPr>
          <w:p w14:paraId="125DD3A4" w14:textId="77777777" w:rsidR="00153523" w:rsidRPr="00185BC0" w:rsidRDefault="00153523" w:rsidP="00153523">
            <w:pPr>
              <w:jc w:val="center"/>
              <w:rPr>
                <w:sz w:val="20"/>
                <w:szCs w:val="20"/>
                <w:lang w:val="en-US"/>
              </w:rPr>
            </w:pPr>
            <w:r w:rsidRPr="00185BC0">
              <w:rPr>
                <w:sz w:val="20"/>
                <w:szCs w:val="20"/>
                <w:lang w:val="en-US"/>
              </w:rPr>
              <w:t xml:space="preserve">Height (cm) </w:t>
            </w:r>
            <w:r w:rsidRPr="00185BC0">
              <w:rPr>
                <w:sz w:val="20"/>
                <w:szCs w:val="20"/>
                <w:lang w:val="en-US"/>
              </w:rPr>
              <w:br/>
              <w:t xml:space="preserve"> </w:t>
            </w:r>
            <w:r w:rsidRPr="00185BC0">
              <w:rPr>
                <w:sz w:val="20"/>
                <w:szCs w:val="20"/>
              </w:rPr>
              <w:t>рост</w:t>
            </w:r>
            <w:r w:rsidRPr="00185BC0">
              <w:rPr>
                <w:sz w:val="20"/>
                <w:szCs w:val="20"/>
                <w:lang w:val="en-US"/>
              </w:rPr>
              <w:t>, M ± SD</w:t>
            </w:r>
          </w:p>
        </w:tc>
        <w:tc>
          <w:tcPr>
            <w:tcW w:w="1555" w:type="dxa"/>
            <w:vAlign w:val="center"/>
          </w:tcPr>
          <w:p w14:paraId="348CF759" w14:textId="77777777" w:rsidR="00153523" w:rsidRPr="00185BC0" w:rsidRDefault="00153523" w:rsidP="00153523">
            <w:pPr>
              <w:jc w:val="center"/>
              <w:rPr>
                <w:sz w:val="20"/>
                <w:szCs w:val="20"/>
              </w:rPr>
            </w:pPr>
            <w:r w:rsidRPr="00185BC0">
              <w:rPr>
                <w:sz w:val="20"/>
                <w:szCs w:val="20"/>
              </w:rPr>
              <w:t>160,95 ± 8,32</w:t>
            </w:r>
          </w:p>
        </w:tc>
        <w:tc>
          <w:tcPr>
            <w:tcW w:w="1556" w:type="dxa"/>
            <w:vAlign w:val="center"/>
          </w:tcPr>
          <w:p w14:paraId="1EF9D0B9" w14:textId="77777777" w:rsidR="00153523" w:rsidRPr="00185BC0" w:rsidRDefault="00153523" w:rsidP="00153523">
            <w:pPr>
              <w:jc w:val="center"/>
              <w:rPr>
                <w:sz w:val="20"/>
                <w:szCs w:val="20"/>
              </w:rPr>
            </w:pPr>
            <w:r w:rsidRPr="00185BC0">
              <w:rPr>
                <w:sz w:val="20"/>
                <w:szCs w:val="20"/>
              </w:rPr>
              <w:t>158,80 – 163,10</w:t>
            </w:r>
          </w:p>
        </w:tc>
        <w:tc>
          <w:tcPr>
            <w:tcW w:w="1507" w:type="dxa"/>
            <w:vAlign w:val="center"/>
          </w:tcPr>
          <w:p w14:paraId="70C9164E" w14:textId="77777777" w:rsidR="00153523" w:rsidRPr="00185BC0" w:rsidRDefault="00153523" w:rsidP="00153523">
            <w:pPr>
              <w:jc w:val="center"/>
              <w:rPr>
                <w:sz w:val="20"/>
                <w:szCs w:val="20"/>
              </w:rPr>
            </w:pPr>
            <w:r w:rsidRPr="00185BC0">
              <w:rPr>
                <w:sz w:val="20"/>
                <w:szCs w:val="20"/>
              </w:rPr>
              <w:t>60</w:t>
            </w:r>
          </w:p>
        </w:tc>
        <w:tc>
          <w:tcPr>
            <w:tcW w:w="1556" w:type="dxa"/>
            <w:vAlign w:val="center"/>
          </w:tcPr>
          <w:p w14:paraId="6D69AB04" w14:textId="77777777" w:rsidR="00153523" w:rsidRPr="00185BC0" w:rsidRDefault="00153523" w:rsidP="00153523">
            <w:pPr>
              <w:jc w:val="center"/>
              <w:rPr>
                <w:sz w:val="20"/>
                <w:szCs w:val="20"/>
              </w:rPr>
            </w:pPr>
            <w:r w:rsidRPr="00185BC0">
              <w:rPr>
                <w:sz w:val="20"/>
                <w:szCs w:val="20"/>
              </w:rPr>
              <w:t>140,00</w:t>
            </w:r>
          </w:p>
        </w:tc>
        <w:tc>
          <w:tcPr>
            <w:tcW w:w="1556" w:type="dxa"/>
            <w:vAlign w:val="center"/>
          </w:tcPr>
          <w:p w14:paraId="09D29BE3" w14:textId="77777777" w:rsidR="00153523" w:rsidRPr="00185BC0" w:rsidRDefault="00153523" w:rsidP="00153523">
            <w:pPr>
              <w:jc w:val="center"/>
              <w:rPr>
                <w:sz w:val="20"/>
                <w:szCs w:val="20"/>
              </w:rPr>
            </w:pPr>
            <w:r w:rsidRPr="00185BC0">
              <w:rPr>
                <w:sz w:val="20"/>
                <w:szCs w:val="20"/>
              </w:rPr>
              <w:t>178,00</w:t>
            </w:r>
          </w:p>
        </w:tc>
      </w:tr>
      <w:tr w:rsidR="00153523" w:rsidRPr="00185BC0" w14:paraId="424A2673" w14:textId="77777777" w:rsidTr="004F2E0D">
        <w:trPr>
          <w:jc w:val="center"/>
        </w:trPr>
        <w:tc>
          <w:tcPr>
            <w:tcW w:w="1614" w:type="dxa"/>
            <w:vAlign w:val="center"/>
          </w:tcPr>
          <w:p w14:paraId="42579AA3" w14:textId="77777777" w:rsidR="00153523" w:rsidRPr="00185BC0" w:rsidRDefault="00153523" w:rsidP="00153523">
            <w:pPr>
              <w:jc w:val="center"/>
              <w:rPr>
                <w:sz w:val="20"/>
                <w:szCs w:val="20"/>
                <w:lang w:val="en-US"/>
              </w:rPr>
            </w:pPr>
            <w:r w:rsidRPr="00185BC0">
              <w:rPr>
                <w:sz w:val="20"/>
                <w:szCs w:val="20"/>
                <w:lang w:val="en-US"/>
              </w:rPr>
              <w:t xml:space="preserve">Weight (kg) </w:t>
            </w:r>
            <w:r w:rsidRPr="00185BC0">
              <w:rPr>
                <w:sz w:val="20"/>
                <w:szCs w:val="20"/>
              </w:rPr>
              <w:t>Вес</w:t>
            </w:r>
            <w:r w:rsidRPr="00185BC0">
              <w:rPr>
                <w:sz w:val="20"/>
                <w:szCs w:val="20"/>
                <w:lang w:val="en-US"/>
              </w:rPr>
              <w:t xml:space="preserve"> (</w:t>
            </w:r>
            <w:r w:rsidRPr="00185BC0">
              <w:rPr>
                <w:sz w:val="20"/>
                <w:szCs w:val="20"/>
              </w:rPr>
              <w:t>кг</w:t>
            </w:r>
            <w:r w:rsidRPr="00185BC0">
              <w:rPr>
                <w:sz w:val="20"/>
                <w:szCs w:val="20"/>
                <w:lang w:val="en-US"/>
              </w:rPr>
              <w:t>), M ± SD</w:t>
            </w:r>
          </w:p>
        </w:tc>
        <w:tc>
          <w:tcPr>
            <w:tcW w:w="1555" w:type="dxa"/>
            <w:vAlign w:val="center"/>
          </w:tcPr>
          <w:p w14:paraId="35D43310" w14:textId="77777777" w:rsidR="00153523" w:rsidRPr="00185BC0" w:rsidRDefault="00153523" w:rsidP="00153523">
            <w:pPr>
              <w:jc w:val="center"/>
              <w:rPr>
                <w:sz w:val="20"/>
                <w:szCs w:val="20"/>
              </w:rPr>
            </w:pPr>
            <w:r w:rsidRPr="00185BC0">
              <w:rPr>
                <w:sz w:val="20"/>
                <w:szCs w:val="20"/>
              </w:rPr>
              <w:t>68,33 ± 10,29</w:t>
            </w:r>
          </w:p>
        </w:tc>
        <w:tc>
          <w:tcPr>
            <w:tcW w:w="1556" w:type="dxa"/>
            <w:vAlign w:val="center"/>
          </w:tcPr>
          <w:p w14:paraId="28B7AA1B" w14:textId="77777777" w:rsidR="00153523" w:rsidRPr="00185BC0" w:rsidRDefault="00153523" w:rsidP="00153523">
            <w:pPr>
              <w:jc w:val="center"/>
              <w:rPr>
                <w:sz w:val="20"/>
                <w:szCs w:val="20"/>
              </w:rPr>
            </w:pPr>
            <w:r w:rsidRPr="00185BC0">
              <w:rPr>
                <w:sz w:val="20"/>
                <w:szCs w:val="20"/>
              </w:rPr>
              <w:t>65,67 – 70,99</w:t>
            </w:r>
          </w:p>
        </w:tc>
        <w:tc>
          <w:tcPr>
            <w:tcW w:w="1507" w:type="dxa"/>
            <w:vAlign w:val="center"/>
          </w:tcPr>
          <w:p w14:paraId="2905979D" w14:textId="77777777" w:rsidR="00153523" w:rsidRPr="00185BC0" w:rsidRDefault="00153523" w:rsidP="00153523">
            <w:pPr>
              <w:jc w:val="center"/>
              <w:rPr>
                <w:sz w:val="20"/>
                <w:szCs w:val="20"/>
              </w:rPr>
            </w:pPr>
            <w:r w:rsidRPr="00185BC0">
              <w:rPr>
                <w:sz w:val="20"/>
                <w:szCs w:val="20"/>
              </w:rPr>
              <w:t>60</w:t>
            </w:r>
          </w:p>
        </w:tc>
        <w:tc>
          <w:tcPr>
            <w:tcW w:w="1556" w:type="dxa"/>
            <w:vAlign w:val="center"/>
          </w:tcPr>
          <w:p w14:paraId="569638A7" w14:textId="77777777" w:rsidR="00153523" w:rsidRPr="00185BC0" w:rsidRDefault="00153523" w:rsidP="00153523">
            <w:pPr>
              <w:jc w:val="center"/>
              <w:rPr>
                <w:sz w:val="20"/>
                <w:szCs w:val="20"/>
              </w:rPr>
            </w:pPr>
            <w:r w:rsidRPr="00185BC0">
              <w:rPr>
                <w:sz w:val="20"/>
                <w:szCs w:val="20"/>
              </w:rPr>
              <w:t>42,00</w:t>
            </w:r>
          </w:p>
        </w:tc>
        <w:tc>
          <w:tcPr>
            <w:tcW w:w="1556" w:type="dxa"/>
            <w:vAlign w:val="center"/>
          </w:tcPr>
          <w:p w14:paraId="5C08379B" w14:textId="77777777" w:rsidR="00153523" w:rsidRPr="00185BC0" w:rsidRDefault="00153523" w:rsidP="00153523">
            <w:pPr>
              <w:jc w:val="center"/>
              <w:rPr>
                <w:sz w:val="20"/>
                <w:szCs w:val="20"/>
              </w:rPr>
            </w:pPr>
            <w:r w:rsidRPr="00185BC0">
              <w:rPr>
                <w:sz w:val="20"/>
                <w:szCs w:val="20"/>
              </w:rPr>
              <w:t>90,00</w:t>
            </w:r>
          </w:p>
        </w:tc>
      </w:tr>
      <w:tr w:rsidR="00153523" w:rsidRPr="00185BC0" w14:paraId="7DBB389B" w14:textId="77777777" w:rsidTr="004F2E0D">
        <w:trPr>
          <w:jc w:val="center"/>
        </w:trPr>
        <w:tc>
          <w:tcPr>
            <w:tcW w:w="1614" w:type="dxa"/>
            <w:vAlign w:val="center"/>
          </w:tcPr>
          <w:p w14:paraId="31B1EE42" w14:textId="77777777" w:rsidR="00153523" w:rsidRPr="00185BC0" w:rsidRDefault="00153523" w:rsidP="00153523">
            <w:pPr>
              <w:jc w:val="center"/>
              <w:rPr>
                <w:sz w:val="20"/>
                <w:szCs w:val="20"/>
              </w:rPr>
            </w:pPr>
            <w:r w:rsidRPr="00185BC0">
              <w:rPr>
                <w:sz w:val="20"/>
                <w:szCs w:val="20"/>
              </w:rPr>
              <w:t>BMI (</w:t>
            </w:r>
            <w:proofErr w:type="spellStart"/>
            <w:r w:rsidRPr="00185BC0">
              <w:rPr>
                <w:sz w:val="20"/>
                <w:szCs w:val="20"/>
              </w:rPr>
              <w:t>Kg</w:t>
            </w:r>
            <w:proofErr w:type="spellEnd"/>
            <w:r w:rsidRPr="00185BC0">
              <w:rPr>
                <w:sz w:val="20"/>
                <w:szCs w:val="20"/>
              </w:rPr>
              <w:t>/m2) ИМТ (кг / м2), M ± SD</w:t>
            </w:r>
          </w:p>
        </w:tc>
        <w:tc>
          <w:tcPr>
            <w:tcW w:w="1555" w:type="dxa"/>
            <w:vAlign w:val="center"/>
          </w:tcPr>
          <w:p w14:paraId="120E23B6" w14:textId="77777777" w:rsidR="00153523" w:rsidRPr="00185BC0" w:rsidRDefault="00153523" w:rsidP="00153523">
            <w:pPr>
              <w:jc w:val="center"/>
              <w:rPr>
                <w:sz w:val="20"/>
                <w:szCs w:val="20"/>
              </w:rPr>
            </w:pPr>
            <w:r w:rsidRPr="00185BC0">
              <w:rPr>
                <w:sz w:val="20"/>
                <w:szCs w:val="20"/>
              </w:rPr>
              <w:t>26,41 ± 3,88</w:t>
            </w:r>
          </w:p>
        </w:tc>
        <w:tc>
          <w:tcPr>
            <w:tcW w:w="1556" w:type="dxa"/>
            <w:vAlign w:val="center"/>
          </w:tcPr>
          <w:p w14:paraId="437CA667" w14:textId="77777777" w:rsidR="00153523" w:rsidRPr="00185BC0" w:rsidRDefault="00153523" w:rsidP="00153523">
            <w:pPr>
              <w:jc w:val="center"/>
              <w:rPr>
                <w:sz w:val="20"/>
                <w:szCs w:val="20"/>
              </w:rPr>
            </w:pPr>
            <w:r w:rsidRPr="00185BC0">
              <w:rPr>
                <w:sz w:val="20"/>
                <w:szCs w:val="20"/>
              </w:rPr>
              <w:t>25,40 – 27,41</w:t>
            </w:r>
          </w:p>
        </w:tc>
        <w:tc>
          <w:tcPr>
            <w:tcW w:w="1507" w:type="dxa"/>
            <w:vAlign w:val="center"/>
          </w:tcPr>
          <w:p w14:paraId="20089A7B" w14:textId="77777777" w:rsidR="00153523" w:rsidRPr="00185BC0" w:rsidRDefault="00153523" w:rsidP="00153523">
            <w:pPr>
              <w:jc w:val="center"/>
              <w:rPr>
                <w:sz w:val="20"/>
                <w:szCs w:val="20"/>
              </w:rPr>
            </w:pPr>
            <w:r w:rsidRPr="00185BC0">
              <w:rPr>
                <w:sz w:val="20"/>
                <w:szCs w:val="20"/>
              </w:rPr>
              <w:t>60</w:t>
            </w:r>
          </w:p>
        </w:tc>
        <w:tc>
          <w:tcPr>
            <w:tcW w:w="1556" w:type="dxa"/>
            <w:vAlign w:val="center"/>
          </w:tcPr>
          <w:p w14:paraId="051B2B17" w14:textId="77777777" w:rsidR="00153523" w:rsidRPr="00185BC0" w:rsidRDefault="00153523" w:rsidP="00153523">
            <w:pPr>
              <w:jc w:val="center"/>
              <w:rPr>
                <w:sz w:val="20"/>
                <w:szCs w:val="20"/>
              </w:rPr>
            </w:pPr>
            <w:r w:rsidRPr="00185BC0">
              <w:rPr>
                <w:sz w:val="20"/>
                <w:szCs w:val="20"/>
              </w:rPr>
              <w:t>18,70</w:t>
            </w:r>
          </w:p>
        </w:tc>
        <w:tc>
          <w:tcPr>
            <w:tcW w:w="1556" w:type="dxa"/>
            <w:vAlign w:val="center"/>
          </w:tcPr>
          <w:p w14:paraId="7E50D2FD" w14:textId="77777777" w:rsidR="00153523" w:rsidRPr="00185BC0" w:rsidRDefault="00153523" w:rsidP="00153523">
            <w:pPr>
              <w:jc w:val="center"/>
              <w:rPr>
                <w:sz w:val="20"/>
                <w:szCs w:val="20"/>
              </w:rPr>
            </w:pPr>
            <w:r w:rsidRPr="00185BC0">
              <w:rPr>
                <w:sz w:val="20"/>
                <w:szCs w:val="20"/>
              </w:rPr>
              <w:t>34,48</w:t>
            </w:r>
          </w:p>
        </w:tc>
      </w:tr>
    </w:tbl>
    <w:p w14:paraId="6AD2B5B2" w14:textId="77777777" w:rsidR="004F2E0D" w:rsidRPr="00185BC0" w:rsidRDefault="004F2E0D" w:rsidP="004F2E0D">
      <w:pPr>
        <w:ind w:firstLine="567"/>
        <w:jc w:val="both"/>
        <w:rPr>
          <w:sz w:val="28"/>
          <w:szCs w:val="28"/>
        </w:rPr>
      </w:pPr>
    </w:p>
    <w:p w14:paraId="21524560" w14:textId="77777777" w:rsidR="004F2E0D" w:rsidRPr="00185BC0" w:rsidRDefault="004F2E0D" w:rsidP="004F2E0D">
      <w:pPr>
        <w:ind w:firstLine="567"/>
        <w:jc w:val="both"/>
        <w:rPr>
          <w:sz w:val="28"/>
          <w:szCs w:val="28"/>
        </w:rPr>
      </w:pPr>
      <w:r w:rsidRPr="00185BC0">
        <w:rPr>
          <w:sz w:val="28"/>
          <w:szCs w:val="28"/>
        </w:rPr>
        <w:t>Таким образом, выборка пациентов характеризовалась сопоставимым соматическим статусом и однородностью антропометрических показателей, что позволило объективно оценивать результаты применения различных методов остеосинтеза зоны остеотомии при диспластическом коксартрозе IV типа.</w:t>
      </w:r>
    </w:p>
    <w:p w14:paraId="12778687" w14:textId="2A4F1057" w:rsidR="00153523" w:rsidRPr="00185BC0" w:rsidRDefault="00153523" w:rsidP="004F2E0D">
      <w:pPr>
        <w:ind w:firstLine="567"/>
        <w:jc w:val="both"/>
        <w:rPr>
          <w:sz w:val="28"/>
          <w:szCs w:val="28"/>
        </w:rPr>
      </w:pPr>
      <w:r w:rsidRPr="00185BC0">
        <w:rPr>
          <w:sz w:val="28"/>
          <w:szCs w:val="28"/>
        </w:rPr>
        <w:t xml:space="preserve">В основную группу вошли 30 пациентов, которым выполнялась фиксация зоны поперечной </w:t>
      </w:r>
      <w:proofErr w:type="spellStart"/>
      <w:r w:rsidRPr="00185BC0">
        <w:rPr>
          <w:sz w:val="28"/>
          <w:szCs w:val="28"/>
        </w:rPr>
        <w:t>подвертельной</w:t>
      </w:r>
      <w:proofErr w:type="spellEnd"/>
      <w:r w:rsidRPr="00185BC0">
        <w:rPr>
          <w:sz w:val="28"/>
          <w:szCs w:val="28"/>
        </w:rPr>
        <w:t xml:space="preserve"> остеотомии с использованием разработанной </w:t>
      </w:r>
      <w:proofErr w:type="spellStart"/>
      <w:r w:rsidRPr="00185BC0">
        <w:rPr>
          <w:sz w:val="28"/>
          <w:szCs w:val="28"/>
        </w:rPr>
        <w:t>деротационной</w:t>
      </w:r>
      <w:proofErr w:type="spellEnd"/>
      <w:r w:rsidRPr="00185BC0">
        <w:rPr>
          <w:sz w:val="28"/>
          <w:szCs w:val="28"/>
        </w:rPr>
        <w:t xml:space="preserve"> пластины. Контрольную группу составили 30 пациентов, у которых фиксация остеотомии выполнялась с применением традиционной пластины.</w:t>
      </w:r>
      <w:r w:rsidRPr="00185BC0">
        <w:rPr>
          <w:sz w:val="28"/>
          <w:szCs w:val="28"/>
          <w:lang w:val="kk-KZ"/>
        </w:rPr>
        <w:t xml:space="preserve"> </w:t>
      </w:r>
      <w:r w:rsidRPr="00185BC0">
        <w:rPr>
          <w:sz w:val="28"/>
          <w:szCs w:val="28"/>
        </w:rPr>
        <w:t xml:space="preserve"> Средний возраст пациентов в основной группе составил 39,2</w:t>
      </w:r>
      <w:r w:rsidRPr="00185BC0">
        <w:rPr>
          <w:sz w:val="28"/>
          <w:szCs w:val="28"/>
          <w:lang w:val="kk-KZ"/>
        </w:rPr>
        <w:t>3</w:t>
      </w:r>
      <w:r w:rsidRPr="00185BC0">
        <w:rPr>
          <w:sz w:val="28"/>
          <w:szCs w:val="28"/>
        </w:rPr>
        <w:t xml:space="preserve"> ± 11,6 лет (от 19 до 60 лет), а в контрольной </w:t>
      </w:r>
      <w:r w:rsidR="00DA5A93" w:rsidRPr="00185BC0">
        <w:rPr>
          <w:sz w:val="28"/>
          <w:szCs w:val="28"/>
        </w:rPr>
        <w:t>–</w:t>
      </w:r>
      <w:r w:rsidRPr="00185BC0">
        <w:rPr>
          <w:sz w:val="28"/>
          <w:szCs w:val="28"/>
        </w:rPr>
        <w:t xml:space="preserve"> 43,8</w:t>
      </w:r>
      <w:r w:rsidRPr="00185BC0">
        <w:rPr>
          <w:sz w:val="28"/>
          <w:szCs w:val="28"/>
          <w:lang w:val="kk-KZ"/>
        </w:rPr>
        <w:t>0</w:t>
      </w:r>
      <w:r w:rsidRPr="00185BC0">
        <w:rPr>
          <w:sz w:val="28"/>
          <w:szCs w:val="28"/>
        </w:rPr>
        <w:t xml:space="preserve"> ± 11,0 лет (от 19 до 60 лет). По половому составу в обеих группах преобладали женщины: в основной </w:t>
      </w:r>
      <w:r w:rsidR="00DA5A93" w:rsidRPr="00185BC0">
        <w:rPr>
          <w:sz w:val="28"/>
          <w:szCs w:val="28"/>
        </w:rPr>
        <w:t>–</w:t>
      </w:r>
      <w:r w:rsidRPr="00185BC0">
        <w:rPr>
          <w:sz w:val="28"/>
          <w:szCs w:val="28"/>
        </w:rPr>
        <w:t xml:space="preserve"> 80,0% (n = 24), в контрольной </w:t>
      </w:r>
      <w:r w:rsidR="00DA5A93" w:rsidRPr="00185BC0">
        <w:rPr>
          <w:sz w:val="28"/>
          <w:szCs w:val="28"/>
        </w:rPr>
        <w:t>–</w:t>
      </w:r>
      <w:r w:rsidRPr="00185BC0">
        <w:rPr>
          <w:sz w:val="28"/>
          <w:szCs w:val="28"/>
        </w:rPr>
        <w:t xml:space="preserve"> 86,7% (n = 26); мужчины составили соответственно 20,0% (n = 6) и 13,3% (n = 4).</w:t>
      </w:r>
      <w:r w:rsidRPr="00185BC0">
        <w:rPr>
          <w:sz w:val="28"/>
          <w:szCs w:val="28"/>
          <w:lang w:val="kk-KZ"/>
        </w:rPr>
        <w:t xml:space="preserve"> </w:t>
      </w:r>
      <w:r w:rsidRPr="00185BC0">
        <w:rPr>
          <w:sz w:val="28"/>
          <w:szCs w:val="28"/>
        </w:rPr>
        <w:t xml:space="preserve">Распределение пациентов по полу в обеих группах представлено на рисунке </w:t>
      </w:r>
      <w:r w:rsidRPr="00185BC0">
        <w:rPr>
          <w:sz w:val="28"/>
          <w:szCs w:val="28"/>
          <w:lang w:val="kk-KZ"/>
        </w:rPr>
        <w:t>2</w:t>
      </w:r>
      <w:r w:rsidR="00654A28" w:rsidRPr="00185BC0">
        <w:rPr>
          <w:sz w:val="28"/>
          <w:szCs w:val="28"/>
          <w:lang w:val="kk-KZ"/>
        </w:rPr>
        <w:t>9</w:t>
      </w:r>
      <w:r w:rsidRPr="00185BC0">
        <w:rPr>
          <w:sz w:val="28"/>
          <w:szCs w:val="28"/>
        </w:rPr>
        <w:t>.</w:t>
      </w:r>
    </w:p>
    <w:p w14:paraId="0E709208" w14:textId="77777777" w:rsidR="00153523" w:rsidRPr="00185BC0" w:rsidRDefault="00153523" w:rsidP="00153523">
      <w:pPr>
        <w:widowControl/>
        <w:autoSpaceDE/>
        <w:autoSpaceDN/>
        <w:spacing w:before="100" w:beforeAutospacing="1" w:after="100" w:afterAutospacing="1"/>
        <w:ind w:firstLine="720"/>
        <w:jc w:val="both"/>
        <w:rPr>
          <w:sz w:val="28"/>
          <w:szCs w:val="28"/>
        </w:rPr>
      </w:pPr>
      <w:r w:rsidRPr="00185BC0">
        <w:rPr>
          <w:noProof/>
          <w:sz w:val="28"/>
          <w:szCs w:val="28"/>
        </w:rPr>
        <w:drawing>
          <wp:inline distT="0" distB="0" distL="0" distR="0" wp14:anchorId="39BD4A30" wp14:editId="039EB4BB">
            <wp:extent cx="4749762" cy="2299648"/>
            <wp:effectExtent l="0" t="0" r="13335" b="571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F9EFE19" w14:textId="793E86F4" w:rsidR="00153523" w:rsidRPr="00185BC0" w:rsidRDefault="00153523" w:rsidP="00EF5D1F">
      <w:pPr>
        <w:widowControl/>
        <w:autoSpaceDE/>
        <w:autoSpaceDN/>
        <w:spacing w:before="100" w:beforeAutospacing="1" w:after="100" w:afterAutospacing="1"/>
        <w:ind w:firstLine="720"/>
        <w:jc w:val="center"/>
        <w:rPr>
          <w:sz w:val="28"/>
          <w:szCs w:val="28"/>
        </w:rPr>
      </w:pPr>
      <w:r w:rsidRPr="00185BC0">
        <w:rPr>
          <w:sz w:val="28"/>
          <w:szCs w:val="28"/>
        </w:rPr>
        <w:t xml:space="preserve">Рисунок </w:t>
      </w:r>
      <w:r w:rsidRPr="00185BC0">
        <w:rPr>
          <w:sz w:val="28"/>
          <w:szCs w:val="28"/>
          <w:lang w:val="kk-KZ"/>
        </w:rPr>
        <w:t>2</w:t>
      </w:r>
      <w:r w:rsidR="00654A28" w:rsidRPr="00185BC0">
        <w:rPr>
          <w:sz w:val="28"/>
          <w:szCs w:val="28"/>
          <w:lang w:val="kk-KZ"/>
        </w:rPr>
        <w:t>9</w:t>
      </w:r>
      <w:r w:rsidR="00EF5D1F" w:rsidRPr="00185BC0">
        <w:rPr>
          <w:sz w:val="28"/>
          <w:szCs w:val="28"/>
          <w:lang w:val="kk-KZ"/>
        </w:rPr>
        <w:t xml:space="preserve"> –</w:t>
      </w:r>
      <w:r w:rsidR="00EF5D1F" w:rsidRPr="00185BC0">
        <w:rPr>
          <w:b/>
          <w:bCs/>
          <w:sz w:val="28"/>
          <w:szCs w:val="28"/>
        </w:rPr>
        <w:t xml:space="preserve"> </w:t>
      </w:r>
      <w:r w:rsidRPr="00185BC0">
        <w:rPr>
          <w:sz w:val="28"/>
          <w:szCs w:val="28"/>
        </w:rPr>
        <w:t>Распределение пациентов по полу в основной и контрольной группах</w:t>
      </w:r>
    </w:p>
    <w:p w14:paraId="6186B99B" w14:textId="7EBCC1DD" w:rsidR="00153523" w:rsidRPr="00185BC0" w:rsidRDefault="00153523" w:rsidP="00153523">
      <w:pPr>
        <w:ind w:firstLine="851"/>
        <w:jc w:val="both"/>
        <w:rPr>
          <w:sz w:val="28"/>
          <w:szCs w:val="28"/>
        </w:rPr>
      </w:pPr>
      <w:r w:rsidRPr="00185BC0">
        <w:rPr>
          <w:sz w:val="28"/>
          <w:szCs w:val="28"/>
        </w:rPr>
        <w:t>Средний рост пациентов в основной группе составил 161,5 ± 7,</w:t>
      </w:r>
      <w:r w:rsidRPr="00185BC0">
        <w:rPr>
          <w:sz w:val="28"/>
          <w:szCs w:val="28"/>
          <w:lang w:val="kk-KZ"/>
        </w:rPr>
        <w:t>88</w:t>
      </w:r>
      <w:r w:rsidRPr="00185BC0">
        <w:rPr>
          <w:sz w:val="28"/>
          <w:szCs w:val="28"/>
        </w:rPr>
        <w:t xml:space="preserve"> см, в контрольной группе </w:t>
      </w:r>
      <w:r w:rsidR="00DA5A93" w:rsidRPr="00185BC0">
        <w:rPr>
          <w:sz w:val="28"/>
          <w:szCs w:val="28"/>
        </w:rPr>
        <w:t>–</w:t>
      </w:r>
      <w:r w:rsidRPr="00185BC0">
        <w:rPr>
          <w:sz w:val="28"/>
          <w:szCs w:val="28"/>
        </w:rPr>
        <w:t xml:space="preserve"> 160,4 ± 8,8</w:t>
      </w:r>
      <w:r w:rsidRPr="00185BC0">
        <w:rPr>
          <w:sz w:val="28"/>
          <w:szCs w:val="28"/>
          <w:lang w:val="kk-KZ"/>
        </w:rPr>
        <w:t>3</w:t>
      </w:r>
      <w:r w:rsidRPr="00185BC0">
        <w:rPr>
          <w:sz w:val="28"/>
          <w:szCs w:val="28"/>
        </w:rPr>
        <w:t xml:space="preserve"> см (p = 0,613). Масса тела в основной группе </w:t>
      </w:r>
      <w:r w:rsidRPr="00185BC0">
        <w:rPr>
          <w:sz w:val="28"/>
          <w:szCs w:val="28"/>
        </w:rPr>
        <w:lastRenderedPageBreak/>
        <w:t>находилась в пределах 67,9</w:t>
      </w:r>
      <w:r w:rsidRPr="00185BC0">
        <w:rPr>
          <w:sz w:val="28"/>
          <w:szCs w:val="28"/>
          <w:lang w:val="kk-KZ"/>
        </w:rPr>
        <w:t>0</w:t>
      </w:r>
      <w:r w:rsidRPr="00185BC0">
        <w:rPr>
          <w:sz w:val="28"/>
          <w:szCs w:val="28"/>
        </w:rPr>
        <w:t xml:space="preserve"> ± 9,</w:t>
      </w:r>
      <w:r w:rsidRPr="00185BC0">
        <w:rPr>
          <w:sz w:val="28"/>
          <w:szCs w:val="28"/>
          <w:lang w:val="kk-KZ"/>
        </w:rPr>
        <w:t>06</w:t>
      </w:r>
      <w:r w:rsidRPr="00185BC0">
        <w:rPr>
          <w:sz w:val="28"/>
          <w:szCs w:val="28"/>
        </w:rPr>
        <w:t xml:space="preserve"> кг, а в контрольной </w:t>
      </w:r>
      <w:r w:rsidR="00DA5A93" w:rsidRPr="00185BC0">
        <w:rPr>
          <w:sz w:val="28"/>
          <w:szCs w:val="28"/>
        </w:rPr>
        <w:t>–</w:t>
      </w:r>
      <w:r w:rsidRPr="00185BC0">
        <w:rPr>
          <w:sz w:val="28"/>
          <w:szCs w:val="28"/>
        </w:rPr>
        <w:t xml:space="preserve"> 68,</w:t>
      </w:r>
      <w:r w:rsidRPr="00185BC0">
        <w:rPr>
          <w:sz w:val="28"/>
          <w:szCs w:val="28"/>
          <w:lang w:val="kk-KZ"/>
        </w:rPr>
        <w:t>77</w:t>
      </w:r>
      <w:r w:rsidRPr="00185BC0">
        <w:rPr>
          <w:sz w:val="28"/>
          <w:szCs w:val="28"/>
        </w:rPr>
        <w:t xml:space="preserve"> ± 11,5</w:t>
      </w:r>
      <w:r w:rsidRPr="00185BC0">
        <w:rPr>
          <w:sz w:val="28"/>
          <w:szCs w:val="28"/>
          <w:lang w:val="kk-KZ"/>
        </w:rPr>
        <w:t>3</w:t>
      </w:r>
      <w:r w:rsidRPr="00185BC0">
        <w:rPr>
          <w:sz w:val="28"/>
          <w:szCs w:val="28"/>
        </w:rPr>
        <w:t xml:space="preserve"> кг (p = 0,747). Индекс массы тела (ИМТ) также был сопоставим: 26,</w:t>
      </w:r>
      <w:r w:rsidRPr="00185BC0">
        <w:rPr>
          <w:sz w:val="28"/>
          <w:szCs w:val="28"/>
          <w:lang w:val="kk-KZ"/>
        </w:rPr>
        <w:t>07</w:t>
      </w:r>
      <w:r w:rsidRPr="00185BC0">
        <w:rPr>
          <w:sz w:val="28"/>
          <w:szCs w:val="28"/>
        </w:rPr>
        <w:t xml:space="preserve"> ± 3,</w:t>
      </w:r>
      <w:r w:rsidRPr="00185BC0">
        <w:rPr>
          <w:sz w:val="28"/>
          <w:szCs w:val="28"/>
          <w:lang w:val="kk-KZ"/>
        </w:rPr>
        <w:t xml:space="preserve">66 </w:t>
      </w:r>
      <w:r w:rsidRPr="00185BC0">
        <w:rPr>
          <w:sz w:val="28"/>
          <w:szCs w:val="28"/>
        </w:rPr>
        <w:t>кг/м² в основной и 26,</w:t>
      </w:r>
      <w:r w:rsidRPr="00185BC0">
        <w:rPr>
          <w:sz w:val="28"/>
          <w:szCs w:val="28"/>
          <w:lang w:val="kk-KZ"/>
        </w:rPr>
        <w:t>75</w:t>
      </w:r>
      <w:r w:rsidRPr="00185BC0">
        <w:rPr>
          <w:sz w:val="28"/>
          <w:szCs w:val="28"/>
        </w:rPr>
        <w:t xml:space="preserve"> ± 4,1</w:t>
      </w:r>
      <w:r w:rsidRPr="00185BC0">
        <w:rPr>
          <w:sz w:val="28"/>
          <w:szCs w:val="28"/>
          <w:lang w:val="kk-KZ"/>
        </w:rPr>
        <w:t>3</w:t>
      </w:r>
      <w:r w:rsidRPr="00185BC0">
        <w:rPr>
          <w:sz w:val="28"/>
          <w:szCs w:val="28"/>
        </w:rPr>
        <w:t xml:space="preserve"> кг/м² в контрольной группе (p = 0,502).</w:t>
      </w:r>
      <w:r w:rsidRPr="00185BC0">
        <w:rPr>
          <w:sz w:val="28"/>
          <w:szCs w:val="28"/>
          <w:lang w:val="kk-KZ"/>
        </w:rPr>
        <w:t xml:space="preserve"> </w:t>
      </w:r>
      <w:r w:rsidRPr="00185BC0">
        <w:rPr>
          <w:sz w:val="28"/>
          <w:szCs w:val="28"/>
        </w:rPr>
        <w:t>Длительность госпитализации не имела статистически значимых различий: медиана составила 14,0 дней [13,0; 17,0] в основной и 14,0 дней [13,0; 16,0] в контрольной группе (p</w:t>
      </w:r>
      <w:r w:rsidR="00DA5A93" w:rsidRPr="00185BC0">
        <w:rPr>
          <w:sz w:val="28"/>
          <w:szCs w:val="28"/>
        </w:rPr>
        <w:t xml:space="preserve"> </w:t>
      </w:r>
      <w:r w:rsidRPr="00185BC0">
        <w:rPr>
          <w:sz w:val="28"/>
          <w:szCs w:val="28"/>
        </w:rPr>
        <w:t xml:space="preserve">= 0,834). Сравнительные демографические характеристики обеих групп представлены в таблице 6. </w:t>
      </w:r>
    </w:p>
    <w:p w14:paraId="150F3C37" w14:textId="77777777" w:rsidR="006A73B6" w:rsidRPr="00185BC0" w:rsidRDefault="006A73B6" w:rsidP="00EF5D1F">
      <w:pPr>
        <w:jc w:val="both"/>
        <w:rPr>
          <w:b/>
          <w:bCs/>
          <w:sz w:val="28"/>
          <w:szCs w:val="28"/>
        </w:rPr>
      </w:pPr>
    </w:p>
    <w:p w14:paraId="088B55D0" w14:textId="3313AE37" w:rsidR="00153523" w:rsidRPr="00185BC0" w:rsidRDefault="00153523" w:rsidP="00EF5D1F">
      <w:pPr>
        <w:jc w:val="both"/>
        <w:rPr>
          <w:b/>
          <w:bCs/>
          <w:sz w:val="28"/>
          <w:szCs w:val="28"/>
        </w:rPr>
      </w:pPr>
      <w:r w:rsidRPr="00185BC0">
        <w:rPr>
          <w:b/>
          <w:bCs/>
          <w:sz w:val="28"/>
          <w:szCs w:val="28"/>
        </w:rPr>
        <w:t>Таблица 6</w:t>
      </w:r>
      <w:r w:rsidR="00EF5D1F" w:rsidRPr="00185BC0">
        <w:rPr>
          <w:b/>
          <w:bCs/>
          <w:sz w:val="28"/>
          <w:szCs w:val="28"/>
          <w:lang w:val="kk-KZ"/>
        </w:rPr>
        <w:t xml:space="preserve"> –</w:t>
      </w:r>
      <w:r w:rsidR="00EF5D1F" w:rsidRPr="00185BC0">
        <w:rPr>
          <w:b/>
          <w:bCs/>
          <w:sz w:val="28"/>
          <w:szCs w:val="28"/>
        </w:rPr>
        <w:t xml:space="preserve"> </w:t>
      </w:r>
      <w:r w:rsidRPr="00185BC0">
        <w:rPr>
          <w:b/>
          <w:bCs/>
          <w:sz w:val="28"/>
          <w:szCs w:val="28"/>
        </w:rPr>
        <w:t>Сравнительная характеристика демографических показателей пациентов основной и контрольной групп</w:t>
      </w:r>
    </w:p>
    <w:p w14:paraId="6467D29E" w14:textId="77777777" w:rsidR="00153523" w:rsidRPr="00185BC0" w:rsidRDefault="00153523" w:rsidP="00153523">
      <w:pPr>
        <w:ind w:firstLine="993"/>
        <w:jc w:val="both"/>
        <w:rPr>
          <w:sz w:val="28"/>
          <w:szCs w:val="28"/>
        </w:rPr>
      </w:pPr>
    </w:p>
    <w:tbl>
      <w:tblPr>
        <w:tblStyle w:val="42"/>
        <w:tblW w:w="0" w:type="auto"/>
        <w:tblLook w:val="04A0" w:firstRow="1" w:lastRow="0" w:firstColumn="1" w:lastColumn="0" w:noHBand="0" w:noVBand="1"/>
      </w:tblPr>
      <w:tblGrid>
        <w:gridCol w:w="562"/>
        <w:gridCol w:w="3176"/>
        <w:gridCol w:w="1869"/>
        <w:gridCol w:w="1869"/>
        <w:gridCol w:w="1869"/>
      </w:tblGrid>
      <w:tr w:rsidR="00153523" w:rsidRPr="00185BC0" w14:paraId="7931DB7A" w14:textId="77777777" w:rsidTr="00907AE6">
        <w:tc>
          <w:tcPr>
            <w:tcW w:w="562" w:type="dxa"/>
          </w:tcPr>
          <w:p w14:paraId="7E07F13A" w14:textId="77777777" w:rsidR="00153523" w:rsidRPr="00185BC0" w:rsidRDefault="00153523" w:rsidP="00153523">
            <w:pPr>
              <w:jc w:val="center"/>
              <w:rPr>
                <w:b/>
                <w:bCs/>
                <w:sz w:val="20"/>
                <w:szCs w:val="20"/>
                <w:lang w:val="kk-KZ"/>
              </w:rPr>
            </w:pPr>
            <w:r w:rsidRPr="00185BC0">
              <w:rPr>
                <w:b/>
                <w:bCs/>
                <w:sz w:val="20"/>
                <w:szCs w:val="20"/>
                <w:lang w:val="kk-KZ"/>
              </w:rPr>
              <w:t>№</w:t>
            </w:r>
          </w:p>
        </w:tc>
        <w:tc>
          <w:tcPr>
            <w:tcW w:w="3176" w:type="dxa"/>
          </w:tcPr>
          <w:p w14:paraId="11BE4B9D" w14:textId="77777777" w:rsidR="00153523" w:rsidRPr="00185BC0" w:rsidRDefault="00153523" w:rsidP="00153523">
            <w:pPr>
              <w:jc w:val="center"/>
              <w:rPr>
                <w:b/>
                <w:bCs/>
                <w:sz w:val="20"/>
                <w:szCs w:val="20"/>
              </w:rPr>
            </w:pPr>
            <w:r w:rsidRPr="00185BC0">
              <w:rPr>
                <w:b/>
                <w:bCs/>
                <w:sz w:val="20"/>
                <w:szCs w:val="20"/>
              </w:rPr>
              <w:t>Показатель</w:t>
            </w:r>
          </w:p>
        </w:tc>
        <w:tc>
          <w:tcPr>
            <w:tcW w:w="1869" w:type="dxa"/>
          </w:tcPr>
          <w:p w14:paraId="4C677E28" w14:textId="77777777" w:rsidR="00153523" w:rsidRPr="00185BC0" w:rsidRDefault="00153523" w:rsidP="00153523">
            <w:pPr>
              <w:jc w:val="center"/>
              <w:rPr>
                <w:b/>
                <w:bCs/>
                <w:sz w:val="20"/>
                <w:szCs w:val="20"/>
              </w:rPr>
            </w:pPr>
            <w:r w:rsidRPr="00185BC0">
              <w:rPr>
                <w:b/>
                <w:bCs/>
                <w:sz w:val="20"/>
                <w:szCs w:val="20"/>
              </w:rPr>
              <w:t>Основная группа (n=30)</w:t>
            </w:r>
          </w:p>
          <w:p w14:paraId="395FA03F" w14:textId="77777777" w:rsidR="00153523" w:rsidRPr="00185BC0" w:rsidRDefault="00153523" w:rsidP="00153523">
            <w:pPr>
              <w:jc w:val="center"/>
              <w:rPr>
                <w:b/>
                <w:bCs/>
                <w:sz w:val="20"/>
                <w:szCs w:val="20"/>
              </w:rPr>
            </w:pPr>
          </w:p>
        </w:tc>
        <w:tc>
          <w:tcPr>
            <w:tcW w:w="1869" w:type="dxa"/>
          </w:tcPr>
          <w:p w14:paraId="249350F4" w14:textId="77777777" w:rsidR="00153523" w:rsidRPr="00185BC0" w:rsidRDefault="00153523" w:rsidP="00153523">
            <w:pPr>
              <w:jc w:val="center"/>
              <w:rPr>
                <w:b/>
                <w:bCs/>
                <w:sz w:val="20"/>
                <w:szCs w:val="20"/>
              </w:rPr>
            </w:pPr>
            <w:r w:rsidRPr="00185BC0">
              <w:rPr>
                <w:b/>
                <w:bCs/>
                <w:sz w:val="20"/>
                <w:szCs w:val="20"/>
              </w:rPr>
              <w:t>Контрольная группа (n=30)</w:t>
            </w:r>
          </w:p>
          <w:p w14:paraId="42955FBB" w14:textId="77777777" w:rsidR="00153523" w:rsidRPr="00185BC0" w:rsidRDefault="00153523" w:rsidP="00153523">
            <w:pPr>
              <w:jc w:val="center"/>
              <w:rPr>
                <w:b/>
                <w:bCs/>
                <w:sz w:val="20"/>
                <w:szCs w:val="20"/>
              </w:rPr>
            </w:pPr>
          </w:p>
        </w:tc>
        <w:tc>
          <w:tcPr>
            <w:tcW w:w="1869" w:type="dxa"/>
          </w:tcPr>
          <w:p w14:paraId="77866086" w14:textId="77777777" w:rsidR="00153523" w:rsidRPr="00185BC0" w:rsidRDefault="00153523" w:rsidP="00153523">
            <w:pPr>
              <w:jc w:val="center"/>
              <w:rPr>
                <w:b/>
                <w:bCs/>
                <w:sz w:val="20"/>
                <w:szCs w:val="20"/>
              </w:rPr>
            </w:pPr>
            <w:r w:rsidRPr="00185BC0">
              <w:rPr>
                <w:b/>
                <w:bCs/>
                <w:sz w:val="20"/>
                <w:szCs w:val="20"/>
              </w:rPr>
              <w:t>p-значение</w:t>
            </w:r>
          </w:p>
        </w:tc>
      </w:tr>
      <w:tr w:rsidR="00153523" w:rsidRPr="00185BC0" w14:paraId="50C8C91B" w14:textId="77777777" w:rsidTr="00907AE6">
        <w:tc>
          <w:tcPr>
            <w:tcW w:w="562" w:type="dxa"/>
          </w:tcPr>
          <w:p w14:paraId="08BDDF9E" w14:textId="77777777" w:rsidR="00153523" w:rsidRPr="00185BC0" w:rsidRDefault="00153523" w:rsidP="00153523">
            <w:pPr>
              <w:jc w:val="both"/>
              <w:rPr>
                <w:sz w:val="20"/>
                <w:szCs w:val="20"/>
                <w:lang w:val="tr-TR"/>
              </w:rPr>
            </w:pPr>
            <w:r w:rsidRPr="00185BC0">
              <w:rPr>
                <w:sz w:val="20"/>
                <w:szCs w:val="20"/>
                <w:lang w:val="tr-TR"/>
              </w:rPr>
              <w:t>1</w:t>
            </w:r>
          </w:p>
        </w:tc>
        <w:tc>
          <w:tcPr>
            <w:tcW w:w="3176" w:type="dxa"/>
            <w:vAlign w:val="center"/>
          </w:tcPr>
          <w:p w14:paraId="77387375" w14:textId="77777777" w:rsidR="00153523" w:rsidRPr="00185BC0" w:rsidRDefault="00153523" w:rsidP="00153523">
            <w:pPr>
              <w:jc w:val="both"/>
              <w:rPr>
                <w:sz w:val="20"/>
                <w:szCs w:val="20"/>
                <w:lang w:val="kk-KZ"/>
              </w:rPr>
            </w:pPr>
            <w:r w:rsidRPr="00185BC0">
              <w:rPr>
                <w:sz w:val="20"/>
                <w:szCs w:val="20"/>
              </w:rPr>
              <w:t>Возраст M (SD)</w:t>
            </w:r>
          </w:p>
        </w:tc>
        <w:tc>
          <w:tcPr>
            <w:tcW w:w="1869" w:type="dxa"/>
          </w:tcPr>
          <w:p w14:paraId="4BB23F26" w14:textId="77777777" w:rsidR="00153523" w:rsidRPr="00185BC0" w:rsidRDefault="00153523" w:rsidP="00153523">
            <w:pPr>
              <w:jc w:val="both"/>
              <w:rPr>
                <w:sz w:val="20"/>
                <w:szCs w:val="20"/>
              </w:rPr>
            </w:pPr>
            <w:r w:rsidRPr="00185BC0">
              <w:rPr>
                <w:sz w:val="20"/>
                <w:szCs w:val="20"/>
              </w:rPr>
              <w:t>39,23 (11,60)</w:t>
            </w:r>
          </w:p>
        </w:tc>
        <w:tc>
          <w:tcPr>
            <w:tcW w:w="1869" w:type="dxa"/>
          </w:tcPr>
          <w:p w14:paraId="102D6129" w14:textId="77777777" w:rsidR="00153523" w:rsidRPr="00185BC0" w:rsidRDefault="00153523" w:rsidP="00153523">
            <w:pPr>
              <w:jc w:val="both"/>
              <w:rPr>
                <w:sz w:val="20"/>
                <w:szCs w:val="20"/>
              </w:rPr>
            </w:pPr>
            <w:r w:rsidRPr="00185BC0">
              <w:rPr>
                <w:sz w:val="20"/>
                <w:szCs w:val="20"/>
              </w:rPr>
              <w:t>43,80 (10,97)</w:t>
            </w:r>
          </w:p>
        </w:tc>
        <w:tc>
          <w:tcPr>
            <w:tcW w:w="1869" w:type="dxa"/>
          </w:tcPr>
          <w:p w14:paraId="37F518E5" w14:textId="77777777" w:rsidR="00153523" w:rsidRPr="00185BC0" w:rsidRDefault="00153523" w:rsidP="00153523">
            <w:pPr>
              <w:jc w:val="both"/>
              <w:rPr>
                <w:sz w:val="20"/>
                <w:szCs w:val="20"/>
                <w:lang w:val="kk-KZ"/>
              </w:rPr>
            </w:pPr>
            <w:r w:rsidRPr="00185BC0">
              <w:rPr>
                <w:sz w:val="20"/>
                <w:szCs w:val="20"/>
              </w:rPr>
              <w:t>0,</w:t>
            </w:r>
            <w:r w:rsidRPr="00185BC0">
              <w:rPr>
                <w:sz w:val="20"/>
                <w:szCs w:val="20"/>
                <w:lang w:val="kk-KZ"/>
              </w:rPr>
              <w:t>123</w:t>
            </w:r>
          </w:p>
        </w:tc>
      </w:tr>
      <w:tr w:rsidR="00153523" w:rsidRPr="00185BC0" w14:paraId="514A8DAB" w14:textId="77777777" w:rsidTr="00907AE6">
        <w:tc>
          <w:tcPr>
            <w:tcW w:w="562" w:type="dxa"/>
          </w:tcPr>
          <w:p w14:paraId="41D7E853" w14:textId="77777777" w:rsidR="00153523" w:rsidRPr="00185BC0" w:rsidRDefault="00153523" w:rsidP="00153523">
            <w:pPr>
              <w:jc w:val="both"/>
              <w:rPr>
                <w:sz w:val="20"/>
                <w:szCs w:val="20"/>
                <w:lang w:val="tr-TR"/>
              </w:rPr>
            </w:pPr>
            <w:r w:rsidRPr="00185BC0">
              <w:rPr>
                <w:sz w:val="20"/>
                <w:szCs w:val="20"/>
                <w:lang w:val="tr-TR"/>
              </w:rPr>
              <w:t>2</w:t>
            </w:r>
          </w:p>
        </w:tc>
        <w:tc>
          <w:tcPr>
            <w:tcW w:w="3176" w:type="dxa"/>
            <w:vAlign w:val="center"/>
          </w:tcPr>
          <w:p w14:paraId="12F897FD" w14:textId="77777777" w:rsidR="00153523" w:rsidRPr="00185BC0" w:rsidRDefault="00153523" w:rsidP="00153523">
            <w:pPr>
              <w:jc w:val="both"/>
              <w:rPr>
                <w:sz w:val="20"/>
                <w:szCs w:val="20"/>
              </w:rPr>
            </w:pPr>
            <w:r w:rsidRPr="00185BC0">
              <w:rPr>
                <w:sz w:val="20"/>
                <w:szCs w:val="20"/>
              </w:rPr>
              <w:t>Женщины, n (%)</w:t>
            </w:r>
          </w:p>
        </w:tc>
        <w:tc>
          <w:tcPr>
            <w:tcW w:w="1869" w:type="dxa"/>
          </w:tcPr>
          <w:p w14:paraId="65EB8499" w14:textId="77777777" w:rsidR="00153523" w:rsidRPr="00185BC0" w:rsidRDefault="00153523" w:rsidP="00153523">
            <w:pPr>
              <w:jc w:val="both"/>
              <w:rPr>
                <w:sz w:val="20"/>
                <w:szCs w:val="20"/>
              </w:rPr>
            </w:pPr>
            <w:r w:rsidRPr="00185BC0">
              <w:rPr>
                <w:sz w:val="20"/>
                <w:szCs w:val="20"/>
              </w:rPr>
              <w:t>24 (80,0%)</w:t>
            </w:r>
          </w:p>
        </w:tc>
        <w:tc>
          <w:tcPr>
            <w:tcW w:w="1869" w:type="dxa"/>
          </w:tcPr>
          <w:p w14:paraId="174ACA8F" w14:textId="77777777" w:rsidR="00153523" w:rsidRPr="00185BC0" w:rsidRDefault="00153523" w:rsidP="00153523">
            <w:pPr>
              <w:jc w:val="both"/>
              <w:rPr>
                <w:sz w:val="20"/>
                <w:szCs w:val="20"/>
              </w:rPr>
            </w:pPr>
            <w:r w:rsidRPr="00185BC0">
              <w:rPr>
                <w:sz w:val="20"/>
                <w:szCs w:val="20"/>
              </w:rPr>
              <w:t>26 (86,7%)</w:t>
            </w:r>
          </w:p>
        </w:tc>
        <w:tc>
          <w:tcPr>
            <w:tcW w:w="1869" w:type="dxa"/>
            <w:vMerge w:val="restart"/>
          </w:tcPr>
          <w:p w14:paraId="2B4995C9" w14:textId="77777777" w:rsidR="00153523" w:rsidRPr="00185BC0" w:rsidRDefault="00153523" w:rsidP="00153523">
            <w:pPr>
              <w:jc w:val="both"/>
              <w:rPr>
                <w:sz w:val="20"/>
                <w:szCs w:val="20"/>
              </w:rPr>
            </w:pPr>
          </w:p>
          <w:p w14:paraId="4103FE96" w14:textId="77777777" w:rsidR="00153523" w:rsidRPr="00185BC0" w:rsidRDefault="00153523" w:rsidP="00153523">
            <w:pPr>
              <w:jc w:val="both"/>
              <w:rPr>
                <w:sz w:val="20"/>
                <w:szCs w:val="20"/>
              </w:rPr>
            </w:pPr>
            <w:r w:rsidRPr="00185BC0">
              <w:rPr>
                <w:sz w:val="20"/>
                <w:szCs w:val="20"/>
              </w:rPr>
              <w:t>0,731</w:t>
            </w:r>
          </w:p>
        </w:tc>
      </w:tr>
      <w:tr w:rsidR="00153523" w:rsidRPr="00185BC0" w14:paraId="62F75071" w14:textId="77777777" w:rsidTr="00907AE6">
        <w:tc>
          <w:tcPr>
            <w:tcW w:w="562" w:type="dxa"/>
          </w:tcPr>
          <w:p w14:paraId="3429B668" w14:textId="77777777" w:rsidR="00153523" w:rsidRPr="00185BC0" w:rsidRDefault="00153523" w:rsidP="00153523">
            <w:pPr>
              <w:jc w:val="both"/>
              <w:rPr>
                <w:sz w:val="20"/>
                <w:szCs w:val="20"/>
                <w:lang w:val="tr-TR"/>
              </w:rPr>
            </w:pPr>
            <w:r w:rsidRPr="00185BC0">
              <w:rPr>
                <w:sz w:val="20"/>
                <w:szCs w:val="20"/>
                <w:lang w:val="tr-TR"/>
              </w:rPr>
              <w:t>3</w:t>
            </w:r>
          </w:p>
        </w:tc>
        <w:tc>
          <w:tcPr>
            <w:tcW w:w="3176" w:type="dxa"/>
            <w:vAlign w:val="center"/>
          </w:tcPr>
          <w:p w14:paraId="3F479317" w14:textId="77777777" w:rsidR="00153523" w:rsidRPr="00185BC0" w:rsidRDefault="00153523" w:rsidP="00153523">
            <w:pPr>
              <w:jc w:val="both"/>
              <w:rPr>
                <w:sz w:val="20"/>
                <w:szCs w:val="20"/>
              </w:rPr>
            </w:pPr>
            <w:r w:rsidRPr="00185BC0">
              <w:rPr>
                <w:sz w:val="20"/>
                <w:szCs w:val="20"/>
              </w:rPr>
              <w:t>Мужчины, n (%)</w:t>
            </w:r>
          </w:p>
        </w:tc>
        <w:tc>
          <w:tcPr>
            <w:tcW w:w="1869" w:type="dxa"/>
          </w:tcPr>
          <w:p w14:paraId="37E2B4FE" w14:textId="77777777" w:rsidR="00153523" w:rsidRPr="00185BC0" w:rsidRDefault="00153523" w:rsidP="00153523">
            <w:pPr>
              <w:jc w:val="both"/>
              <w:rPr>
                <w:sz w:val="20"/>
                <w:szCs w:val="20"/>
              </w:rPr>
            </w:pPr>
            <w:r w:rsidRPr="00185BC0">
              <w:rPr>
                <w:sz w:val="20"/>
                <w:szCs w:val="20"/>
              </w:rPr>
              <w:t>6 (20,0%)</w:t>
            </w:r>
          </w:p>
        </w:tc>
        <w:tc>
          <w:tcPr>
            <w:tcW w:w="1869" w:type="dxa"/>
          </w:tcPr>
          <w:p w14:paraId="0F4653BC" w14:textId="77777777" w:rsidR="00153523" w:rsidRPr="00185BC0" w:rsidRDefault="00153523" w:rsidP="00153523">
            <w:pPr>
              <w:jc w:val="both"/>
              <w:rPr>
                <w:sz w:val="20"/>
                <w:szCs w:val="20"/>
              </w:rPr>
            </w:pPr>
            <w:r w:rsidRPr="00185BC0">
              <w:rPr>
                <w:sz w:val="20"/>
                <w:szCs w:val="20"/>
              </w:rPr>
              <w:t>4 (13,3%)</w:t>
            </w:r>
          </w:p>
        </w:tc>
        <w:tc>
          <w:tcPr>
            <w:tcW w:w="1869" w:type="dxa"/>
            <w:vMerge/>
          </w:tcPr>
          <w:p w14:paraId="18071683" w14:textId="77777777" w:rsidR="00153523" w:rsidRPr="00185BC0" w:rsidRDefault="00153523" w:rsidP="00153523">
            <w:pPr>
              <w:jc w:val="both"/>
              <w:rPr>
                <w:sz w:val="20"/>
                <w:szCs w:val="20"/>
              </w:rPr>
            </w:pPr>
          </w:p>
        </w:tc>
      </w:tr>
      <w:tr w:rsidR="00153523" w:rsidRPr="00185BC0" w14:paraId="2976AF80" w14:textId="77777777" w:rsidTr="00907AE6">
        <w:tc>
          <w:tcPr>
            <w:tcW w:w="562" w:type="dxa"/>
          </w:tcPr>
          <w:p w14:paraId="44D5E960" w14:textId="77777777" w:rsidR="00153523" w:rsidRPr="00185BC0" w:rsidRDefault="00153523" w:rsidP="00153523">
            <w:pPr>
              <w:jc w:val="both"/>
              <w:rPr>
                <w:sz w:val="20"/>
                <w:szCs w:val="20"/>
                <w:lang w:val="tr-TR"/>
              </w:rPr>
            </w:pPr>
            <w:r w:rsidRPr="00185BC0">
              <w:rPr>
                <w:sz w:val="20"/>
                <w:szCs w:val="20"/>
                <w:lang w:val="tr-TR"/>
              </w:rPr>
              <w:t>4</w:t>
            </w:r>
          </w:p>
        </w:tc>
        <w:tc>
          <w:tcPr>
            <w:tcW w:w="3176" w:type="dxa"/>
            <w:vAlign w:val="center"/>
          </w:tcPr>
          <w:p w14:paraId="5D66D80C" w14:textId="77777777" w:rsidR="00153523" w:rsidRPr="00185BC0" w:rsidRDefault="00153523" w:rsidP="00153523">
            <w:pPr>
              <w:jc w:val="both"/>
              <w:rPr>
                <w:sz w:val="20"/>
                <w:szCs w:val="20"/>
                <w:lang w:val="kk-KZ"/>
              </w:rPr>
            </w:pPr>
            <w:r w:rsidRPr="00185BC0">
              <w:rPr>
                <w:sz w:val="20"/>
                <w:szCs w:val="20"/>
              </w:rPr>
              <w:t>Рост</w:t>
            </w:r>
            <w:r w:rsidRPr="00185BC0">
              <w:rPr>
                <w:sz w:val="20"/>
                <w:szCs w:val="20"/>
                <w:lang w:val="kk-KZ"/>
              </w:rPr>
              <w:t xml:space="preserve"> (</w:t>
            </w:r>
            <w:r w:rsidRPr="00185BC0">
              <w:rPr>
                <w:sz w:val="20"/>
                <w:szCs w:val="20"/>
              </w:rPr>
              <w:t>с</w:t>
            </w:r>
            <w:r w:rsidRPr="00185BC0">
              <w:rPr>
                <w:sz w:val="20"/>
                <w:szCs w:val="20"/>
                <w:lang w:val="kk-KZ"/>
              </w:rPr>
              <w:t>м) M (SD)</w:t>
            </w:r>
          </w:p>
        </w:tc>
        <w:tc>
          <w:tcPr>
            <w:tcW w:w="1869" w:type="dxa"/>
          </w:tcPr>
          <w:p w14:paraId="4D7B2BD6" w14:textId="77777777" w:rsidR="00153523" w:rsidRPr="00185BC0" w:rsidRDefault="00153523" w:rsidP="00153523">
            <w:pPr>
              <w:jc w:val="both"/>
              <w:rPr>
                <w:sz w:val="20"/>
                <w:szCs w:val="20"/>
              </w:rPr>
            </w:pPr>
            <w:r w:rsidRPr="00185BC0">
              <w:rPr>
                <w:sz w:val="20"/>
                <w:szCs w:val="20"/>
              </w:rPr>
              <w:t>161,50 (7,88)</w:t>
            </w:r>
          </w:p>
        </w:tc>
        <w:tc>
          <w:tcPr>
            <w:tcW w:w="1869" w:type="dxa"/>
          </w:tcPr>
          <w:p w14:paraId="094D84AA" w14:textId="77777777" w:rsidR="00153523" w:rsidRPr="00185BC0" w:rsidRDefault="00153523" w:rsidP="00153523">
            <w:pPr>
              <w:jc w:val="both"/>
              <w:rPr>
                <w:sz w:val="20"/>
                <w:szCs w:val="20"/>
              </w:rPr>
            </w:pPr>
            <w:r w:rsidRPr="00185BC0">
              <w:rPr>
                <w:sz w:val="20"/>
                <w:szCs w:val="20"/>
              </w:rPr>
              <w:t>160,40 (8,83)</w:t>
            </w:r>
          </w:p>
        </w:tc>
        <w:tc>
          <w:tcPr>
            <w:tcW w:w="1869" w:type="dxa"/>
          </w:tcPr>
          <w:p w14:paraId="7DE73204" w14:textId="77777777" w:rsidR="00153523" w:rsidRPr="00185BC0" w:rsidRDefault="00153523" w:rsidP="00153523">
            <w:pPr>
              <w:jc w:val="both"/>
              <w:rPr>
                <w:sz w:val="20"/>
                <w:szCs w:val="20"/>
              </w:rPr>
            </w:pPr>
            <w:r w:rsidRPr="00185BC0">
              <w:rPr>
                <w:sz w:val="20"/>
                <w:szCs w:val="20"/>
              </w:rPr>
              <w:t>0,613</w:t>
            </w:r>
          </w:p>
        </w:tc>
      </w:tr>
      <w:tr w:rsidR="00153523" w:rsidRPr="00185BC0" w14:paraId="67F489AD" w14:textId="77777777" w:rsidTr="00907AE6">
        <w:tc>
          <w:tcPr>
            <w:tcW w:w="562" w:type="dxa"/>
          </w:tcPr>
          <w:p w14:paraId="493798A4" w14:textId="77777777" w:rsidR="00153523" w:rsidRPr="00185BC0" w:rsidRDefault="00153523" w:rsidP="00153523">
            <w:pPr>
              <w:jc w:val="both"/>
              <w:rPr>
                <w:sz w:val="20"/>
                <w:szCs w:val="20"/>
                <w:lang w:val="tr-TR"/>
              </w:rPr>
            </w:pPr>
            <w:r w:rsidRPr="00185BC0">
              <w:rPr>
                <w:sz w:val="20"/>
                <w:szCs w:val="20"/>
                <w:lang w:val="tr-TR"/>
              </w:rPr>
              <w:t>5</w:t>
            </w:r>
          </w:p>
        </w:tc>
        <w:tc>
          <w:tcPr>
            <w:tcW w:w="3176" w:type="dxa"/>
            <w:vAlign w:val="center"/>
          </w:tcPr>
          <w:p w14:paraId="74E7AEEE" w14:textId="77777777" w:rsidR="00153523" w:rsidRPr="00185BC0" w:rsidRDefault="00153523" w:rsidP="00153523">
            <w:pPr>
              <w:jc w:val="both"/>
              <w:rPr>
                <w:sz w:val="20"/>
                <w:szCs w:val="20"/>
                <w:lang w:val="kk-KZ"/>
              </w:rPr>
            </w:pPr>
            <w:r w:rsidRPr="00185BC0">
              <w:rPr>
                <w:sz w:val="20"/>
                <w:szCs w:val="20"/>
              </w:rPr>
              <w:t>Масса тела</w:t>
            </w:r>
            <w:r w:rsidRPr="00185BC0">
              <w:rPr>
                <w:sz w:val="20"/>
                <w:szCs w:val="20"/>
                <w:lang w:val="kk-KZ"/>
              </w:rPr>
              <w:t xml:space="preserve"> (</w:t>
            </w:r>
            <w:r w:rsidRPr="00185BC0">
              <w:rPr>
                <w:sz w:val="20"/>
                <w:szCs w:val="20"/>
              </w:rPr>
              <w:t>кг</w:t>
            </w:r>
            <w:r w:rsidRPr="00185BC0">
              <w:rPr>
                <w:sz w:val="20"/>
                <w:szCs w:val="20"/>
                <w:lang w:val="kk-KZ"/>
              </w:rPr>
              <w:t>) M (SD)</w:t>
            </w:r>
          </w:p>
        </w:tc>
        <w:tc>
          <w:tcPr>
            <w:tcW w:w="1869" w:type="dxa"/>
          </w:tcPr>
          <w:p w14:paraId="772EDB1E" w14:textId="77777777" w:rsidR="00153523" w:rsidRPr="00185BC0" w:rsidRDefault="00153523" w:rsidP="00153523">
            <w:pPr>
              <w:jc w:val="both"/>
              <w:rPr>
                <w:sz w:val="20"/>
                <w:szCs w:val="20"/>
              </w:rPr>
            </w:pPr>
            <w:r w:rsidRPr="00185BC0">
              <w:rPr>
                <w:sz w:val="20"/>
                <w:szCs w:val="20"/>
              </w:rPr>
              <w:t>67,90 (9,06)</w:t>
            </w:r>
          </w:p>
        </w:tc>
        <w:tc>
          <w:tcPr>
            <w:tcW w:w="1869" w:type="dxa"/>
          </w:tcPr>
          <w:p w14:paraId="5B98F513" w14:textId="77777777" w:rsidR="00153523" w:rsidRPr="00185BC0" w:rsidRDefault="00153523" w:rsidP="00153523">
            <w:pPr>
              <w:jc w:val="both"/>
              <w:rPr>
                <w:sz w:val="20"/>
                <w:szCs w:val="20"/>
              </w:rPr>
            </w:pPr>
            <w:r w:rsidRPr="00185BC0">
              <w:rPr>
                <w:sz w:val="20"/>
                <w:szCs w:val="20"/>
              </w:rPr>
              <w:t>68,77 (11,53)</w:t>
            </w:r>
          </w:p>
        </w:tc>
        <w:tc>
          <w:tcPr>
            <w:tcW w:w="1869" w:type="dxa"/>
          </w:tcPr>
          <w:p w14:paraId="15FEB864" w14:textId="77777777" w:rsidR="00153523" w:rsidRPr="00185BC0" w:rsidRDefault="00153523" w:rsidP="00153523">
            <w:pPr>
              <w:jc w:val="both"/>
              <w:rPr>
                <w:sz w:val="20"/>
                <w:szCs w:val="20"/>
              </w:rPr>
            </w:pPr>
            <w:r w:rsidRPr="00185BC0">
              <w:rPr>
                <w:sz w:val="20"/>
                <w:szCs w:val="20"/>
              </w:rPr>
              <w:t>0,747</w:t>
            </w:r>
          </w:p>
        </w:tc>
      </w:tr>
      <w:tr w:rsidR="00153523" w:rsidRPr="00185BC0" w14:paraId="3C186F3A" w14:textId="77777777" w:rsidTr="00907AE6">
        <w:tc>
          <w:tcPr>
            <w:tcW w:w="562" w:type="dxa"/>
          </w:tcPr>
          <w:p w14:paraId="2B529847" w14:textId="77777777" w:rsidR="00153523" w:rsidRPr="00185BC0" w:rsidRDefault="00153523" w:rsidP="00153523">
            <w:pPr>
              <w:jc w:val="both"/>
              <w:rPr>
                <w:sz w:val="20"/>
                <w:szCs w:val="20"/>
                <w:lang w:val="tr-TR"/>
              </w:rPr>
            </w:pPr>
            <w:r w:rsidRPr="00185BC0">
              <w:rPr>
                <w:sz w:val="20"/>
                <w:szCs w:val="20"/>
                <w:lang w:val="tr-TR"/>
              </w:rPr>
              <w:t>6</w:t>
            </w:r>
          </w:p>
        </w:tc>
        <w:tc>
          <w:tcPr>
            <w:tcW w:w="3176" w:type="dxa"/>
          </w:tcPr>
          <w:p w14:paraId="1AA89AE3" w14:textId="77777777" w:rsidR="00153523" w:rsidRPr="00185BC0" w:rsidRDefault="00153523" w:rsidP="00153523">
            <w:pPr>
              <w:jc w:val="both"/>
              <w:rPr>
                <w:sz w:val="20"/>
                <w:szCs w:val="20"/>
                <w:lang w:val="kk-KZ"/>
              </w:rPr>
            </w:pPr>
            <w:r w:rsidRPr="00185BC0">
              <w:rPr>
                <w:sz w:val="20"/>
                <w:szCs w:val="20"/>
              </w:rPr>
              <w:t xml:space="preserve">Индекс массы тела </w:t>
            </w:r>
            <w:r w:rsidRPr="00185BC0">
              <w:rPr>
                <w:sz w:val="20"/>
                <w:szCs w:val="20"/>
                <w:lang w:val="kk-KZ"/>
              </w:rPr>
              <w:t>(</w:t>
            </w:r>
            <w:r w:rsidRPr="00185BC0">
              <w:rPr>
                <w:sz w:val="20"/>
                <w:szCs w:val="20"/>
              </w:rPr>
              <w:t>кг/м²</w:t>
            </w:r>
            <w:r w:rsidRPr="00185BC0">
              <w:rPr>
                <w:sz w:val="20"/>
                <w:szCs w:val="20"/>
                <w:lang w:val="kk-KZ"/>
              </w:rPr>
              <w:t xml:space="preserve">) </w:t>
            </w:r>
            <w:r w:rsidRPr="00185BC0">
              <w:rPr>
                <w:sz w:val="20"/>
                <w:szCs w:val="20"/>
              </w:rPr>
              <w:t>M (SD)</w:t>
            </w:r>
          </w:p>
        </w:tc>
        <w:tc>
          <w:tcPr>
            <w:tcW w:w="1869" w:type="dxa"/>
          </w:tcPr>
          <w:p w14:paraId="514AA7B1" w14:textId="77777777" w:rsidR="00153523" w:rsidRPr="00185BC0" w:rsidRDefault="00153523" w:rsidP="00153523">
            <w:pPr>
              <w:jc w:val="both"/>
              <w:rPr>
                <w:sz w:val="20"/>
                <w:szCs w:val="20"/>
              </w:rPr>
            </w:pPr>
            <w:r w:rsidRPr="00185BC0">
              <w:rPr>
                <w:sz w:val="20"/>
                <w:szCs w:val="20"/>
              </w:rPr>
              <w:t>26,07 (3,66)</w:t>
            </w:r>
          </w:p>
        </w:tc>
        <w:tc>
          <w:tcPr>
            <w:tcW w:w="1869" w:type="dxa"/>
          </w:tcPr>
          <w:p w14:paraId="3810181A" w14:textId="77777777" w:rsidR="00153523" w:rsidRPr="00185BC0" w:rsidRDefault="00153523" w:rsidP="00153523">
            <w:pPr>
              <w:jc w:val="both"/>
              <w:rPr>
                <w:sz w:val="20"/>
                <w:szCs w:val="20"/>
              </w:rPr>
            </w:pPr>
            <w:r w:rsidRPr="00185BC0">
              <w:rPr>
                <w:sz w:val="20"/>
                <w:szCs w:val="20"/>
              </w:rPr>
              <w:t>26,75 (4,13)</w:t>
            </w:r>
          </w:p>
        </w:tc>
        <w:tc>
          <w:tcPr>
            <w:tcW w:w="1869" w:type="dxa"/>
          </w:tcPr>
          <w:p w14:paraId="5C797F60" w14:textId="77777777" w:rsidR="00153523" w:rsidRPr="00185BC0" w:rsidRDefault="00153523" w:rsidP="00153523">
            <w:pPr>
              <w:jc w:val="both"/>
              <w:rPr>
                <w:sz w:val="20"/>
                <w:szCs w:val="20"/>
              </w:rPr>
            </w:pPr>
            <w:r w:rsidRPr="00185BC0">
              <w:rPr>
                <w:sz w:val="20"/>
                <w:szCs w:val="20"/>
              </w:rPr>
              <w:t>0,502</w:t>
            </w:r>
          </w:p>
        </w:tc>
      </w:tr>
      <w:tr w:rsidR="00153523" w:rsidRPr="00185BC0" w14:paraId="6CDE2EBD" w14:textId="77777777" w:rsidTr="00907AE6">
        <w:tc>
          <w:tcPr>
            <w:tcW w:w="562" w:type="dxa"/>
          </w:tcPr>
          <w:p w14:paraId="106FC663" w14:textId="77777777" w:rsidR="00153523" w:rsidRPr="00185BC0" w:rsidRDefault="00153523" w:rsidP="00153523">
            <w:pPr>
              <w:jc w:val="both"/>
              <w:rPr>
                <w:sz w:val="20"/>
                <w:szCs w:val="20"/>
              </w:rPr>
            </w:pPr>
            <w:r w:rsidRPr="00185BC0">
              <w:rPr>
                <w:sz w:val="20"/>
                <w:szCs w:val="20"/>
              </w:rPr>
              <w:t>7</w:t>
            </w:r>
          </w:p>
        </w:tc>
        <w:tc>
          <w:tcPr>
            <w:tcW w:w="3176" w:type="dxa"/>
          </w:tcPr>
          <w:p w14:paraId="2B1A6DED" w14:textId="77777777" w:rsidR="00153523" w:rsidRPr="00185BC0" w:rsidRDefault="00153523" w:rsidP="00153523">
            <w:pPr>
              <w:jc w:val="both"/>
              <w:rPr>
                <w:sz w:val="20"/>
                <w:szCs w:val="20"/>
                <w:lang w:val="kk-KZ"/>
              </w:rPr>
            </w:pPr>
            <w:r w:rsidRPr="00185BC0">
              <w:rPr>
                <w:sz w:val="20"/>
                <w:szCs w:val="20"/>
              </w:rPr>
              <w:t>Длительность госпитализации (дней)</w:t>
            </w:r>
            <w:r w:rsidRPr="00185BC0">
              <w:rPr>
                <w:sz w:val="20"/>
                <w:szCs w:val="20"/>
                <w:lang w:val="kk-KZ"/>
              </w:rPr>
              <w:t xml:space="preserve"> </w:t>
            </w:r>
            <w:r w:rsidRPr="00185BC0">
              <w:rPr>
                <w:sz w:val="20"/>
                <w:szCs w:val="20"/>
              </w:rPr>
              <w:t>Me [IQR]</w:t>
            </w:r>
          </w:p>
        </w:tc>
        <w:tc>
          <w:tcPr>
            <w:tcW w:w="1869" w:type="dxa"/>
          </w:tcPr>
          <w:p w14:paraId="2FF7EC26" w14:textId="77777777" w:rsidR="00153523" w:rsidRPr="00185BC0" w:rsidRDefault="00153523" w:rsidP="00153523">
            <w:pPr>
              <w:jc w:val="center"/>
              <w:rPr>
                <w:sz w:val="20"/>
                <w:szCs w:val="20"/>
              </w:rPr>
            </w:pPr>
            <w:r w:rsidRPr="00185BC0">
              <w:rPr>
                <w:sz w:val="20"/>
                <w:szCs w:val="20"/>
              </w:rPr>
              <w:t>14,00</w:t>
            </w:r>
          </w:p>
          <w:p w14:paraId="552B397B" w14:textId="77777777" w:rsidR="00153523" w:rsidRPr="00185BC0" w:rsidRDefault="00153523" w:rsidP="00153523">
            <w:pPr>
              <w:jc w:val="center"/>
              <w:rPr>
                <w:sz w:val="20"/>
                <w:szCs w:val="20"/>
              </w:rPr>
            </w:pPr>
            <w:r w:rsidRPr="00185BC0">
              <w:rPr>
                <w:sz w:val="20"/>
                <w:szCs w:val="20"/>
              </w:rPr>
              <w:t>[13,00; 17,00]</w:t>
            </w:r>
          </w:p>
        </w:tc>
        <w:tc>
          <w:tcPr>
            <w:tcW w:w="1869" w:type="dxa"/>
          </w:tcPr>
          <w:p w14:paraId="76490F0E" w14:textId="77777777" w:rsidR="00153523" w:rsidRPr="00185BC0" w:rsidRDefault="00153523" w:rsidP="00153523">
            <w:pPr>
              <w:jc w:val="center"/>
              <w:rPr>
                <w:sz w:val="20"/>
                <w:szCs w:val="20"/>
              </w:rPr>
            </w:pPr>
            <w:r w:rsidRPr="00185BC0">
              <w:rPr>
                <w:sz w:val="20"/>
                <w:szCs w:val="20"/>
              </w:rPr>
              <w:t>14,00</w:t>
            </w:r>
          </w:p>
          <w:p w14:paraId="6BD37116" w14:textId="77777777" w:rsidR="00153523" w:rsidRPr="00185BC0" w:rsidRDefault="00153523" w:rsidP="00153523">
            <w:pPr>
              <w:jc w:val="center"/>
              <w:rPr>
                <w:sz w:val="20"/>
                <w:szCs w:val="20"/>
              </w:rPr>
            </w:pPr>
            <w:r w:rsidRPr="00185BC0">
              <w:rPr>
                <w:sz w:val="20"/>
                <w:szCs w:val="20"/>
              </w:rPr>
              <w:t>[13,00; 16,00]</w:t>
            </w:r>
          </w:p>
        </w:tc>
        <w:tc>
          <w:tcPr>
            <w:tcW w:w="1869" w:type="dxa"/>
          </w:tcPr>
          <w:p w14:paraId="29A65380" w14:textId="77777777" w:rsidR="00153523" w:rsidRPr="00185BC0" w:rsidRDefault="00153523" w:rsidP="00153523">
            <w:pPr>
              <w:jc w:val="both"/>
              <w:rPr>
                <w:sz w:val="20"/>
                <w:szCs w:val="20"/>
              </w:rPr>
            </w:pPr>
            <w:r w:rsidRPr="00185BC0">
              <w:rPr>
                <w:sz w:val="20"/>
                <w:szCs w:val="20"/>
              </w:rPr>
              <w:t>0,834</w:t>
            </w:r>
          </w:p>
        </w:tc>
      </w:tr>
    </w:tbl>
    <w:p w14:paraId="22B3EF50" w14:textId="77777777" w:rsidR="00153523" w:rsidRPr="00185BC0" w:rsidRDefault="00153523" w:rsidP="00153523">
      <w:pPr>
        <w:ind w:firstLine="993"/>
        <w:jc w:val="both"/>
        <w:rPr>
          <w:sz w:val="28"/>
          <w:szCs w:val="28"/>
        </w:rPr>
      </w:pPr>
    </w:p>
    <w:p w14:paraId="6BF0A434" w14:textId="77777777" w:rsidR="00153523" w:rsidRPr="00185BC0" w:rsidRDefault="00153523" w:rsidP="00153523">
      <w:pPr>
        <w:ind w:firstLine="993"/>
        <w:jc w:val="both"/>
        <w:rPr>
          <w:sz w:val="28"/>
          <w:szCs w:val="28"/>
        </w:rPr>
      </w:pPr>
      <w:r w:rsidRPr="00185BC0">
        <w:rPr>
          <w:sz w:val="28"/>
          <w:szCs w:val="28"/>
        </w:rPr>
        <w:t>Эти данные подтверждают сопоставимость соматического статуса пациентов в обеих группах, где преобладали значения массы тела, соответствующие нормальному или умеренно избыточному уровню. Все пациенты основной группы были включены в исследование в плановом порядке на основании строго определённых критериев, а данные по контрольной группе были получены ретроспективно из медицинской документации при соблюдении критериев сопоставимости. Это обеспечило формирование репрезентативной выборки и клинически сопоставимых групп для последующего анализа результатов лечения.</w:t>
      </w:r>
    </w:p>
    <w:p w14:paraId="09D85E6C" w14:textId="00BA1A78" w:rsidR="00153523" w:rsidRPr="00185BC0" w:rsidRDefault="00153523" w:rsidP="00153523">
      <w:pPr>
        <w:ind w:firstLine="993"/>
        <w:jc w:val="both"/>
        <w:rPr>
          <w:sz w:val="28"/>
          <w:szCs w:val="28"/>
        </w:rPr>
      </w:pPr>
      <w:r w:rsidRPr="00185BC0">
        <w:rPr>
          <w:sz w:val="28"/>
          <w:szCs w:val="28"/>
        </w:rPr>
        <w:t>На момент включения у пациентов не выявлял</w:t>
      </w:r>
      <w:r w:rsidR="00265E1D" w:rsidRPr="00185BC0">
        <w:rPr>
          <w:sz w:val="28"/>
          <w:szCs w:val="28"/>
          <w:lang w:val="kk-KZ"/>
        </w:rPr>
        <w:t>и</w:t>
      </w:r>
      <w:proofErr w:type="spellStart"/>
      <w:r w:rsidRPr="00185BC0">
        <w:rPr>
          <w:sz w:val="28"/>
          <w:szCs w:val="28"/>
        </w:rPr>
        <w:t>сь</w:t>
      </w:r>
      <w:proofErr w:type="spellEnd"/>
      <w:r w:rsidRPr="00185BC0">
        <w:rPr>
          <w:sz w:val="28"/>
          <w:szCs w:val="28"/>
        </w:rPr>
        <w:t xml:space="preserve"> признак</w:t>
      </w:r>
      <w:r w:rsidR="00265E1D" w:rsidRPr="00185BC0">
        <w:rPr>
          <w:sz w:val="28"/>
          <w:szCs w:val="28"/>
          <w:lang w:val="kk-KZ"/>
        </w:rPr>
        <w:t>и</w:t>
      </w:r>
      <w:r w:rsidRPr="00185BC0">
        <w:rPr>
          <w:sz w:val="28"/>
          <w:szCs w:val="28"/>
        </w:rPr>
        <w:t xml:space="preserve"> системных воспалительных заболеваний, декомпенсированных соматических состояний или друг</w:t>
      </w:r>
      <w:r w:rsidR="00265E1D" w:rsidRPr="00185BC0">
        <w:rPr>
          <w:sz w:val="28"/>
          <w:szCs w:val="28"/>
          <w:lang w:val="kk-KZ"/>
        </w:rPr>
        <w:t>их</w:t>
      </w:r>
      <w:r w:rsidRPr="00185BC0">
        <w:rPr>
          <w:sz w:val="28"/>
          <w:szCs w:val="28"/>
        </w:rPr>
        <w:t xml:space="preserve"> </w:t>
      </w:r>
      <w:proofErr w:type="spellStart"/>
      <w:r w:rsidRPr="00185BC0">
        <w:rPr>
          <w:sz w:val="28"/>
          <w:szCs w:val="28"/>
        </w:rPr>
        <w:t>сопутствующ</w:t>
      </w:r>
      <w:proofErr w:type="spellEnd"/>
      <w:r w:rsidR="00265E1D" w:rsidRPr="00185BC0">
        <w:rPr>
          <w:sz w:val="28"/>
          <w:szCs w:val="28"/>
          <w:lang w:val="kk-KZ"/>
        </w:rPr>
        <w:t>их</w:t>
      </w:r>
      <w:r w:rsidRPr="00185BC0">
        <w:rPr>
          <w:sz w:val="28"/>
          <w:szCs w:val="28"/>
        </w:rPr>
        <w:t xml:space="preserve"> патологи</w:t>
      </w:r>
      <w:r w:rsidR="00265E1D" w:rsidRPr="00185BC0">
        <w:rPr>
          <w:sz w:val="28"/>
          <w:szCs w:val="28"/>
          <w:lang w:val="kk-KZ"/>
        </w:rPr>
        <w:t>й</w:t>
      </w:r>
      <w:r w:rsidRPr="00185BC0">
        <w:rPr>
          <w:sz w:val="28"/>
          <w:szCs w:val="28"/>
        </w:rPr>
        <w:t xml:space="preserve">, </w:t>
      </w:r>
      <w:proofErr w:type="spellStart"/>
      <w:r w:rsidRPr="00185BC0">
        <w:rPr>
          <w:sz w:val="28"/>
          <w:szCs w:val="28"/>
        </w:rPr>
        <w:t>способн</w:t>
      </w:r>
      <w:proofErr w:type="spellEnd"/>
      <w:r w:rsidR="00265E1D" w:rsidRPr="00185BC0">
        <w:rPr>
          <w:sz w:val="28"/>
          <w:szCs w:val="28"/>
          <w:lang w:val="kk-KZ"/>
        </w:rPr>
        <w:t>ых</w:t>
      </w:r>
      <w:r w:rsidRPr="00185BC0">
        <w:rPr>
          <w:sz w:val="28"/>
          <w:szCs w:val="28"/>
        </w:rPr>
        <w:t xml:space="preserve"> повлиять на объём оперативного вмешательства, выбор хирургической тактики или прогноз послеоперационного восстановления. Таким образом, демографические и клинические характеристики пациентов обеспечили надёжную основу для объективной сравнительной оценки эффективности различных методов фиксации зоны остеотомии.</w:t>
      </w:r>
    </w:p>
    <w:p w14:paraId="4CAB0EB4" w14:textId="77777777" w:rsidR="00153523" w:rsidRPr="00185BC0" w:rsidRDefault="00153523" w:rsidP="00153523">
      <w:pPr>
        <w:ind w:firstLine="993"/>
        <w:jc w:val="both"/>
        <w:rPr>
          <w:sz w:val="28"/>
          <w:szCs w:val="28"/>
        </w:rPr>
      </w:pPr>
      <w:r w:rsidRPr="00185BC0">
        <w:rPr>
          <w:sz w:val="28"/>
          <w:szCs w:val="28"/>
        </w:rPr>
        <w:t>Таким образом, сравнительный анализ клинико-демографических характеристик показал отсутствие статистически значимых различий между основной и контрольной группами по возрасту, полу, росту, массе тела, индексу массы тела и длительности госпитализации (p&gt; 0,05). Это подтверждает исходную сопоставимость исследуемых групп и обеспечивает корректность последующего анализа эффективности различных методов остеосинтеза зоны остеотомии.</w:t>
      </w:r>
    </w:p>
    <w:p w14:paraId="5157D906" w14:textId="36C1EBFA" w:rsidR="00153523" w:rsidRPr="00185BC0" w:rsidRDefault="00153523" w:rsidP="00153523">
      <w:pPr>
        <w:ind w:firstLine="720"/>
        <w:jc w:val="both"/>
        <w:rPr>
          <w:i/>
          <w:iCs/>
          <w:sz w:val="28"/>
          <w:szCs w:val="28"/>
        </w:rPr>
      </w:pPr>
      <w:bookmarkStart w:id="39" w:name="_Hlk203921833"/>
      <w:r w:rsidRPr="00185BC0">
        <w:rPr>
          <w:i/>
          <w:iCs/>
          <w:sz w:val="28"/>
          <w:szCs w:val="28"/>
          <w:lang w:val="kk-KZ"/>
        </w:rPr>
        <w:lastRenderedPageBreak/>
        <w:t>Жалобы</w:t>
      </w:r>
      <w:r w:rsidRPr="00185BC0">
        <w:rPr>
          <w:i/>
          <w:iCs/>
          <w:sz w:val="28"/>
          <w:szCs w:val="28"/>
        </w:rPr>
        <w:t xml:space="preserve">, анамнез и </w:t>
      </w:r>
      <w:proofErr w:type="spellStart"/>
      <w:r w:rsidRPr="00185BC0">
        <w:rPr>
          <w:i/>
          <w:iCs/>
          <w:sz w:val="28"/>
          <w:szCs w:val="28"/>
        </w:rPr>
        <w:t>физикальное</w:t>
      </w:r>
      <w:proofErr w:type="spellEnd"/>
      <w:r w:rsidRPr="00185BC0">
        <w:rPr>
          <w:i/>
          <w:iCs/>
          <w:sz w:val="28"/>
          <w:szCs w:val="28"/>
        </w:rPr>
        <w:t xml:space="preserve"> обследование пациентов</w:t>
      </w:r>
    </w:p>
    <w:bookmarkEnd w:id="39"/>
    <w:p w14:paraId="1C7AF2CE" w14:textId="7E961D3F" w:rsidR="00153523" w:rsidRPr="00185BC0" w:rsidRDefault="00153523" w:rsidP="00153523">
      <w:pPr>
        <w:ind w:firstLine="720"/>
        <w:jc w:val="both"/>
        <w:rPr>
          <w:sz w:val="28"/>
          <w:szCs w:val="28"/>
        </w:rPr>
      </w:pPr>
      <w:r w:rsidRPr="00185BC0">
        <w:rPr>
          <w:sz w:val="28"/>
          <w:szCs w:val="28"/>
        </w:rPr>
        <w:t xml:space="preserve">Пациенты, включённые в исследование, предъявляли жалобы характерные для тяжёлых форм диспластического коксартроза IV типа по классификации </w:t>
      </w:r>
      <w:proofErr w:type="spellStart"/>
      <w:r w:rsidRPr="00185BC0">
        <w:rPr>
          <w:sz w:val="28"/>
          <w:szCs w:val="28"/>
        </w:rPr>
        <w:t>Crowe</w:t>
      </w:r>
      <w:proofErr w:type="spellEnd"/>
      <w:r w:rsidRPr="00185BC0">
        <w:rPr>
          <w:sz w:val="28"/>
          <w:szCs w:val="28"/>
        </w:rPr>
        <w:t>. Основными симптомами являлись выраженный болевой синдром в области тазобедренного сустава, усиливающийся при ходьбе и физических нагрузках, ограничение объёма движений, быстрая утомляемость, нарушение походки и хромота, а также затруднения при выполнении самообслуживания. У части пациентов отмечались ночные боли, приводившие к нарушению сна.</w:t>
      </w:r>
    </w:p>
    <w:p w14:paraId="33C19603" w14:textId="681E4BEF" w:rsidR="00153523" w:rsidRPr="00185BC0" w:rsidRDefault="00153523" w:rsidP="00153523">
      <w:pPr>
        <w:ind w:firstLine="720"/>
        <w:jc w:val="both"/>
        <w:rPr>
          <w:sz w:val="28"/>
          <w:szCs w:val="28"/>
        </w:rPr>
      </w:pPr>
      <w:r w:rsidRPr="00185BC0">
        <w:rPr>
          <w:sz w:val="28"/>
          <w:szCs w:val="28"/>
        </w:rPr>
        <w:t xml:space="preserve">В анамнезе у всех обследованных имелась врождённая дисплазия тазобедренного сустава с последующим прогрессированием дегенеративных изменений и развитием коксартроза. Сравнительный анализ распределения локализации дисплазии тазобедренного сустава показал, что в основной группе преобладала правосторонняя форма </w:t>
      </w:r>
      <w:r w:rsidR="00DA5A93" w:rsidRPr="00185BC0">
        <w:rPr>
          <w:sz w:val="28"/>
          <w:szCs w:val="28"/>
        </w:rPr>
        <w:t>–</w:t>
      </w:r>
      <w:r w:rsidRPr="00185BC0">
        <w:rPr>
          <w:sz w:val="28"/>
          <w:szCs w:val="28"/>
        </w:rPr>
        <w:t xml:space="preserve"> у 50,0% пациентов (n = 15), левосторонняя встречалась в 43,3% случаев (n = 13), двусторонняя </w:t>
      </w:r>
      <w:r w:rsidR="00DA5A93" w:rsidRPr="00185BC0">
        <w:rPr>
          <w:sz w:val="28"/>
          <w:szCs w:val="28"/>
        </w:rPr>
        <w:t>–</w:t>
      </w:r>
      <w:r w:rsidRPr="00185BC0">
        <w:rPr>
          <w:sz w:val="28"/>
          <w:szCs w:val="28"/>
        </w:rPr>
        <w:t xml:space="preserve"> в 6,7% (n = 2). В контрольной группе частота форм дисплазии была сопоставимой: правосторонняя локализация отмечена у 40,0% пациентов (n = 12), левосторонняя </w:t>
      </w:r>
      <w:r w:rsidR="00DA5A93" w:rsidRPr="00185BC0">
        <w:rPr>
          <w:sz w:val="28"/>
          <w:szCs w:val="28"/>
        </w:rPr>
        <w:t>–</w:t>
      </w:r>
      <w:r w:rsidRPr="00185BC0">
        <w:rPr>
          <w:sz w:val="28"/>
          <w:szCs w:val="28"/>
        </w:rPr>
        <w:t xml:space="preserve"> у 43,3% (n = 13), двусторонняя </w:t>
      </w:r>
      <w:r w:rsidR="00DA5A93" w:rsidRPr="00185BC0">
        <w:rPr>
          <w:sz w:val="28"/>
          <w:szCs w:val="28"/>
        </w:rPr>
        <w:t>–</w:t>
      </w:r>
      <w:r w:rsidRPr="00185BC0">
        <w:rPr>
          <w:sz w:val="28"/>
          <w:szCs w:val="28"/>
        </w:rPr>
        <w:t xml:space="preserve"> у 16,7% (n = 5). </w:t>
      </w:r>
      <w:r w:rsidRPr="00185BC0">
        <w:rPr>
          <w:sz w:val="28"/>
          <w:szCs w:val="28"/>
          <w:lang w:val="kk-KZ"/>
        </w:rPr>
        <w:t>При наличии двустороннего поражения хирургическое вмешательство осуществлялось на стороне с более выраженными клиническими проявлениями.</w:t>
      </w:r>
    </w:p>
    <w:p w14:paraId="24A4CE61" w14:textId="77777777" w:rsidR="00153523" w:rsidRPr="00185BC0" w:rsidRDefault="00153523" w:rsidP="00153523">
      <w:pPr>
        <w:ind w:firstLine="720"/>
        <w:jc w:val="both"/>
        <w:rPr>
          <w:sz w:val="28"/>
          <w:szCs w:val="28"/>
        </w:rPr>
      </w:pPr>
      <w:r w:rsidRPr="00185BC0">
        <w:rPr>
          <w:sz w:val="28"/>
          <w:szCs w:val="28"/>
        </w:rPr>
        <w:t>Статистически значимых различий между группами по данному показателю не выявлено (p = 0,445), что подтверждает их исходную сопоставимость по характеру поражения.</w:t>
      </w:r>
    </w:p>
    <w:p w14:paraId="618E182F" w14:textId="4351049B" w:rsidR="00153523" w:rsidRPr="00185BC0" w:rsidRDefault="00153523" w:rsidP="00153523">
      <w:pPr>
        <w:ind w:firstLine="720"/>
        <w:jc w:val="both"/>
        <w:rPr>
          <w:sz w:val="28"/>
          <w:szCs w:val="28"/>
          <w:lang w:val="kk-KZ"/>
        </w:rPr>
      </w:pPr>
      <w:r w:rsidRPr="00185BC0">
        <w:rPr>
          <w:sz w:val="28"/>
          <w:szCs w:val="28"/>
          <w:lang w:val="kk-KZ"/>
        </w:rPr>
        <w:t xml:space="preserve">Сравнительное распределение локализации дисплазии между группами представлено на рисунке </w:t>
      </w:r>
      <w:r w:rsidR="00654A28" w:rsidRPr="00185BC0">
        <w:rPr>
          <w:sz w:val="28"/>
          <w:szCs w:val="28"/>
          <w:lang w:val="kk-KZ"/>
        </w:rPr>
        <w:t>30</w:t>
      </w:r>
      <w:r w:rsidRPr="00185BC0">
        <w:rPr>
          <w:sz w:val="28"/>
          <w:szCs w:val="28"/>
          <w:lang w:val="kk-KZ"/>
        </w:rPr>
        <w:t>.</w:t>
      </w:r>
    </w:p>
    <w:p w14:paraId="23429EB7" w14:textId="77777777" w:rsidR="00153523" w:rsidRPr="00185BC0" w:rsidRDefault="00153523" w:rsidP="00153523">
      <w:pPr>
        <w:ind w:firstLine="720"/>
        <w:jc w:val="both"/>
        <w:rPr>
          <w:sz w:val="28"/>
          <w:szCs w:val="28"/>
          <w:lang w:val="kk-KZ"/>
        </w:rPr>
      </w:pPr>
    </w:p>
    <w:p w14:paraId="4DCF8B93" w14:textId="77777777" w:rsidR="00153523" w:rsidRPr="00185BC0" w:rsidRDefault="00153523" w:rsidP="00153523">
      <w:pPr>
        <w:ind w:hanging="142"/>
        <w:jc w:val="center"/>
        <w:rPr>
          <w:sz w:val="28"/>
          <w:szCs w:val="28"/>
          <w:lang w:val="en-US"/>
        </w:rPr>
      </w:pPr>
      <w:r w:rsidRPr="00185BC0">
        <w:rPr>
          <w:noProof/>
          <w:sz w:val="28"/>
          <w:szCs w:val="28"/>
          <w:lang w:val="kk-KZ"/>
        </w:rPr>
        <w:drawing>
          <wp:inline distT="0" distB="0" distL="0" distR="0" wp14:anchorId="34D29F05" wp14:editId="3C5891D4">
            <wp:extent cx="3887707" cy="2217761"/>
            <wp:effectExtent l="0" t="0" r="17780" b="1143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E2A6FFA" w14:textId="77777777" w:rsidR="00153523" w:rsidRPr="00185BC0" w:rsidRDefault="00153523" w:rsidP="00153523">
      <w:pPr>
        <w:ind w:hanging="142"/>
        <w:jc w:val="center"/>
        <w:rPr>
          <w:sz w:val="28"/>
          <w:szCs w:val="28"/>
          <w:lang w:val="en-US"/>
        </w:rPr>
      </w:pPr>
    </w:p>
    <w:p w14:paraId="2D16A10A" w14:textId="66A51F71" w:rsidR="00153523" w:rsidRPr="00185BC0" w:rsidRDefault="00153523" w:rsidP="00EF5D1F">
      <w:pPr>
        <w:ind w:firstLine="720"/>
        <w:jc w:val="center"/>
        <w:rPr>
          <w:sz w:val="28"/>
          <w:szCs w:val="28"/>
          <w:lang w:val="kk-KZ"/>
        </w:rPr>
      </w:pPr>
      <w:r w:rsidRPr="00185BC0">
        <w:rPr>
          <w:sz w:val="28"/>
          <w:szCs w:val="28"/>
          <w:lang w:val="kk-KZ"/>
        </w:rPr>
        <w:t xml:space="preserve">Рисунок </w:t>
      </w:r>
      <w:r w:rsidR="00654A28" w:rsidRPr="00185BC0">
        <w:rPr>
          <w:sz w:val="28"/>
          <w:szCs w:val="28"/>
          <w:lang w:val="kk-KZ"/>
        </w:rPr>
        <w:t>30</w:t>
      </w:r>
      <w:r w:rsidR="00EF5D1F" w:rsidRPr="00185BC0">
        <w:rPr>
          <w:sz w:val="28"/>
          <w:szCs w:val="28"/>
          <w:lang w:val="kk-KZ"/>
        </w:rPr>
        <w:t xml:space="preserve"> –</w:t>
      </w:r>
      <w:r w:rsidR="00EF5D1F" w:rsidRPr="00185BC0">
        <w:rPr>
          <w:b/>
          <w:bCs/>
          <w:sz w:val="28"/>
          <w:szCs w:val="28"/>
        </w:rPr>
        <w:t xml:space="preserve"> </w:t>
      </w:r>
      <w:r w:rsidRPr="00185BC0">
        <w:rPr>
          <w:sz w:val="28"/>
          <w:szCs w:val="28"/>
          <w:lang w:val="kk-KZ"/>
        </w:rPr>
        <w:t>Распределение пациентов по локализации дисплазии тазобедренного сустава в основной и контрольной группах</w:t>
      </w:r>
    </w:p>
    <w:p w14:paraId="582CC097" w14:textId="77777777" w:rsidR="00153523" w:rsidRPr="00185BC0" w:rsidRDefault="00153523" w:rsidP="00EF5D1F">
      <w:pPr>
        <w:ind w:firstLine="720"/>
        <w:jc w:val="center"/>
        <w:rPr>
          <w:sz w:val="28"/>
          <w:szCs w:val="28"/>
          <w:lang w:val="kk-KZ"/>
        </w:rPr>
      </w:pPr>
    </w:p>
    <w:p w14:paraId="47E55764" w14:textId="77777777" w:rsidR="00153523" w:rsidRPr="00185BC0" w:rsidRDefault="00153523" w:rsidP="00153523">
      <w:pPr>
        <w:ind w:firstLine="720"/>
        <w:jc w:val="both"/>
        <w:rPr>
          <w:sz w:val="28"/>
          <w:szCs w:val="28"/>
        </w:rPr>
      </w:pPr>
      <w:proofErr w:type="spellStart"/>
      <w:r w:rsidRPr="00185BC0">
        <w:rPr>
          <w:sz w:val="28"/>
          <w:szCs w:val="28"/>
        </w:rPr>
        <w:t>Физикальное</w:t>
      </w:r>
      <w:proofErr w:type="spellEnd"/>
      <w:r w:rsidRPr="00185BC0">
        <w:rPr>
          <w:sz w:val="28"/>
          <w:szCs w:val="28"/>
        </w:rPr>
        <w:t xml:space="preserve"> обследование проводилось в соответствии с едиными стандартами, утверждёнными в национальном клиническом протоколе. При осмотре в положении стоя у пациентов обращали внимание на укорочение поражённой нижней конечности, компенсаторный наклон туловища, деформации позвоночного столба и характер походки.</w:t>
      </w:r>
    </w:p>
    <w:p w14:paraId="44567ECE" w14:textId="0721C7D0" w:rsidR="00153523" w:rsidRPr="00185BC0" w:rsidRDefault="00153523" w:rsidP="00153523">
      <w:pPr>
        <w:ind w:firstLine="720"/>
        <w:jc w:val="both"/>
        <w:rPr>
          <w:sz w:val="28"/>
          <w:szCs w:val="28"/>
        </w:rPr>
      </w:pPr>
      <w:r w:rsidRPr="00185BC0">
        <w:rPr>
          <w:sz w:val="28"/>
          <w:szCs w:val="28"/>
        </w:rPr>
        <w:lastRenderedPageBreak/>
        <w:t xml:space="preserve">У большинства пациентов наблюдалась характерная для диспластического коксартроза IV типа по классификации </w:t>
      </w:r>
      <w:proofErr w:type="spellStart"/>
      <w:r w:rsidRPr="00185BC0">
        <w:rPr>
          <w:sz w:val="28"/>
          <w:szCs w:val="28"/>
        </w:rPr>
        <w:t>Crowe</w:t>
      </w:r>
      <w:proofErr w:type="spellEnd"/>
      <w:r w:rsidRPr="00185BC0">
        <w:rPr>
          <w:sz w:val="28"/>
          <w:szCs w:val="28"/>
        </w:rPr>
        <w:t xml:space="preserve"> клиническая картина: нарушение оси нижних конечностей, асимметрия ягодичных складок и компенсаторные деформации позвоночника. В ряде случаев выявлялся компенсаторный сколиоз в поясничном отделе, у части пациентов </w:t>
      </w:r>
      <w:r w:rsidR="00DA5A93" w:rsidRPr="00185BC0">
        <w:rPr>
          <w:sz w:val="28"/>
          <w:szCs w:val="28"/>
        </w:rPr>
        <w:t>–</w:t>
      </w:r>
      <w:r w:rsidRPr="00185BC0">
        <w:rPr>
          <w:sz w:val="28"/>
          <w:szCs w:val="28"/>
        </w:rPr>
        <w:t xml:space="preserve"> выраженный </w:t>
      </w:r>
      <w:proofErr w:type="spellStart"/>
      <w:r w:rsidRPr="00185BC0">
        <w:rPr>
          <w:sz w:val="28"/>
          <w:szCs w:val="28"/>
        </w:rPr>
        <w:t>гиперлордоз</w:t>
      </w:r>
      <w:proofErr w:type="spellEnd"/>
      <w:r w:rsidRPr="00185BC0">
        <w:rPr>
          <w:sz w:val="28"/>
          <w:szCs w:val="28"/>
        </w:rPr>
        <w:t>, а в отдельных случаях их сочетание, что отражало степень биомеханических нарушений</w:t>
      </w:r>
      <w:r w:rsidRPr="00185BC0">
        <w:rPr>
          <w:sz w:val="28"/>
          <w:szCs w:val="28"/>
          <w:lang w:val="kk-KZ"/>
        </w:rPr>
        <w:t xml:space="preserve"> рисунок </w:t>
      </w:r>
      <w:r w:rsidR="004F2E0D" w:rsidRPr="00185BC0">
        <w:rPr>
          <w:sz w:val="28"/>
          <w:szCs w:val="28"/>
          <w:lang w:val="kk-KZ"/>
        </w:rPr>
        <w:t>3</w:t>
      </w:r>
      <w:r w:rsidR="00654A28" w:rsidRPr="00185BC0">
        <w:rPr>
          <w:sz w:val="28"/>
          <w:szCs w:val="28"/>
          <w:lang w:val="kk-KZ"/>
        </w:rPr>
        <w:t>1</w:t>
      </w:r>
      <w:r w:rsidRPr="00185BC0">
        <w:rPr>
          <w:sz w:val="28"/>
          <w:szCs w:val="28"/>
        </w:rPr>
        <w:t>.</w:t>
      </w:r>
    </w:p>
    <w:p w14:paraId="2BA81D1D" w14:textId="77777777" w:rsidR="00153523" w:rsidRPr="00185BC0" w:rsidRDefault="00153523" w:rsidP="00153523">
      <w:pPr>
        <w:ind w:firstLine="720"/>
        <w:jc w:val="both"/>
        <w:rPr>
          <w:sz w:val="28"/>
          <w:szCs w:val="28"/>
        </w:rPr>
      </w:pPr>
    </w:p>
    <w:p w14:paraId="6B719E86" w14:textId="77777777" w:rsidR="00153523" w:rsidRPr="00185BC0" w:rsidRDefault="00153523" w:rsidP="006A73B6">
      <w:pPr>
        <w:ind w:firstLine="142"/>
        <w:jc w:val="center"/>
        <w:rPr>
          <w:sz w:val="28"/>
          <w:szCs w:val="28"/>
        </w:rPr>
      </w:pPr>
      <w:r w:rsidRPr="00185BC0">
        <w:rPr>
          <w:noProof/>
          <w:sz w:val="28"/>
          <w:szCs w:val="28"/>
        </w:rPr>
        <w:drawing>
          <wp:inline distT="0" distB="0" distL="0" distR="0" wp14:anchorId="0C0D3C09" wp14:editId="78CEDCCE">
            <wp:extent cx="5496872" cy="2507819"/>
            <wp:effectExtent l="0" t="0" r="8890" b="698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09932" cy="2513777"/>
                    </a:xfrm>
                    <a:prstGeom prst="rect">
                      <a:avLst/>
                    </a:prstGeom>
                  </pic:spPr>
                </pic:pic>
              </a:graphicData>
            </a:graphic>
          </wp:inline>
        </w:drawing>
      </w:r>
    </w:p>
    <w:p w14:paraId="00DB7557" w14:textId="78629AB0" w:rsidR="00153523" w:rsidRPr="00185BC0" w:rsidRDefault="00153523" w:rsidP="00EF5D1F">
      <w:pPr>
        <w:ind w:firstLine="720"/>
        <w:jc w:val="center"/>
        <w:rPr>
          <w:sz w:val="28"/>
          <w:szCs w:val="28"/>
        </w:rPr>
      </w:pPr>
      <w:r w:rsidRPr="00185BC0">
        <w:rPr>
          <w:sz w:val="28"/>
          <w:szCs w:val="28"/>
        </w:rPr>
        <w:t xml:space="preserve">Рисунок </w:t>
      </w:r>
      <w:r w:rsidR="004F2E0D" w:rsidRPr="00185BC0">
        <w:rPr>
          <w:sz w:val="28"/>
          <w:szCs w:val="28"/>
          <w:lang w:val="kk-KZ"/>
        </w:rPr>
        <w:t>3</w:t>
      </w:r>
      <w:r w:rsidR="00654A28" w:rsidRPr="00185BC0">
        <w:rPr>
          <w:sz w:val="28"/>
          <w:szCs w:val="28"/>
          <w:lang w:val="kk-KZ"/>
        </w:rPr>
        <w:t>1</w:t>
      </w:r>
      <w:r w:rsidR="00EF5D1F" w:rsidRPr="00185BC0">
        <w:rPr>
          <w:sz w:val="28"/>
          <w:szCs w:val="28"/>
          <w:lang w:val="kk-KZ"/>
        </w:rPr>
        <w:t xml:space="preserve"> –</w:t>
      </w:r>
      <w:r w:rsidRPr="00185BC0">
        <w:rPr>
          <w:sz w:val="28"/>
          <w:szCs w:val="28"/>
        </w:rPr>
        <w:t xml:space="preserve"> </w:t>
      </w:r>
      <w:proofErr w:type="spellStart"/>
      <w:r w:rsidRPr="00185BC0">
        <w:rPr>
          <w:sz w:val="28"/>
          <w:szCs w:val="28"/>
        </w:rPr>
        <w:t>Физикальное</w:t>
      </w:r>
      <w:proofErr w:type="spellEnd"/>
      <w:r w:rsidRPr="00185BC0">
        <w:rPr>
          <w:sz w:val="28"/>
          <w:szCs w:val="28"/>
        </w:rPr>
        <w:t xml:space="preserve"> обследование пациента в дооперационном периоде</w:t>
      </w:r>
    </w:p>
    <w:p w14:paraId="6DB305DE" w14:textId="77777777" w:rsidR="00265E1D" w:rsidRPr="00185BC0" w:rsidRDefault="00265E1D" w:rsidP="00EF5D1F">
      <w:pPr>
        <w:ind w:firstLine="720"/>
        <w:jc w:val="center"/>
        <w:rPr>
          <w:sz w:val="28"/>
          <w:szCs w:val="28"/>
        </w:rPr>
      </w:pPr>
    </w:p>
    <w:p w14:paraId="22E1FC6B" w14:textId="77777777" w:rsidR="004F2E0D" w:rsidRPr="00185BC0" w:rsidRDefault="004F2E0D" w:rsidP="004F2E0D">
      <w:pPr>
        <w:ind w:firstLine="720"/>
        <w:jc w:val="both"/>
        <w:rPr>
          <w:sz w:val="28"/>
          <w:szCs w:val="28"/>
        </w:rPr>
      </w:pPr>
      <w:r w:rsidRPr="00185BC0">
        <w:rPr>
          <w:sz w:val="28"/>
          <w:szCs w:val="28"/>
        </w:rPr>
        <w:t xml:space="preserve">При оценке походки у значительной части пациентов фиксировалась «утиная походка», а также положительный симптом </w:t>
      </w:r>
      <w:proofErr w:type="spellStart"/>
      <w:r w:rsidRPr="00185BC0">
        <w:rPr>
          <w:sz w:val="28"/>
          <w:szCs w:val="28"/>
        </w:rPr>
        <w:t>Тренделенбурга</w:t>
      </w:r>
      <w:proofErr w:type="spellEnd"/>
      <w:r w:rsidRPr="00185BC0">
        <w:rPr>
          <w:sz w:val="28"/>
          <w:szCs w:val="28"/>
        </w:rPr>
        <w:t>, обусловленные слабостью и гипотрофией ягодичных мышц на стороне поражения. Дополнительно у части больных отмечалась гипотрофия мышц бедра и голени, усугубляющая функциональные нарушения.</w:t>
      </w:r>
    </w:p>
    <w:p w14:paraId="529D5F20" w14:textId="77777777" w:rsidR="004F2E0D" w:rsidRPr="00185BC0" w:rsidRDefault="004F2E0D" w:rsidP="004F2E0D">
      <w:pPr>
        <w:ind w:firstLine="720"/>
        <w:jc w:val="both"/>
        <w:rPr>
          <w:sz w:val="28"/>
          <w:szCs w:val="28"/>
        </w:rPr>
      </w:pPr>
      <w:r w:rsidRPr="00185BC0">
        <w:rPr>
          <w:sz w:val="28"/>
          <w:szCs w:val="28"/>
        </w:rPr>
        <w:t>В ряде наблюдений выявлялись признаки недоразвития голени, а также сопутствующие проявления дисплазии смежных суставов: коленных – с элементами нестабильности и деформации суставной щели, и в отдельных случаях – голеностопных суставов, что снижало опороспособность конечности.</w:t>
      </w:r>
    </w:p>
    <w:p w14:paraId="7A5728B0" w14:textId="70092AD7" w:rsidR="004F2E0D" w:rsidRPr="00185BC0" w:rsidRDefault="004F2E0D" w:rsidP="004F2E0D">
      <w:pPr>
        <w:ind w:firstLine="720"/>
        <w:jc w:val="both"/>
        <w:rPr>
          <w:sz w:val="28"/>
          <w:szCs w:val="28"/>
        </w:rPr>
      </w:pPr>
      <w:r w:rsidRPr="00185BC0">
        <w:rPr>
          <w:sz w:val="28"/>
          <w:szCs w:val="28"/>
        </w:rPr>
        <w:t>Медианное значение анатомического укорочения конечности составило 4,0 см [2,25–4,38] в основной группе и 4,0 см [3,0–4,88] в контрольной (p = 0,611),</w:t>
      </w:r>
      <w:r w:rsidR="00265E1D" w:rsidRPr="00185BC0">
        <w:rPr>
          <w:sz w:val="28"/>
          <w:szCs w:val="28"/>
          <w:lang w:val="kk-KZ"/>
        </w:rPr>
        <w:t xml:space="preserve"> при этом</w:t>
      </w:r>
      <w:r w:rsidRPr="00185BC0">
        <w:rPr>
          <w:sz w:val="28"/>
          <w:szCs w:val="28"/>
        </w:rPr>
        <w:t xml:space="preserve"> статистически значимых различий между группами не выявлено.</w:t>
      </w:r>
    </w:p>
    <w:p w14:paraId="44272648" w14:textId="59EE28FC" w:rsidR="00153523" w:rsidRPr="00185BC0" w:rsidRDefault="00153523" w:rsidP="00153523">
      <w:pPr>
        <w:ind w:firstLine="720"/>
        <w:jc w:val="both"/>
        <w:rPr>
          <w:sz w:val="28"/>
          <w:szCs w:val="28"/>
          <w:lang w:val="kk-KZ"/>
        </w:rPr>
      </w:pPr>
      <w:r w:rsidRPr="00185BC0">
        <w:rPr>
          <w:sz w:val="28"/>
          <w:szCs w:val="28"/>
          <w:lang w:val="kk-KZ"/>
        </w:rPr>
        <w:t>Обследование движений в тазобедренном суставе выявило значительное ограничение активной и пассивной амплитуды: страдали сгибание, отведение, внутренняя и наружная ротация, во многих случаях фиксировались контрактуры. Общий объём движений в тазобедренном суставе был существенно снижен у всех пациентов.</w:t>
      </w:r>
    </w:p>
    <w:p w14:paraId="2CF47871" w14:textId="465803E3" w:rsidR="00153523" w:rsidRPr="00185BC0" w:rsidRDefault="00153523" w:rsidP="00153523">
      <w:pPr>
        <w:ind w:firstLine="720"/>
        <w:jc w:val="both"/>
        <w:rPr>
          <w:sz w:val="28"/>
          <w:szCs w:val="28"/>
          <w:lang w:val="kk-KZ"/>
        </w:rPr>
      </w:pPr>
      <w:r w:rsidRPr="00185BC0">
        <w:rPr>
          <w:sz w:val="28"/>
          <w:szCs w:val="28"/>
          <w:lang w:val="kk-KZ"/>
        </w:rPr>
        <w:t xml:space="preserve">Таким образом, физикальное обследование выявило типичный комплекс клинических проявлений тяжёлого диспластического коксартроза IV типа, включающий укорочение конечности, нарушения походки, компенсаторные деформации позвоночника, гипотрофию мышц и вовлечение смежных суставов. </w:t>
      </w:r>
      <w:r w:rsidRPr="00185BC0">
        <w:rPr>
          <w:sz w:val="28"/>
          <w:szCs w:val="28"/>
          <w:lang w:val="kk-KZ"/>
        </w:rPr>
        <w:lastRenderedPageBreak/>
        <w:t>Эти данные обеспечили надёжную основу для объективного анализа эффективности различных методов фиксации остеотомии.</w:t>
      </w:r>
    </w:p>
    <w:p w14:paraId="399A021E" w14:textId="77777777" w:rsidR="006549E4" w:rsidRPr="00185BC0" w:rsidRDefault="006549E4" w:rsidP="00153523">
      <w:pPr>
        <w:ind w:firstLine="720"/>
        <w:jc w:val="both"/>
        <w:rPr>
          <w:sz w:val="28"/>
          <w:szCs w:val="28"/>
          <w:lang w:val="kk-KZ"/>
        </w:rPr>
      </w:pPr>
    </w:p>
    <w:p w14:paraId="7FF62708" w14:textId="267CA1C2" w:rsidR="00BB1D05" w:rsidRPr="00185BC0" w:rsidRDefault="00F41D6B" w:rsidP="00F41D6B">
      <w:pPr>
        <w:pStyle w:val="1"/>
        <w:ind w:left="0" w:firstLine="567"/>
        <w:rPr>
          <w:lang w:val="kk-KZ"/>
        </w:rPr>
      </w:pPr>
      <w:bookmarkStart w:id="40" w:name="_Toc217561941"/>
      <w:r w:rsidRPr="00185BC0">
        <w:rPr>
          <w:lang w:val="kk-KZ"/>
        </w:rPr>
        <w:t xml:space="preserve">3.4 </w:t>
      </w:r>
      <w:r w:rsidR="00AA4760" w:rsidRPr="00185BC0">
        <w:t>Предоперационные результаты лучевых методов исследования, использованные для планирования укорачивающей остеотомии</w:t>
      </w:r>
      <w:bookmarkEnd w:id="40"/>
    </w:p>
    <w:p w14:paraId="749A8B6F" w14:textId="77777777" w:rsidR="00F41D6B" w:rsidRPr="00185BC0" w:rsidRDefault="00F41D6B" w:rsidP="00F41D6B">
      <w:pPr>
        <w:ind w:left="709"/>
        <w:jc w:val="both"/>
        <w:rPr>
          <w:i/>
          <w:iCs/>
          <w:sz w:val="28"/>
          <w:szCs w:val="28"/>
          <w:lang w:val="kk-KZ"/>
        </w:rPr>
      </w:pPr>
    </w:p>
    <w:p w14:paraId="6B9DCCD8" w14:textId="64C85610" w:rsidR="00F41D6B" w:rsidRPr="00185BC0" w:rsidRDefault="00F41D6B" w:rsidP="00F41D6B">
      <w:pPr>
        <w:ind w:left="709"/>
        <w:jc w:val="both"/>
        <w:rPr>
          <w:i/>
          <w:iCs/>
          <w:sz w:val="28"/>
          <w:szCs w:val="28"/>
          <w:lang w:val="kk-KZ"/>
        </w:rPr>
      </w:pPr>
      <w:r w:rsidRPr="00185BC0">
        <w:rPr>
          <w:i/>
          <w:iCs/>
          <w:sz w:val="28"/>
          <w:szCs w:val="28"/>
          <w:lang w:val="kk-KZ"/>
        </w:rPr>
        <w:t>Результаты рентгенографического исследования</w:t>
      </w:r>
    </w:p>
    <w:p w14:paraId="68959020" w14:textId="77777777" w:rsidR="00F41D6B" w:rsidRPr="00185BC0" w:rsidRDefault="00F41D6B" w:rsidP="00F41D6B">
      <w:pPr>
        <w:ind w:firstLine="709"/>
        <w:jc w:val="both"/>
        <w:rPr>
          <w:sz w:val="28"/>
          <w:szCs w:val="28"/>
          <w:lang w:val="kk-KZ"/>
        </w:rPr>
      </w:pPr>
      <w:r w:rsidRPr="00185BC0">
        <w:rPr>
          <w:sz w:val="28"/>
          <w:szCs w:val="28"/>
          <w:lang w:val="kk-KZ"/>
        </w:rPr>
        <w:t>По данным обзорной рентгенографии таза у всех пациентов с диспластическим коксартрозом IV типа по Crowe определялось выраженное краниальное смещение головок бедренных костей относительно истинных вертлужных впадин. В большинстве случаев головки располагались значительно выше анатомического уровня, что сопровождалось формированием ложных суставов (неоартрозов) в области крыла подвздошной кости.</w:t>
      </w:r>
    </w:p>
    <w:p w14:paraId="4CC6FC95" w14:textId="3229091C" w:rsidR="00F41D6B" w:rsidRPr="00185BC0" w:rsidRDefault="00F41D6B" w:rsidP="00F41D6B">
      <w:pPr>
        <w:ind w:firstLine="709"/>
        <w:jc w:val="both"/>
        <w:rPr>
          <w:sz w:val="28"/>
          <w:szCs w:val="28"/>
          <w:lang w:val="kk-KZ"/>
        </w:rPr>
      </w:pPr>
      <w:r w:rsidRPr="00185BC0">
        <w:rPr>
          <w:sz w:val="28"/>
          <w:szCs w:val="28"/>
          <w:lang w:val="kk-KZ"/>
        </w:rPr>
        <w:t>Истинные вертлужные впадины отличались гипоплазией</w:t>
      </w:r>
      <w:r w:rsidR="00265E1D" w:rsidRPr="00185BC0">
        <w:rPr>
          <w:sz w:val="28"/>
          <w:szCs w:val="28"/>
          <w:lang w:val="kk-KZ"/>
        </w:rPr>
        <w:t xml:space="preserve"> и</w:t>
      </w:r>
      <w:r w:rsidRPr="00185BC0">
        <w:rPr>
          <w:sz w:val="28"/>
          <w:szCs w:val="28"/>
          <w:lang w:val="kk-KZ"/>
        </w:rPr>
        <w:t xml:space="preserve"> наблюдалось их уплощение, снижение глубины и наклонённость крыши, что приводило к недостаточному латеральному покрытию головки бедра. У ряда пациентов выявлялись признаки хронической перегрузки и дегенеративных изменений</w:t>
      </w:r>
      <w:r w:rsidR="00265E1D" w:rsidRPr="00185BC0">
        <w:rPr>
          <w:sz w:val="28"/>
          <w:szCs w:val="28"/>
          <w:lang w:val="kk-KZ"/>
        </w:rPr>
        <w:t xml:space="preserve"> такие, как </w:t>
      </w:r>
      <w:r w:rsidRPr="00185BC0">
        <w:rPr>
          <w:sz w:val="28"/>
          <w:szCs w:val="28"/>
          <w:lang w:val="kk-KZ"/>
        </w:rPr>
        <w:t>субхондральный склероз крыши впадины, краевые остеофиты и кистозная перестройка костной ткани.</w:t>
      </w:r>
    </w:p>
    <w:p w14:paraId="08D4BB9F" w14:textId="7F60551D" w:rsidR="00F41D6B" w:rsidRPr="00185BC0" w:rsidRDefault="00F41D6B" w:rsidP="00F41D6B">
      <w:pPr>
        <w:ind w:firstLine="709"/>
        <w:jc w:val="both"/>
        <w:rPr>
          <w:sz w:val="28"/>
          <w:szCs w:val="28"/>
          <w:lang w:val="kk-KZ"/>
        </w:rPr>
      </w:pPr>
      <w:r w:rsidRPr="00185BC0">
        <w:rPr>
          <w:sz w:val="28"/>
          <w:szCs w:val="28"/>
          <w:lang w:val="kk-KZ"/>
        </w:rPr>
        <w:t xml:space="preserve">Количественный анализ рентгенограмм подтвердил значительные величины краниального смещения головок бедренных костей (рисунок </w:t>
      </w:r>
      <w:r w:rsidR="004F2E0D" w:rsidRPr="00185BC0">
        <w:rPr>
          <w:sz w:val="28"/>
          <w:szCs w:val="28"/>
          <w:lang w:val="kk-KZ"/>
        </w:rPr>
        <w:t>3</w:t>
      </w:r>
      <w:r w:rsidR="00654A28" w:rsidRPr="00185BC0">
        <w:rPr>
          <w:sz w:val="28"/>
          <w:szCs w:val="28"/>
          <w:lang w:val="kk-KZ"/>
        </w:rPr>
        <w:t>2</w:t>
      </w:r>
      <w:r w:rsidRPr="00185BC0">
        <w:rPr>
          <w:sz w:val="28"/>
          <w:szCs w:val="28"/>
          <w:lang w:val="kk-KZ"/>
        </w:rPr>
        <w:t xml:space="preserve">). </w:t>
      </w:r>
    </w:p>
    <w:p w14:paraId="1A577C74" w14:textId="77777777" w:rsidR="006A73B6" w:rsidRPr="00185BC0" w:rsidRDefault="006A73B6" w:rsidP="00F41D6B">
      <w:pPr>
        <w:ind w:firstLine="709"/>
        <w:jc w:val="both"/>
        <w:rPr>
          <w:sz w:val="28"/>
          <w:szCs w:val="28"/>
          <w:lang w:val="kk-KZ"/>
        </w:rPr>
      </w:pPr>
    </w:p>
    <w:p w14:paraId="643BC22F" w14:textId="77777777" w:rsidR="00F41D6B" w:rsidRPr="00185BC0" w:rsidRDefault="00F41D6B" w:rsidP="00F41D6B">
      <w:pPr>
        <w:jc w:val="center"/>
        <w:rPr>
          <w:sz w:val="28"/>
          <w:szCs w:val="28"/>
        </w:rPr>
      </w:pPr>
      <w:r w:rsidRPr="00185BC0">
        <w:rPr>
          <w:noProof/>
          <w:sz w:val="28"/>
          <w:szCs w:val="28"/>
        </w:rPr>
        <w:drawing>
          <wp:inline distT="0" distB="0" distL="0" distR="0" wp14:anchorId="022325AF" wp14:editId="29556033">
            <wp:extent cx="3423119" cy="2656936"/>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42483" cy="2671966"/>
                    </a:xfrm>
                    <a:prstGeom prst="rect">
                      <a:avLst/>
                    </a:prstGeom>
                    <a:noFill/>
                  </pic:spPr>
                </pic:pic>
              </a:graphicData>
            </a:graphic>
          </wp:inline>
        </w:drawing>
      </w:r>
    </w:p>
    <w:p w14:paraId="639581E7" w14:textId="77777777" w:rsidR="00F41D6B" w:rsidRPr="00185BC0" w:rsidRDefault="00F41D6B" w:rsidP="00F41D6B">
      <w:pPr>
        <w:jc w:val="both"/>
        <w:rPr>
          <w:sz w:val="28"/>
          <w:szCs w:val="28"/>
        </w:rPr>
      </w:pPr>
    </w:p>
    <w:p w14:paraId="79A56C48" w14:textId="0CFE7B09" w:rsidR="00F41D6B" w:rsidRPr="00185BC0" w:rsidRDefault="00F41D6B" w:rsidP="00EF5D1F">
      <w:pPr>
        <w:ind w:firstLine="709"/>
        <w:jc w:val="center"/>
        <w:rPr>
          <w:sz w:val="28"/>
          <w:szCs w:val="28"/>
        </w:rPr>
      </w:pPr>
      <w:r w:rsidRPr="00185BC0">
        <w:rPr>
          <w:sz w:val="28"/>
          <w:szCs w:val="28"/>
        </w:rPr>
        <w:t xml:space="preserve">Рисунок </w:t>
      </w:r>
      <w:r w:rsidR="004F2E0D" w:rsidRPr="00185BC0">
        <w:rPr>
          <w:sz w:val="28"/>
          <w:szCs w:val="28"/>
          <w:lang w:val="kk-KZ"/>
        </w:rPr>
        <w:t>3</w:t>
      </w:r>
      <w:r w:rsidR="00654A28" w:rsidRPr="00185BC0">
        <w:rPr>
          <w:sz w:val="28"/>
          <w:szCs w:val="28"/>
          <w:lang w:val="kk-KZ"/>
        </w:rPr>
        <w:t>2</w:t>
      </w:r>
      <w:r w:rsidR="00EF5D1F" w:rsidRPr="00185BC0">
        <w:rPr>
          <w:sz w:val="28"/>
          <w:szCs w:val="28"/>
          <w:lang w:val="kk-KZ"/>
        </w:rPr>
        <w:t>–</w:t>
      </w:r>
      <w:r w:rsidR="00EF5D1F" w:rsidRPr="00185BC0">
        <w:rPr>
          <w:b/>
          <w:bCs/>
          <w:sz w:val="28"/>
          <w:szCs w:val="28"/>
        </w:rPr>
        <w:t xml:space="preserve"> </w:t>
      </w:r>
      <w:r w:rsidRPr="00185BC0">
        <w:rPr>
          <w:sz w:val="28"/>
          <w:szCs w:val="28"/>
        </w:rPr>
        <w:t>Обзорная рентгенография тазобедренных суставов с измерением степени проксимального смещения бедренных головок</w:t>
      </w:r>
    </w:p>
    <w:p w14:paraId="608D7A40" w14:textId="77777777" w:rsidR="004F2E0D" w:rsidRPr="00185BC0" w:rsidRDefault="004F2E0D" w:rsidP="004F2E0D">
      <w:pPr>
        <w:ind w:firstLine="709"/>
        <w:jc w:val="both"/>
        <w:rPr>
          <w:sz w:val="28"/>
          <w:szCs w:val="28"/>
          <w:lang w:val="kk-KZ"/>
        </w:rPr>
      </w:pPr>
    </w:p>
    <w:p w14:paraId="5A37FF8A" w14:textId="2E97CE8E" w:rsidR="00F41D6B" w:rsidRPr="00185BC0" w:rsidRDefault="004F2E0D" w:rsidP="00F41D6B">
      <w:pPr>
        <w:ind w:firstLine="709"/>
        <w:jc w:val="both"/>
        <w:rPr>
          <w:sz w:val="28"/>
          <w:szCs w:val="28"/>
          <w:lang w:val="kk-KZ"/>
        </w:rPr>
      </w:pPr>
      <w:r w:rsidRPr="00185BC0">
        <w:rPr>
          <w:sz w:val="28"/>
          <w:szCs w:val="28"/>
          <w:lang w:val="kk-KZ"/>
        </w:rPr>
        <w:t>У пациентов с правосторонним поражением средняя высота смещения составила 7,25 ± 2,14 мм (от 3,3 до 9,79 мм), при левостороннем – 6,59 ± 1,93 мм (от 4,18 до 10,6 мм). У больных с двусторонним коксартрозом смещение головки бедра справа было в среднем 5,86 ± 2,30 мм (от 2,91 до 9,8 мм), слева – 6,6 ± 2,96 мм (от 2,1 до 11,03 мм) (таблица 7).</w:t>
      </w:r>
    </w:p>
    <w:p w14:paraId="37BCA16E" w14:textId="77777777" w:rsidR="006A73B6" w:rsidRPr="00185BC0" w:rsidRDefault="006A73B6" w:rsidP="00EF5D1F">
      <w:pPr>
        <w:jc w:val="both"/>
        <w:rPr>
          <w:b/>
          <w:bCs/>
          <w:sz w:val="28"/>
          <w:szCs w:val="28"/>
          <w:lang w:val="kk-KZ"/>
        </w:rPr>
      </w:pPr>
    </w:p>
    <w:p w14:paraId="7399DD74" w14:textId="77777777" w:rsidR="006A73B6" w:rsidRPr="00185BC0" w:rsidRDefault="006A73B6" w:rsidP="00EF5D1F">
      <w:pPr>
        <w:jc w:val="both"/>
        <w:rPr>
          <w:b/>
          <w:bCs/>
          <w:sz w:val="28"/>
          <w:szCs w:val="28"/>
          <w:lang w:val="kk-KZ"/>
        </w:rPr>
      </w:pPr>
    </w:p>
    <w:p w14:paraId="315334DD" w14:textId="4B585EF7" w:rsidR="00F41D6B" w:rsidRPr="00185BC0" w:rsidRDefault="00F41D6B" w:rsidP="00EF5D1F">
      <w:pPr>
        <w:jc w:val="both"/>
        <w:rPr>
          <w:b/>
          <w:bCs/>
          <w:sz w:val="28"/>
          <w:szCs w:val="28"/>
          <w:lang w:val="kk-KZ"/>
        </w:rPr>
      </w:pPr>
      <w:r w:rsidRPr="00185BC0">
        <w:rPr>
          <w:b/>
          <w:bCs/>
          <w:sz w:val="28"/>
          <w:szCs w:val="28"/>
          <w:lang w:val="kk-KZ"/>
        </w:rPr>
        <w:t>Таблица 7</w:t>
      </w:r>
      <w:r w:rsidR="00EF5D1F" w:rsidRPr="00185BC0">
        <w:rPr>
          <w:b/>
          <w:bCs/>
          <w:sz w:val="28"/>
          <w:szCs w:val="28"/>
          <w:lang w:val="kk-KZ"/>
        </w:rPr>
        <w:t xml:space="preserve"> –</w:t>
      </w:r>
      <w:r w:rsidR="00EF5D1F" w:rsidRPr="00185BC0">
        <w:rPr>
          <w:b/>
          <w:bCs/>
          <w:sz w:val="28"/>
          <w:szCs w:val="28"/>
        </w:rPr>
        <w:t xml:space="preserve"> </w:t>
      </w:r>
      <w:r w:rsidRPr="00185BC0">
        <w:rPr>
          <w:b/>
          <w:bCs/>
          <w:sz w:val="28"/>
          <w:szCs w:val="28"/>
          <w:lang w:val="kk-KZ"/>
        </w:rPr>
        <w:t xml:space="preserve"> Показатели высоты смещения головки бедра по подгруппам</w:t>
      </w:r>
    </w:p>
    <w:p w14:paraId="18400CCA" w14:textId="77777777" w:rsidR="006A73B6" w:rsidRPr="00185BC0" w:rsidRDefault="006A73B6" w:rsidP="00EF5D1F">
      <w:pPr>
        <w:jc w:val="both"/>
        <w:rPr>
          <w:b/>
          <w:bCs/>
          <w:sz w:val="28"/>
          <w:szCs w:val="28"/>
          <w:lang w:val="kk-KZ"/>
        </w:rPr>
      </w:pPr>
    </w:p>
    <w:tbl>
      <w:tblPr>
        <w:tblStyle w:val="14"/>
        <w:tblW w:w="9100" w:type="dxa"/>
        <w:jc w:val="center"/>
        <w:tblLook w:val="04A0" w:firstRow="1" w:lastRow="0" w:firstColumn="1" w:lastColumn="0" w:noHBand="0" w:noVBand="1"/>
      </w:tblPr>
      <w:tblGrid>
        <w:gridCol w:w="2122"/>
        <w:gridCol w:w="2976"/>
        <w:gridCol w:w="709"/>
        <w:gridCol w:w="1559"/>
        <w:gridCol w:w="1734"/>
      </w:tblGrid>
      <w:tr w:rsidR="00F41D6B" w:rsidRPr="00185BC0" w14:paraId="45EC9F1A" w14:textId="77777777" w:rsidTr="00331E2B">
        <w:trPr>
          <w:trHeight w:val="491"/>
          <w:jc w:val="center"/>
        </w:trPr>
        <w:tc>
          <w:tcPr>
            <w:tcW w:w="5098" w:type="dxa"/>
            <w:gridSpan w:val="2"/>
            <w:hideMark/>
          </w:tcPr>
          <w:p w14:paraId="3FF0B8F2" w14:textId="77777777" w:rsidR="00F41D6B" w:rsidRPr="00185BC0" w:rsidRDefault="00F41D6B" w:rsidP="00F41D6B">
            <w:pPr>
              <w:widowControl/>
              <w:autoSpaceDE/>
              <w:autoSpaceDN/>
              <w:rPr>
                <w:b/>
                <w:bCs/>
                <w:sz w:val="20"/>
                <w:szCs w:val="20"/>
              </w:rPr>
            </w:pPr>
            <w:r w:rsidRPr="00185BC0">
              <w:rPr>
                <w:b/>
                <w:bCs/>
                <w:sz w:val="20"/>
                <w:szCs w:val="20"/>
              </w:rPr>
              <w:t>Группа пациентов</w:t>
            </w:r>
          </w:p>
        </w:tc>
        <w:tc>
          <w:tcPr>
            <w:tcW w:w="709" w:type="dxa"/>
            <w:hideMark/>
          </w:tcPr>
          <w:p w14:paraId="10F3F53B" w14:textId="77777777" w:rsidR="00F41D6B" w:rsidRPr="00185BC0" w:rsidRDefault="00F41D6B" w:rsidP="00F41D6B">
            <w:pPr>
              <w:widowControl/>
              <w:autoSpaceDE/>
              <w:autoSpaceDN/>
              <w:jc w:val="center"/>
              <w:rPr>
                <w:b/>
                <w:bCs/>
                <w:sz w:val="20"/>
                <w:szCs w:val="20"/>
              </w:rPr>
            </w:pPr>
            <w:r w:rsidRPr="00185BC0">
              <w:rPr>
                <w:b/>
                <w:bCs/>
                <w:sz w:val="20"/>
                <w:szCs w:val="20"/>
              </w:rPr>
              <w:t>n</w:t>
            </w:r>
          </w:p>
        </w:tc>
        <w:tc>
          <w:tcPr>
            <w:tcW w:w="1559" w:type="dxa"/>
            <w:hideMark/>
          </w:tcPr>
          <w:p w14:paraId="7A139FB0" w14:textId="77777777" w:rsidR="00F41D6B" w:rsidRPr="00185BC0" w:rsidRDefault="00F41D6B" w:rsidP="00F41D6B">
            <w:pPr>
              <w:widowControl/>
              <w:autoSpaceDE/>
              <w:autoSpaceDN/>
              <w:jc w:val="center"/>
              <w:rPr>
                <w:b/>
                <w:bCs/>
                <w:sz w:val="20"/>
                <w:szCs w:val="20"/>
              </w:rPr>
            </w:pPr>
            <w:r w:rsidRPr="00185BC0">
              <w:rPr>
                <w:b/>
                <w:bCs/>
                <w:sz w:val="20"/>
                <w:szCs w:val="20"/>
              </w:rPr>
              <w:t>Среднее ± SD (мм)</w:t>
            </w:r>
          </w:p>
        </w:tc>
        <w:tc>
          <w:tcPr>
            <w:tcW w:w="1734" w:type="dxa"/>
            <w:hideMark/>
          </w:tcPr>
          <w:p w14:paraId="5DE2192C" w14:textId="77777777" w:rsidR="00F41D6B" w:rsidRPr="00185BC0" w:rsidRDefault="00F41D6B" w:rsidP="00F41D6B">
            <w:pPr>
              <w:widowControl/>
              <w:autoSpaceDE/>
              <w:autoSpaceDN/>
              <w:jc w:val="center"/>
              <w:rPr>
                <w:b/>
                <w:bCs/>
                <w:sz w:val="20"/>
                <w:szCs w:val="20"/>
              </w:rPr>
            </w:pPr>
            <w:r w:rsidRPr="00185BC0">
              <w:rPr>
                <w:b/>
                <w:bCs/>
                <w:sz w:val="20"/>
                <w:szCs w:val="20"/>
              </w:rPr>
              <w:t>Мин–Макс (мм)</w:t>
            </w:r>
          </w:p>
        </w:tc>
      </w:tr>
      <w:tr w:rsidR="00F41D6B" w:rsidRPr="00185BC0" w14:paraId="242E6809" w14:textId="77777777" w:rsidTr="00331E2B">
        <w:trPr>
          <w:trHeight w:val="475"/>
          <w:jc w:val="center"/>
        </w:trPr>
        <w:tc>
          <w:tcPr>
            <w:tcW w:w="5098" w:type="dxa"/>
            <w:gridSpan w:val="2"/>
            <w:hideMark/>
          </w:tcPr>
          <w:p w14:paraId="21A0746D" w14:textId="77777777" w:rsidR="00F41D6B" w:rsidRPr="00185BC0" w:rsidRDefault="00F41D6B" w:rsidP="00F41D6B">
            <w:pPr>
              <w:widowControl/>
              <w:autoSpaceDE/>
              <w:autoSpaceDN/>
              <w:rPr>
                <w:sz w:val="20"/>
                <w:szCs w:val="20"/>
              </w:rPr>
            </w:pPr>
            <w:r w:rsidRPr="00185BC0">
              <w:rPr>
                <w:sz w:val="20"/>
                <w:szCs w:val="20"/>
              </w:rPr>
              <w:t>Правосторонний</w:t>
            </w:r>
          </w:p>
        </w:tc>
        <w:tc>
          <w:tcPr>
            <w:tcW w:w="709" w:type="dxa"/>
            <w:hideMark/>
          </w:tcPr>
          <w:p w14:paraId="239F341E" w14:textId="77777777" w:rsidR="00F41D6B" w:rsidRPr="00185BC0" w:rsidRDefault="00F41D6B" w:rsidP="00F41D6B">
            <w:pPr>
              <w:widowControl/>
              <w:autoSpaceDE/>
              <w:autoSpaceDN/>
              <w:jc w:val="center"/>
              <w:rPr>
                <w:sz w:val="20"/>
                <w:szCs w:val="20"/>
                <w:lang w:val="kk-KZ"/>
              </w:rPr>
            </w:pPr>
            <w:r w:rsidRPr="00185BC0">
              <w:rPr>
                <w:sz w:val="20"/>
                <w:szCs w:val="20"/>
                <w:lang w:val="kk-KZ"/>
              </w:rPr>
              <w:t>9</w:t>
            </w:r>
          </w:p>
        </w:tc>
        <w:tc>
          <w:tcPr>
            <w:tcW w:w="1559" w:type="dxa"/>
            <w:hideMark/>
          </w:tcPr>
          <w:p w14:paraId="2D9F376B" w14:textId="77777777" w:rsidR="00F41D6B" w:rsidRPr="00185BC0" w:rsidRDefault="00F41D6B" w:rsidP="00F41D6B">
            <w:pPr>
              <w:widowControl/>
              <w:autoSpaceDE/>
              <w:autoSpaceDN/>
              <w:jc w:val="center"/>
              <w:rPr>
                <w:sz w:val="20"/>
                <w:szCs w:val="20"/>
                <w:lang w:val="kk-KZ"/>
              </w:rPr>
            </w:pPr>
            <w:r w:rsidRPr="00185BC0">
              <w:rPr>
                <w:sz w:val="20"/>
                <w:szCs w:val="20"/>
                <w:lang w:val="kk-KZ"/>
              </w:rPr>
              <w:t>7,25</w:t>
            </w:r>
            <w:r w:rsidRPr="00185BC0">
              <w:rPr>
                <w:sz w:val="20"/>
                <w:szCs w:val="20"/>
              </w:rPr>
              <w:t xml:space="preserve"> ± </w:t>
            </w:r>
            <w:r w:rsidRPr="00185BC0">
              <w:rPr>
                <w:sz w:val="20"/>
                <w:szCs w:val="20"/>
                <w:lang w:val="kk-KZ"/>
              </w:rPr>
              <w:t>2,14</w:t>
            </w:r>
          </w:p>
        </w:tc>
        <w:tc>
          <w:tcPr>
            <w:tcW w:w="1734" w:type="dxa"/>
            <w:hideMark/>
          </w:tcPr>
          <w:p w14:paraId="501DD983" w14:textId="594E2063" w:rsidR="00F41D6B" w:rsidRPr="00185BC0" w:rsidRDefault="00F41D6B" w:rsidP="00F41D6B">
            <w:pPr>
              <w:widowControl/>
              <w:autoSpaceDE/>
              <w:autoSpaceDN/>
              <w:jc w:val="center"/>
              <w:rPr>
                <w:sz w:val="20"/>
                <w:szCs w:val="20"/>
              </w:rPr>
            </w:pPr>
            <w:r w:rsidRPr="00185BC0">
              <w:rPr>
                <w:sz w:val="20"/>
                <w:szCs w:val="20"/>
              </w:rPr>
              <w:t>3,3</w:t>
            </w:r>
            <w:r w:rsidR="00265E1D" w:rsidRPr="00185BC0">
              <w:rPr>
                <w:sz w:val="20"/>
                <w:szCs w:val="20"/>
                <w:lang w:val="kk-KZ"/>
              </w:rPr>
              <w:t xml:space="preserve"> </w:t>
            </w:r>
            <w:r w:rsidRPr="00185BC0">
              <w:rPr>
                <w:sz w:val="20"/>
                <w:szCs w:val="20"/>
              </w:rPr>
              <w:t>–</w:t>
            </w:r>
            <w:r w:rsidR="00265E1D" w:rsidRPr="00185BC0">
              <w:rPr>
                <w:sz w:val="20"/>
                <w:szCs w:val="20"/>
                <w:lang w:val="kk-KZ"/>
              </w:rPr>
              <w:t xml:space="preserve"> </w:t>
            </w:r>
            <w:r w:rsidRPr="00185BC0">
              <w:rPr>
                <w:sz w:val="20"/>
                <w:szCs w:val="20"/>
              </w:rPr>
              <w:t>9,79</w:t>
            </w:r>
          </w:p>
        </w:tc>
      </w:tr>
      <w:tr w:rsidR="00F41D6B" w:rsidRPr="00185BC0" w14:paraId="0DE5865F" w14:textId="77777777" w:rsidTr="00331E2B">
        <w:trPr>
          <w:trHeight w:val="491"/>
          <w:jc w:val="center"/>
        </w:trPr>
        <w:tc>
          <w:tcPr>
            <w:tcW w:w="5098" w:type="dxa"/>
            <w:gridSpan w:val="2"/>
            <w:hideMark/>
          </w:tcPr>
          <w:p w14:paraId="2359D4E6" w14:textId="77777777" w:rsidR="00F41D6B" w:rsidRPr="00185BC0" w:rsidRDefault="00F41D6B" w:rsidP="00F41D6B">
            <w:pPr>
              <w:widowControl/>
              <w:autoSpaceDE/>
              <w:autoSpaceDN/>
              <w:rPr>
                <w:sz w:val="20"/>
                <w:szCs w:val="20"/>
              </w:rPr>
            </w:pPr>
            <w:r w:rsidRPr="00185BC0">
              <w:rPr>
                <w:sz w:val="20"/>
                <w:szCs w:val="20"/>
              </w:rPr>
              <w:t>Левосторонний</w:t>
            </w:r>
          </w:p>
        </w:tc>
        <w:tc>
          <w:tcPr>
            <w:tcW w:w="709" w:type="dxa"/>
            <w:hideMark/>
          </w:tcPr>
          <w:p w14:paraId="484934CD" w14:textId="77777777" w:rsidR="00F41D6B" w:rsidRPr="00185BC0" w:rsidRDefault="00F41D6B" w:rsidP="00F41D6B">
            <w:pPr>
              <w:widowControl/>
              <w:autoSpaceDE/>
              <w:autoSpaceDN/>
              <w:jc w:val="center"/>
              <w:rPr>
                <w:sz w:val="20"/>
                <w:szCs w:val="20"/>
              </w:rPr>
            </w:pPr>
            <w:r w:rsidRPr="00185BC0">
              <w:rPr>
                <w:sz w:val="20"/>
                <w:szCs w:val="20"/>
              </w:rPr>
              <w:t>13</w:t>
            </w:r>
          </w:p>
        </w:tc>
        <w:tc>
          <w:tcPr>
            <w:tcW w:w="1559" w:type="dxa"/>
            <w:hideMark/>
          </w:tcPr>
          <w:p w14:paraId="3B7B6D9F" w14:textId="77777777" w:rsidR="00F41D6B" w:rsidRPr="00185BC0" w:rsidRDefault="00F41D6B" w:rsidP="00F41D6B">
            <w:pPr>
              <w:widowControl/>
              <w:autoSpaceDE/>
              <w:autoSpaceDN/>
              <w:jc w:val="center"/>
              <w:rPr>
                <w:sz w:val="20"/>
                <w:szCs w:val="20"/>
                <w:lang w:val="kk-KZ"/>
              </w:rPr>
            </w:pPr>
            <w:r w:rsidRPr="00185BC0">
              <w:rPr>
                <w:sz w:val="20"/>
                <w:szCs w:val="20"/>
                <w:lang w:val="kk-KZ"/>
              </w:rPr>
              <w:t>6,59</w:t>
            </w:r>
            <w:r w:rsidRPr="00185BC0">
              <w:rPr>
                <w:sz w:val="20"/>
                <w:szCs w:val="20"/>
              </w:rPr>
              <w:t xml:space="preserve"> ± </w:t>
            </w:r>
            <w:r w:rsidRPr="00185BC0">
              <w:rPr>
                <w:sz w:val="20"/>
                <w:szCs w:val="20"/>
                <w:lang w:val="kk-KZ"/>
              </w:rPr>
              <w:t>1,93</w:t>
            </w:r>
          </w:p>
        </w:tc>
        <w:tc>
          <w:tcPr>
            <w:tcW w:w="1734" w:type="dxa"/>
            <w:hideMark/>
          </w:tcPr>
          <w:p w14:paraId="09293BBD" w14:textId="130EE58F" w:rsidR="00F41D6B" w:rsidRPr="00185BC0" w:rsidRDefault="00F41D6B" w:rsidP="00F41D6B">
            <w:pPr>
              <w:widowControl/>
              <w:autoSpaceDE/>
              <w:autoSpaceDN/>
              <w:jc w:val="center"/>
              <w:rPr>
                <w:sz w:val="20"/>
                <w:szCs w:val="20"/>
              </w:rPr>
            </w:pPr>
            <w:r w:rsidRPr="00185BC0">
              <w:rPr>
                <w:sz w:val="20"/>
                <w:szCs w:val="20"/>
              </w:rPr>
              <w:t>4,18</w:t>
            </w:r>
            <w:r w:rsidR="00265E1D" w:rsidRPr="00185BC0">
              <w:rPr>
                <w:sz w:val="20"/>
                <w:szCs w:val="20"/>
                <w:lang w:val="kk-KZ"/>
              </w:rPr>
              <w:t xml:space="preserve"> </w:t>
            </w:r>
            <w:r w:rsidRPr="00185BC0">
              <w:rPr>
                <w:sz w:val="20"/>
                <w:szCs w:val="20"/>
              </w:rPr>
              <w:t>–</w:t>
            </w:r>
            <w:r w:rsidR="00265E1D" w:rsidRPr="00185BC0">
              <w:rPr>
                <w:sz w:val="20"/>
                <w:szCs w:val="20"/>
                <w:lang w:val="kk-KZ"/>
              </w:rPr>
              <w:t xml:space="preserve"> </w:t>
            </w:r>
            <w:r w:rsidRPr="00185BC0">
              <w:rPr>
                <w:sz w:val="20"/>
                <w:szCs w:val="20"/>
              </w:rPr>
              <w:t>10,6</w:t>
            </w:r>
          </w:p>
        </w:tc>
      </w:tr>
      <w:tr w:rsidR="00F41D6B" w:rsidRPr="00185BC0" w14:paraId="1FD06CF0" w14:textId="77777777" w:rsidTr="00331E2B">
        <w:trPr>
          <w:trHeight w:val="475"/>
          <w:jc w:val="center"/>
        </w:trPr>
        <w:tc>
          <w:tcPr>
            <w:tcW w:w="2122" w:type="dxa"/>
            <w:vMerge w:val="restart"/>
            <w:hideMark/>
          </w:tcPr>
          <w:p w14:paraId="3960B3A4" w14:textId="77777777" w:rsidR="00F41D6B" w:rsidRPr="00185BC0" w:rsidRDefault="00F41D6B" w:rsidP="00F41D6B">
            <w:pPr>
              <w:widowControl/>
              <w:autoSpaceDE/>
              <w:autoSpaceDN/>
              <w:rPr>
                <w:sz w:val="20"/>
                <w:szCs w:val="20"/>
              </w:rPr>
            </w:pPr>
          </w:p>
          <w:p w14:paraId="4DD87F35" w14:textId="77777777" w:rsidR="00F41D6B" w:rsidRPr="00185BC0" w:rsidRDefault="00F41D6B" w:rsidP="00F41D6B">
            <w:pPr>
              <w:widowControl/>
              <w:autoSpaceDE/>
              <w:autoSpaceDN/>
              <w:rPr>
                <w:sz w:val="20"/>
                <w:szCs w:val="20"/>
              </w:rPr>
            </w:pPr>
            <w:r w:rsidRPr="00185BC0">
              <w:rPr>
                <w:sz w:val="20"/>
                <w:szCs w:val="20"/>
              </w:rPr>
              <w:t>Двусторонний</w:t>
            </w:r>
          </w:p>
        </w:tc>
        <w:tc>
          <w:tcPr>
            <w:tcW w:w="2976" w:type="dxa"/>
          </w:tcPr>
          <w:p w14:paraId="0594EBED" w14:textId="77777777" w:rsidR="00F41D6B" w:rsidRPr="00185BC0" w:rsidRDefault="00F41D6B" w:rsidP="00F41D6B">
            <w:pPr>
              <w:widowControl/>
              <w:autoSpaceDE/>
              <w:autoSpaceDN/>
              <w:rPr>
                <w:sz w:val="20"/>
                <w:szCs w:val="20"/>
                <w:lang w:val="kk-KZ"/>
              </w:rPr>
            </w:pPr>
            <w:r w:rsidRPr="00185BC0">
              <w:rPr>
                <w:sz w:val="20"/>
                <w:szCs w:val="20"/>
                <w:lang w:val="kk-KZ"/>
              </w:rPr>
              <w:t xml:space="preserve">Правый </w:t>
            </w:r>
          </w:p>
        </w:tc>
        <w:tc>
          <w:tcPr>
            <w:tcW w:w="709" w:type="dxa"/>
            <w:vMerge w:val="restart"/>
            <w:hideMark/>
          </w:tcPr>
          <w:p w14:paraId="3D2B8424" w14:textId="77777777" w:rsidR="00F41D6B" w:rsidRPr="00185BC0" w:rsidRDefault="00F41D6B" w:rsidP="00F41D6B">
            <w:pPr>
              <w:widowControl/>
              <w:autoSpaceDE/>
              <w:autoSpaceDN/>
              <w:jc w:val="center"/>
              <w:rPr>
                <w:sz w:val="20"/>
                <w:szCs w:val="20"/>
              </w:rPr>
            </w:pPr>
          </w:p>
          <w:p w14:paraId="497936E3" w14:textId="77777777" w:rsidR="00F41D6B" w:rsidRPr="00185BC0" w:rsidRDefault="00F41D6B" w:rsidP="00F41D6B">
            <w:pPr>
              <w:widowControl/>
              <w:autoSpaceDE/>
              <w:autoSpaceDN/>
              <w:jc w:val="center"/>
              <w:rPr>
                <w:sz w:val="20"/>
                <w:szCs w:val="20"/>
              </w:rPr>
            </w:pPr>
            <w:r w:rsidRPr="00185BC0">
              <w:rPr>
                <w:sz w:val="20"/>
                <w:szCs w:val="20"/>
              </w:rPr>
              <w:t>11</w:t>
            </w:r>
          </w:p>
        </w:tc>
        <w:tc>
          <w:tcPr>
            <w:tcW w:w="1559" w:type="dxa"/>
            <w:hideMark/>
          </w:tcPr>
          <w:p w14:paraId="4A3B8C30" w14:textId="77777777" w:rsidR="00F41D6B" w:rsidRPr="00185BC0" w:rsidRDefault="00F41D6B" w:rsidP="00F41D6B">
            <w:pPr>
              <w:widowControl/>
              <w:autoSpaceDE/>
              <w:autoSpaceDN/>
              <w:jc w:val="center"/>
              <w:rPr>
                <w:sz w:val="20"/>
                <w:szCs w:val="20"/>
                <w:lang w:val="kk-KZ"/>
              </w:rPr>
            </w:pPr>
            <w:r w:rsidRPr="00185BC0">
              <w:rPr>
                <w:sz w:val="20"/>
                <w:szCs w:val="20"/>
                <w:lang w:val="kk-KZ"/>
              </w:rPr>
              <w:t>5,86</w:t>
            </w:r>
            <w:r w:rsidRPr="00185BC0">
              <w:rPr>
                <w:sz w:val="20"/>
                <w:szCs w:val="20"/>
              </w:rPr>
              <w:t xml:space="preserve"> ± </w:t>
            </w:r>
            <w:r w:rsidRPr="00185BC0">
              <w:rPr>
                <w:sz w:val="20"/>
                <w:szCs w:val="20"/>
                <w:lang w:val="kk-KZ"/>
              </w:rPr>
              <w:t>2,30</w:t>
            </w:r>
          </w:p>
        </w:tc>
        <w:tc>
          <w:tcPr>
            <w:tcW w:w="1734" w:type="dxa"/>
            <w:hideMark/>
          </w:tcPr>
          <w:p w14:paraId="697DF297" w14:textId="18DF9532" w:rsidR="00F41D6B" w:rsidRPr="00185BC0" w:rsidRDefault="00F41D6B" w:rsidP="00F41D6B">
            <w:pPr>
              <w:widowControl/>
              <w:autoSpaceDE/>
              <w:autoSpaceDN/>
              <w:jc w:val="center"/>
              <w:rPr>
                <w:sz w:val="20"/>
                <w:szCs w:val="20"/>
                <w:lang w:val="kk-KZ"/>
              </w:rPr>
            </w:pPr>
            <w:r w:rsidRPr="00185BC0">
              <w:rPr>
                <w:sz w:val="20"/>
                <w:szCs w:val="20"/>
                <w:lang w:val="kk-KZ"/>
              </w:rPr>
              <w:t>2,91</w:t>
            </w:r>
            <w:r w:rsidR="00265E1D" w:rsidRPr="00185BC0">
              <w:rPr>
                <w:sz w:val="20"/>
                <w:szCs w:val="20"/>
                <w:lang w:val="kk-KZ"/>
              </w:rPr>
              <w:t xml:space="preserve"> – </w:t>
            </w:r>
            <w:r w:rsidRPr="00185BC0">
              <w:rPr>
                <w:sz w:val="20"/>
                <w:szCs w:val="20"/>
                <w:lang w:val="kk-KZ"/>
              </w:rPr>
              <w:t>9,8</w:t>
            </w:r>
          </w:p>
        </w:tc>
      </w:tr>
      <w:tr w:rsidR="00F41D6B" w:rsidRPr="00185BC0" w14:paraId="24620E9F" w14:textId="77777777" w:rsidTr="00331E2B">
        <w:trPr>
          <w:trHeight w:val="475"/>
          <w:jc w:val="center"/>
        </w:trPr>
        <w:tc>
          <w:tcPr>
            <w:tcW w:w="2122" w:type="dxa"/>
            <w:vMerge/>
          </w:tcPr>
          <w:p w14:paraId="19F0041D" w14:textId="77777777" w:rsidR="00F41D6B" w:rsidRPr="00185BC0" w:rsidRDefault="00F41D6B" w:rsidP="00F41D6B">
            <w:pPr>
              <w:widowControl/>
              <w:autoSpaceDE/>
              <w:autoSpaceDN/>
              <w:rPr>
                <w:sz w:val="20"/>
                <w:szCs w:val="20"/>
              </w:rPr>
            </w:pPr>
          </w:p>
        </w:tc>
        <w:tc>
          <w:tcPr>
            <w:tcW w:w="2976" w:type="dxa"/>
          </w:tcPr>
          <w:p w14:paraId="27DA869B" w14:textId="77777777" w:rsidR="00F41D6B" w:rsidRPr="00185BC0" w:rsidRDefault="00F41D6B" w:rsidP="00F41D6B">
            <w:pPr>
              <w:widowControl/>
              <w:autoSpaceDE/>
              <w:autoSpaceDN/>
              <w:rPr>
                <w:sz w:val="20"/>
                <w:szCs w:val="20"/>
                <w:lang w:val="kk-KZ"/>
              </w:rPr>
            </w:pPr>
            <w:r w:rsidRPr="00185BC0">
              <w:rPr>
                <w:sz w:val="20"/>
                <w:szCs w:val="20"/>
                <w:lang w:val="kk-KZ"/>
              </w:rPr>
              <w:t xml:space="preserve">Левый </w:t>
            </w:r>
          </w:p>
        </w:tc>
        <w:tc>
          <w:tcPr>
            <w:tcW w:w="709" w:type="dxa"/>
            <w:vMerge/>
          </w:tcPr>
          <w:p w14:paraId="056AB963" w14:textId="77777777" w:rsidR="00F41D6B" w:rsidRPr="00185BC0" w:rsidRDefault="00F41D6B" w:rsidP="00F41D6B">
            <w:pPr>
              <w:widowControl/>
              <w:autoSpaceDE/>
              <w:autoSpaceDN/>
              <w:jc w:val="center"/>
              <w:rPr>
                <w:sz w:val="20"/>
                <w:szCs w:val="20"/>
              </w:rPr>
            </w:pPr>
          </w:p>
        </w:tc>
        <w:tc>
          <w:tcPr>
            <w:tcW w:w="1559" w:type="dxa"/>
          </w:tcPr>
          <w:p w14:paraId="6A56AC9B" w14:textId="77777777" w:rsidR="00F41D6B" w:rsidRPr="00185BC0" w:rsidRDefault="00F41D6B" w:rsidP="00F41D6B">
            <w:pPr>
              <w:widowControl/>
              <w:autoSpaceDE/>
              <w:autoSpaceDN/>
              <w:jc w:val="center"/>
              <w:rPr>
                <w:sz w:val="20"/>
                <w:szCs w:val="20"/>
                <w:lang w:val="kk-KZ"/>
              </w:rPr>
            </w:pPr>
            <w:r w:rsidRPr="00185BC0">
              <w:rPr>
                <w:sz w:val="20"/>
                <w:szCs w:val="20"/>
                <w:lang w:val="kk-KZ"/>
              </w:rPr>
              <w:t>6,6 ± 2,96</w:t>
            </w:r>
          </w:p>
        </w:tc>
        <w:tc>
          <w:tcPr>
            <w:tcW w:w="1734" w:type="dxa"/>
          </w:tcPr>
          <w:p w14:paraId="1A28A581" w14:textId="35C6BE4F" w:rsidR="00F41D6B" w:rsidRPr="00185BC0" w:rsidRDefault="00F41D6B" w:rsidP="00F41D6B">
            <w:pPr>
              <w:widowControl/>
              <w:autoSpaceDE/>
              <w:autoSpaceDN/>
              <w:jc w:val="center"/>
              <w:rPr>
                <w:sz w:val="20"/>
                <w:szCs w:val="20"/>
              </w:rPr>
            </w:pPr>
            <w:r w:rsidRPr="00185BC0">
              <w:rPr>
                <w:sz w:val="20"/>
                <w:szCs w:val="20"/>
              </w:rPr>
              <w:t>2,1</w:t>
            </w:r>
            <w:r w:rsidR="00265E1D" w:rsidRPr="00185BC0">
              <w:rPr>
                <w:sz w:val="20"/>
                <w:szCs w:val="20"/>
                <w:lang w:val="kk-KZ"/>
              </w:rPr>
              <w:t xml:space="preserve"> </w:t>
            </w:r>
            <w:r w:rsidRPr="00185BC0">
              <w:rPr>
                <w:sz w:val="20"/>
                <w:szCs w:val="20"/>
              </w:rPr>
              <w:t>–</w:t>
            </w:r>
            <w:r w:rsidR="00265E1D" w:rsidRPr="00185BC0">
              <w:rPr>
                <w:sz w:val="20"/>
                <w:szCs w:val="20"/>
                <w:lang w:val="kk-KZ"/>
              </w:rPr>
              <w:t xml:space="preserve"> </w:t>
            </w:r>
            <w:r w:rsidRPr="00185BC0">
              <w:rPr>
                <w:sz w:val="20"/>
                <w:szCs w:val="20"/>
              </w:rPr>
              <w:t>11,03</w:t>
            </w:r>
          </w:p>
        </w:tc>
      </w:tr>
    </w:tbl>
    <w:p w14:paraId="4AC1098C" w14:textId="77777777" w:rsidR="006A73B6" w:rsidRPr="00185BC0" w:rsidRDefault="006A73B6" w:rsidP="00F41D6B">
      <w:pPr>
        <w:ind w:firstLine="698"/>
        <w:jc w:val="both"/>
        <w:rPr>
          <w:sz w:val="28"/>
          <w:szCs w:val="28"/>
          <w:lang w:val="kk-KZ"/>
        </w:rPr>
      </w:pPr>
    </w:p>
    <w:p w14:paraId="60D7AB8C" w14:textId="2B788CDF" w:rsidR="00F41D6B" w:rsidRPr="00185BC0" w:rsidRDefault="00F41D6B" w:rsidP="00F41D6B">
      <w:pPr>
        <w:ind w:firstLine="698"/>
        <w:jc w:val="both"/>
        <w:rPr>
          <w:i/>
          <w:iCs/>
          <w:sz w:val="28"/>
          <w:szCs w:val="28"/>
        </w:rPr>
      </w:pPr>
      <w:r w:rsidRPr="00185BC0">
        <w:rPr>
          <w:sz w:val="28"/>
          <w:szCs w:val="28"/>
          <w:lang w:val="kk-KZ"/>
        </w:rPr>
        <w:t>Таким образом, обзорная рентгенография позволила выявить краниальное смещение головок бедренных костей, подтвердить тяжёлую степень вывиха и сформировать показания к выполнению укорочающей остеотомии.</w:t>
      </w:r>
    </w:p>
    <w:p w14:paraId="56410BE2" w14:textId="77777777" w:rsidR="00F41D6B" w:rsidRPr="00185BC0" w:rsidRDefault="00F41D6B" w:rsidP="00F41D6B">
      <w:pPr>
        <w:ind w:firstLine="698"/>
        <w:jc w:val="both"/>
        <w:rPr>
          <w:i/>
          <w:iCs/>
          <w:sz w:val="28"/>
          <w:szCs w:val="28"/>
          <w:lang w:val="kk-KZ"/>
        </w:rPr>
      </w:pPr>
      <w:r w:rsidRPr="00185BC0">
        <w:rPr>
          <w:i/>
          <w:iCs/>
          <w:sz w:val="28"/>
          <w:szCs w:val="28"/>
          <w:lang w:val="kk-KZ"/>
        </w:rPr>
        <w:t>Результаты компьютерной томографии</w:t>
      </w:r>
    </w:p>
    <w:p w14:paraId="60BFE7FA" w14:textId="520F035D" w:rsidR="00F41D6B" w:rsidRPr="00185BC0" w:rsidRDefault="00F41D6B" w:rsidP="00F41D6B">
      <w:pPr>
        <w:ind w:firstLine="709"/>
        <w:jc w:val="both"/>
        <w:rPr>
          <w:sz w:val="28"/>
          <w:szCs w:val="28"/>
          <w:lang w:val="kk-KZ"/>
        </w:rPr>
      </w:pPr>
      <w:r w:rsidRPr="00185BC0">
        <w:rPr>
          <w:sz w:val="28"/>
          <w:szCs w:val="28"/>
          <w:lang w:val="kk-KZ"/>
        </w:rPr>
        <w:t>По данным компьютерной томографии у всех пациентов с дисплазией тазобедренного сустава Crowe IV были выявлены характерные анатомические изменения, отражающие выраженную гипоплазию тазобедренного сустава. Со стороны вертлужной впадины отмечалось её уплощение и недостаточная глубина, уменьшение передне-заднего диаметра, а также краниальное смещение истинной впадины. В ряде случаев определялись истончение медиальной стенки и склероз субхондральной кости, что ограничивало возможност</w:t>
      </w:r>
      <w:r w:rsidR="00265E1D" w:rsidRPr="00185BC0">
        <w:rPr>
          <w:sz w:val="28"/>
          <w:szCs w:val="28"/>
          <w:lang w:val="kk-KZ"/>
        </w:rPr>
        <w:t>ь</w:t>
      </w:r>
      <w:r w:rsidRPr="00185BC0">
        <w:rPr>
          <w:sz w:val="28"/>
          <w:szCs w:val="28"/>
          <w:lang w:val="kk-KZ"/>
        </w:rPr>
        <w:t xml:space="preserve"> реконструкции и требовало индивидуального подбора вертлужного компонента.</w:t>
      </w:r>
    </w:p>
    <w:p w14:paraId="3D333D9C" w14:textId="77777777" w:rsidR="00F41D6B" w:rsidRPr="00185BC0" w:rsidRDefault="00F41D6B" w:rsidP="00F41D6B">
      <w:pPr>
        <w:ind w:firstLine="709"/>
        <w:jc w:val="both"/>
        <w:rPr>
          <w:sz w:val="28"/>
          <w:szCs w:val="28"/>
          <w:lang w:val="kk-KZ"/>
        </w:rPr>
      </w:pPr>
      <w:r w:rsidRPr="00185BC0">
        <w:rPr>
          <w:sz w:val="28"/>
          <w:szCs w:val="28"/>
          <w:lang w:val="kk-KZ"/>
        </w:rPr>
        <w:t>В проксимальном отделе бедренной кости выявлялась выраженная гипоплазия метафиза и шейки, сопровождавшаяся уменьшением объёма губчатого вещества, сужением костномозгового канала и относительным утолщением кортикального слоя. Аксиальные срезы позволили зафиксировать наличие избыточной антеторсии бедра, что имело значение при выборе угловой ориентации и стабилизации бедренного компонента.</w:t>
      </w:r>
    </w:p>
    <w:p w14:paraId="71CF50B4" w14:textId="31342394" w:rsidR="00F41D6B" w:rsidRPr="00185BC0" w:rsidRDefault="00F41D6B" w:rsidP="00F41D6B">
      <w:pPr>
        <w:ind w:firstLine="709"/>
        <w:jc w:val="both"/>
        <w:rPr>
          <w:sz w:val="28"/>
          <w:szCs w:val="28"/>
          <w:lang w:val="kk-KZ"/>
        </w:rPr>
      </w:pPr>
      <w:r w:rsidRPr="00185BC0">
        <w:rPr>
          <w:sz w:val="28"/>
          <w:szCs w:val="28"/>
          <w:lang w:val="kk-KZ"/>
        </w:rPr>
        <w:t>Краниальное смещение головки бедра в среднем составляло 4</w:t>
      </w:r>
      <w:r w:rsidR="00265E1D" w:rsidRPr="00185BC0">
        <w:rPr>
          <w:sz w:val="28"/>
          <w:szCs w:val="28"/>
          <w:lang w:val="kk-KZ"/>
        </w:rPr>
        <w:t xml:space="preserve"> </w:t>
      </w:r>
      <w:r w:rsidRPr="00185BC0">
        <w:rPr>
          <w:sz w:val="28"/>
          <w:szCs w:val="28"/>
          <w:lang w:val="kk-KZ"/>
        </w:rPr>
        <w:t>–</w:t>
      </w:r>
      <w:r w:rsidR="00265E1D" w:rsidRPr="00185BC0">
        <w:rPr>
          <w:sz w:val="28"/>
          <w:szCs w:val="28"/>
          <w:lang w:val="kk-KZ"/>
        </w:rPr>
        <w:t xml:space="preserve"> </w:t>
      </w:r>
      <w:r w:rsidRPr="00185BC0">
        <w:rPr>
          <w:sz w:val="28"/>
          <w:szCs w:val="28"/>
          <w:lang w:val="kk-KZ"/>
        </w:rPr>
        <w:t>5 см, что делало необходимым выполнение укорачивающей подвертельной остеотомии для предотвращения натяжения мягких тканей при репозиции. В предполагаемой зоне остеотомии толщина кортикального слоя оставалась достаточной для надёжной фиксации с использованием деротационной пластины.</w:t>
      </w:r>
    </w:p>
    <w:p w14:paraId="3957EAB9" w14:textId="77777777" w:rsidR="00F41D6B" w:rsidRPr="00185BC0" w:rsidRDefault="00F41D6B" w:rsidP="00F41D6B">
      <w:pPr>
        <w:ind w:firstLine="709"/>
        <w:jc w:val="both"/>
        <w:rPr>
          <w:sz w:val="28"/>
          <w:szCs w:val="28"/>
          <w:lang w:val="kk-KZ"/>
        </w:rPr>
      </w:pPr>
      <w:r w:rsidRPr="00185BC0">
        <w:rPr>
          <w:sz w:val="28"/>
          <w:szCs w:val="28"/>
          <w:lang w:val="kk-KZ"/>
        </w:rPr>
        <w:t>Трёхмерные реконструкции, полученные на основе данных КТ в формате DICOM, позволили детально визуализировать диспластические изменения, определить истинное расположение вертлужной впадины и рассчитать величину укорочения бедра. Использование 3D-моделей обеспечило точное предоперационное планирование уровня остеотомии, оптимальное сопоставление костных фрагментов и выбор удлинённых конических бедренных стержней, обеспечивающих стабильную диафизарную фиксацию.</w:t>
      </w:r>
    </w:p>
    <w:p w14:paraId="7CD4933F" w14:textId="38C067E8" w:rsidR="00F41D6B" w:rsidRPr="00185BC0" w:rsidRDefault="00F41D6B" w:rsidP="00F41D6B">
      <w:pPr>
        <w:ind w:firstLine="709"/>
        <w:jc w:val="both"/>
        <w:rPr>
          <w:i/>
          <w:iCs/>
          <w:sz w:val="28"/>
          <w:szCs w:val="28"/>
          <w:lang w:val="kk-KZ"/>
        </w:rPr>
      </w:pPr>
      <w:r w:rsidRPr="00185BC0">
        <w:rPr>
          <w:sz w:val="28"/>
          <w:szCs w:val="28"/>
          <w:lang w:val="kk-KZ"/>
        </w:rPr>
        <w:t>Таким образом, КТ подтвердила наличие комплексных диспластических изменений</w:t>
      </w:r>
      <w:r w:rsidR="00265E1D" w:rsidRPr="00185BC0">
        <w:rPr>
          <w:sz w:val="28"/>
          <w:szCs w:val="28"/>
          <w:lang w:val="kk-KZ"/>
        </w:rPr>
        <w:t>:</w:t>
      </w:r>
      <w:r w:rsidRPr="00185BC0">
        <w:rPr>
          <w:sz w:val="28"/>
          <w:szCs w:val="28"/>
          <w:lang w:val="kk-KZ"/>
        </w:rPr>
        <w:t xml:space="preserve"> гипоплазии вертлужной впадины и проксимального отдела бедра, </w:t>
      </w:r>
      <w:r w:rsidRPr="00185BC0">
        <w:rPr>
          <w:sz w:val="28"/>
          <w:szCs w:val="28"/>
          <w:lang w:val="kk-KZ"/>
        </w:rPr>
        <w:lastRenderedPageBreak/>
        <w:t xml:space="preserve">узкого костномозгового канала, антеторсии и краниального смещения головки, что обосновывало необходимость применения удлинённых конических компонентов и укорачивающей остеотомии при эндопротезировании пациентов с </w:t>
      </w:r>
      <w:r w:rsidR="00DA5A93" w:rsidRPr="00185BC0">
        <w:rPr>
          <w:sz w:val="28"/>
          <w:szCs w:val="28"/>
          <w:lang w:val="kk-KZ"/>
        </w:rPr>
        <w:t xml:space="preserve">дисплазияй </w:t>
      </w:r>
      <w:r w:rsidRPr="00185BC0">
        <w:rPr>
          <w:sz w:val="28"/>
          <w:szCs w:val="28"/>
          <w:lang w:val="kk-KZ"/>
        </w:rPr>
        <w:t>IV</w:t>
      </w:r>
      <w:r w:rsidR="00DA5A93" w:rsidRPr="00185BC0">
        <w:rPr>
          <w:sz w:val="28"/>
          <w:szCs w:val="28"/>
          <w:lang w:val="kk-KZ"/>
        </w:rPr>
        <w:t xml:space="preserve"> типа по Crowe</w:t>
      </w:r>
      <w:r w:rsidRPr="00185BC0">
        <w:rPr>
          <w:sz w:val="28"/>
          <w:szCs w:val="28"/>
          <w:lang w:val="kk-KZ"/>
        </w:rPr>
        <w:t>.</w:t>
      </w:r>
    </w:p>
    <w:p w14:paraId="16D28B6D" w14:textId="3FD93B93" w:rsidR="00F41D6B" w:rsidRPr="00185BC0" w:rsidRDefault="00F41D6B" w:rsidP="00F41D6B">
      <w:pPr>
        <w:ind w:left="709" w:hanging="142"/>
        <w:jc w:val="both"/>
        <w:rPr>
          <w:i/>
          <w:iCs/>
          <w:sz w:val="28"/>
          <w:szCs w:val="28"/>
          <w:lang w:val="kk-KZ"/>
        </w:rPr>
      </w:pPr>
      <w:r w:rsidRPr="00185BC0">
        <w:rPr>
          <w:i/>
          <w:iCs/>
          <w:sz w:val="28"/>
          <w:szCs w:val="28"/>
          <w:lang w:val="kk-KZ"/>
        </w:rPr>
        <w:t>Результаты телерентгенографии</w:t>
      </w:r>
    </w:p>
    <w:p w14:paraId="56ABFDE2" w14:textId="019A342E" w:rsidR="00F41D6B" w:rsidRPr="00185BC0" w:rsidRDefault="00F41D6B" w:rsidP="00F41D6B">
      <w:pPr>
        <w:ind w:firstLine="567"/>
        <w:jc w:val="both"/>
        <w:rPr>
          <w:sz w:val="28"/>
          <w:szCs w:val="28"/>
          <w:lang w:val="kk-KZ"/>
        </w:rPr>
      </w:pPr>
      <w:r w:rsidRPr="00185BC0">
        <w:rPr>
          <w:sz w:val="28"/>
          <w:szCs w:val="28"/>
          <w:lang w:val="kk-KZ"/>
        </w:rPr>
        <w:t>В ходе исследования с использованием телерентгенографии была проведена оценка линейных параметров правой и левой нижней конечности до и после операции. Измерения включали длину бедренной и большеберцовой костей, их суммарную длину, а также общую длину нижней конечности. Такой подход позволил объективно определить как анатомическое укорочение (реальная разница в длине костных сегментов), так и относительное укорочение проявляющееся при функциональной нагрузке и компенсируемое положением таза. Анализ телерентгенографических данных показал, что после операции у пациентов отмечались статистически значимые изменения линейных параметров костных сегментов.</w:t>
      </w:r>
    </w:p>
    <w:p w14:paraId="1F37994D" w14:textId="7978F826" w:rsidR="00F41D6B" w:rsidRPr="00185BC0" w:rsidRDefault="00F41D6B" w:rsidP="00F41D6B">
      <w:pPr>
        <w:ind w:firstLine="567"/>
        <w:jc w:val="both"/>
        <w:rPr>
          <w:sz w:val="28"/>
          <w:szCs w:val="28"/>
          <w:lang w:val="kk-KZ"/>
        </w:rPr>
      </w:pPr>
      <w:r w:rsidRPr="00185BC0">
        <w:rPr>
          <w:sz w:val="28"/>
          <w:szCs w:val="28"/>
          <w:lang w:val="kk-KZ"/>
        </w:rPr>
        <w:t>У правой нижней конечности зафиксировано уменьшение длины бедренной кости с 40,37 ± 2,98 см до 38,43 ± 3,78 см (p &lt; 0,001). Длина большеберцовой кости статистически значимо не изменилась (35,01 ± 2,52 см до и после операции, p = ns). Суммарная длина бедренной и большеберцовой костей увеличилась с 69,95 ± 5,12 см до 73,44 ± 5,90 см (p &lt; 0,001). Общая длина конечности возросла с 78,53 ± 5,00 см до 79,28 ± 4,69 см (p &lt; 0,001) (таблица 8)</w:t>
      </w:r>
      <w:r w:rsidR="001A5BA0" w:rsidRPr="00185BC0">
        <w:rPr>
          <w:sz w:val="28"/>
          <w:szCs w:val="28"/>
          <w:lang w:val="kk-KZ"/>
        </w:rPr>
        <w:t>, (рисунок 3</w:t>
      </w:r>
      <w:r w:rsidR="00654A28" w:rsidRPr="00185BC0">
        <w:rPr>
          <w:sz w:val="28"/>
          <w:szCs w:val="28"/>
          <w:lang w:val="kk-KZ"/>
        </w:rPr>
        <w:t>3</w:t>
      </w:r>
      <w:r w:rsidR="001A5BA0" w:rsidRPr="00185BC0">
        <w:rPr>
          <w:sz w:val="28"/>
          <w:szCs w:val="28"/>
          <w:lang w:val="kk-KZ"/>
        </w:rPr>
        <w:t>-3</w:t>
      </w:r>
      <w:r w:rsidR="00654A28" w:rsidRPr="00185BC0">
        <w:rPr>
          <w:sz w:val="28"/>
          <w:szCs w:val="28"/>
          <w:lang w:val="kk-KZ"/>
        </w:rPr>
        <w:t>4</w:t>
      </w:r>
      <w:r w:rsidR="001A5BA0" w:rsidRPr="00185BC0">
        <w:rPr>
          <w:sz w:val="28"/>
          <w:szCs w:val="28"/>
          <w:lang w:val="kk-KZ"/>
        </w:rPr>
        <w:t>)</w:t>
      </w:r>
      <w:r w:rsidRPr="00185BC0">
        <w:rPr>
          <w:sz w:val="28"/>
          <w:szCs w:val="28"/>
          <w:lang w:val="kk-KZ"/>
        </w:rPr>
        <w:t>.</w:t>
      </w:r>
    </w:p>
    <w:p w14:paraId="69D3A60A" w14:textId="77777777" w:rsidR="006A73B6" w:rsidRPr="00185BC0" w:rsidRDefault="006A73B6" w:rsidP="00F41D6B">
      <w:pPr>
        <w:ind w:firstLine="567"/>
        <w:jc w:val="both"/>
        <w:rPr>
          <w:sz w:val="28"/>
          <w:szCs w:val="28"/>
          <w:lang w:val="kk-KZ"/>
        </w:rPr>
      </w:pPr>
    </w:p>
    <w:p w14:paraId="4314A640" w14:textId="7795C0CB" w:rsidR="00F41D6B" w:rsidRPr="00185BC0" w:rsidRDefault="00F41D6B" w:rsidP="00331E2B">
      <w:pPr>
        <w:jc w:val="both"/>
        <w:rPr>
          <w:b/>
          <w:bCs/>
          <w:sz w:val="28"/>
          <w:szCs w:val="28"/>
        </w:rPr>
      </w:pPr>
      <w:r w:rsidRPr="00185BC0">
        <w:rPr>
          <w:b/>
          <w:bCs/>
          <w:sz w:val="28"/>
          <w:szCs w:val="28"/>
        </w:rPr>
        <w:t xml:space="preserve">Таблица 8 – </w:t>
      </w:r>
      <w:proofErr w:type="spellStart"/>
      <w:r w:rsidRPr="00185BC0">
        <w:rPr>
          <w:b/>
          <w:bCs/>
          <w:sz w:val="28"/>
          <w:szCs w:val="28"/>
        </w:rPr>
        <w:t>Телерентгенографические</w:t>
      </w:r>
      <w:proofErr w:type="spellEnd"/>
      <w:r w:rsidRPr="00185BC0">
        <w:rPr>
          <w:b/>
          <w:bCs/>
          <w:sz w:val="28"/>
          <w:szCs w:val="28"/>
        </w:rPr>
        <w:t xml:space="preserve"> показатели правой нижней конечности до и после операции</w:t>
      </w:r>
    </w:p>
    <w:p w14:paraId="471232EB" w14:textId="77777777" w:rsidR="006A73B6" w:rsidRPr="00185BC0" w:rsidRDefault="006A73B6" w:rsidP="00331E2B">
      <w:pPr>
        <w:jc w:val="both"/>
        <w:rPr>
          <w:b/>
          <w:bCs/>
          <w:sz w:val="28"/>
          <w:szCs w:val="28"/>
        </w:rPr>
      </w:pPr>
    </w:p>
    <w:tbl>
      <w:tblPr>
        <w:tblStyle w:val="50"/>
        <w:tblW w:w="9071" w:type="dxa"/>
        <w:jc w:val="center"/>
        <w:tblLook w:val="04A0" w:firstRow="1" w:lastRow="0" w:firstColumn="1" w:lastColumn="0" w:noHBand="0" w:noVBand="1"/>
      </w:tblPr>
      <w:tblGrid>
        <w:gridCol w:w="1980"/>
        <w:gridCol w:w="1559"/>
        <w:gridCol w:w="1418"/>
        <w:gridCol w:w="1417"/>
        <w:gridCol w:w="1418"/>
        <w:gridCol w:w="1279"/>
      </w:tblGrid>
      <w:tr w:rsidR="00F41D6B" w:rsidRPr="00185BC0" w14:paraId="2FDB9A0F" w14:textId="77777777" w:rsidTr="006A73B6">
        <w:trPr>
          <w:trHeight w:val="966"/>
          <w:jc w:val="center"/>
        </w:trPr>
        <w:tc>
          <w:tcPr>
            <w:tcW w:w="1980" w:type="dxa"/>
            <w:vMerge w:val="restart"/>
            <w:vAlign w:val="center"/>
          </w:tcPr>
          <w:p w14:paraId="0909DAD1" w14:textId="77777777" w:rsidR="00F41D6B" w:rsidRPr="00185BC0" w:rsidRDefault="00F41D6B" w:rsidP="00F41D6B">
            <w:pPr>
              <w:jc w:val="center"/>
              <w:rPr>
                <w:b/>
                <w:bCs/>
                <w:sz w:val="20"/>
                <w:szCs w:val="20"/>
              </w:rPr>
            </w:pPr>
            <w:r w:rsidRPr="00185BC0">
              <w:rPr>
                <w:b/>
                <w:bCs/>
                <w:sz w:val="20"/>
                <w:szCs w:val="20"/>
              </w:rPr>
              <w:t>Измеряемые параметры</w:t>
            </w:r>
          </w:p>
        </w:tc>
        <w:tc>
          <w:tcPr>
            <w:tcW w:w="2977" w:type="dxa"/>
            <w:gridSpan w:val="2"/>
            <w:vAlign w:val="center"/>
          </w:tcPr>
          <w:p w14:paraId="5A1C47A9" w14:textId="77777777" w:rsidR="00F41D6B" w:rsidRPr="00185BC0" w:rsidRDefault="00F41D6B" w:rsidP="00F41D6B">
            <w:pPr>
              <w:jc w:val="center"/>
              <w:rPr>
                <w:b/>
                <w:bCs/>
                <w:sz w:val="20"/>
                <w:szCs w:val="20"/>
              </w:rPr>
            </w:pPr>
            <w:r w:rsidRPr="00185BC0">
              <w:rPr>
                <w:b/>
                <w:bCs/>
                <w:sz w:val="20"/>
                <w:szCs w:val="20"/>
                <w:lang w:val="kk-KZ"/>
              </w:rPr>
              <w:t>Д</w:t>
            </w:r>
            <w:r w:rsidRPr="00185BC0">
              <w:rPr>
                <w:b/>
                <w:bCs/>
                <w:sz w:val="20"/>
                <w:szCs w:val="20"/>
              </w:rPr>
              <w:t xml:space="preserve">о  </w:t>
            </w:r>
            <w:r w:rsidRPr="00185BC0">
              <w:rPr>
                <w:b/>
                <w:bCs/>
                <w:sz w:val="20"/>
                <w:szCs w:val="20"/>
                <w:lang w:val="kk-KZ"/>
              </w:rPr>
              <w:t xml:space="preserve">операции </w:t>
            </w:r>
            <w:r w:rsidRPr="00185BC0">
              <w:rPr>
                <w:b/>
                <w:bCs/>
                <w:sz w:val="20"/>
                <w:szCs w:val="20"/>
              </w:rPr>
              <w:t>см</w:t>
            </w:r>
          </w:p>
          <w:p w14:paraId="09F60008" w14:textId="77777777" w:rsidR="00F41D6B" w:rsidRPr="00185BC0" w:rsidRDefault="00F41D6B" w:rsidP="00F41D6B">
            <w:pPr>
              <w:jc w:val="center"/>
              <w:rPr>
                <w:b/>
                <w:bCs/>
                <w:sz w:val="20"/>
                <w:szCs w:val="20"/>
              </w:rPr>
            </w:pPr>
            <w:r w:rsidRPr="00185BC0">
              <w:rPr>
                <w:b/>
                <w:bCs/>
                <w:sz w:val="20"/>
                <w:szCs w:val="20"/>
              </w:rPr>
              <w:t>(n=30)</w:t>
            </w:r>
          </w:p>
        </w:tc>
        <w:tc>
          <w:tcPr>
            <w:tcW w:w="2835" w:type="dxa"/>
            <w:gridSpan w:val="2"/>
            <w:vAlign w:val="center"/>
          </w:tcPr>
          <w:p w14:paraId="3D6BDA05" w14:textId="77777777" w:rsidR="00F41D6B" w:rsidRPr="00185BC0" w:rsidRDefault="00F41D6B" w:rsidP="00F41D6B">
            <w:pPr>
              <w:jc w:val="center"/>
              <w:rPr>
                <w:b/>
                <w:bCs/>
                <w:sz w:val="20"/>
                <w:szCs w:val="20"/>
              </w:rPr>
            </w:pPr>
            <w:r w:rsidRPr="00185BC0">
              <w:rPr>
                <w:b/>
                <w:bCs/>
                <w:sz w:val="20"/>
                <w:szCs w:val="20"/>
                <w:lang w:val="kk-KZ"/>
              </w:rPr>
              <w:t>После</w:t>
            </w:r>
            <w:r w:rsidRPr="00185BC0">
              <w:rPr>
                <w:b/>
                <w:bCs/>
                <w:sz w:val="20"/>
                <w:szCs w:val="20"/>
              </w:rPr>
              <w:t xml:space="preserve">  </w:t>
            </w:r>
            <w:r w:rsidRPr="00185BC0">
              <w:rPr>
                <w:b/>
                <w:bCs/>
                <w:sz w:val="20"/>
                <w:szCs w:val="20"/>
                <w:lang w:val="kk-KZ"/>
              </w:rPr>
              <w:t xml:space="preserve">операции </w:t>
            </w:r>
            <w:r w:rsidRPr="00185BC0">
              <w:rPr>
                <w:b/>
                <w:bCs/>
                <w:sz w:val="20"/>
                <w:szCs w:val="20"/>
              </w:rPr>
              <w:t>см</w:t>
            </w:r>
          </w:p>
          <w:p w14:paraId="6D97C49C" w14:textId="77777777" w:rsidR="00F41D6B" w:rsidRPr="00185BC0" w:rsidRDefault="00F41D6B" w:rsidP="00F41D6B">
            <w:pPr>
              <w:jc w:val="center"/>
              <w:rPr>
                <w:b/>
                <w:bCs/>
                <w:sz w:val="20"/>
                <w:szCs w:val="20"/>
              </w:rPr>
            </w:pPr>
            <w:r w:rsidRPr="00185BC0">
              <w:rPr>
                <w:b/>
                <w:bCs/>
                <w:sz w:val="20"/>
                <w:szCs w:val="20"/>
              </w:rPr>
              <w:t>(n=30)</w:t>
            </w:r>
          </w:p>
        </w:tc>
        <w:tc>
          <w:tcPr>
            <w:tcW w:w="1279" w:type="dxa"/>
            <w:vAlign w:val="center"/>
          </w:tcPr>
          <w:p w14:paraId="725E89DB" w14:textId="77777777" w:rsidR="00F41D6B" w:rsidRPr="00185BC0" w:rsidRDefault="00F41D6B" w:rsidP="00F41D6B">
            <w:pPr>
              <w:jc w:val="center"/>
              <w:rPr>
                <w:b/>
                <w:bCs/>
                <w:sz w:val="20"/>
                <w:szCs w:val="20"/>
              </w:rPr>
            </w:pPr>
            <w:r w:rsidRPr="00185BC0">
              <w:rPr>
                <w:b/>
                <w:bCs/>
                <w:sz w:val="20"/>
                <w:szCs w:val="20"/>
              </w:rPr>
              <w:t>p</w:t>
            </w:r>
          </w:p>
        </w:tc>
      </w:tr>
      <w:tr w:rsidR="00F41D6B" w:rsidRPr="00185BC0" w14:paraId="08C0312D" w14:textId="77777777" w:rsidTr="006A73B6">
        <w:trPr>
          <w:jc w:val="center"/>
        </w:trPr>
        <w:tc>
          <w:tcPr>
            <w:tcW w:w="1980" w:type="dxa"/>
            <w:vMerge/>
            <w:vAlign w:val="center"/>
          </w:tcPr>
          <w:p w14:paraId="16B202E6" w14:textId="77777777" w:rsidR="00F41D6B" w:rsidRPr="00185BC0" w:rsidRDefault="00F41D6B" w:rsidP="00F41D6B">
            <w:pPr>
              <w:jc w:val="center"/>
              <w:rPr>
                <w:sz w:val="20"/>
                <w:szCs w:val="20"/>
                <w:lang w:val="kk-KZ"/>
              </w:rPr>
            </w:pPr>
          </w:p>
        </w:tc>
        <w:tc>
          <w:tcPr>
            <w:tcW w:w="1559" w:type="dxa"/>
            <w:vAlign w:val="center"/>
          </w:tcPr>
          <w:p w14:paraId="4625F60A" w14:textId="77777777" w:rsidR="00F41D6B" w:rsidRPr="00185BC0" w:rsidRDefault="00F41D6B" w:rsidP="00F41D6B">
            <w:pPr>
              <w:spacing w:line="360" w:lineRule="auto"/>
              <w:jc w:val="center"/>
              <w:rPr>
                <w:sz w:val="20"/>
                <w:szCs w:val="20"/>
              </w:rPr>
            </w:pPr>
            <w:r w:rsidRPr="00185BC0">
              <w:rPr>
                <w:sz w:val="20"/>
                <w:szCs w:val="20"/>
              </w:rPr>
              <w:t>M ± SD</w:t>
            </w:r>
          </w:p>
        </w:tc>
        <w:tc>
          <w:tcPr>
            <w:tcW w:w="1418" w:type="dxa"/>
            <w:vAlign w:val="center"/>
          </w:tcPr>
          <w:p w14:paraId="395CB839" w14:textId="77777777" w:rsidR="00F41D6B" w:rsidRPr="00185BC0" w:rsidRDefault="00F41D6B" w:rsidP="00F41D6B">
            <w:pPr>
              <w:jc w:val="center"/>
              <w:rPr>
                <w:sz w:val="20"/>
                <w:szCs w:val="20"/>
              </w:rPr>
            </w:pPr>
            <w:r w:rsidRPr="00185BC0">
              <w:rPr>
                <w:sz w:val="20"/>
                <w:szCs w:val="20"/>
              </w:rPr>
              <w:t>95% ДИ</w:t>
            </w:r>
          </w:p>
        </w:tc>
        <w:tc>
          <w:tcPr>
            <w:tcW w:w="1417" w:type="dxa"/>
            <w:vAlign w:val="center"/>
          </w:tcPr>
          <w:p w14:paraId="35142D56" w14:textId="77777777" w:rsidR="00F41D6B" w:rsidRPr="00185BC0" w:rsidRDefault="00F41D6B" w:rsidP="00F41D6B">
            <w:pPr>
              <w:jc w:val="center"/>
              <w:rPr>
                <w:sz w:val="20"/>
                <w:szCs w:val="20"/>
              </w:rPr>
            </w:pPr>
            <w:r w:rsidRPr="00185BC0">
              <w:rPr>
                <w:sz w:val="20"/>
                <w:szCs w:val="20"/>
              </w:rPr>
              <w:t>M ± SD</w:t>
            </w:r>
          </w:p>
        </w:tc>
        <w:tc>
          <w:tcPr>
            <w:tcW w:w="1418" w:type="dxa"/>
            <w:vAlign w:val="center"/>
          </w:tcPr>
          <w:p w14:paraId="621C12C8" w14:textId="77777777" w:rsidR="00F41D6B" w:rsidRPr="00185BC0" w:rsidRDefault="00F41D6B" w:rsidP="00F41D6B">
            <w:pPr>
              <w:jc w:val="center"/>
              <w:rPr>
                <w:sz w:val="20"/>
                <w:szCs w:val="20"/>
              </w:rPr>
            </w:pPr>
            <w:r w:rsidRPr="00185BC0">
              <w:rPr>
                <w:sz w:val="20"/>
                <w:szCs w:val="20"/>
              </w:rPr>
              <w:t>95% ДИ</w:t>
            </w:r>
          </w:p>
        </w:tc>
        <w:tc>
          <w:tcPr>
            <w:tcW w:w="1279" w:type="dxa"/>
          </w:tcPr>
          <w:p w14:paraId="6A097AFD" w14:textId="77777777" w:rsidR="00F41D6B" w:rsidRPr="00185BC0" w:rsidRDefault="00F41D6B" w:rsidP="00F41D6B">
            <w:pPr>
              <w:rPr>
                <w:sz w:val="20"/>
                <w:szCs w:val="20"/>
              </w:rPr>
            </w:pPr>
          </w:p>
        </w:tc>
      </w:tr>
      <w:tr w:rsidR="00F41D6B" w:rsidRPr="00185BC0" w14:paraId="48D17003" w14:textId="77777777" w:rsidTr="006A73B6">
        <w:trPr>
          <w:trHeight w:val="664"/>
          <w:jc w:val="center"/>
        </w:trPr>
        <w:tc>
          <w:tcPr>
            <w:tcW w:w="1980" w:type="dxa"/>
            <w:vAlign w:val="center"/>
          </w:tcPr>
          <w:p w14:paraId="502B4917" w14:textId="77777777" w:rsidR="00F41D6B" w:rsidRPr="00185BC0" w:rsidRDefault="00F41D6B" w:rsidP="00F41D6B">
            <w:pPr>
              <w:rPr>
                <w:sz w:val="20"/>
                <w:szCs w:val="20"/>
              </w:rPr>
            </w:pPr>
            <w:r w:rsidRPr="00185BC0">
              <w:rPr>
                <w:sz w:val="20"/>
                <w:szCs w:val="20"/>
                <w:lang w:val="kk-KZ"/>
              </w:rPr>
              <w:t>Бедренная кость</w:t>
            </w:r>
          </w:p>
        </w:tc>
        <w:tc>
          <w:tcPr>
            <w:tcW w:w="1559" w:type="dxa"/>
            <w:vAlign w:val="center"/>
          </w:tcPr>
          <w:p w14:paraId="279FC49C" w14:textId="77777777" w:rsidR="00F41D6B" w:rsidRPr="00185BC0" w:rsidRDefault="00F41D6B" w:rsidP="00F41D6B">
            <w:pPr>
              <w:jc w:val="center"/>
              <w:rPr>
                <w:sz w:val="20"/>
                <w:szCs w:val="20"/>
              </w:rPr>
            </w:pPr>
            <w:r w:rsidRPr="00185BC0">
              <w:rPr>
                <w:sz w:val="20"/>
                <w:szCs w:val="20"/>
              </w:rPr>
              <w:t>40,37 ± 2,98</w:t>
            </w:r>
          </w:p>
        </w:tc>
        <w:tc>
          <w:tcPr>
            <w:tcW w:w="1418" w:type="dxa"/>
            <w:vAlign w:val="center"/>
          </w:tcPr>
          <w:p w14:paraId="37465290" w14:textId="77777777" w:rsidR="00F41D6B" w:rsidRPr="00185BC0" w:rsidRDefault="00F41D6B" w:rsidP="00F41D6B">
            <w:pPr>
              <w:jc w:val="center"/>
              <w:rPr>
                <w:sz w:val="20"/>
                <w:szCs w:val="20"/>
              </w:rPr>
            </w:pPr>
            <w:r w:rsidRPr="00185BC0">
              <w:rPr>
                <w:sz w:val="20"/>
                <w:szCs w:val="20"/>
              </w:rPr>
              <w:t>39,25 – 41,48</w:t>
            </w:r>
          </w:p>
        </w:tc>
        <w:tc>
          <w:tcPr>
            <w:tcW w:w="1417" w:type="dxa"/>
            <w:vAlign w:val="center"/>
          </w:tcPr>
          <w:p w14:paraId="1FDA3981" w14:textId="77777777" w:rsidR="00F41D6B" w:rsidRPr="00185BC0" w:rsidRDefault="00F41D6B" w:rsidP="00F41D6B">
            <w:pPr>
              <w:jc w:val="center"/>
              <w:rPr>
                <w:sz w:val="20"/>
                <w:szCs w:val="20"/>
              </w:rPr>
            </w:pPr>
            <w:r w:rsidRPr="00185BC0">
              <w:rPr>
                <w:sz w:val="20"/>
                <w:szCs w:val="20"/>
              </w:rPr>
              <w:t>38,43 ± 3,78</w:t>
            </w:r>
          </w:p>
        </w:tc>
        <w:tc>
          <w:tcPr>
            <w:tcW w:w="1418" w:type="dxa"/>
            <w:vAlign w:val="center"/>
          </w:tcPr>
          <w:p w14:paraId="11DCBF84" w14:textId="77777777" w:rsidR="00F41D6B" w:rsidRPr="00185BC0" w:rsidRDefault="00F41D6B" w:rsidP="00F41D6B">
            <w:pPr>
              <w:jc w:val="center"/>
              <w:rPr>
                <w:sz w:val="20"/>
                <w:szCs w:val="20"/>
              </w:rPr>
            </w:pPr>
            <w:r w:rsidRPr="00185BC0">
              <w:rPr>
                <w:sz w:val="20"/>
                <w:szCs w:val="20"/>
              </w:rPr>
              <w:t>37,02 – 39,84</w:t>
            </w:r>
          </w:p>
        </w:tc>
        <w:tc>
          <w:tcPr>
            <w:tcW w:w="1279" w:type="dxa"/>
            <w:vAlign w:val="center"/>
          </w:tcPr>
          <w:p w14:paraId="5CABE087" w14:textId="0097D515" w:rsidR="00F41D6B" w:rsidRPr="00185BC0" w:rsidRDefault="00F41D6B" w:rsidP="00F41D6B">
            <w:pPr>
              <w:jc w:val="center"/>
              <w:rPr>
                <w:sz w:val="20"/>
                <w:szCs w:val="20"/>
              </w:rPr>
            </w:pPr>
            <w:r w:rsidRPr="00185BC0">
              <w:rPr>
                <w:sz w:val="20"/>
                <w:szCs w:val="20"/>
              </w:rPr>
              <w:t>&lt;0,001*</w:t>
            </w:r>
          </w:p>
        </w:tc>
      </w:tr>
      <w:tr w:rsidR="00F41D6B" w:rsidRPr="00185BC0" w14:paraId="4BF83E1A" w14:textId="77777777" w:rsidTr="006A73B6">
        <w:trPr>
          <w:jc w:val="center"/>
        </w:trPr>
        <w:tc>
          <w:tcPr>
            <w:tcW w:w="1980" w:type="dxa"/>
            <w:vAlign w:val="center"/>
          </w:tcPr>
          <w:p w14:paraId="25C2FC2E" w14:textId="77777777" w:rsidR="00F41D6B" w:rsidRPr="00185BC0" w:rsidRDefault="00F41D6B" w:rsidP="00F41D6B">
            <w:pPr>
              <w:rPr>
                <w:sz w:val="20"/>
                <w:szCs w:val="20"/>
                <w:lang w:val="kk-KZ"/>
              </w:rPr>
            </w:pPr>
            <w:r w:rsidRPr="00185BC0">
              <w:rPr>
                <w:sz w:val="20"/>
                <w:szCs w:val="20"/>
                <w:lang w:val="kk-KZ"/>
              </w:rPr>
              <w:t xml:space="preserve">Больщеберцовая кость </w:t>
            </w:r>
          </w:p>
          <w:p w14:paraId="4451496D" w14:textId="77777777" w:rsidR="00F41D6B" w:rsidRPr="00185BC0" w:rsidRDefault="00F41D6B" w:rsidP="00F41D6B">
            <w:pPr>
              <w:rPr>
                <w:sz w:val="20"/>
                <w:szCs w:val="20"/>
                <w:lang w:val="kk-KZ"/>
              </w:rPr>
            </w:pPr>
          </w:p>
        </w:tc>
        <w:tc>
          <w:tcPr>
            <w:tcW w:w="1559" w:type="dxa"/>
            <w:vAlign w:val="center"/>
          </w:tcPr>
          <w:p w14:paraId="7D7AB6D5" w14:textId="77777777" w:rsidR="00F41D6B" w:rsidRPr="00185BC0" w:rsidRDefault="00F41D6B" w:rsidP="00F41D6B">
            <w:pPr>
              <w:jc w:val="center"/>
              <w:rPr>
                <w:sz w:val="20"/>
                <w:szCs w:val="20"/>
              </w:rPr>
            </w:pPr>
            <w:r w:rsidRPr="00185BC0">
              <w:rPr>
                <w:sz w:val="20"/>
                <w:szCs w:val="20"/>
              </w:rPr>
              <w:t>35,01 ± 2,52</w:t>
            </w:r>
          </w:p>
        </w:tc>
        <w:tc>
          <w:tcPr>
            <w:tcW w:w="1418" w:type="dxa"/>
            <w:vAlign w:val="center"/>
          </w:tcPr>
          <w:p w14:paraId="67C4FA38" w14:textId="77777777" w:rsidR="00F41D6B" w:rsidRPr="00185BC0" w:rsidRDefault="00F41D6B" w:rsidP="00F41D6B">
            <w:pPr>
              <w:jc w:val="center"/>
              <w:rPr>
                <w:sz w:val="20"/>
                <w:szCs w:val="20"/>
              </w:rPr>
            </w:pPr>
            <w:r w:rsidRPr="00185BC0">
              <w:rPr>
                <w:sz w:val="20"/>
                <w:szCs w:val="20"/>
              </w:rPr>
              <w:t>34,07 – 35,95</w:t>
            </w:r>
          </w:p>
        </w:tc>
        <w:tc>
          <w:tcPr>
            <w:tcW w:w="1417" w:type="dxa"/>
            <w:vAlign w:val="center"/>
          </w:tcPr>
          <w:p w14:paraId="0AC02577" w14:textId="77777777" w:rsidR="00F41D6B" w:rsidRPr="00185BC0" w:rsidRDefault="00F41D6B" w:rsidP="00F41D6B">
            <w:pPr>
              <w:jc w:val="center"/>
              <w:rPr>
                <w:sz w:val="20"/>
                <w:szCs w:val="20"/>
              </w:rPr>
            </w:pPr>
            <w:r w:rsidRPr="00185BC0">
              <w:rPr>
                <w:sz w:val="20"/>
                <w:szCs w:val="20"/>
              </w:rPr>
              <w:t>35,01 ± 2,52</w:t>
            </w:r>
          </w:p>
        </w:tc>
        <w:tc>
          <w:tcPr>
            <w:tcW w:w="1418" w:type="dxa"/>
            <w:vAlign w:val="center"/>
          </w:tcPr>
          <w:p w14:paraId="086A0805" w14:textId="77777777" w:rsidR="00F41D6B" w:rsidRPr="00185BC0" w:rsidRDefault="00F41D6B" w:rsidP="00F41D6B">
            <w:pPr>
              <w:jc w:val="center"/>
              <w:rPr>
                <w:sz w:val="20"/>
                <w:szCs w:val="20"/>
              </w:rPr>
            </w:pPr>
            <w:r w:rsidRPr="00185BC0">
              <w:rPr>
                <w:sz w:val="20"/>
                <w:szCs w:val="20"/>
              </w:rPr>
              <w:t>34,07 – 35,95</w:t>
            </w:r>
          </w:p>
        </w:tc>
        <w:tc>
          <w:tcPr>
            <w:tcW w:w="1279" w:type="dxa"/>
            <w:vAlign w:val="center"/>
          </w:tcPr>
          <w:p w14:paraId="66C26DB9" w14:textId="77777777" w:rsidR="00F41D6B" w:rsidRPr="00185BC0" w:rsidRDefault="00F41D6B" w:rsidP="00F41D6B">
            <w:pPr>
              <w:jc w:val="center"/>
              <w:rPr>
                <w:sz w:val="20"/>
                <w:szCs w:val="20"/>
                <w:lang w:val="kk-KZ"/>
              </w:rPr>
            </w:pPr>
          </w:p>
        </w:tc>
      </w:tr>
      <w:tr w:rsidR="00F41D6B" w:rsidRPr="00185BC0" w14:paraId="46A548DC" w14:textId="77777777" w:rsidTr="006A73B6">
        <w:trPr>
          <w:jc w:val="center"/>
        </w:trPr>
        <w:tc>
          <w:tcPr>
            <w:tcW w:w="1980" w:type="dxa"/>
            <w:vAlign w:val="center"/>
          </w:tcPr>
          <w:p w14:paraId="0D735ADE" w14:textId="77777777" w:rsidR="00F41D6B" w:rsidRPr="00185BC0" w:rsidRDefault="00F41D6B" w:rsidP="00F41D6B">
            <w:pPr>
              <w:rPr>
                <w:sz w:val="20"/>
                <w:szCs w:val="20"/>
                <w:lang w:val="kk-KZ"/>
              </w:rPr>
            </w:pPr>
            <w:r w:rsidRPr="00185BC0">
              <w:rPr>
                <w:sz w:val="20"/>
                <w:szCs w:val="20"/>
                <w:lang w:val="kk-KZ"/>
              </w:rPr>
              <w:t>Бедренная кость + больщеберцовая кость</w:t>
            </w:r>
          </w:p>
        </w:tc>
        <w:tc>
          <w:tcPr>
            <w:tcW w:w="1559" w:type="dxa"/>
            <w:vAlign w:val="center"/>
          </w:tcPr>
          <w:p w14:paraId="1D71ADF3" w14:textId="77777777" w:rsidR="00F41D6B" w:rsidRPr="00185BC0" w:rsidRDefault="00F41D6B" w:rsidP="00F41D6B">
            <w:pPr>
              <w:jc w:val="center"/>
              <w:rPr>
                <w:sz w:val="20"/>
                <w:szCs w:val="20"/>
              </w:rPr>
            </w:pPr>
            <w:r w:rsidRPr="00185BC0">
              <w:rPr>
                <w:sz w:val="20"/>
                <w:szCs w:val="20"/>
              </w:rPr>
              <w:t>69,95 ± 5,12</w:t>
            </w:r>
          </w:p>
        </w:tc>
        <w:tc>
          <w:tcPr>
            <w:tcW w:w="1418" w:type="dxa"/>
            <w:vAlign w:val="center"/>
          </w:tcPr>
          <w:p w14:paraId="2D2AF8B4" w14:textId="77777777" w:rsidR="00F41D6B" w:rsidRPr="00185BC0" w:rsidRDefault="00F41D6B" w:rsidP="00F41D6B">
            <w:pPr>
              <w:jc w:val="center"/>
              <w:rPr>
                <w:sz w:val="20"/>
                <w:szCs w:val="20"/>
              </w:rPr>
            </w:pPr>
            <w:r w:rsidRPr="00185BC0">
              <w:rPr>
                <w:sz w:val="20"/>
                <w:szCs w:val="20"/>
              </w:rPr>
              <w:t>68,04 – 71,86</w:t>
            </w:r>
          </w:p>
        </w:tc>
        <w:tc>
          <w:tcPr>
            <w:tcW w:w="1417" w:type="dxa"/>
            <w:vAlign w:val="center"/>
          </w:tcPr>
          <w:p w14:paraId="6493D86C" w14:textId="77777777" w:rsidR="00F41D6B" w:rsidRPr="00185BC0" w:rsidRDefault="00F41D6B" w:rsidP="00F41D6B">
            <w:pPr>
              <w:jc w:val="center"/>
              <w:rPr>
                <w:sz w:val="20"/>
                <w:szCs w:val="20"/>
              </w:rPr>
            </w:pPr>
            <w:r w:rsidRPr="00185BC0">
              <w:rPr>
                <w:sz w:val="20"/>
                <w:szCs w:val="20"/>
              </w:rPr>
              <w:t>73,44 ± 5,90</w:t>
            </w:r>
          </w:p>
        </w:tc>
        <w:tc>
          <w:tcPr>
            <w:tcW w:w="1418" w:type="dxa"/>
            <w:vAlign w:val="center"/>
          </w:tcPr>
          <w:p w14:paraId="16E28892" w14:textId="77777777" w:rsidR="00F41D6B" w:rsidRPr="00185BC0" w:rsidRDefault="00F41D6B" w:rsidP="00F41D6B">
            <w:pPr>
              <w:jc w:val="center"/>
              <w:rPr>
                <w:sz w:val="20"/>
                <w:szCs w:val="20"/>
              </w:rPr>
            </w:pPr>
            <w:r w:rsidRPr="00185BC0">
              <w:rPr>
                <w:sz w:val="20"/>
                <w:szCs w:val="20"/>
              </w:rPr>
              <w:t>71,24 – 75,65</w:t>
            </w:r>
          </w:p>
        </w:tc>
        <w:tc>
          <w:tcPr>
            <w:tcW w:w="1279" w:type="dxa"/>
            <w:vAlign w:val="center"/>
          </w:tcPr>
          <w:p w14:paraId="0B9DFAA5" w14:textId="42411C78" w:rsidR="00F41D6B" w:rsidRPr="00185BC0" w:rsidRDefault="00F41D6B" w:rsidP="00F41D6B">
            <w:pPr>
              <w:jc w:val="center"/>
              <w:rPr>
                <w:sz w:val="20"/>
                <w:szCs w:val="20"/>
              </w:rPr>
            </w:pPr>
            <w:r w:rsidRPr="00185BC0">
              <w:rPr>
                <w:sz w:val="20"/>
                <w:szCs w:val="20"/>
              </w:rPr>
              <w:t>&lt;0,001*</w:t>
            </w:r>
          </w:p>
        </w:tc>
      </w:tr>
      <w:tr w:rsidR="00F41D6B" w:rsidRPr="00185BC0" w14:paraId="74E022E6" w14:textId="77777777" w:rsidTr="006A73B6">
        <w:trPr>
          <w:jc w:val="center"/>
        </w:trPr>
        <w:tc>
          <w:tcPr>
            <w:tcW w:w="1980" w:type="dxa"/>
            <w:vAlign w:val="center"/>
          </w:tcPr>
          <w:p w14:paraId="4DE8ED3F" w14:textId="77777777" w:rsidR="00F41D6B" w:rsidRPr="00185BC0" w:rsidRDefault="00F41D6B" w:rsidP="00F41D6B">
            <w:pPr>
              <w:rPr>
                <w:sz w:val="20"/>
                <w:szCs w:val="20"/>
                <w:lang w:val="kk-KZ"/>
              </w:rPr>
            </w:pPr>
            <w:r w:rsidRPr="00185BC0">
              <w:rPr>
                <w:sz w:val="20"/>
                <w:szCs w:val="20"/>
                <w:lang w:val="kk-KZ"/>
              </w:rPr>
              <w:t>Длина нижней конечности</w:t>
            </w:r>
          </w:p>
        </w:tc>
        <w:tc>
          <w:tcPr>
            <w:tcW w:w="1559" w:type="dxa"/>
            <w:vAlign w:val="center"/>
          </w:tcPr>
          <w:p w14:paraId="7BE2751B" w14:textId="77777777" w:rsidR="00F41D6B" w:rsidRPr="00185BC0" w:rsidRDefault="00F41D6B" w:rsidP="00F41D6B">
            <w:pPr>
              <w:jc w:val="center"/>
              <w:rPr>
                <w:sz w:val="20"/>
                <w:szCs w:val="20"/>
              </w:rPr>
            </w:pPr>
            <w:r w:rsidRPr="00185BC0">
              <w:rPr>
                <w:sz w:val="20"/>
                <w:szCs w:val="20"/>
              </w:rPr>
              <w:t>78,53 ± 5,00</w:t>
            </w:r>
          </w:p>
        </w:tc>
        <w:tc>
          <w:tcPr>
            <w:tcW w:w="1418" w:type="dxa"/>
            <w:vAlign w:val="center"/>
          </w:tcPr>
          <w:p w14:paraId="39B38A3D" w14:textId="77777777" w:rsidR="00F41D6B" w:rsidRPr="00185BC0" w:rsidRDefault="00F41D6B" w:rsidP="00F41D6B">
            <w:pPr>
              <w:jc w:val="center"/>
              <w:rPr>
                <w:sz w:val="20"/>
                <w:szCs w:val="20"/>
              </w:rPr>
            </w:pPr>
            <w:r w:rsidRPr="00185BC0">
              <w:rPr>
                <w:sz w:val="20"/>
                <w:szCs w:val="20"/>
              </w:rPr>
              <w:t>76,66 – 80,40</w:t>
            </w:r>
          </w:p>
        </w:tc>
        <w:tc>
          <w:tcPr>
            <w:tcW w:w="1417" w:type="dxa"/>
            <w:vAlign w:val="center"/>
          </w:tcPr>
          <w:p w14:paraId="37CB22B3" w14:textId="77777777" w:rsidR="00F41D6B" w:rsidRPr="00185BC0" w:rsidRDefault="00F41D6B" w:rsidP="00F41D6B">
            <w:pPr>
              <w:jc w:val="center"/>
              <w:rPr>
                <w:sz w:val="20"/>
                <w:szCs w:val="20"/>
              </w:rPr>
            </w:pPr>
            <w:r w:rsidRPr="00185BC0">
              <w:rPr>
                <w:sz w:val="20"/>
                <w:szCs w:val="20"/>
              </w:rPr>
              <w:t>79,28 ± 4,69</w:t>
            </w:r>
          </w:p>
        </w:tc>
        <w:tc>
          <w:tcPr>
            <w:tcW w:w="1418" w:type="dxa"/>
            <w:vAlign w:val="center"/>
          </w:tcPr>
          <w:p w14:paraId="06FEED05" w14:textId="77777777" w:rsidR="00F41D6B" w:rsidRPr="00185BC0" w:rsidRDefault="00F41D6B" w:rsidP="00F41D6B">
            <w:pPr>
              <w:jc w:val="center"/>
              <w:rPr>
                <w:sz w:val="20"/>
                <w:szCs w:val="20"/>
              </w:rPr>
            </w:pPr>
            <w:r w:rsidRPr="00185BC0">
              <w:rPr>
                <w:sz w:val="20"/>
                <w:szCs w:val="20"/>
              </w:rPr>
              <w:t>77,52 – 81,03</w:t>
            </w:r>
          </w:p>
        </w:tc>
        <w:tc>
          <w:tcPr>
            <w:tcW w:w="1279" w:type="dxa"/>
            <w:vAlign w:val="center"/>
          </w:tcPr>
          <w:p w14:paraId="7CD790EF" w14:textId="40E77993" w:rsidR="00F41D6B" w:rsidRPr="00185BC0" w:rsidRDefault="00F41D6B" w:rsidP="00F41D6B">
            <w:pPr>
              <w:jc w:val="center"/>
              <w:rPr>
                <w:sz w:val="20"/>
                <w:szCs w:val="20"/>
              </w:rPr>
            </w:pPr>
            <w:r w:rsidRPr="00185BC0">
              <w:rPr>
                <w:sz w:val="20"/>
                <w:szCs w:val="20"/>
              </w:rPr>
              <w:t>&lt;0,001*</w:t>
            </w:r>
          </w:p>
        </w:tc>
      </w:tr>
    </w:tbl>
    <w:p w14:paraId="55A7B7FB" w14:textId="77777777" w:rsidR="00F41D6B" w:rsidRPr="00185BC0" w:rsidRDefault="00F41D6B" w:rsidP="00F41D6B">
      <w:pPr>
        <w:ind w:firstLine="567"/>
        <w:jc w:val="both"/>
        <w:rPr>
          <w:sz w:val="28"/>
          <w:szCs w:val="28"/>
          <w:lang w:val="kk-KZ"/>
        </w:rPr>
      </w:pPr>
    </w:p>
    <w:p w14:paraId="1E49FDB7" w14:textId="77777777" w:rsidR="00F41D6B" w:rsidRPr="00185BC0" w:rsidRDefault="00F41D6B" w:rsidP="00F41D6B">
      <w:pPr>
        <w:ind w:firstLine="567"/>
        <w:jc w:val="both"/>
        <w:rPr>
          <w:sz w:val="28"/>
          <w:szCs w:val="28"/>
          <w:lang w:val="kk-KZ"/>
        </w:rPr>
      </w:pPr>
      <w:r w:rsidRPr="00185BC0">
        <w:rPr>
          <w:sz w:val="28"/>
          <w:szCs w:val="28"/>
          <w:lang w:val="kk-KZ"/>
        </w:rPr>
        <w:t xml:space="preserve">При оценке параметров левой нижней конечности также выявлено уменьшение длины бедренной кости с 39,31 ± 3,41 см до 36,96 ± 2,52 см (p &lt; 0,001). Длина большеберцовой кости достоверно не изменилась (34,94 ± 2,65 см и 34,96 ± 2,64 см; p = 0,395). Суммарная длина бедра и голени снизилась с 104,89 ± 7,76 см до 72,24 ± 4,88 см (p &lt; 0,001). Общая длина конечности увеличилась с </w:t>
      </w:r>
      <w:r w:rsidRPr="00185BC0">
        <w:rPr>
          <w:sz w:val="28"/>
          <w:szCs w:val="28"/>
          <w:lang w:val="kk-KZ"/>
        </w:rPr>
        <w:lastRenderedPageBreak/>
        <w:t>77,07 ± 4,72 см до 79,11 ± 4,97 см (p &lt; 0,001) (таблица 9).</w:t>
      </w:r>
    </w:p>
    <w:p w14:paraId="18F48888" w14:textId="27A05A8B" w:rsidR="00F41D6B" w:rsidRPr="00185BC0" w:rsidRDefault="00F41D6B" w:rsidP="00331E2B">
      <w:pPr>
        <w:jc w:val="both"/>
        <w:rPr>
          <w:b/>
          <w:bCs/>
          <w:sz w:val="28"/>
          <w:szCs w:val="28"/>
        </w:rPr>
      </w:pPr>
      <w:r w:rsidRPr="00185BC0">
        <w:rPr>
          <w:b/>
          <w:bCs/>
          <w:sz w:val="28"/>
          <w:szCs w:val="28"/>
        </w:rPr>
        <w:t xml:space="preserve">Таблица 9 – </w:t>
      </w:r>
      <w:proofErr w:type="spellStart"/>
      <w:r w:rsidRPr="00185BC0">
        <w:rPr>
          <w:b/>
          <w:bCs/>
          <w:sz w:val="28"/>
          <w:szCs w:val="28"/>
        </w:rPr>
        <w:t>Телерентгенографические</w:t>
      </w:r>
      <w:proofErr w:type="spellEnd"/>
      <w:r w:rsidRPr="00185BC0">
        <w:rPr>
          <w:b/>
          <w:bCs/>
          <w:sz w:val="28"/>
          <w:szCs w:val="28"/>
        </w:rPr>
        <w:t xml:space="preserve"> показатели левой нижней конечности до и после операции</w:t>
      </w:r>
    </w:p>
    <w:p w14:paraId="4DBE5013" w14:textId="77777777" w:rsidR="006A73B6" w:rsidRPr="00185BC0" w:rsidRDefault="006A73B6" w:rsidP="00331E2B">
      <w:pPr>
        <w:jc w:val="both"/>
        <w:rPr>
          <w:b/>
          <w:bCs/>
          <w:sz w:val="28"/>
          <w:szCs w:val="28"/>
        </w:rPr>
      </w:pPr>
    </w:p>
    <w:tbl>
      <w:tblPr>
        <w:tblStyle w:val="50"/>
        <w:tblW w:w="9209" w:type="dxa"/>
        <w:jc w:val="center"/>
        <w:tblLook w:val="04A0" w:firstRow="1" w:lastRow="0" w:firstColumn="1" w:lastColumn="0" w:noHBand="0" w:noVBand="1"/>
      </w:tblPr>
      <w:tblGrid>
        <w:gridCol w:w="1838"/>
        <w:gridCol w:w="1559"/>
        <w:gridCol w:w="1560"/>
        <w:gridCol w:w="1417"/>
        <w:gridCol w:w="1418"/>
        <w:gridCol w:w="1417"/>
      </w:tblGrid>
      <w:tr w:rsidR="00F41D6B" w:rsidRPr="00185BC0" w14:paraId="29949888" w14:textId="77777777" w:rsidTr="006A73B6">
        <w:trPr>
          <w:trHeight w:val="976"/>
          <w:jc w:val="center"/>
        </w:trPr>
        <w:tc>
          <w:tcPr>
            <w:tcW w:w="1838" w:type="dxa"/>
            <w:vMerge w:val="restart"/>
            <w:vAlign w:val="center"/>
          </w:tcPr>
          <w:p w14:paraId="78D68D28" w14:textId="77777777" w:rsidR="00F41D6B" w:rsidRPr="00185BC0" w:rsidRDefault="00F41D6B" w:rsidP="00F41D6B">
            <w:pPr>
              <w:jc w:val="center"/>
              <w:rPr>
                <w:b/>
                <w:bCs/>
                <w:sz w:val="20"/>
                <w:szCs w:val="20"/>
                <w:lang w:val="kk-KZ"/>
              </w:rPr>
            </w:pPr>
            <w:r w:rsidRPr="00185BC0">
              <w:rPr>
                <w:b/>
                <w:bCs/>
                <w:sz w:val="20"/>
                <w:szCs w:val="20"/>
              </w:rPr>
              <w:t>Измеряемые параметры</w:t>
            </w:r>
          </w:p>
        </w:tc>
        <w:tc>
          <w:tcPr>
            <w:tcW w:w="3119" w:type="dxa"/>
            <w:gridSpan w:val="2"/>
            <w:vAlign w:val="center"/>
          </w:tcPr>
          <w:p w14:paraId="59F2320A" w14:textId="77777777" w:rsidR="00F41D6B" w:rsidRPr="00185BC0" w:rsidRDefault="00F41D6B" w:rsidP="00F41D6B">
            <w:pPr>
              <w:jc w:val="center"/>
              <w:rPr>
                <w:b/>
                <w:bCs/>
                <w:sz w:val="20"/>
                <w:szCs w:val="20"/>
              </w:rPr>
            </w:pPr>
            <w:r w:rsidRPr="00185BC0">
              <w:rPr>
                <w:b/>
                <w:bCs/>
                <w:sz w:val="20"/>
                <w:szCs w:val="20"/>
                <w:lang w:val="kk-KZ"/>
              </w:rPr>
              <w:t>Д</w:t>
            </w:r>
            <w:r w:rsidRPr="00185BC0">
              <w:rPr>
                <w:b/>
                <w:bCs/>
                <w:sz w:val="20"/>
                <w:szCs w:val="20"/>
              </w:rPr>
              <w:t xml:space="preserve">о  </w:t>
            </w:r>
            <w:r w:rsidRPr="00185BC0">
              <w:rPr>
                <w:b/>
                <w:bCs/>
                <w:sz w:val="20"/>
                <w:szCs w:val="20"/>
                <w:lang w:val="kk-KZ"/>
              </w:rPr>
              <w:t xml:space="preserve">операции </w:t>
            </w:r>
            <w:r w:rsidRPr="00185BC0">
              <w:rPr>
                <w:b/>
                <w:bCs/>
                <w:sz w:val="20"/>
                <w:szCs w:val="20"/>
              </w:rPr>
              <w:t>см</w:t>
            </w:r>
          </w:p>
          <w:p w14:paraId="3B7682DF" w14:textId="77777777" w:rsidR="00F41D6B" w:rsidRPr="00185BC0" w:rsidRDefault="00F41D6B" w:rsidP="00F41D6B">
            <w:pPr>
              <w:jc w:val="center"/>
              <w:rPr>
                <w:b/>
                <w:bCs/>
                <w:sz w:val="20"/>
                <w:szCs w:val="20"/>
                <w:lang w:val="kk-KZ"/>
              </w:rPr>
            </w:pPr>
            <w:r w:rsidRPr="00185BC0">
              <w:rPr>
                <w:b/>
                <w:bCs/>
                <w:sz w:val="20"/>
                <w:szCs w:val="20"/>
              </w:rPr>
              <w:t>(n=30)</w:t>
            </w:r>
          </w:p>
        </w:tc>
        <w:tc>
          <w:tcPr>
            <w:tcW w:w="2835" w:type="dxa"/>
            <w:gridSpan w:val="2"/>
            <w:vAlign w:val="center"/>
          </w:tcPr>
          <w:p w14:paraId="4C878BAA" w14:textId="77777777" w:rsidR="00F41D6B" w:rsidRPr="00185BC0" w:rsidRDefault="00F41D6B" w:rsidP="00F41D6B">
            <w:pPr>
              <w:jc w:val="center"/>
              <w:rPr>
                <w:b/>
                <w:bCs/>
                <w:sz w:val="20"/>
                <w:szCs w:val="20"/>
              </w:rPr>
            </w:pPr>
            <w:r w:rsidRPr="00185BC0">
              <w:rPr>
                <w:b/>
                <w:bCs/>
                <w:sz w:val="20"/>
                <w:szCs w:val="20"/>
                <w:lang w:val="kk-KZ"/>
              </w:rPr>
              <w:t>После</w:t>
            </w:r>
            <w:r w:rsidRPr="00185BC0">
              <w:rPr>
                <w:b/>
                <w:bCs/>
                <w:sz w:val="20"/>
                <w:szCs w:val="20"/>
              </w:rPr>
              <w:t xml:space="preserve">  </w:t>
            </w:r>
            <w:r w:rsidRPr="00185BC0">
              <w:rPr>
                <w:b/>
                <w:bCs/>
                <w:sz w:val="20"/>
                <w:szCs w:val="20"/>
                <w:lang w:val="kk-KZ"/>
              </w:rPr>
              <w:t xml:space="preserve">операции </w:t>
            </w:r>
            <w:r w:rsidRPr="00185BC0">
              <w:rPr>
                <w:b/>
                <w:bCs/>
                <w:sz w:val="20"/>
                <w:szCs w:val="20"/>
              </w:rPr>
              <w:t>см</w:t>
            </w:r>
          </w:p>
          <w:p w14:paraId="0705CCC2" w14:textId="77777777" w:rsidR="00F41D6B" w:rsidRPr="00185BC0" w:rsidRDefault="00F41D6B" w:rsidP="00F41D6B">
            <w:pPr>
              <w:jc w:val="center"/>
              <w:rPr>
                <w:b/>
                <w:bCs/>
                <w:sz w:val="20"/>
                <w:szCs w:val="20"/>
                <w:lang w:val="kk-KZ"/>
              </w:rPr>
            </w:pPr>
            <w:r w:rsidRPr="00185BC0">
              <w:rPr>
                <w:b/>
                <w:bCs/>
                <w:sz w:val="20"/>
                <w:szCs w:val="20"/>
              </w:rPr>
              <w:t>(n=30)</w:t>
            </w:r>
          </w:p>
        </w:tc>
        <w:tc>
          <w:tcPr>
            <w:tcW w:w="1417" w:type="dxa"/>
            <w:vMerge w:val="restart"/>
            <w:vAlign w:val="center"/>
          </w:tcPr>
          <w:p w14:paraId="048CD358" w14:textId="77777777" w:rsidR="00F41D6B" w:rsidRPr="00185BC0" w:rsidRDefault="00F41D6B" w:rsidP="00F41D6B">
            <w:pPr>
              <w:jc w:val="center"/>
              <w:rPr>
                <w:b/>
                <w:bCs/>
                <w:sz w:val="20"/>
                <w:szCs w:val="20"/>
              </w:rPr>
            </w:pPr>
            <w:r w:rsidRPr="00185BC0">
              <w:rPr>
                <w:b/>
                <w:bCs/>
                <w:sz w:val="20"/>
                <w:szCs w:val="20"/>
              </w:rPr>
              <w:t>p</w:t>
            </w:r>
          </w:p>
        </w:tc>
      </w:tr>
      <w:tr w:rsidR="00F41D6B" w:rsidRPr="00185BC0" w14:paraId="3461740B" w14:textId="77777777" w:rsidTr="006A73B6">
        <w:trPr>
          <w:jc w:val="center"/>
        </w:trPr>
        <w:tc>
          <w:tcPr>
            <w:tcW w:w="1838" w:type="dxa"/>
            <w:vMerge/>
            <w:vAlign w:val="center"/>
          </w:tcPr>
          <w:p w14:paraId="44AC70C6" w14:textId="77777777" w:rsidR="00F41D6B" w:rsidRPr="00185BC0" w:rsidRDefault="00F41D6B" w:rsidP="00F41D6B">
            <w:pPr>
              <w:jc w:val="center"/>
              <w:rPr>
                <w:sz w:val="20"/>
                <w:szCs w:val="20"/>
                <w:lang w:val="kk-KZ"/>
              </w:rPr>
            </w:pPr>
          </w:p>
        </w:tc>
        <w:tc>
          <w:tcPr>
            <w:tcW w:w="1559" w:type="dxa"/>
            <w:vAlign w:val="center"/>
          </w:tcPr>
          <w:p w14:paraId="266F2DD4" w14:textId="77777777" w:rsidR="00F41D6B" w:rsidRPr="00185BC0" w:rsidRDefault="00F41D6B" w:rsidP="00F41D6B">
            <w:pPr>
              <w:spacing w:line="360" w:lineRule="auto"/>
              <w:jc w:val="center"/>
              <w:rPr>
                <w:sz w:val="20"/>
                <w:szCs w:val="20"/>
              </w:rPr>
            </w:pPr>
            <w:r w:rsidRPr="00185BC0">
              <w:rPr>
                <w:sz w:val="20"/>
                <w:szCs w:val="20"/>
              </w:rPr>
              <w:t>M ± SD</w:t>
            </w:r>
          </w:p>
        </w:tc>
        <w:tc>
          <w:tcPr>
            <w:tcW w:w="1560" w:type="dxa"/>
            <w:vAlign w:val="center"/>
          </w:tcPr>
          <w:p w14:paraId="123DE5F3" w14:textId="77777777" w:rsidR="00F41D6B" w:rsidRPr="00185BC0" w:rsidRDefault="00F41D6B" w:rsidP="00F41D6B">
            <w:pPr>
              <w:jc w:val="center"/>
              <w:rPr>
                <w:sz w:val="20"/>
                <w:szCs w:val="20"/>
              </w:rPr>
            </w:pPr>
            <w:r w:rsidRPr="00185BC0">
              <w:rPr>
                <w:sz w:val="20"/>
                <w:szCs w:val="20"/>
              </w:rPr>
              <w:t>95% ДИ</w:t>
            </w:r>
          </w:p>
        </w:tc>
        <w:tc>
          <w:tcPr>
            <w:tcW w:w="1417" w:type="dxa"/>
            <w:vAlign w:val="center"/>
          </w:tcPr>
          <w:p w14:paraId="6BAB5D23" w14:textId="77777777" w:rsidR="00F41D6B" w:rsidRPr="00185BC0" w:rsidRDefault="00F41D6B" w:rsidP="00F41D6B">
            <w:pPr>
              <w:jc w:val="center"/>
              <w:rPr>
                <w:sz w:val="20"/>
                <w:szCs w:val="20"/>
              </w:rPr>
            </w:pPr>
            <w:r w:rsidRPr="00185BC0">
              <w:rPr>
                <w:sz w:val="20"/>
                <w:szCs w:val="20"/>
              </w:rPr>
              <w:t>M ± SD</w:t>
            </w:r>
          </w:p>
        </w:tc>
        <w:tc>
          <w:tcPr>
            <w:tcW w:w="1418" w:type="dxa"/>
            <w:vAlign w:val="center"/>
          </w:tcPr>
          <w:p w14:paraId="2820FAF5" w14:textId="77777777" w:rsidR="00F41D6B" w:rsidRPr="00185BC0" w:rsidRDefault="00F41D6B" w:rsidP="00F41D6B">
            <w:pPr>
              <w:jc w:val="center"/>
              <w:rPr>
                <w:sz w:val="20"/>
                <w:szCs w:val="20"/>
              </w:rPr>
            </w:pPr>
            <w:r w:rsidRPr="00185BC0">
              <w:rPr>
                <w:sz w:val="20"/>
                <w:szCs w:val="20"/>
              </w:rPr>
              <w:t>95% ДИ</w:t>
            </w:r>
          </w:p>
        </w:tc>
        <w:tc>
          <w:tcPr>
            <w:tcW w:w="1417" w:type="dxa"/>
            <w:vMerge/>
          </w:tcPr>
          <w:p w14:paraId="14484A92" w14:textId="77777777" w:rsidR="00F41D6B" w:rsidRPr="00185BC0" w:rsidRDefault="00F41D6B" w:rsidP="00F41D6B">
            <w:pPr>
              <w:rPr>
                <w:sz w:val="20"/>
                <w:szCs w:val="20"/>
              </w:rPr>
            </w:pPr>
          </w:p>
        </w:tc>
      </w:tr>
      <w:tr w:rsidR="00F41D6B" w:rsidRPr="00185BC0" w14:paraId="2DD8AE85" w14:textId="77777777" w:rsidTr="006A73B6">
        <w:trPr>
          <w:jc w:val="center"/>
        </w:trPr>
        <w:tc>
          <w:tcPr>
            <w:tcW w:w="1838" w:type="dxa"/>
            <w:vAlign w:val="center"/>
          </w:tcPr>
          <w:p w14:paraId="19AD9BE5" w14:textId="77777777" w:rsidR="00F41D6B" w:rsidRPr="00185BC0" w:rsidRDefault="00F41D6B" w:rsidP="00F41D6B">
            <w:pPr>
              <w:rPr>
                <w:sz w:val="20"/>
                <w:szCs w:val="20"/>
              </w:rPr>
            </w:pPr>
            <w:r w:rsidRPr="00185BC0">
              <w:rPr>
                <w:sz w:val="20"/>
                <w:szCs w:val="20"/>
                <w:lang w:val="kk-KZ"/>
              </w:rPr>
              <w:t>Бедренная кость</w:t>
            </w:r>
          </w:p>
        </w:tc>
        <w:tc>
          <w:tcPr>
            <w:tcW w:w="1559" w:type="dxa"/>
            <w:vAlign w:val="center"/>
          </w:tcPr>
          <w:p w14:paraId="34426820" w14:textId="77777777" w:rsidR="00F41D6B" w:rsidRPr="00185BC0" w:rsidRDefault="00F41D6B" w:rsidP="00F41D6B">
            <w:pPr>
              <w:jc w:val="center"/>
              <w:rPr>
                <w:sz w:val="20"/>
                <w:szCs w:val="20"/>
              </w:rPr>
            </w:pPr>
            <w:r w:rsidRPr="00185BC0">
              <w:rPr>
                <w:sz w:val="20"/>
                <w:szCs w:val="20"/>
              </w:rPr>
              <w:t>39,31 ± 3,41</w:t>
            </w:r>
          </w:p>
        </w:tc>
        <w:tc>
          <w:tcPr>
            <w:tcW w:w="1560" w:type="dxa"/>
            <w:vAlign w:val="center"/>
          </w:tcPr>
          <w:p w14:paraId="72A1557C" w14:textId="77777777" w:rsidR="00F41D6B" w:rsidRPr="00185BC0" w:rsidRDefault="00F41D6B" w:rsidP="00F41D6B">
            <w:pPr>
              <w:jc w:val="center"/>
              <w:rPr>
                <w:sz w:val="20"/>
                <w:szCs w:val="20"/>
              </w:rPr>
            </w:pPr>
            <w:r w:rsidRPr="00185BC0">
              <w:rPr>
                <w:sz w:val="20"/>
                <w:szCs w:val="20"/>
              </w:rPr>
              <w:t>38,04 – 40,58</w:t>
            </w:r>
          </w:p>
        </w:tc>
        <w:tc>
          <w:tcPr>
            <w:tcW w:w="1417" w:type="dxa"/>
            <w:vAlign w:val="center"/>
          </w:tcPr>
          <w:p w14:paraId="3259694A" w14:textId="77777777" w:rsidR="00F41D6B" w:rsidRPr="00185BC0" w:rsidRDefault="00F41D6B" w:rsidP="00F41D6B">
            <w:pPr>
              <w:jc w:val="center"/>
              <w:rPr>
                <w:sz w:val="20"/>
                <w:szCs w:val="20"/>
              </w:rPr>
            </w:pPr>
            <w:r w:rsidRPr="00185BC0">
              <w:rPr>
                <w:sz w:val="20"/>
                <w:szCs w:val="20"/>
              </w:rPr>
              <w:t>36,96 ± 2,52</w:t>
            </w:r>
          </w:p>
          <w:p w14:paraId="2B28FD72" w14:textId="77777777" w:rsidR="00F41D6B" w:rsidRPr="00185BC0" w:rsidRDefault="00F41D6B" w:rsidP="00F41D6B">
            <w:pPr>
              <w:jc w:val="center"/>
              <w:rPr>
                <w:sz w:val="20"/>
                <w:szCs w:val="20"/>
              </w:rPr>
            </w:pPr>
          </w:p>
        </w:tc>
        <w:tc>
          <w:tcPr>
            <w:tcW w:w="1418" w:type="dxa"/>
            <w:vAlign w:val="center"/>
          </w:tcPr>
          <w:p w14:paraId="5E8FD5C7" w14:textId="77777777" w:rsidR="00F41D6B" w:rsidRPr="00185BC0" w:rsidRDefault="00F41D6B" w:rsidP="00F41D6B">
            <w:pPr>
              <w:jc w:val="center"/>
              <w:rPr>
                <w:sz w:val="20"/>
                <w:szCs w:val="20"/>
              </w:rPr>
            </w:pPr>
            <w:r w:rsidRPr="00185BC0">
              <w:rPr>
                <w:sz w:val="20"/>
                <w:szCs w:val="20"/>
              </w:rPr>
              <w:t>36,02 – 37,90</w:t>
            </w:r>
          </w:p>
        </w:tc>
        <w:tc>
          <w:tcPr>
            <w:tcW w:w="1417" w:type="dxa"/>
            <w:vAlign w:val="center"/>
          </w:tcPr>
          <w:p w14:paraId="4F092B8D" w14:textId="032B7703" w:rsidR="00F41D6B" w:rsidRPr="00185BC0" w:rsidRDefault="00F41D6B" w:rsidP="00F41D6B">
            <w:pPr>
              <w:jc w:val="center"/>
              <w:rPr>
                <w:sz w:val="20"/>
                <w:szCs w:val="20"/>
              </w:rPr>
            </w:pPr>
            <w:r w:rsidRPr="00185BC0">
              <w:rPr>
                <w:sz w:val="20"/>
                <w:szCs w:val="20"/>
              </w:rPr>
              <w:t>&lt;0,001*</w:t>
            </w:r>
          </w:p>
        </w:tc>
      </w:tr>
      <w:tr w:rsidR="00F41D6B" w:rsidRPr="00185BC0" w14:paraId="2538D777" w14:textId="77777777" w:rsidTr="006A73B6">
        <w:trPr>
          <w:jc w:val="center"/>
        </w:trPr>
        <w:tc>
          <w:tcPr>
            <w:tcW w:w="1838" w:type="dxa"/>
            <w:vAlign w:val="center"/>
          </w:tcPr>
          <w:p w14:paraId="6CABE62D" w14:textId="77777777" w:rsidR="00F41D6B" w:rsidRPr="00185BC0" w:rsidRDefault="00F41D6B" w:rsidP="00F41D6B">
            <w:pPr>
              <w:rPr>
                <w:sz w:val="20"/>
                <w:szCs w:val="20"/>
                <w:lang w:val="kk-KZ"/>
              </w:rPr>
            </w:pPr>
            <w:r w:rsidRPr="00185BC0">
              <w:rPr>
                <w:sz w:val="20"/>
                <w:szCs w:val="20"/>
                <w:lang w:val="kk-KZ"/>
              </w:rPr>
              <w:t xml:space="preserve">Больщеберцовая кость </w:t>
            </w:r>
          </w:p>
        </w:tc>
        <w:tc>
          <w:tcPr>
            <w:tcW w:w="1559" w:type="dxa"/>
            <w:vAlign w:val="center"/>
          </w:tcPr>
          <w:p w14:paraId="19AA3F97" w14:textId="77777777" w:rsidR="00F41D6B" w:rsidRPr="00185BC0" w:rsidRDefault="00F41D6B" w:rsidP="00F41D6B">
            <w:pPr>
              <w:jc w:val="center"/>
              <w:rPr>
                <w:sz w:val="20"/>
                <w:szCs w:val="20"/>
              </w:rPr>
            </w:pPr>
            <w:r w:rsidRPr="00185BC0">
              <w:rPr>
                <w:sz w:val="20"/>
                <w:szCs w:val="20"/>
              </w:rPr>
              <w:t>34,94 ± 2,65</w:t>
            </w:r>
          </w:p>
        </w:tc>
        <w:tc>
          <w:tcPr>
            <w:tcW w:w="1560" w:type="dxa"/>
            <w:vAlign w:val="center"/>
          </w:tcPr>
          <w:p w14:paraId="3356456B" w14:textId="77777777" w:rsidR="00F41D6B" w:rsidRPr="00185BC0" w:rsidRDefault="00F41D6B" w:rsidP="00F41D6B">
            <w:pPr>
              <w:jc w:val="center"/>
              <w:rPr>
                <w:sz w:val="20"/>
                <w:szCs w:val="20"/>
              </w:rPr>
            </w:pPr>
            <w:r w:rsidRPr="00185BC0">
              <w:rPr>
                <w:sz w:val="20"/>
                <w:szCs w:val="20"/>
              </w:rPr>
              <w:t>33,95 – 35,93</w:t>
            </w:r>
          </w:p>
        </w:tc>
        <w:tc>
          <w:tcPr>
            <w:tcW w:w="1417" w:type="dxa"/>
            <w:vAlign w:val="center"/>
          </w:tcPr>
          <w:p w14:paraId="0FB1F13E" w14:textId="77777777" w:rsidR="00F41D6B" w:rsidRPr="00185BC0" w:rsidRDefault="00F41D6B" w:rsidP="00F41D6B">
            <w:pPr>
              <w:jc w:val="center"/>
              <w:rPr>
                <w:sz w:val="20"/>
                <w:szCs w:val="20"/>
              </w:rPr>
            </w:pPr>
            <w:r w:rsidRPr="00185BC0">
              <w:rPr>
                <w:sz w:val="20"/>
                <w:szCs w:val="20"/>
              </w:rPr>
              <w:t>34,96 ± 2,64</w:t>
            </w:r>
          </w:p>
        </w:tc>
        <w:tc>
          <w:tcPr>
            <w:tcW w:w="1418" w:type="dxa"/>
            <w:vAlign w:val="center"/>
          </w:tcPr>
          <w:p w14:paraId="3880830F" w14:textId="77777777" w:rsidR="00F41D6B" w:rsidRPr="00185BC0" w:rsidRDefault="00F41D6B" w:rsidP="00F41D6B">
            <w:pPr>
              <w:jc w:val="center"/>
              <w:rPr>
                <w:sz w:val="20"/>
                <w:szCs w:val="20"/>
              </w:rPr>
            </w:pPr>
            <w:r w:rsidRPr="00185BC0">
              <w:rPr>
                <w:sz w:val="20"/>
                <w:szCs w:val="20"/>
              </w:rPr>
              <w:t>33,97 – 35,94</w:t>
            </w:r>
          </w:p>
        </w:tc>
        <w:tc>
          <w:tcPr>
            <w:tcW w:w="1417" w:type="dxa"/>
            <w:vAlign w:val="center"/>
          </w:tcPr>
          <w:p w14:paraId="35309E62" w14:textId="77777777" w:rsidR="00F41D6B" w:rsidRPr="00185BC0" w:rsidRDefault="00F41D6B" w:rsidP="00F41D6B">
            <w:pPr>
              <w:jc w:val="center"/>
              <w:rPr>
                <w:sz w:val="20"/>
                <w:szCs w:val="20"/>
              </w:rPr>
            </w:pPr>
            <w:r w:rsidRPr="00185BC0">
              <w:rPr>
                <w:sz w:val="20"/>
                <w:szCs w:val="20"/>
              </w:rPr>
              <w:t>0,395</w:t>
            </w:r>
          </w:p>
        </w:tc>
      </w:tr>
      <w:tr w:rsidR="00F41D6B" w:rsidRPr="00185BC0" w14:paraId="77678947" w14:textId="77777777" w:rsidTr="006A73B6">
        <w:trPr>
          <w:jc w:val="center"/>
        </w:trPr>
        <w:tc>
          <w:tcPr>
            <w:tcW w:w="1838" w:type="dxa"/>
            <w:vAlign w:val="center"/>
          </w:tcPr>
          <w:p w14:paraId="10AEBD1C" w14:textId="77777777" w:rsidR="00F41D6B" w:rsidRPr="00185BC0" w:rsidRDefault="00F41D6B" w:rsidP="00F41D6B">
            <w:pPr>
              <w:rPr>
                <w:sz w:val="20"/>
                <w:szCs w:val="20"/>
                <w:lang w:val="kk-KZ"/>
              </w:rPr>
            </w:pPr>
            <w:r w:rsidRPr="00185BC0">
              <w:rPr>
                <w:sz w:val="20"/>
                <w:szCs w:val="20"/>
                <w:lang w:val="kk-KZ"/>
              </w:rPr>
              <w:t>Бедренная кость + больщеберцовая кость</w:t>
            </w:r>
          </w:p>
        </w:tc>
        <w:tc>
          <w:tcPr>
            <w:tcW w:w="1559" w:type="dxa"/>
            <w:vAlign w:val="center"/>
          </w:tcPr>
          <w:p w14:paraId="1A999C96" w14:textId="77777777" w:rsidR="00F41D6B" w:rsidRPr="00185BC0" w:rsidRDefault="00F41D6B" w:rsidP="00F41D6B">
            <w:pPr>
              <w:jc w:val="center"/>
              <w:rPr>
                <w:sz w:val="20"/>
                <w:szCs w:val="20"/>
              </w:rPr>
            </w:pPr>
            <w:r w:rsidRPr="00185BC0">
              <w:rPr>
                <w:sz w:val="20"/>
                <w:szCs w:val="20"/>
              </w:rPr>
              <w:t>104,89 ± 7,76</w:t>
            </w:r>
          </w:p>
        </w:tc>
        <w:tc>
          <w:tcPr>
            <w:tcW w:w="1560" w:type="dxa"/>
            <w:vAlign w:val="center"/>
          </w:tcPr>
          <w:p w14:paraId="1218EFED" w14:textId="77777777" w:rsidR="00F41D6B" w:rsidRPr="00185BC0" w:rsidRDefault="00F41D6B" w:rsidP="00F41D6B">
            <w:pPr>
              <w:jc w:val="center"/>
              <w:rPr>
                <w:sz w:val="20"/>
                <w:szCs w:val="20"/>
              </w:rPr>
            </w:pPr>
            <w:r w:rsidRPr="00185BC0">
              <w:rPr>
                <w:sz w:val="20"/>
                <w:szCs w:val="20"/>
              </w:rPr>
              <w:t>101,99 – 107,79</w:t>
            </w:r>
          </w:p>
        </w:tc>
        <w:tc>
          <w:tcPr>
            <w:tcW w:w="1417" w:type="dxa"/>
            <w:vAlign w:val="center"/>
          </w:tcPr>
          <w:p w14:paraId="61B90ADF" w14:textId="77777777" w:rsidR="00F41D6B" w:rsidRPr="00185BC0" w:rsidRDefault="00F41D6B" w:rsidP="00F41D6B">
            <w:pPr>
              <w:jc w:val="center"/>
              <w:rPr>
                <w:sz w:val="20"/>
                <w:szCs w:val="20"/>
              </w:rPr>
            </w:pPr>
            <w:r w:rsidRPr="00185BC0">
              <w:rPr>
                <w:sz w:val="20"/>
                <w:szCs w:val="20"/>
              </w:rPr>
              <w:t>72,24 ± 4,88</w:t>
            </w:r>
          </w:p>
        </w:tc>
        <w:tc>
          <w:tcPr>
            <w:tcW w:w="1418" w:type="dxa"/>
            <w:vAlign w:val="center"/>
          </w:tcPr>
          <w:p w14:paraId="12E2FA8F" w14:textId="77777777" w:rsidR="00F41D6B" w:rsidRPr="00185BC0" w:rsidRDefault="00F41D6B" w:rsidP="00F41D6B">
            <w:pPr>
              <w:jc w:val="center"/>
              <w:rPr>
                <w:sz w:val="20"/>
                <w:szCs w:val="20"/>
              </w:rPr>
            </w:pPr>
            <w:r w:rsidRPr="00185BC0">
              <w:rPr>
                <w:sz w:val="20"/>
                <w:szCs w:val="20"/>
              </w:rPr>
              <w:t>70,41 – 74,06</w:t>
            </w:r>
          </w:p>
        </w:tc>
        <w:tc>
          <w:tcPr>
            <w:tcW w:w="1417" w:type="dxa"/>
            <w:vAlign w:val="center"/>
          </w:tcPr>
          <w:p w14:paraId="28B308DB" w14:textId="27181302" w:rsidR="00F41D6B" w:rsidRPr="00185BC0" w:rsidRDefault="00F41D6B" w:rsidP="00F41D6B">
            <w:pPr>
              <w:jc w:val="center"/>
              <w:rPr>
                <w:sz w:val="20"/>
                <w:szCs w:val="20"/>
              </w:rPr>
            </w:pPr>
            <w:r w:rsidRPr="00185BC0">
              <w:rPr>
                <w:sz w:val="20"/>
                <w:szCs w:val="20"/>
              </w:rPr>
              <w:t>&lt;0,001*</w:t>
            </w:r>
          </w:p>
        </w:tc>
      </w:tr>
      <w:tr w:rsidR="00F41D6B" w:rsidRPr="00185BC0" w14:paraId="580DD10F" w14:textId="77777777" w:rsidTr="006A73B6">
        <w:trPr>
          <w:jc w:val="center"/>
        </w:trPr>
        <w:tc>
          <w:tcPr>
            <w:tcW w:w="1838" w:type="dxa"/>
            <w:vAlign w:val="center"/>
          </w:tcPr>
          <w:p w14:paraId="5A0A732F" w14:textId="77777777" w:rsidR="00F41D6B" w:rsidRPr="00185BC0" w:rsidRDefault="00F41D6B" w:rsidP="00F41D6B">
            <w:pPr>
              <w:rPr>
                <w:sz w:val="20"/>
                <w:szCs w:val="20"/>
                <w:lang w:val="kk-KZ"/>
              </w:rPr>
            </w:pPr>
            <w:r w:rsidRPr="00185BC0">
              <w:rPr>
                <w:sz w:val="20"/>
                <w:szCs w:val="20"/>
                <w:lang w:val="kk-KZ"/>
              </w:rPr>
              <w:t>Длина нижней конечности</w:t>
            </w:r>
          </w:p>
        </w:tc>
        <w:tc>
          <w:tcPr>
            <w:tcW w:w="1559" w:type="dxa"/>
            <w:vAlign w:val="center"/>
          </w:tcPr>
          <w:p w14:paraId="5DF1BECB" w14:textId="77777777" w:rsidR="00F41D6B" w:rsidRPr="00185BC0" w:rsidRDefault="00F41D6B" w:rsidP="00F41D6B">
            <w:pPr>
              <w:jc w:val="center"/>
              <w:rPr>
                <w:sz w:val="20"/>
                <w:szCs w:val="20"/>
              </w:rPr>
            </w:pPr>
            <w:r w:rsidRPr="00185BC0">
              <w:rPr>
                <w:sz w:val="20"/>
                <w:szCs w:val="20"/>
              </w:rPr>
              <w:t>77,07 ± 4,72</w:t>
            </w:r>
          </w:p>
        </w:tc>
        <w:tc>
          <w:tcPr>
            <w:tcW w:w="1560" w:type="dxa"/>
            <w:vAlign w:val="center"/>
          </w:tcPr>
          <w:p w14:paraId="1E316118" w14:textId="77777777" w:rsidR="00F41D6B" w:rsidRPr="00185BC0" w:rsidRDefault="00F41D6B" w:rsidP="00F41D6B">
            <w:pPr>
              <w:jc w:val="center"/>
              <w:rPr>
                <w:sz w:val="20"/>
                <w:szCs w:val="20"/>
              </w:rPr>
            </w:pPr>
            <w:r w:rsidRPr="00185BC0">
              <w:rPr>
                <w:sz w:val="20"/>
                <w:szCs w:val="20"/>
              </w:rPr>
              <w:t>75,31 – 78,83</w:t>
            </w:r>
          </w:p>
        </w:tc>
        <w:tc>
          <w:tcPr>
            <w:tcW w:w="1417" w:type="dxa"/>
            <w:vAlign w:val="center"/>
          </w:tcPr>
          <w:p w14:paraId="6766860C" w14:textId="77777777" w:rsidR="00F41D6B" w:rsidRPr="00185BC0" w:rsidRDefault="00F41D6B" w:rsidP="00F41D6B">
            <w:pPr>
              <w:jc w:val="center"/>
              <w:rPr>
                <w:sz w:val="20"/>
                <w:szCs w:val="20"/>
              </w:rPr>
            </w:pPr>
            <w:r w:rsidRPr="00185BC0">
              <w:rPr>
                <w:sz w:val="20"/>
                <w:szCs w:val="20"/>
              </w:rPr>
              <w:t>79,11 ± 4,97</w:t>
            </w:r>
          </w:p>
        </w:tc>
        <w:tc>
          <w:tcPr>
            <w:tcW w:w="1418" w:type="dxa"/>
            <w:vAlign w:val="center"/>
          </w:tcPr>
          <w:p w14:paraId="63315A44" w14:textId="77777777" w:rsidR="00F41D6B" w:rsidRPr="00185BC0" w:rsidRDefault="00F41D6B" w:rsidP="00F41D6B">
            <w:pPr>
              <w:jc w:val="center"/>
              <w:rPr>
                <w:sz w:val="20"/>
                <w:szCs w:val="20"/>
              </w:rPr>
            </w:pPr>
            <w:r w:rsidRPr="00185BC0">
              <w:rPr>
                <w:sz w:val="20"/>
                <w:szCs w:val="20"/>
              </w:rPr>
              <w:t>77,25 – 80,96</w:t>
            </w:r>
          </w:p>
        </w:tc>
        <w:tc>
          <w:tcPr>
            <w:tcW w:w="1417" w:type="dxa"/>
            <w:vAlign w:val="center"/>
          </w:tcPr>
          <w:p w14:paraId="7760CFB9" w14:textId="55B72965" w:rsidR="00F41D6B" w:rsidRPr="00185BC0" w:rsidRDefault="00F41D6B" w:rsidP="00F41D6B">
            <w:pPr>
              <w:jc w:val="center"/>
              <w:rPr>
                <w:sz w:val="20"/>
                <w:szCs w:val="20"/>
              </w:rPr>
            </w:pPr>
            <w:r w:rsidRPr="00185BC0">
              <w:rPr>
                <w:sz w:val="20"/>
                <w:szCs w:val="20"/>
              </w:rPr>
              <w:t>&lt;0,001*</w:t>
            </w:r>
          </w:p>
        </w:tc>
      </w:tr>
    </w:tbl>
    <w:p w14:paraId="251A192C" w14:textId="77777777" w:rsidR="00F41D6B" w:rsidRPr="00185BC0" w:rsidRDefault="00F41D6B" w:rsidP="00F41D6B"/>
    <w:p w14:paraId="0A069FD7" w14:textId="7E1D221F" w:rsidR="00F41D6B" w:rsidRPr="00185BC0" w:rsidRDefault="004F2E0D" w:rsidP="00F41D6B">
      <w:pPr>
        <w:ind w:firstLine="142"/>
        <w:jc w:val="center"/>
        <w:rPr>
          <w:sz w:val="28"/>
          <w:szCs w:val="28"/>
        </w:rPr>
      </w:pPr>
      <w:r w:rsidRPr="00185BC0">
        <w:rPr>
          <w:noProof/>
          <w:sz w:val="28"/>
          <w:szCs w:val="28"/>
        </w:rPr>
        <w:drawing>
          <wp:inline distT="0" distB="0" distL="0" distR="0" wp14:anchorId="4D8318F7" wp14:editId="07012068">
            <wp:extent cx="5132717" cy="5305015"/>
            <wp:effectExtent l="0" t="0" r="0" b="0"/>
            <wp:docPr id="1507999116" name="Рисунок 150799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140283" cy="5312835"/>
                    </a:xfrm>
                    <a:prstGeom prst="rect">
                      <a:avLst/>
                    </a:prstGeom>
                  </pic:spPr>
                </pic:pic>
              </a:graphicData>
            </a:graphic>
          </wp:inline>
        </w:drawing>
      </w:r>
    </w:p>
    <w:p w14:paraId="3B2EADD5" w14:textId="69862C13" w:rsidR="00F41D6B" w:rsidRPr="00185BC0" w:rsidRDefault="00F41D6B" w:rsidP="00F41D6B">
      <w:pPr>
        <w:ind w:firstLine="142"/>
        <w:jc w:val="center"/>
        <w:rPr>
          <w:sz w:val="28"/>
          <w:szCs w:val="28"/>
          <w:lang w:val="kk-KZ"/>
        </w:rPr>
      </w:pPr>
      <w:r w:rsidRPr="00185BC0">
        <w:rPr>
          <w:sz w:val="28"/>
          <w:szCs w:val="28"/>
          <w:lang w:val="kk-KZ"/>
        </w:rPr>
        <w:t xml:space="preserve"> </w:t>
      </w:r>
    </w:p>
    <w:p w14:paraId="1FCA7DF5" w14:textId="5F3BF976" w:rsidR="00F41D6B" w:rsidRPr="00185BC0" w:rsidRDefault="00F41D6B" w:rsidP="00331E2B">
      <w:pPr>
        <w:ind w:firstLine="142"/>
        <w:jc w:val="center"/>
        <w:rPr>
          <w:sz w:val="28"/>
          <w:szCs w:val="28"/>
          <w:lang w:val="kk-KZ"/>
        </w:rPr>
      </w:pPr>
      <w:r w:rsidRPr="00185BC0">
        <w:rPr>
          <w:sz w:val="28"/>
          <w:szCs w:val="28"/>
          <w:lang w:val="kk-KZ"/>
        </w:rPr>
        <w:t>Рисунок 3</w:t>
      </w:r>
      <w:r w:rsidR="00654A28" w:rsidRPr="00185BC0">
        <w:rPr>
          <w:sz w:val="28"/>
          <w:szCs w:val="28"/>
          <w:lang w:val="kk-KZ"/>
        </w:rPr>
        <w:t>3</w:t>
      </w:r>
      <w:r w:rsidR="00331E2B" w:rsidRPr="00185BC0">
        <w:rPr>
          <w:sz w:val="28"/>
          <w:szCs w:val="28"/>
          <w:lang w:val="kk-KZ"/>
        </w:rPr>
        <w:t xml:space="preserve"> –</w:t>
      </w:r>
      <w:r w:rsidR="00331E2B" w:rsidRPr="00185BC0">
        <w:rPr>
          <w:b/>
          <w:bCs/>
          <w:sz w:val="28"/>
          <w:szCs w:val="28"/>
        </w:rPr>
        <w:t xml:space="preserve"> </w:t>
      </w:r>
      <w:r w:rsidRPr="00185BC0">
        <w:rPr>
          <w:sz w:val="28"/>
          <w:szCs w:val="28"/>
          <w:lang w:val="kk-KZ"/>
        </w:rPr>
        <w:t xml:space="preserve"> Оценка анатомической длины нижних конечностей до и после эндопротезирования</w:t>
      </w:r>
    </w:p>
    <w:p w14:paraId="364EEA7C" w14:textId="1E316D0B" w:rsidR="00F41D6B" w:rsidRPr="00185BC0" w:rsidRDefault="001A5BA0" w:rsidP="006A73B6">
      <w:pPr>
        <w:ind w:firstLine="426"/>
        <w:jc w:val="center"/>
        <w:rPr>
          <w:sz w:val="28"/>
          <w:szCs w:val="28"/>
          <w:lang w:val="kk-KZ"/>
        </w:rPr>
      </w:pPr>
      <w:r w:rsidRPr="00185BC0">
        <w:rPr>
          <w:noProof/>
          <w:sz w:val="28"/>
          <w:szCs w:val="28"/>
          <w:lang w:val="kk-KZ"/>
        </w:rPr>
        <w:lastRenderedPageBreak/>
        <w:drawing>
          <wp:inline distT="0" distB="0" distL="0" distR="0" wp14:anchorId="686EE890" wp14:editId="0E1C036A">
            <wp:extent cx="5106838" cy="5028220"/>
            <wp:effectExtent l="0" t="0" r="0" b="1270"/>
            <wp:docPr id="1507999118" name="Рисунок 150799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15755" cy="5037000"/>
                    </a:xfrm>
                    <a:prstGeom prst="rect">
                      <a:avLst/>
                    </a:prstGeom>
                  </pic:spPr>
                </pic:pic>
              </a:graphicData>
            </a:graphic>
          </wp:inline>
        </w:drawing>
      </w:r>
    </w:p>
    <w:p w14:paraId="0C865FA8" w14:textId="77777777" w:rsidR="00F41D6B" w:rsidRPr="00185BC0" w:rsidRDefault="00F41D6B" w:rsidP="00F41D6B">
      <w:pPr>
        <w:jc w:val="both"/>
        <w:rPr>
          <w:i/>
          <w:iCs/>
          <w:sz w:val="28"/>
          <w:szCs w:val="28"/>
          <w:lang w:val="kk-KZ"/>
        </w:rPr>
      </w:pPr>
    </w:p>
    <w:p w14:paraId="1A1063E2" w14:textId="544918AC" w:rsidR="00F41D6B" w:rsidRPr="00185BC0" w:rsidRDefault="00F41D6B" w:rsidP="00331E2B">
      <w:pPr>
        <w:ind w:firstLine="720"/>
        <w:jc w:val="center"/>
        <w:rPr>
          <w:sz w:val="28"/>
          <w:szCs w:val="28"/>
          <w:lang w:val="kk-KZ"/>
        </w:rPr>
      </w:pPr>
      <w:r w:rsidRPr="00185BC0">
        <w:rPr>
          <w:sz w:val="28"/>
          <w:szCs w:val="28"/>
          <w:lang w:val="kk-KZ"/>
        </w:rPr>
        <w:t>Рисунок 3</w:t>
      </w:r>
      <w:r w:rsidR="00654A28" w:rsidRPr="00185BC0">
        <w:rPr>
          <w:sz w:val="28"/>
          <w:szCs w:val="28"/>
          <w:lang w:val="kk-KZ"/>
        </w:rPr>
        <w:t>4</w:t>
      </w:r>
      <w:r w:rsidR="00331E2B" w:rsidRPr="00185BC0">
        <w:rPr>
          <w:sz w:val="28"/>
          <w:szCs w:val="28"/>
          <w:lang w:val="kk-KZ"/>
        </w:rPr>
        <w:t xml:space="preserve"> –</w:t>
      </w:r>
      <w:r w:rsidR="00331E2B" w:rsidRPr="00185BC0">
        <w:rPr>
          <w:b/>
          <w:bCs/>
          <w:sz w:val="28"/>
          <w:szCs w:val="28"/>
        </w:rPr>
        <w:t xml:space="preserve"> </w:t>
      </w:r>
      <w:r w:rsidRPr="00185BC0">
        <w:rPr>
          <w:sz w:val="28"/>
          <w:szCs w:val="28"/>
          <w:lang w:val="kk-KZ"/>
        </w:rPr>
        <w:t xml:space="preserve"> Сравнительная телерентгенография нижних конечностей до после тотального эндопротезирования тазобедренных суставов</w:t>
      </w:r>
    </w:p>
    <w:p w14:paraId="01D4A342" w14:textId="77777777" w:rsidR="00F41D6B" w:rsidRPr="00185BC0" w:rsidRDefault="00F41D6B" w:rsidP="00F41D6B">
      <w:pPr>
        <w:ind w:left="709"/>
        <w:jc w:val="center"/>
        <w:rPr>
          <w:i/>
          <w:iCs/>
          <w:sz w:val="28"/>
          <w:szCs w:val="28"/>
        </w:rPr>
      </w:pPr>
    </w:p>
    <w:p w14:paraId="5587B965" w14:textId="2E48E137" w:rsidR="00F41D6B" w:rsidRPr="00185BC0" w:rsidRDefault="00F41D6B" w:rsidP="00F41D6B">
      <w:pPr>
        <w:ind w:firstLine="720"/>
        <w:jc w:val="both"/>
        <w:rPr>
          <w:sz w:val="28"/>
          <w:szCs w:val="28"/>
        </w:rPr>
      </w:pPr>
      <w:r w:rsidRPr="00185BC0">
        <w:rPr>
          <w:sz w:val="28"/>
          <w:szCs w:val="28"/>
        </w:rPr>
        <w:t>Таким образом, проведённый анализ подтвердил, что основным источником укорочения являлась именно бедренная кость, а хирургическая коррекция позволила достичь статистически значимого увеличения её длины и устранить диспропорцию конечностей. В результате</w:t>
      </w:r>
      <w:r w:rsidR="00265E1D" w:rsidRPr="00185BC0">
        <w:rPr>
          <w:sz w:val="28"/>
          <w:szCs w:val="28"/>
          <w:lang w:val="kk-KZ"/>
        </w:rPr>
        <w:t xml:space="preserve"> исследования</w:t>
      </w:r>
      <w:r w:rsidRPr="00185BC0">
        <w:rPr>
          <w:sz w:val="28"/>
          <w:szCs w:val="28"/>
        </w:rPr>
        <w:t xml:space="preserve"> отмечалось уменьшение абсолютного укорочения и восстановление симметрии длины нижних конечностей. Устранение относительного укорочения, проявлявшегося функционально за счёт перекоса таза, также подтверждает клиническую значимость выполненной коррекции.</w:t>
      </w:r>
    </w:p>
    <w:p w14:paraId="52E04E28" w14:textId="77777777" w:rsidR="00F41D6B" w:rsidRPr="00185BC0" w:rsidRDefault="00F41D6B" w:rsidP="00F41D6B">
      <w:pPr>
        <w:ind w:firstLine="720"/>
        <w:jc w:val="both"/>
        <w:rPr>
          <w:sz w:val="28"/>
          <w:szCs w:val="28"/>
        </w:rPr>
      </w:pPr>
    </w:p>
    <w:p w14:paraId="21444E87" w14:textId="44F38F1A" w:rsidR="00BB1D05" w:rsidRPr="00185BC0" w:rsidRDefault="00220331" w:rsidP="00220331">
      <w:pPr>
        <w:pStyle w:val="1"/>
        <w:ind w:left="0" w:firstLine="567"/>
        <w:jc w:val="both"/>
      </w:pPr>
      <w:bookmarkStart w:id="41" w:name="_Toc217561942"/>
      <w:r w:rsidRPr="00185BC0">
        <w:rPr>
          <w:lang w:val="kk-KZ"/>
        </w:rPr>
        <w:t xml:space="preserve">3.5 </w:t>
      </w:r>
      <w:r w:rsidRPr="00185BC0">
        <w:t xml:space="preserve">Комплексная сравнительная оценка </w:t>
      </w:r>
      <w:proofErr w:type="spellStart"/>
      <w:r w:rsidRPr="00185BC0">
        <w:t>интраоперационных</w:t>
      </w:r>
      <w:proofErr w:type="spellEnd"/>
      <w:r w:rsidRPr="00185BC0">
        <w:t xml:space="preserve"> параметров, динамики консолидации, структуры осложнений и функционального статуса пациентов</w:t>
      </w:r>
      <w:bookmarkEnd w:id="41"/>
    </w:p>
    <w:p w14:paraId="43A370DD" w14:textId="77777777" w:rsidR="00220331" w:rsidRPr="00185BC0" w:rsidRDefault="00220331" w:rsidP="00220331">
      <w:pPr>
        <w:ind w:firstLine="567"/>
        <w:jc w:val="both"/>
        <w:rPr>
          <w:i/>
          <w:iCs/>
          <w:sz w:val="28"/>
          <w:szCs w:val="28"/>
        </w:rPr>
      </w:pPr>
      <w:proofErr w:type="spellStart"/>
      <w:r w:rsidRPr="00185BC0">
        <w:rPr>
          <w:i/>
          <w:iCs/>
          <w:sz w:val="28"/>
          <w:szCs w:val="28"/>
        </w:rPr>
        <w:t>Интраоперационные</w:t>
      </w:r>
      <w:proofErr w:type="spellEnd"/>
      <w:r w:rsidRPr="00185BC0">
        <w:rPr>
          <w:i/>
          <w:iCs/>
          <w:sz w:val="28"/>
          <w:szCs w:val="28"/>
        </w:rPr>
        <w:t xml:space="preserve"> параметры</w:t>
      </w:r>
    </w:p>
    <w:p w14:paraId="237D9AF4" w14:textId="77777777" w:rsidR="00220331" w:rsidRPr="00185BC0" w:rsidRDefault="00220331" w:rsidP="00220331">
      <w:pPr>
        <w:ind w:firstLine="567"/>
        <w:jc w:val="both"/>
        <w:rPr>
          <w:sz w:val="28"/>
          <w:szCs w:val="28"/>
        </w:rPr>
      </w:pPr>
      <w:r w:rsidRPr="00185BC0">
        <w:rPr>
          <w:sz w:val="28"/>
          <w:szCs w:val="28"/>
        </w:rPr>
        <w:t xml:space="preserve">Анализ </w:t>
      </w:r>
      <w:proofErr w:type="spellStart"/>
      <w:r w:rsidRPr="00185BC0">
        <w:rPr>
          <w:sz w:val="28"/>
          <w:szCs w:val="28"/>
        </w:rPr>
        <w:t>интраоперационных</w:t>
      </w:r>
      <w:proofErr w:type="spellEnd"/>
      <w:r w:rsidRPr="00185BC0">
        <w:rPr>
          <w:sz w:val="28"/>
          <w:szCs w:val="28"/>
        </w:rPr>
        <w:t xml:space="preserve"> параметров включал оценку стороны хирургического вмешательства, применяемого хирургического доступа, продолжительности операции, объёма </w:t>
      </w:r>
      <w:proofErr w:type="spellStart"/>
      <w:r w:rsidRPr="00185BC0">
        <w:rPr>
          <w:sz w:val="28"/>
          <w:szCs w:val="28"/>
        </w:rPr>
        <w:t>интраоперационной</w:t>
      </w:r>
      <w:proofErr w:type="spellEnd"/>
      <w:r w:rsidRPr="00185BC0">
        <w:rPr>
          <w:sz w:val="28"/>
          <w:szCs w:val="28"/>
        </w:rPr>
        <w:t xml:space="preserve"> кровопотери, </w:t>
      </w:r>
      <w:r w:rsidRPr="00185BC0">
        <w:rPr>
          <w:sz w:val="28"/>
          <w:szCs w:val="28"/>
        </w:rPr>
        <w:lastRenderedPageBreak/>
        <w:t xml:space="preserve">размеров остеотомии, глубины установки компонентов эндопротеза, а также характеристик используемых имплантатов. </w:t>
      </w:r>
    </w:p>
    <w:p w14:paraId="4B65A38D" w14:textId="50059251" w:rsidR="00220331" w:rsidRPr="00185BC0" w:rsidRDefault="00220331" w:rsidP="00DA5A93">
      <w:pPr>
        <w:ind w:firstLine="720"/>
        <w:jc w:val="both"/>
        <w:rPr>
          <w:sz w:val="28"/>
          <w:szCs w:val="28"/>
        </w:rPr>
      </w:pPr>
      <w:r w:rsidRPr="00185BC0">
        <w:rPr>
          <w:sz w:val="28"/>
          <w:szCs w:val="28"/>
        </w:rPr>
        <w:t xml:space="preserve">В совокупной выборке пациентов (n = 60) вмешательства чаще выполнялись на левом тазобедренном суставе </w:t>
      </w:r>
      <w:r w:rsidR="00DA5A93" w:rsidRPr="00185BC0">
        <w:rPr>
          <w:sz w:val="28"/>
          <w:szCs w:val="28"/>
        </w:rPr>
        <w:t>–</w:t>
      </w:r>
      <w:r w:rsidRPr="00185BC0">
        <w:rPr>
          <w:sz w:val="28"/>
          <w:szCs w:val="28"/>
        </w:rPr>
        <w:t xml:space="preserve"> у 61,7% обследованных (n = 37), в то время как правосторонние операции составили 38,3% случаев (n = 23)</w:t>
      </w:r>
      <w:r w:rsidR="00DA5A93" w:rsidRPr="00185BC0">
        <w:rPr>
          <w:sz w:val="28"/>
          <w:szCs w:val="28"/>
          <w:lang w:val="kk-KZ"/>
        </w:rPr>
        <w:t>.</w:t>
      </w:r>
    </w:p>
    <w:p w14:paraId="66EDD0AF" w14:textId="0251FA12" w:rsidR="00220331" w:rsidRPr="00185BC0" w:rsidRDefault="00220331" w:rsidP="00220331">
      <w:pPr>
        <w:ind w:firstLine="720"/>
        <w:jc w:val="both"/>
        <w:rPr>
          <w:sz w:val="28"/>
          <w:szCs w:val="28"/>
          <w:lang w:val="kk-KZ"/>
        </w:rPr>
      </w:pPr>
      <w:r w:rsidRPr="00185BC0">
        <w:rPr>
          <w:sz w:val="28"/>
          <w:szCs w:val="28"/>
        </w:rPr>
        <w:t xml:space="preserve">При межгрупповом сравнении установлено, что распределение по стороне вмешательства не имело статистически значимых различий: в основной группе вмешательства на левом тазобедренном суставе выполнялись в 63,3% случаев (n = 19), а в контрольной </w:t>
      </w:r>
      <w:r w:rsidR="00DA5A93" w:rsidRPr="00185BC0">
        <w:rPr>
          <w:sz w:val="28"/>
          <w:szCs w:val="28"/>
        </w:rPr>
        <w:t>–</w:t>
      </w:r>
      <w:r w:rsidRPr="00185BC0">
        <w:rPr>
          <w:sz w:val="28"/>
          <w:szCs w:val="28"/>
        </w:rPr>
        <w:t xml:space="preserve"> в 60,0% (n = 18). Правосторонние вмешательства отмечались у 36,7% (n = 11) и 40,0% (n = 12) пациентов соответственно (p = 0,791), что подтверждает сопоставимость групп по данному параметру</w:t>
      </w:r>
      <w:r w:rsidRPr="00185BC0">
        <w:rPr>
          <w:sz w:val="28"/>
          <w:szCs w:val="28"/>
          <w:lang w:val="kk-KZ"/>
        </w:rPr>
        <w:t xml:space="preserve"> р</w:t>
      </w:r>
      <w:proofErr w:type="spellStart"/>
      <w:r w:rsidRPr="00185BC0">
        <w:rPr>
          <w:sz w:val="28"/>
          <w:szCs w:val="28"/>
        </w:rPr>
        <w:t>исунок</w:t>
      </w:r>
      <w:proofErr w:type="spellEnd"/>
      <w:r w:rsidRPr="00185BC0">
        <w:rPr>
          <w:sz w:val="28"/>
          <w:szCs w:val="28"/>
        </w:rPr>
        <w:t xml:space="preserve"> 3</w:t>
      </w:r>
      <w:r w:rsidR="00654A28" w:rsidRPr="00185BC0">
        <w:rPr>
          <w:sz w:val="28"/>
          <w:szCs w:val="28"/>
          <w:lang w:val="kk-KZ"/>
        </w:rPr>
        <w:t>5</w:t>
      </w:r>
      <w:r w:rsidRPr="00185BC0">
        <w:rPr>
          <w:sz w:val="28"/>
          <w:szCs w:val="28"/>
        </w:rPr>
        <w:t>.</w:t>
      </w:r>
    </w:p>
    <w:p w14:paraId="4C6BAC2E" w14:textId="77777777" w:rsidR="00220331" w:rsidRPr="00185BC0" w:rsidRDefault="00220331" w:rsidP="00220331">
      <w:pPr>
        <w:ind w:firstLine="720"/>
        <w:jc w:val="both"/>
        <w:rPr>
          <w:noProof/>
          <w:sz w:val="28"/>
          <w:szCs w:val="28"/>
        </w:rPr>
      </w:pPr>
    </w:p>
    <w:p w14:paraId="59B93C0C" w14:textId="77777777" w:rsidR="00220331" w:rsidRPr="00185BC0" w:rsidRDefault="00220331" w:rsidP="006A73B6">
      <w:pPr>
        <w:ind w:firstLine="720"/>
        <w:jc w:val="center"/>
        <w:rPr>
          <w:noProof/>
          <w:sz w:val="28"/>
          <w:szCs w:val="28"/>
        </w:rPr>
      </w:pPr>
      <w:r w:rsidRPr="00185BC0">
        <w:rPr>
          <w:noProof/>
          <w:sz w:val="28"/>
          <w:szCs w:val="28"/>
        </w:rPr>
        <w:drawing>
          <wp:inline distT="0" distB="0" distL="0" distR="0" wp14:anchorId="4DDD5654" wp14:editId="3F45B04E">
            <wp:extent cx="4846320" cy="2510270"/>
            <wp:effectExtent l="0" t="0" r="11430" b="444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241824F" w14:textId="77777777" w:rsidR="00220331" w:rsidRPr="00185BC0" w:rsidRDefault="00220331" w:rsidP="00220331">
      <w:pPr>
        <w:ind w:firstLine="720"/>
        <w:jc w:val="both"/>
        <w:rPr>
          <w:sz w:val="28"/>
          <w:szCs w:val="28"/>
        </w:rPr>
      </w:pPr>
    </w:p>
    <w:p w14:paraId="1630E466" w14:textId="6DEC2555" w:rsidR="00220331" w:rsidRPr="00185BC0" w:rsidRDefault="00220331" w:rsidP="00331E2B">
      <w:pPr>
        <w:ind w:firstLine="720"/>
        <w:jc w:val="center"/>
        <w:rPr>
          <w:sz w:val="28"/>
          <w:szCs w:val="28"/>
        </w:rPr>
      </w:pPr>
      <w:r w:rsidRPr="00185BC0">
        <w:rPr>
          <w:sz w:val="28"/>
          <w:szCs w:val="28"/>
        </w:rPr>
        <w:t>Рисунок 3</w:t>
      </w:r>
      <w:r w:rsidR="00654A28" w:rsidRPr="00185BC0">
        <w:rPr>
          <w:sz w:val="28"/>
          <w:szCs w:val="28"/>
          <w:lang w:val="kk-KZ"/>
        </w:rPr>
        <w:t>5</w:t>
      </w:r>
      <w:r w:rsidR="00331E2B" w:rsidRPr="00185BC0">
        <w:rPr>
          <w:sz w:val="28"/>
          <w:szCs w:val="28"/>
          <w:lang w:val="kk-KZ"/>
        </w:rPr>
        <w:t xml:space="preserve"> –</w:t>
      </w:r>
      <w:r w:rsidR="00331E2B" w:rsidRPr="00185BC0">
        <w:rPr>
          <w:b/>
          <w:bCs/>
          <w:sz w:val="28"/>
          <w:szCs w:val="28"/>
        </w:rPr>
        <w:t xml:space="preserve"> </w:t>
      </w:r>
      <w:r w:rsidRPr="00185BC0">
        <w:rPr>
          <w:sz w:val="28"/>
          <w:szCs w:val="28"/>
        </w:rPr>
        <w:t>Распределение пациентов по стороне оперативного вмешательства в основной и контрольной группах</w:t>
      </w:r>
    </w:p>
    <w:p w14:paraId="6CB6CC68" w14:textId="77777777" w:rsidR="00220331" w:rsidRPr="00185BC0" w:rsidRDefault="00220331" w:rsidP="00220331">
      <w:pPr>
        <w:ind w:firstLine="720"/>
        <w:jc w:val="both"/>
        <w:rPr>
          <w:sz w:val="28"/>
          <w:szCs w:val="28"/>
        </w:rPr>
      </w:pPr>
    </w:p>
    <w:p w14:paraId="3BCCAA31" w14:textId="77777777" w:rsidR="00220331" w:rsidRPr="00185BC0" w:rsidRDefault="00220331" w:rsidP="00220331">
      <w:pPr>
        <w:ind w:firstLine="720"/>
        <w:jc w:val="both"/>
        <w:rPr>
          <w:sz w:val="28"/>
          <w:szCs w:val="28"/>
        </w:rPr>
      </w:pPr>
      <w:r w:rsidRPr="00185BC0">
        <w:rPr>
          <w:sz w:val="28"/>
          <w:szCs w:val="28"/>
        </w:rPr>
        <w:t>Во всех наблюдениях был использован единый хирургический доступ по Хардингу, что обеспечило стандартизацию оперативной техники и сопоставимость полученных данных.</w:t>
      </w:r>
    </w:p>
    <w:p w14:paraId="35A9EFBF" w14:textId="018B67A9" w:rsidR="00220331" w:rsidRPr="00185BC0" w:rsidRDefault="00220331" w:rsidP="00220331">
      <w:pPr>
        <w:ind w:firstLine="720"/>
        <w:jc w:val="both"/>
        <w:rPr>
          <w:sz w:val="28"/>
          <w:szCs w:val="28"/>
        </w:rPr>
      </w:pPr>
      <w:r w:rsidRPr="00185BC0">
        <w:rPr>
          <w:sz w:val="28"/>
          <w:szCs w:val="28"/>
        </w:rPr>
        <w:t xml:space="preserve">Продолжительность оперативного вмешательства в основной группе составила 100,0 мин [90,0; 110,0], в контрольной </w:t>
      </w:r>
      <w:r w:rsidR="00DA5A93" w:rsidRPr="00185BC0">
        <w:rPr>
          <w:sz w:val="28"/>
          <w:szCs w:val="28"/>
        </w:rPr>
        <w:t>–</w:t>
      </w:r>
      <w:r w:rsidRPr="00185BC0">
        <w:rPr>
          <w:sz w:val="28"/>
          <w:szCs w:val="28"/>
        </w:rPr>
        <w:t xml:space="preserve"> 115,0 мин [95,0; 125,0]; различия были статистически значимыми (p = 0,028). Более короткая продолжительность операции, вероятно, отражает оптимизированную технику установки и анатомическую адаптацию конструкции.</w:t>
      </w:r>
      <w:r w:rsidRPr="00185BC0">
        <w:rPr>
          <w:sz w:val="28"/>
          <w:szCs w:val="28"/>
          <w:lang w:val="kk-KZ"/>
        </w:rPr>
        <w:t xml:space="preserve"> </w:t>
      </w:r>
      <w:proofErr w:type="spellStart"/>
      <w:r w:rsidRPr="00185BC0">
        <w:rPr>
          <w:sz w:val="28"/>
          <w:szCs w:val="28"/>
        </w:rPr>
        <w:t>Интраоперационная</w:t>
      </w:r>
      <w:proofErr w:type="spellEnd"/>
      <w:r w:rsidRPr="00185BC0">
        <w:rPr>
          <w:sz w:val="28"/>
          <w:szCs w:val="28"/>
        </w:rPr>
        <w:t xml:space="preserve"> кровопотеря в основной группе составила 500,0 мл [300,0; 500,0], в контрольной </w:t>
      </w:r>
      <w:r w:rsidR="00DA5A93" w:rsidRPr="00185BC0">
        <w:rPr>
          <w:sz w:val="28"/>
          <w:szCs w:val="28"/>
        </w:rPr>
        <w:t>–</w:t>
      </w:r>
      <w:r w:rsidRPr="00185BC0">
        <w:rPr>
          <w:sz w:val="28"/>
          <w:szCs w:val="28"/>
        </w:rPr>
        <w:t xml:space="preserve"> 550,0 мл [412,5; 700,0] (p = 0,003), что может указывать на меньшую </w:t>
      </w:r>
      <w:proofErr w:type="spellStart"/>
      <w:r w:rsidRPr="00185BC0">
        <w:rPr>
          <w:sz w:val="28"/>
          <w:szCs w:val="28"/>
        </w:rPr>
        <w:t>травматичность</w:t>
      </w:r>
      <w:proofErr w:type="spellEnd"/>
      <w:r w:rsidRPr="00185BC0">
        <w:rPr>
          <w:sz w:val="28"/>
          <w:szCs w:val="28"/>
        </w:rPr>
        <w:t xml:space="preserve"> вмешательства.</w:t>
      </w:r>
      <w:r w:rsidRPr="00185BC0">
        <w:rPr>
          <w:sz w:val="28"/>
          <w:szCs w:val="28"/>
          <w:lang w:val="kk-KZ"/>
        </w:rPr>
        <w:t xml:space="preserve"> </w:t>
      </w:r>
      <w:r w:rsidRPr="00185BC0">
        <w:rPr>
          <w:sz w:val="28"/>
          <w:szCs w:val="28"/>
        </w:rPr>
        <w:t xml:space="preserve">Длина остеотомии в основной группе составила 4,0 см [3,62; 4,88], в контрольной </w:t>
      </w:r>
      <w:r w:rsidR="00DA5A93" w:rsidRPr="00185BC0">
        <w:rPr>
          <w:sz w:val="28"/>
          <w:szCs w:val="28"/>
        </w:rPr>
        <w:t>–</w:t>
      </w:r>
      <w:r w:rsidRPr="00185BC0">
        <w:rPr>
          <w:sz w:val="28"/>
          <w:szCs w:val="28"/>
        </w:rPr>
        <w:t xml:space="preserve"> 3,75 см [3,0; 4,0] (p = 0,013), что связано с особенностями предоперационного планирования и техники выполнения вмешательства.</w:t>
      </w:r>
      <w:r w:rsidRPr="00185BC0">
        <w:rPr>
          <w:sz w:val="28"/>
          <w:szCs w:val="28"/>
          <w:lang w:val="kk-KZ"/>
        </w:rPr>
        <w:t xml:space="preserve"> </w:t>
      </w:r>
      <w:r w:rsidRPr="00185BC0">
        <w:rPr>
          <w:sz w:val="28"/>
          <w:szCs w:val="28"/>
        </w:rPr>
        <w:t xml:space="preserve">Длина кожного разреза в основной группе составила 16,0 см [16,0; 18,0], в контрольной </w:t>
      </w:r>
      <w:r w:rsidR="00DA5A93" w:rsidRPr="00185BC0">
        <w:rPr>
          <w:sz w:val="28"/>
          <w:szCs w:val="28"/>
        </w:rPr>
        <w:t>–</w:t>
      </w:r>
      <w:r w:rsidRPr="00185BC0">
        <w:rPr>
          <w:sz w:val="28"/>
          <w:szCs w:val="28"/>
        </w:rPr>
        <w:t xml:space="preserve"> 21,0 см [20,0; 23,75]; различия носили высокую </w:t>
      </w:r>
      <w:r w:rsidRPr="00185BC0">
        <w:rPr>
          <w:sz w:val="28"/>
          <w:szCs w:val="28"/>
        </w:rPr>
        <w:lastRenderedPageBreak/>
        <w:t>статистическую значимость (p &lt;0,001). Более короткий разрез подтверждает менее инвазивный характер хирургического доступа при применении новой методики.</w:t>
      </w:r>
      <w:r w:rsidRPr="00185BC0">
        <w:rPr>
          <w:sz w:val="28"/>
          <w:szCs w:val="28"/>
          <w:lang w:val="kk-KZ"/>
        </w:rPr>
        <w:t xml:space="preserve"> </w:t>
      </w:r>
      <w:r w:rsidRPr="00185BC0">
        <w:rPr>
          <w:sz w:val="28"/>
          <w:szCs w:val="28"/>
        </w:rPr>
        <w:t xml:space="preserve">Глубина погружения вертлужного компонента составила </w:t>
      </w:r>
      <w:r w:rsidR="00BF2144" w:rsidRPr="00185BC0">
        <w:rPr>
          <w:sz w:val="28"/>
          <w:szCs w:val="28"/>
        </w:rPr>
        <w:t xml:space="preserve">в основной группе </w:t>
      </w:r>
      <w:r w:rsidRPr="00185BC0">
        <w:rPr>
          <w:sz w:val="28"/>
          <w:szCs w:val="28"/>
        </w:rPr>
        <w:t xml:space="preserve">95,0 </w:t>
      </w:r>
      <w:r w:rsidR="00BF2144" w:rsidRPr="00185BC0">
        <w:rPr>
          <w:sz w:val="28"/>
          <w:szCs w:val="28"/>
          <w:lang w:val="tr-TR"/>
        </w:rPr>
        <w:t>%</w:t>
      </w:r>
      <w:r w:rsidRPr="00185BC0">
        <w:rPr>
          <w:sz w:val="28"/>
          <w:szCs w:val="28"/>
        </w:rPr>
        <w:t xml:space="preserve"> [95,0; 100,0] и 95,0 </w:t>
      </w:r>
      <w:r w:rsidR="00BF2144" w:rsidRPr="00185BC0">
        <w:rPr>
          <w:sz w:val="28"/>
          <w:szCs w:val="28"/>
          <w:lang w:val="tr-TR"/>
        </w:rPr>
        <w:t>%</w:t>
      </w:r>
      <w:r w:rsidRPr="00185BC0">
        <w:rPr>
          <w:sz w:val="28"/>
          <w:szCs w:val="28"/>
        </w:rPr>
        <w:t xml:space="preserve"> [91,25; 95,0] в контрольной (p = 0,037), что свидетельствует о более надёжной фиксации имплантата в условиях оптимизированной установки.</w:t>
      </w:r>
      <w:r w:rsidRPr="00185BC0">
        <w:rPr>
          <w:sz w:val="28"/>
          <w:szCs w:val="28"/>
          <w:lang w:val="kk-KZ"/>
        </w:rPr>
        <w:t xml:space="preserve"> </w:t>
      </w:r>
      <w:r w:rsidRPr="00185BC0">
        <w:rPr>
          <w:sz w:val="28"/>
          <w:szCs w:val="28"/>
        </w:rPr>
        <w:t>Послеоперационное укорочение конечности во всех случаях не превышало 1,0 см (по расчётным данным), что не имело клинической значимости и отражает положительный функциональный результат в отношении восстановления длины конечности (таблица 1</w:t>
      </w:r>
      <w:r w:rsidR="001A5BA0" w:rsidRPr="00185BC0">
        <w:rPr>
          <w:sz w:val="28"/>
          <w:szCs w:val="28"/>
          <w:lang w:val="kk-KZ"/>
        </w:rPr>
        <w:t>0</w:t>
      </w:r>
      <w:r w:rsidRPr="00185BC0">
        <w:rPr>
          <w:sz w:val="28"/>
          <w:szCs w:val="28"/>
        </w:rPr>
        <w:t>).</w:t>
      </w:r>
    </w:p>
    <w:p w14:paraId="33ED79F1" w14:textId="77777777" w:rsidR="006A73B6" w:rsidRPr="00185BC0" w:rsidRDefault="006A73B6" w:rsidP="00220331">
      <w:pPr>
        <w:ind w:firstLine="720"/>
        <w:jc w:val="both"/>
        <w:rPr>
          <w:sz w:val="28"/>
          <w:szCs w:val="28"/>
        </w:rPr>
      </w:pPr>
    </w:p>
    <w:p w14:paraId="06336A54" w14:textId="386BDF0E" w:rsidR="00220331" w:rsidRPr="00185BC0" w:rsidRDefault="00220331" w:rsidP="00220331">
      <w:pPr>
        <w:ind w:firstLine="720"/>
        <w:jc w:val="both"/>
        <w:rPr>
          <w:b/>
          <w:bCs/>
          <w:sz w:val="28"/>
          <w:szCs w:val="28"/>
        </w:rPr>
      </w:pPr>
      <w:r w:rsidRPr="00185BC0">
        <w:rPr>
          <w:b/>
          <w:bCs/>
          <w:sz w:val="28"/>
          <w:szCs w:val="28"/>
          <w:lang w:val="kk-KZ"/>
        </w:rPr>
        <w:t>Таблица 1</w:t>
      </w:r>
      <w:r w:rsidR="001A5BA0" w:rsidRPr="00185BC0">
        <w:rPr>
          <w:b/>
          <w:bCs/>
          <w:sz w:val="28"/>
          <w:szCs w:val="28"/>
          <w:lang w:val="kk-KZ"/>
        </w:rPr>
        <w:t>0</w:t>
      </w:r>
      <w:r w:rsidRPr="00185BC0">
        <w:rPr>
          <w:b/>
          <w:bCs/>
          <w:sz w:val="28"/>
          <w:szCs w:val="28"/>
          <w:lang w:val="kk-KZ"/>
        </w:rPr>
        <w:t xml:space="preserve">. </w:t>
      </w:r>
      <w:r w:rsidRPr="00185BC0">
        <w:rPr>
          <w:b/>
          <w:bCs/>
          <w:sz w:val="28"/>
          <w:szCs w:val="28"/>
        </w:rPr>
        <w:t xml:space="preserve">Сравнительная характеристика </w:t>
      </w:r>
      <w:proofErr w:type="spellStart"/>
      <w:r w:rsidRPr="00185BC0">
        <w:rPr>
          <w:b/>
          <w:bCs/>
          <w:sz w:val="28"/>
          <w:szCs w:val="28"/>
        </w:rPr>
        <w:t>интраоперационных</w:t>
      </w:r>
      <w:proofErr w:type="spellEnd"/>
      <w:r w:rsidRPr="00185BC0">
        <w:rPr>
          <w:b/>
          <w:bCs/>
          <w:sz w:val="28"/>
          <w:szCs w:val="28"/>
        </w:rPr>
        <w:t xml:space="preserve"> параметров у пациентов основной и контрольной групп</w:t>
      </w:r>
    </w:p>
    <w:p w14:paraId="1D58E106" w14:textId="77777777" w:rsidR="006A73B6" w:rsidRPr="00185BC0" w:rsidRDefault="006A73B6" w:rsidP="00220331">
      <w:pPr>
        <w:ind w:firstLine="720"/>
        <w:jc w:val="both"/>
        <w:rPr>
          <w:b/>
          <w:bCs/>
          <w:sz w:val="28"/>
          <w:szCs w:val="28"/>
        </w:rPr>
      </w:pPr>
    </w:p>
    <w:tbl>
      <w:tblPr>
        <w:tblStyle w:val="60"/>
        <w:tblW w:w="8789" w:type="dxa"/>
        <w:jc w:val="center"/>
        <w:tblLook w:val="0620" w:firstRow="1" w:lastRow="0" w:firstColumn="0" w:lastColumn="0" w:noHBand="1" w:noVBand="1"/>
      </w:tblPr>
      <w:tblGrid>
        <w:gridCol w:w="3114"/>
        <w:gridCol w:w="2126"/>
        <w:gridCol w:w="2126"/>
        <w:gridCol w:w="1423"/>
      </w:tblGrid>
      <w:tr w:rsidR="00220331" w:rsidRPr="00185BC0" w14:paraId="68F513B0" w14:textId="77777777" w:rsidTr="006A73B6">
        <w:trPr>
          <w:jc w:val="center"/>
        </w:trPr>
        <w:tc>
          <w:tcPr>
            <w:tcW w:w="3114" w:type="dxa"/>
          </w:tcPr>
          <w:p w14:paraId="1EEF7467" w14:textId="77777777" w:rsidR="00220331" w:rsidRPr="00185BC0" w:rsidRDefault="00220331" w:rsidP="00220331">
            <w:pPr>
              <w:rPr>
                <w:b/>
                <w:bCs/>
                <w:sz w:val="20"/>
                <w:szCs w:val="20"/>
                <w:lang w:eastAsia="ru-RU"/>
              </w:rPr>
            </w:pPr>
            <w:bookmarkStart w:id="42" w:name="_Hlk206437166"/>
            <w:r w:rsidRPr="00185BC0">
              <w:rPr>
                <w:b/>
                <w:bCs/>
                <w:sz w:val="20"/>
                <w:szCs w:val="20"/>
                <w:lang w:eastAsia="ru-RU"/>
              </w:rPr>
              <w:t>Параметры</w:t>
            </w:r>
          </w:p>
        </w:tc>
        <w:tc>
          <w:tcPr>
            <w:tcW w:w="2126" w:type="dxa"/>
          </w:tcPr>
          <w:p w14:paraId="63515CC5" w14:textId="77777777" w:rsidR="00220331" w:rsidRPr="00185BC0" w:rsidRDefault="00220331" w:rsidP="00220331">
            <w:pPr>
              <w:rPr>
                <w:b/>
                <w:bCs/>
                <w:sz w:val="20"/>
                <w:szCs w:val="20"/>
                <w:lang w:eastAsia="ru-RU"/>
              </w:rPr>
            </w:pPr>
            <w:r w:rsidRPr="00185BC0">
              <w:rPr>
                <w:b/>
                <w:bCs/>
                <w:sz w:val="20"/>
                <w:szCs w:val="20"/>
                <w:lang w:eastAsia="ru-RU"/>
              </w:rPr>
              <w:t>Основная группа</w:t>
            </w:r>
          </w:p>
          <w:p w14:paraId="4360EB1A" w14:textId="2144CDD8" w:rsidR="00220331" w:rsidRPr="00185BC0" w:rsidRDefault="00220331" w:rsidP="00220331">
            <w:pPr>
              <w:rPr>
                <w:b/>
                <w:bCs/>
                <w:sz w:val="20"/>
                <w:szCs w:val="20"/>
                <w:lang w:eastAsia="ru-RU"/>
              </w:rPr>
            </w:pPr>
            <w:r w:rsidRPr="00185BC0">
              <w:rPr>
                <w:b/>
                <w:bCs/>
                <w:sz w:val="20"/>
                <w:szCs w:val="20"/>
                <w:lang w:eastAsia="ru-RU"/>
              </w:rPr>
              <w:t>Значение (размах)</w:t>
            </w:r>
          </w:p>
        </w:tc>
        <w:tc>
          <w:tcPr>
            <w:tcW w:w="2126" w:type="dxa"/>
          </w:tcPr>
          <w:p w14:paraId="78280FBF" w14:textId="77777777" w:rsidR="00220331" w:rsidRPr="00185BC0" w:rsidRDefault="00220331" w:rsidP="00220331">
            <w:pPr>
              <w:rPr>
                <w:b/>
                <w:bCs/>
                <w:sz w:val="20"/>
                <w:szCs w:val="20"/>
                <w:lang w:eastAsia="ru-RU"/>
              </w:rPr>
            </w:pPr>
            <w:r w:rsidRPr="00185BC0">
              <w:rPr>
                <w:b/>
                <w:bCs/>
                <w:sz w:val="20"/>
                <w:szCs w:val="20"/>
                <w:lang w:val="kk-KZ" w:eastAsia="ru-RU"/>
              </w:rPr>
              <w:t>Контрольная</w:t>
            </w:r>
            <w:r w:rsidRPr="00185BC0">
              <w:rPr>
                <w:b/>
                <w:bCs/>
                <w:sz w:val="20"/>
                <w:szCs w:val="20"/>
                <w:lang w:eastAsia="ru-RU"/>
              </w:rPr>
              <w:t xml:space="preserve"> группа</w:t>
            </w:r>
          </w:p>
          <w:p w14:paraId="33F10148" w14:textId="260A551B" w:rsidR="00220331" w:rsidRPr="00185BC0" w:rsidRDefault="00220331" w:rsidP="00220331">
            <w:pPr>
              <w:rPr>
                <w:b/>
                <w:bCs/>
                <w:sz w:val="20"/>
                <w:szCs w:val="20"/>
                <w:lang w:eastAsia="ru-RU"/>
              </w:rPr>
            </w:pPr>
            <w:r w:rsidRPr="00185BC0">
              <w:rPr>
                <w:b/>
                <w:bCs/>
                <w:sz w:val="20"/>
                <w:szCs w:val="20"/>
                <w:lang w:eastAsia="ru-RU"/>
              </w:rPr>
              <w:t>Значение (размах)</w:t>
            </w:r>
          </w:p>
        </w:tc>
        <w:tc>
          <w:tcPr>
            <w:tcW w:w="1423" w:type="dxa"/>
          </w:tcPr>
          <w:p w14:paraId="3FCAFA67" w14:textId="77777777" w:rsidR="00220331" w:rsidRPr="00185BC0" w:rsidRDefault="00220331" w:rsidP="00220331">
            <w:pPr>
              <w:rPr>
                <w:b/>
                <w:bCs/>
                <w:sz w:val="20"/>
                <w:szCs w:val="20"/>
                <w:lang w:eastAsia="ru-RU"/>
              </w:rPr>
            </w:pPr>
            <w:r w:rsidRPr="00185BC0">
              <w:rPr>
                <w:b/>
                <w:bCs/>
                <w:sz w:val="20"/>
                <w:szCs w:val="20"/>
                <w:lang w:eastAsia="ru-RU"/>
              </w:rPr>
              <w:t>p-значение</w:t>
            </w:r>
          </w:p>
        </w:tc>
      </w:tr>
      <w:tr w:rsidR="00220331" w:rsidRPr="00185BC0" w14:paraId="2F458E96" w14:textId="77777777" w:rsidTr="006A73B6">
        <w:trPr>
          <w:jc w:val="center"/>
        </w:trPr>
        <w:tc>
          <w:tcPr>
            <w:tcW w:w="3114" w:type="dxa"/>
          </w:tcPr>
          <w:p w14:paraId="1D0131B6" w14:textId="77777777" w:rsidR="00220331" w:rsidRPr="00185BC0" w:rsidRDefault="00220331" w:rsidP="00220331">
            <w:pPr>
              <w:rPr>
                <w:sz w:val="20"/>
                <w:szCs w:val="20"/>
                <w:lang w:val="kk-KZ" w:eastAsia="ru-RU"/>
              </w:rPr>
            </w:pPr>
            <w:r w:rsidRPr="00185BC0">
              <w:rPr>
                <w:rFonts w:eastAsiaTheme="minorHAnsi"/>
                <w:sz w:val="20"/>
                <w:szCs w:val="20"/>
              </w:rPr>
              <w:t>Продолжительность операции (ЧЧ: ММ), Me [IQR]</w:t>
            </w:r>
          </w:p>
        </w:tc>
        <w:tc>
          <w:tcPr>
            <w:tcW w:w="2126" w:type="dxa"/>
          </w:tcPr>
          <w:p w14:paraId="51DCE6BD" w14:textId="77777777" w:rsidR="00220331" w:rsidRPr="00185BC0" w:rsidRDefault="00220331" w:rsidP="006A73B6">
            <w:pPr>
              <w:jc w:val="center"/>
              <w:rPr>
                <w:sz w:val="20"/>
                <w:szCs w:val="20"/>
              </w:rPr>
            </w:pPr>
            <w:r w:rsidRPr="00185BC0">
              <w:rPr>
                <w:sz w:val="20"/>
                <w:szCs w:val="20"/>
              </w:rPr>
              <w:t>100,00</w:t>
            </w:r>
          </w:p>
          <w:p w14:paraId="228CAF69" w14:textId="77777777" w:rsidR="00220331" w:rsidRPr="00185BC0" w:rsidRDefault="00220331" w:rsidP="006A73B6">
            <w:pPr>
              <w:jc w:val="center"/>
              <w:rPr>
                <w:sz w:val="20"/>
                <w:szCs w:val="20"/>
                <w:lang w:val="en-US" w:eastAsia="ru-RU"/>
              </w:rPr>
            </w:pPr>
            <w:r w:rsidRPr="00185BC0">
              <w:rPr>
                <w:sz w:val="20"/>
                <w:szCs w:val="20"/>
              </w:rPr>
              <w:t>[90,00; 110,00]</w:t>
            </w:r>
          </w:p>
        </w:tc>
        <w:tc>
          <w:tcPr>
            <w:tcW w:w="2126" w:type="dxa"/>
          </w:tcPr>
          <w:p w14:paraId="0A322551" w14:textId="77777777" w:rsidR="00220331" w:rsidRPr="00185BC0" w:rsidRDefault="00220331" w:rsidP="006A73B6">
            <w:pPr>
              <w:jc w:val="center"/>
              <w:rPr>
                <w:sz w:val="20"/>
                <w:szCs w:val="20"/>
              </w:rPr>
            </w:pPr>
            <w:r w:rsidRPr="00185BC0">
              <w:rPr>
                <w:sz w:val="20"/>
                <w:szCs w:val="20"/>
              </w:rPr>
              <w:t>115,00</w:t>
            </w:r>
          </w:p>
          <w:p w14:paraId="40CE438E" w14:textId="77777777" w:rsidR="00220331" w:rsidRPr="00185BC0" w:rsidRDefault="00220331" w:rsidP="006A73B6">
            <w:pPr>
              <w:jc w:val="center"/>
              <w:rPr>
                <w:sz w:val="20"/>
                <w:szCs w:val="20"/>
                <w:lang w:val="en-US" w:eastAsia="ru-RU"/>
              </w:rPr>
            </w:pPr>
            <w:r w:rsidRPr="00185BC0">
              <w:rPr>
                <w:sz w:val="20"/>
                <w:szCs w:val="20"/>
              </w:rPr>
              <w:t>[95,00; 125,00]</w:t>
            </w:r>
          </w:p>
        </w:tc>
        <w:tc>
          <w:tcPr>
            <w:tcW w:w="1423" w:type="dxa"/>
          </w:tcPr>
          <w:p w14:paraId="44028217" w14:textId="77777777" w:rsidR="00220331" w:rsidRPr="00185BC0" w:rsidRDefault="00220331" w:rsidP="006A73B6">
            <w:pPr>
              <w:jc w:val="center"/>
              <w:rPr>
                <w:sz w:val="20"/>
                <w:szCs w:val="20"/>
                <w:lang w:val="en-US" w:eastAsia="ru-RU"/>
              </w:rPr>
            </w:pPr>
            <w:r w:rsidRPr="00185BC0">
              <w:rPr>
                <w:sz w:val="20"/>
                <w:szCs w:val="20"/>
              </w:rPr>
              <w:t>0,028*</w:t>
            </w:r>
          </w:p>
        </w:tc>
      </w:tr>
      <w:tr w:rsidR="00220331" w:rsidRPr="00185BC0" w14:paraId="0F2FAECA" w14:textId="77777777" w:rsidTr="006A73B6">
        <w:trPr>
          <w:jc w:val="center"/>
        </w:trPr>
        <w:tc>
          <w:tcPr>
            <w:tcW w:w="3114" w:type="dxa"/>
          </w:tcPr>
          <w:p w14:paraId="1A7BEF5B" w14:textId="77777777" w:rsidR="00220331" w:rsidRPr="00185BC0" w:rsidRDefault="00220331" w:rsidP="00220331">
            <w:pPr>
              <w:rPr>
                <w:sz w:val="20"/>
                <w:szCs w:val="20"/>
                <w:lang w:val="kk-KZ" w:eastAsia="ru-RU"/>
              </w:rPr>
            </w:pPr>
            <w:proofErr w:type="spellStart"/>
            <w:r w:rsidRPr="00185BC0">
              <w:rPr>
                <w:rFonts w:eastAsiaTheme="minorHAnsi"/>
                <w:sz w:val="20"/>
                <w:szCs w:val="20"/>
              </w:rPr>
              <w:t>Интраоперационная</w:t>
            </w:r>
            <w:proofErr w:type="spellEnd"/>
            <w:r w:rsidRPr="00185BC0">
              <w:rPr>
                <w:rFonts w:eastAsiaTheme="minorHAnsi"/>
                <w:sz w:val="20"/>
                <w:szCs w:val="20"/>
              </w:rPr>
              <w:t xml:space="preserve"> кровопотеря, мл</w:t>
            </w:r>
            <w:r w:rsidRPr="00185BC0">
              <w:rPr>
                <w:rFonts w:eastAsiaTheme="minorHAnsi"/>
                <w:sz w:val="20"/>
                <w:szCs w:val="20"/>
                <w:lang w:val="kk-KZ"/>
              </w:rPr>
              <w:t xml:space="preserve"> Me [IQR]</w:t>
            </w:r>
          </w:p>
        </w:tc>
        <w:tc>
          <w:tcPr>
            <w:tcW w:w="2126" w:type="dxa"/>
          </w:tcPr>
          <w:p w14:paraId="1F9A27E3" w14:textId="77777777" w:rsidR="00220331" w:rsidRPr="00185BC0" w:rsidRDefault="00220331" w:rsidP="006A73B6">
            <w:pPr>
              <w:jc w:val="center"/>
              <w:rPr>
                <w:sz w:val="20"/>
                <w:szCs w:val="20"/>
              </w:rPr>
            </w:pPr>
            <w:r w:rsidRPr="00185BC0">
              <w:rPr>
                <w:sz w:val="20"/>
                <w:szCs w:val="20"/>
              </w:rPr>
              <w:t>500,00</w:t>
            </w:r>
          </w:p>
          <w:p w14:paraId="77F90149" w14:textId="77777777" w:rsidR="00220331" w:rsidRPr="00185BC0" w:rsidRDefault="00220331" w:rsidP="006A73B6">
            <w:pPr>
              <w:jc w:val="center"/>
              <w:rPr>
                <w:sz w:val="20"/>
                <w:szCs w:val="20"/>
                <w:lang w:val="kk-KZ" w:eastAsia="ru-RU"/>
              </w:rPr>
            </w:pPr>
            <w:r w:rsidRPr="00185BC0">
              <w:rPr>
                <w:sz w:val="20"/>
                <w:szCs w:val="20"/>
              </w:rPr>
              <w:t>[300,00; 500,00]</w:t>
            </w:r>
          </w:p>
        </w:tc>
        <w:tc>
          <w:tcPr>
            <w:tcW w:w="2126" w:type="dxa"/>
          </w:tcPr>
          <w:p w14:paraId="26B334D9" w14:textId="77777777" w:rsidR="00220331" w:rsidRPr="00185BC0" w:rsidRDefault="00220331" w:rsidP="006A73B6">
            <w:pPr>
              <w:jc w:val="center"/>
              <w:rPr>
                <w:sz w:val="20"/>
                <w:szCs w:val="20"/>
              </w:rPr>
            </w:pPr>
            <w:r w:rsidRPr="00185BC0">
              <w:rPr>
                <w:sz w:val="20"/>
                <w:szCs w:val="20"/>
              </w:rPr>
              <w:t>550,00</w:t>
            </w:r>
          </w:p>
          <w:p w14:paraId="43FF2EE4" w14:textId="77777777" w:rsidR="00220331" w:rsidRPr="00185BC0" w:rsidRDefault="00220331" w:rsidP="006A73B6">
            <w:pPr>
              <w:jc w:val="center"/>
              <w:rPr>
                <w:sz w:val="20"/>
                <w:szCs w:val="20"/>
                <w:lang w:val="kk-KZ" w:eastAsia="ru-RU"/>
              </w:rPr>
            </w:pPr>
            <w:r w:rsidRPr="00185BC0">
              <w:rPr>
                <w:sz w:val="20"/>
                <w:szCs w:val="20"/>
              </w:rPr>
              <w:t>[412,50; 700,00]</w:t>
            </w:r>
          </w:p>
        </w:tc>
        <w:tc>
          <w:tcPr>
            <w:tcW w:w="1423" w:type="dxa"/>
          </w:tcPr>
          <w:p w14:paraId="2FB6B44D" w14:textId="77777777" w:rsidR="00220331" w:rsidRPr="00185BC0" w:rsidRDefault="00220331" w:rsidP="006A73B6">
            <w:pPr>
              <w:jc w:val="center"/>
              <w:rPr>
                <w:sz w:val="20"/>
                <w:szCs w:val="20"/>
                <w:lang w:val="kk-KZ" w:eastAsia="ru-RU"/>
              </w:rPr>
            </w:pPr>
            <w:r w:rsidRPr="00185BC0">
              <w:rPr>
                <w:sz w:val="20"/>
                <w:szCs w:val="20"/>
                <w:lang w:val="kk-KZ" w:eastAsia="ru-RU"/>
              </w:rPr>
              <w:t>0,003*</w:t>
            </w:r>
          </w:p>
        </w:tc>
      </w:tr>
      <w:tr w:rsidR="00220331" w:rsidRPr="00185BC0" w14:paraId="21112527" w14:textId="77777777" w:rsidTr="006A73B6">
        <w:trPr>
          <w:jc w:val="center"/>
        </w:trPr>
        <w:tc>
          <w:tcPr>
            <w:tcW w:w="3114" w:type="dxa"/>
          </w:tcPr>
          <w:p w14:paraId="3351336E" w14:textId="77777777" w:rsidR="00220331" w:rsidRPr="00185BC0" w:rsidRDefault="00220331" w:rsidP="00220331">
            <w:pPr>
              <w:rPr>
                <w:rFonts w:eastAsiaTheme="minorHAnsi"/>
                <w:sz w:val="20"/>
                <w:szCs w:val="20"/>
              </w:rPr>
            </w:pPr>
            <w:r w:rsidRPr="00185BC0">
              <w:rPr>
                <w:rFonts w:eastAsiaTheme="minorHAnsi"/>
                <w:sz w:val="20"/>
                <w:szCs w:val="20"/>
                <w:lang w:val="kk-KZ"/>
              </w:rPr>
              <w:t>Д</w:t>
            </w:r>
            <w:proofErr w:type="spellStart"/>
            <w:r w:rsidRPr="00185BC0">
              <w:rPr>
                <w:rFonts w:eastAsiaTheme="minorHAnsi"/>
                <w:sz w:val="20"/>
                <w:szCs w:val="20"/>
              </w:rPr>
              <w:t>лина</w:t>
            </w:r>
            <w:proofErr w:type="spellEnd"/>
            <w:r w:rsidRPr="00185BC0">
              <w:rPr>
                <w:rFonts w:eastAsiaTheme="minorHAnsi"/>
                <w:sz w:val="20"/>
                <w:szCs w:val="20"/>
              </w:rPr>
              <w:t xml:space="preserve"> остеотомии см, </w:t>
            </w:r>
            <w:r w:rsidRPr="00185BC0">
              <w:rPr>
                <w:rFonts w:eastAsiaTheme="minorHAnsi"/>
                <w:sz w:val="20"/>
                <w:szCs w:val="20"/>
                <w:lang w:val="en-US"/>
              </w:rPr>
              <w:t>Me</w:t>
            </w:r>
            <w:r w:rsidRPr="00185BC0">
              <w:rPr>
                <w:rFonts w:eastAsiaTheme="minorHAnsi"/>
                <w:sz w:val="20"/>
                <w:szCs w:val="20"/>
              </w:rPr>
              <w:t xml:space="preserve"> [</w:t>
            </w:r>
            <w:r w:rsidRPr="00185BC0">
              <w:rPr>
                <w:rFonts w:eastAsiaTheme="minorHAnsi"/>
                <w:sz w:val="20"/>
                <w:szCs w:val="20"/>
                <w:lang w:val="en-US"/>
              </w:rPr>
              <w:t>IQR</w:t>
            </w:r>
            <w:r w:rsidRPr="00185BC0">
              <w:rPr>
                <w:rFonts w:eastAsiaTheme="minorHAnsi"/>
                <w:sz w:val="20"/>
                <w:szCs w:val="20"/>
              </w:rPr>
              <w:t>]</w:t>
            </w:r>
          </w:p>
        </w:tc>
        <w:tc>
          <w:tcPr>
            <w:tcW w:w="2126" w:type="dxa"/>
          </w:tcPr>
          <w:p w14:paraId="4D2ED7B4" w14:textId="77777777" w:rsidR="00220331" w:rsidRPr="00185BC0" w:rsidRDefault="00220331" w:rsidP="006A73B6">
            <w:pPr>
              <w:jc w:val="center"/>
              <w:rPr>
                <w:sz w:val="20"/>
                <w:szCs w:val="20"/>
              </w:rPr>
            </w:pPr>
            <w:r w:rsidRPr="00185BC0">
              <w:rPr>
                <w:sz w:val="20"/>
                <w:szCs w:val="20"/>
              </w:rPr>
              <w:t>4,00</w:t>
            </w:r>
          </w:p>
          <w:p w14:paraId="1915FEF1" w14:textId="77777777" w:rsidR="00220331" w:rsidRPr="00185BC0" w:rsidRDefault="00220331" w:rsidP="006A73B6">
            <w:pPr>
              <w:jc w:val="center"/>
              <w:rPr>
                <w:sz w:val="20"/>
                <w:szCs w:val="20"/>
                <w:lang w:val="en-US" w:eastAsia="ru-RU"/>
              </w:rPr>
            </w:pPr>
            <w:r w:rsidRPr="00185BC0">
              <w:rPr>
                <w:sz w:val="20"/>
                <w:szCs w:val="20"/>
              </w:rPr>
              <w:t>[3,62; 4,88]</w:t>
            </w:r>
          </w:p>
        </w:tc>
        <w:tc>
          <w:tcPr>
            <w:tcW w:w="2126" w:type="dxa"/>
          </w:tcPr>
          <w:p w14:paraId="7BE22243" w14:textId="77777777" w:rsidR="00220331" w:rsidRPr="00185BC0" w:rsidRDefault="00220331" w:rsidP="006A73B6">
            <w:pPr>
              <w:jc w:val="center"/>
              <w:rPr>
                <w:sz w:val="20"/>
                <w:szCs w:val="20"/>
              </w:rPr>
            </w:pPr>
            <w:r w:rsidRPr="00185BC0">
              <w:rPr>
                <w:sz w:val="20"/>
                <w:szCs w:val="20"/>
              </w:rPr>
              <w:t>3,75</w:t>
            </w:r>
          </w:p>
          <w:p w14:paraId="2D4965D1" w14:textId="77777777" w:rsidR="00220331" w:rsidRPr="00185BC0" w:rsidRDefault="00220331" w:rsidP="006A73B6">
            <w:pPr>
              <w:jc w:val="center"/>
              <w:rPr>
                <w:sz w:val="20"/>
                <w:szCs w:val="20"/>
                <w:lang w:val="en-US" w:eastAsia="ru-RU"/>
              </w:rPr>
            </w:pPr>
            <w:r w:rsidRPr="00185BC0">
              <w:rPr>
                <w:sz w:val="20"/>
                <w:szCs w:val="20"/>
              </w:rPr>
              <w:t>[3,00; 4,00]</w:t>
            </w:r>
          </w:p>
        </w:tc>
        <w:tc>
          <w:tcPr>
            <w:tcW w:w="1423" w:type="dxa"/>
          </w:tcPr>
          <w:p w14:paraId="73D3D7F7" w14:textId="77777777" w:rsidR="00220331" w:rsidRPr="00185BC0" w:rsidRDefault="00220331" w:rsidP="006A73B6">
            <w:pPr>
              <w:jc w:val="center"/>
              <w:rPr>
                <w:sz w:val="20"/>
                <w:szCs w:val="20"/>
                <w:lang w:val="en-US" w:eastAsia="ru-RU"/>
              </w:rPr>
            </w:pPr>
            <w:r w:rsidRPr="00185BC0">
              <w:rPr>
                <w:sz w:val="20"/>
                <w:szCs w:val="20"/>
              </w:rPr>
              <w:t>0,013*</w:t>
            </w:r>
          </w:p>
        </w:tc>
      </w:tr>
      <w:tr w:rsidR="00220331" w:rsidRPr="00185BC0" w14:paraId="7CF562E0" w14:textId="77777777" w:rsidTr="006A73B6">
        <w:trPr>
          <w:trHeight w:val="861"/>
          <w:jc w:val="center"/>
        </w:trPr>
        <w:tc>
          <w:tcPr>
            <w:tcW w:w="3114" w:type="dxa"/>
          </w:tcPr>
          <w:p w14:paraId="29CB1DEA" w14:textId="77777777" w:rsidR="00220331" w:rsidRPr="00185BC0" w:rsidRDefault="00220331" w:rsidP="00220331">
            <w:pPr>
              <w:rPr>
                <w:rFonts w:eastAsiaTheme="minorHAnsi"/>
                <w:sz w:val="20"/>
                <w:szCs w:val="20"/>
                <w:lang w:val="en-US"/>
              </w:rPr>
            </w:pPr>
            <w:proofErr w:type="spellStart"/>
            <w:r w:rsidRPr="00185BC0">
              <w:rPr>
                <w:rFonts w:eastAsiaTheme="minorHAnsi"/>
                <w:sz w:val="20"/>
                <w:szCs w:val="20"/>
                <w:lang w:val="en-US"/>
              </w:rPr>
              <w:t>Послеоперационное</w:t>
            </w:r>
            <w:proofErr w:type="spellEnd"/>
            <w:r w:rsidRPr="00185BC0">
              <w:rPr>
                <w:rFonts w:eastAsiaTheme="minorHAnsi"/>
                <w:sz w:val="20"/>
                <w:szCs w:val="20"/>
                <w:lang w:val="en-US"/>
              </w:rPr>
              <w:t xml:space="preserve"> </w:t>
            </w:r>
            <w:proofErr w:type="spellStart"/>
            <w:r w:rsidRPr="00185BC0">
              <w:rPr>
                <w:rFonts w:eastAsiaTheme="minorHAnsi"/>
                <w:sz w:val="20"/>
                <w:szCs w:val="20"/>
                <w:lang w:val="en-US"/>
              </w:rPr>
              <w:t>укорочение</w:t>
            </w:r>
            <w:proofErr w:type="spellEnd"/>
            <w:r w:rsidRPr="00185BC0">
              <w:rPr>
                <w:rFonts w:eastAsiaTheme="minorHAnsi"/>
                <w:sz w:val="20"/>
                <w:szCs w:val="20"/>
                <w:lang w:val="en-US"/>
              </w:rPr>
              <w:t xml:space="preserve"> </w:t>
            </w:r>
            <w:proofErr w:type="spellStart"/>
            <w:r w:rsidRPr="00185BC0">
              <w:rPr>
                <w:rFonts w:eastAsiaTheme="minorHAnsi"/>
                <w:sz w:val="20"/>
                <w:szCs w:val="20"/>
                <w:lang w:val="en-US"/>
              </w:rPr>
              <w:t>конечности</w:t>
            </w:r>
            <w:proofErr w:type="spellEnd"/>
            <w:r w:rsidRPr="00185BC0">
              <w:rPr>
                <w:rFonts w:eastAsiaTheme="minorHAnsi"/>
                <w:sz w:val="20"/>
                <w:szCs w:val="20"/>
                <w:lang w:val="en-US"/>
              </w:rPr>
              <w:t xml:space="preserve">, </w:t>
            </w:r>
            <w:proofErr w:type="spellStart"/>
            <w:r w:rsidRPr="00185BC0">
              <w:rPr>
                <w:rFonts w:eastAsiaTheme="minorHAnsi"/>
                <w:sz w:val="20"/>
                <w:szCs w:val="20"/>
                <w:lang w:val="en-US"/>
              </w:rPr>
              <w:t>см</w:t>
            </w:r>
            <w:proofErr w:type="spellEnd"/>
          </w:p>
        </w:tc>
        <w:tc>
          <w:tcPr>
            <w:tcW w:w="5675" w:type="dxa"/>
            <w:gridSpan w:val="3"/>
          </w:tcPr>
          <w:p w14:paraId="70475E31" w14:textId="77777777" w:rsidR="00220331" w:rsidRPr="00185BC0" w:rsidRDefault="00220331" w:rsidP="00220331">
            <w:pPr>
              <w:rPr>
                <w:sz w:val="20"/>
                <w:szCs w:val="20"/>
                <w:lang w:eastAsia="ru-RU"/>
              </w:rPr>
            </w:pPr>
            <w:r w:rsidRPr="00185BC0">
              <w:rPr>
                <w:sz w:val="20"/>
                <w:szCs w:val="20"/>
                <w:lang w:eastAsia="ru-RU"/>
              </w:rPr>
              <w:t>Во всех случаях клинический показатель составил ≤1,0 (по расчетным данным)</w:t>
            </w:r>
          </w:p>
        </w:tc>
      </w:tr>
      <w:tr w:rsidR="00220331" w:rsidRPr="00185BC0" w14:paraId="2B6726C2" w14:textId="77777777" w:rsidTr="006A73B6">
        <w:trPr>
          <w:jc w:val="center"/>
        </w:trPr>
        <w:tc>
          <w:tcPr>
            <w:tcW w:w="3114" w:type="dxa"/>
          </w:tcPr>
          <w:p w14:paraId="6CDF2CEC" w14:textId="77777777" w:rsidR="00220331" w:rsidRPr="00185BC0" w:rsidRDefault="00220331" w:rsidP="00220331">
            <w:pPr>
              <w:rPr>
                <w:rFonts w:eastAsiaTheme="minorHAnsi"/>
                <w:sz w:val="20"/>
                <w:szCs w:val="20"/>
              </w:rPr>
            </w:pPr>
            <w:r w:rsidRPr="00185BC0">
              <w:rPr>
                <w:rFonts w:eastAsiaTheme="minorHAnsi"/>
                <w:sz w:val="20"/>
                <w:szCs w:val="20"/>
              </w:rPr>
              <w:t>Длина разреза, Me [IQR]</w:t>
            </w:r>
          </w:p>
        </w:tc>
        <w:tc>
          <w:tcPr>
            <w:tcW w:w="2126" w:type="dxa"/>
          </w:tcPr>
          <w:p w14:paraId="48CB5C2F" w14:textId="77777777" w:rsidR="00220331" w:rsidRPr="00185BC0" w:rsidRDefault="00220331" w:rsidP="006A73B6">
            <w:pPr>
              <w:jc w:val="center"/>
              <w:rPr>
                <w:sz w:val="20"/>
                <w:szCs w:val="20"/>
              </w:rPr>
            </w:pPr>
            <w:r w:rsidRPr="00185BC0">
              <w:rPr>
                <w:sz w:val="20"/>
                <w:szCs w:val="20"/>
              </w:rPr>
              <w:t>16,00</w:t>
            </w:r>
          </w:p>
          <w:p w14:paraId="3C9C5A0E" w14:textId="77777777" w:rsidR="00220331" w:rsidRPr="00185BC0" w:rsidRDefault="00220331" w:rsidP="006A73B6">
            <w:pPr>
              <w:jc w:val="center"/>
              <w:rPr>
                <w:sz w:val="20"/>
                <w:szCs w:val="20"/>
                <w:lang w:val="en-US" w:eastAsia="ru-RU"/>
              </w:rPr>
            </w:pPr>
            <w:r w:rsidRPr="00185BC0">
              <w:rPr>
                <w:sz w:val="20"/>
                <w:szCs w:val="20"/>
              </w:rPr>
              <w:t>[16,00; 18,00]</w:t>
            </w:r>
          </w:p>
        </w:tc>
        <w:tc>
          <w:tcPr>
            <w:tcW w:w="2126" w:type="dxa"/>
          </w:tcPr>
          <w:p w14:paraId="5537A2E7" w14:textId="77777777" w:rsidR="00220331" w:rsidRPr="00185BC0" w:rsidRDefault="00220331" w:rsidP="006A73B6">
            <w:pPr>
              <w:jc w:val="center"/>
              <w:rPr>
                <w:sz w:val="20"/>
                <w:szCs w:val="20"/>
              </w:rPr>
            </w:pPr>
            <w:r w:rsidRPr="00185BC0">
              <w:rPr>
                <w:sz w:val="20"/>
                <w:szCs w:val="20"/>
              </w:rPr>
              <w:t>21,00</w:t>
            </w:r>
          </w:p>
          <w:p w14:paraId="52714D43" w14:textId="77777777" w:rsidR="00220331" w:rsidRPr="00185BC0" w:rsidRDefault="00220331" w:rsidP="006A73B6">
            <w:pPr>
              <w:jc w:val="center"/>
              <w:rPr>
                <w:sz w:val="20"/>
                <w:szCs w:val="20"/>
                <w:lang w:val="en-US" w:eastAsia="ru-RU"/>
              </w:rPr>
            </w:pPr>
            <w:r w:rsidRPr="00185BC0">
              <w:rPr>
                <w:sz w:val="20"/>
                <w:szCs w:val="20"/>
              </w:rPr>
              <w:t>[20,00; 23,75]</w:t>
            </w:r>
          </w:p>
        </w:tc>
        <w:tc>
          <w:tcPr>
            <w:tcW w:w="1423" w:type="dxa"/>
          </w:tcPr>
          <w:p w14:paraId="5FADD8E8" w14:textId="77777777" w:rsidR="00220331" w:rsidRPr="00185BC0" w:rsidRDefault="00220331" w:rsidP="006A73B6">
            <w:pPr>
              <w:jc w:val="center"/>
              <w:rPr>
                <w:sz w:val="20"/>
                <w:szCs w:val="20"/>
                <w:lang w:val="en-US" w:eastAsia="ru-RU"/>
              </w:rPr>
            </w:pPr>
            <w:r w:rsidRPr="00185BC0">
              <w:rPr>
                <w:sz w:val="20"/>
                <w:szCs w:val="20"/>
              </w:rPr>
              <w:t>&lt;0,001*</w:t>
            </w:r>
          </w:p>
        </w:tc>
      </w:tr>
      <w:tr w:rsidR="00220331" w:rsidRPr="00185BC0" w14:paraId="575083F4" w14:textId="77777777" w:rsidTr="006A73B6">
        <w:trPr>
          <w:jc w:val="center"/>
        </w:trPr>
        <w:tc>
          <w:tcPr>
            <w:tcW w:w="3114" w:type="dxa"/>
          </w:tcPr>
          <w:p w14:paraId="2F469839" w14:textId="4F12D8C8" w:rsidR="00220331" w:rsidRPr="00185BC0" w:rsidRDefault="00220331" w:rsidP="00220331">
            <w:pPr>
              <w:rPr>
                <w:rFonts w:eastAsiaTheme="minorHAnsi"/>
                <w:sz w:val="20"/>
                <w:szCs w:val="20"/>
              </w:rPr>
            </w:pPr>
            <w:r w:rsidRPr="00185BC0">
              <w:rPr>
                <w:rFonts w:eastAsiaTheme="minorHAnsi"/>
                <w:sz w:val="20"/>
                <w:szCs w:val="20"/>
                <w:lang w:val="kk-KZ"/>
              </w:rPr>
              <w:t>П</w:t>
            </w:r>
            <w:proofErr w:type="spellStart"/>
            <w:r w:rsidRPr="00185BC0">
              <w:rPr>
                <w:rFonts w:eastAsiaTheme="minorHAnsi"/>
                <w:sz w:val="20"/>
                <w:szCs w:val="20"/>
              </w:rPr>
              <w:t>огружение</w:t>
            </w:r>
            <w:proofErr w:type="spellEnd"/>
            <w:r w:rsidRPr="00185BC0">
              <w:rPr>
                <w:rFonts w:eastAsiaTheme="minorHAnsi"/>
                <w:sz w:val="20"/>
                <w:szCs w:val="20"/>
              </w:rPr>
              <w:t xml:space="preserve"> вертлужного компонента, </w:t>
            </w:r>
            <w:r w:rsidR="00BF2144" w:rsidRPr="00185BC0">
              <w:rPr>
                <w:rFonts w:eastAsiaTheme="minorHAnsi"/>
                <w:sz w:val="20"/>
                <w:szCs w:val="20"/>
              </w:rPr>
              <w:t xml:space="preserve">% </w:t>
            </w:r>
            <w:r w:rsidRPr="00185BC0">
              <w:rPr>
                <w:rFonts w:eastAsiaTheme="minorHAnsi"/>
                <w:sz w:val="20"/>
                <w:szCs w:val="20"/>
              </w:rPr>
              <w:t>Me [IQR]</w:t>
            </w:r>
          </w:p>
        </w:tc>
        <w:tc>
          <w:tcPr>
            <w:tcW w:w="2126" w:type="dxa"/>
          </w:tcPr>
          <w:p w14:paraId="424AA1F1" w14:textId="77777777" w:rsidR="00220331" w:rsidRPr="00185BC0" w:rsidRDefault="00220331" w:rsidP="006A73B6">
            <w:pPr>
              <w:jc w:val="center"/>
              <w:rPr>
                <w:sz w:val="20"/>
                <w:szCs w:val="20"/>
              </w:rPr>
            </w:pPr>
            <w:r w:rsidRPr="00185BC0">
              <w:rPr>
                <w:sz w:val="20"/>
                <w:szCs w:val="20"/>
              </w:rPr>
              <w:t>95,00</w:t>
            </w:r>
          </w:p>
          <w:p w14:paraId="44336F38" w14:textId="77777777" w:rsidR="00220331" w:rsidRPr="00185BC0" w:rsidRDefault="00220331" w:rsidP="006A73B6">
            <w:pPr>
              <w:jc w:val="center"/>
              <w:rPr>
                <w:sz w:val="20"/>
                <w:szCs w:val="20"/>
                <w:lang w:val="en-US" w:eastAsia="ru-RU"/>
              </w:rPr>
            </w:pPr>
            <w:r w:rsidRPr="00185BC0">
              <w:rPr>
                <w:sz w:val="20"/>
                <w:szCs w:val="20"/>
              </w:rPr>
              <w:t>[95,00; 100,00]</w:t>
            </w:r>
          </w:p>
        </w:tc>
        <w:tc>
          <w:tcPr>
            <w:tcW w:w="2126" w:type="dxa"/>
          </w:tcPr>
          <w:p w14:paraId="043E9AED" w14:textId="77777777" w:rsidR="00220331" w:rsidRPr="00185BC0" w:rsidRDefault="00220331" w:rsidP="006A73B6">
            <w:pPr>
              <w:jc w:val="center"/>
              <w:rPr>
                <w:sz w:val="20"/>
                <w:szCs w:val="20"/>
              </w:rPr>
            </w:pPr>
            <w:r w:rsidRPr="00185BC0">
              <w:rPr>
                <w:sz w:val="20"/>
                <w:szCs w:val="20"/>
              </w:rPr>
              <w:t>95,00</w:t>
            </w:r>
          </w:p>
          <w:p w14:paraId="70CA38EE" w14:textId="77777777" w:rsidR="00220331" w:rsidRPr="00185BC0" w:rsidRDefault="00220331" w:rsidP="006A73B6">
            <w:pPr>
              <w:jc w:val="center"/>
              <w:rPr>
                <w:sz w:val="20"/>
                <w:szCs w:val="20"/>
                <w:lang w:val="en-US" w:eastAsia="ru-RU"/>
              </w:rPr>
            </w:pPr>
            <w:r w:rsidRPr="00185BC0">
              <w:rPr>
                <w:sz w:val="20"/>
                <w:szCs w:val="20"/>
              </w:rPr>
              <w:t>[91,25; 95,00]</w:t>
            </w:r>
          </w:p>
        </w:tc>
        <w:tc>
          <w:tcPr>
            <w:tcW w:w="1423" w:type="dxa"/>
          </w:tcPr>
          <w:p w14:paraId="18F70391" w14:textId="77777777" w:rsidR="00220331" w:rsidRPr="00185BC0" w:rsidRDefault="00220331" w:rsidP="006A73B6">
            <w:pPr>
              <w:jc w:val="center"/>
              <w:rPr>
                <w:sz w:val="20"/>
                <w:szCs w:val="20"/>
                <w:lang w:val="en-US" w:eastAsia="ru-RU"/>
              </w:rPr>
            </w:pPr>
            <w:r w:rsidRPr="00185BC0">
              <w:rPr>
                <w:sz w:val="20"/>
                <w:szCs w:val="20"/>
              </w:rPr>
              <w:t>0,037*</w:t>
            </w:r>
          </w:p>
        </w:tc>
      </w:tr>
      <w:bookmarkEnd w:id="42"/>
    </w:tbl>
    <w:p w14:paraId="46E2FCE9" w14:textId="77777777" w:rsidR="00220331" w:rsidRPr="00185BC0" w:rsidRDefault="00220331" w:rsidP="00220331">
      <w:pPr>
        <w:ind w:firstLine="720"/>
        <w:jc w:val="both"/>
        <w:rPr>
          <w:sz w:val="28"/>
          <w:szCs w:val="28"/>
        </w:rPr>
      </w:pPr>
    </w:p>
    <w:p w14:paraId="7D045CF9" w14:textId="6346249D" w:rsidR="00220331" w:rsidRPr="00185BC0" w:rsidRDefault="00220331" w:rsidP="00220331">
      <w:pPr>
        <w:ind w:firstLine="720"/>
        <w:jc w:val="both"/>
        <w:rPr>
          <w:sz w:val="28"/>
          <w:szCs w:val="28"/>
          <w:lang w:val="kk-KZ"/>
        </w:rPr>
      </w:pPr>
      <w:r w:rsidRPr="00185BC0">
        <w:rPr>
          <w:sz w:val="28"/>
          <w:szCs w:val="28"/>
        </w:rPr>
        <w:t xml:space="preserve">Полученные результаты демонстрируют, что предложенная методика обеспечивает достоверное сокращение продолжительности операции, уменьшение объёма кровопотери и длины кожного разреза, а также более оптимальное позиционирование вертлужного компонента. При этом клинически значимого укорочения конечности не отмечено, что подтверждает меньшую </w:t>
      </w:r>
      <w:proofErr w:type="spellStart"/>
      <w:r w:rsidRPr="00185BC0">
        <w:rPr>
          <w:sz w:val="28"/>
          <w:szCs w:val="28"/>
        </w:rPr>
        <w:t>травматичность</w:t>
      </w:r>
      <w:proofErr w:type="spellEnd"/>
      <w:r w:rsidRPr="00185BC0">
        <w:rPr>
          <w:sz w:val="28"/>
          <w:szCs w:val="28"/>
        </w:rPr>
        <w:t xml:space="preserve"> вмешательства и положительный функциональный результат</w:t>
      </w:r>
      <w:r w:rsidRPr="00185BC0">
        <w:rPr>
          <w:sz w:val="28"/>
          <w:szCs w:val="28"/>
          <w:lang w:val="kk-KZ"/>
        </w:rPr>
        <w:t>.</w:t>
      </w:r>
    </w:p>
    <w:p w14:paraId="005DAC66" w14:textId="77777777" w:rsidR="00220331" w:rsidRPr="00185BC0" w:rsidRDefault="00220331" w:rsidP="00220331">
      <w:pPr>
        <w:ind w:firstLine="720"/>
        <w:jc w:val="both"/>
        <w:rPr>
          <w:i/>
          <w:iCs/>
          <w:sz w:val="28"/>
          <w:szCs w:val="28"/>
        </w:rPr>
      </w:pPr>
      <w:r w:rsidRPr="00185BC0">
        <w:rPr>
          <w:i/>
          <w:iCs/>
          <w:sz w:val="28"/>
          <w:szCs w:val="28"/>
        </w:rPr>
        <w:t>Послеоперационный период и сроки консолидации</w:t>
      </w:r>
    </w:p>
    <w:p w14:paraId="5DE6287C" w14:textId="191747D8" w:rsidR="00220331" w:rsidRPr="00185BC0" w:rsidRDefault="0048757C" w:rsidP="00220331">
      <w:pPr>
        <w:ind w:firstLine="720"/>
        <w:jc w:val="both"/>
        <w:rPr>
          <w:sz w:val="28"/>
          <w:szCs w:val="28"/>
        </w:rPr>
      </w:pPr>
      <w:r w:rsidRPr="00185BC0">
        <w:rPr>
          <w:sz w:val="28"/>
          <w:szCs w:val="28"/>
        </w:rPr>
        <w:t xml:space="preserve">Результаты клинико-рентгенологического анализа показали различия в динамике формирования костного регенерата в зоне </w:t>
      </w:r>
      <w:proofErr w:type="spellStart"/>
      <w:r w:rsidRPr="00185BC0">
        <w:rPr>
          <w:sz w:val="28"/>
          <w:szCs w:val="28"/>
        </w:rPr>
        <w:t>подвертельной</w:t>
      </w:r>
      <w:proofErr w:type="spellEnd"/>
      <w:r w:rsidRPr="00185BC0">
        <w:rPr>
          <w:sz w:val="28"/>
          <w:szCs w:val="28"/>
        </w:rPr>
        <w:t xml:space="preserve"> остеотомии бедренной кости в зависимости от применяемого метода фиксации</w:t>
      </w:r>
      <w:r w:rsidRPr="00185BC0">
        <w:rPr>
          <w:sz w:val="28"/>
          <w:szCs w:val="28"/>
          <w:lang w:val="kk-KZ"/>
        </w:rPr>
        <w:t xml:space="preserve"> </w:t>
      </w:r>
      <w:r w:rsidR="00220331" w:rsidRPr="00185BC0">
        <w:rPr>
          <w:sz w:val="28"/>
          <w:szCs w:val="28"/>
          <w:lang w:val="kk-KZ"/>
        </w:rPr>
        <w:t>(рисунок 3</w:t>
      </w:r>
      <w:r w:rsidR="00654A28" w:rsidRPr="00185BC0">
        <w:rPr>
          <w:sz w:val="28"/>
          <w:szCs w:val="28"/>
          <w:lang w:val="kk-KZ"/>
        </w:rPr>
        <w:t>6</w:t>
      </w:r>
      <w:r w:rsidR="00220331" w:rsidRPr="00185BC0">
        <w:rPr>
          <w:sz w:val="28"/>
          <w:szCs w:val="28"/>
          <w:lang w:val="kk-KZ"/>
        </w:rPr>
        <w:t>)</w:t>
      </w:r>
      <w:r w:rsidR="00220331" w:rsidRPr="00185BC0">
        <w:rPr>
          <w:sz w:val="28"/>
          <w:szCs w:val="28"/>
        </w:rPr>
        <w:t>.</w:t>
      </w:r>
    </w:p>
    <w:p w14:paraId="6C084B70" w14:textId="61051ADF" w:rsidR="00973989" w:rsidRPr="00185BC0" w:rsidRDefault="00973989" w:rsidP="00973989">
      <w:pPr>
        <w:widowControl/>
        <w:tabs>
          <w:tab w:val="left" w:pos="2313"/>
          <w:tab w:val="left" w:pos="7320"/>
        </w:tabs>
        <w:autoSpaceDE/>
        <w:autoSpaceDN/>
        <w:spacing w:before="100" w:beforeAutospacing="1" w:after="100" w:afterAutospacing="1"/>
        <w:rPr>
          <w:sz w:val="28"/>
          <w:szCs w:val="28"/>
          <w:lang w:val="en-US" w:eastAsia="ru-RU"/>
        </w:rPr>
      </w:pPr>
      <w:r w:rsidRPr="00185BC0">
        <w:rPr>
          <w:noProof/>
          <w:sz w:val="28"/>
          <w:szCs w:val="28"/>
          <w:lang w:val="en-US" w:eastAsia="ru-RU"/>
        </w:rPr>
        <w:lastRenderedPageBreak/>
        <w:drawing>
          <wp:inline distT="0" distB="0" distL="0" distR="0" wp14:anchorId="3461F8D0" wp14:editId="41B090FD">
            <wp:extent cx="5829935" cy="24390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29935" cy="2439035"/>
                    </a:xfrm>
                    <a:prstGeom prst="rect">
                      <a:avLst/>
                    </a:prstGeom>
                    <a:noFill/>
                  </pic:spPr>
                </pic:pic>
              </a:graphicData>
            </a:graphic>
          </wp:inline>
        </w:drawing>
      </w:r>
    </w:p>
    <w:p w14:paraId="1BE4CEAE" w14:textId="5DD705C1" w:rsidR="00973989" w:rsidRPr="00185BC0" w:rsidRDefault="00973989" w:rsidP="00973989">
      <w:pPr>
        <w:widowControl/>
        <w:tabs>
          <w:tab w:val="left" w:pos="2313"/>
          <w:tab w:val="left" w:pos="7320"/>
        </w:tabs>
        <w:autoSpaceDE/>
        <w:autoSpaceDN/>
        <w:spacing w:before="100" w:beforeAutospacing="1" w:after="100" w:afterAutospacing="1"/>
        <w:rPr>
          <w:sz w:val="28"/>
          <w:szCs w:val="28"/>
          <w:lang w:val="en-US" w:eastAsia="ru-RU"/>
        </w:rPr>
      </w:pPr>
      <w:r w:rsidRPr="00185BC0">
        <w:rPr>
          <w:noProof/>
          <w:sz w:val="28"/>
          <w:szCs w:val="28"/>
          <w:lang w:val="en-US" w:eastAsia="ru-RU"/>
        </w:rPr>
        <w:drawing>
          <wp:inline distT="0" distB="0" distL="0" distR="0" wp14:anchorId="25CE000B" wp14:editId="0FDF1FED">
            <wp:extent cx="5810885" cy="234378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10885" cy="2343785"/>
                    </a:xfrm>
                    <a:prstGeom prst="rect">
                      <a:avLst/>
                    </a:prstGeom>
                    <a:noFill/>
                  </pic:spPr>
                </pic:pic>
              </a:graphicData>
            </a:graphic>
          </wp:inline>
        </w:drawing>
      </w:r>
    </w:p>
    <w:p w14:paraId="1D049528" w14:textId="3189BC96" w:rsidR="00973989" w:rsidRPr="00185BC0" w:rsidRDefault="00973989" w:rsidP="00973989">
      <w:pPr>
        <w:widowControl/>
        <w:tabs>
          <w:tab w:val="left" w:pos="2313"/>
          <w:tab w:val="left" w:pos="7320"/>
        </w:tabs>
        <w:autoSpaceDE/>
        <w:autoSpaceDN/>
        <w:spacing w:before="100" w:beforeAutospacing="1" w:after="100" w:afterAutospacing="1"/>
        <w:jc w:val="center"/>
        <w:rPr>
          <w:sz w:val="28"/>
          <w:szCs w:val="28"/>
          <w:lang w:val="en-US" w:eastAsia="ru-RU"/>
        </w:rPr>
      </w:pPr>
      <w:r w:rsidRPr="00185BC0">
        <w:rPr>
          <w:noProof/>
          <w:sz w:val="28"/>
          <w:szCs w:val="28"/>
          <w:lang w:val="en-US" w:eastAsia="ru-RU"/>
        </w:rPr>
        <w:drawing>
          <wp:inline distT="0" distB="0" distL="0" distR="0" wp14:anchorId="0CFBE83A" wp14:editId="701D5D1B">
            <wp:extent cx="2915285" cy="262953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15285" cy="2629535"/>
                    </a:xfrm>
                    <a:prstGeom prst="rect">
                      <a:avLst/>
                    </a:prstGeom>
                    <a:noFill/>
                  </pic:spPr>
                </pic:pic>
              </a:graphicData>
            </a:graphic>
          </wp:inline>
        </w:drawing>
      </w:r>
    </w:p>
    <w:p w14:paraId="44CD55C7" w14:textId="065506C3" w:rsidR="0097588E" w:rsidRPr="00185BC0" w:rsidRDefault="00220331" w:rsidP="00771A4C">
      <w:pPr>
        <w:widowControl/>
        <w:autoSpaceDE/>
        <w:autoSpaceDN/>
        <w:spacing w:before="100" w:beforeAutospacing="1" w:after="100" w:afterAutospacing="1"/>
        <w:ind w:firstLine="720"/>
        <w:jc w:val="both"/>
        <w:rPr>
          <w:sz w:val="28"/>
          <w:szCs w:val="28"/>
          <w:lang w:val="kk-KZ" w:eastAsia="ru-RU"/>
        </w:rPr>
      </w:pPr>
      <w:r w:rsidRPr="00185BC0">
        <w:rPr>
          <w:sz w:val="28"/>
          <w:szCs w:val="28"/>
          <w:lang w:val="kk-KZ" w:eastAsia="ru-RU"/>
        </w:rPr>
        <w:t>Рисунок 3</w:t>
      </w:r>
      <w:r w:rsidR="00654A28" w:rsidRPr="00185BC0">
        <w:rPr>
          <w:sz w:val="28"/>
          <w:szCs w:val="28"/>
          <w:lang w:val="kk-KZ" w:eastAsia="ru-RU"/>
        </w:rPr>
        <w:t>6</w:t>
      </w:r>
      <w:r w:rsidR="00331E2B" w:rsidRPr="00185BC0">
        <w:rPr>
          <w:sz w:val="28"/>
          <w:szCs w:val="28"/>
          <w:lang w:val="kk-KZ" w:eastAsia="ru-RU"/>
        </w:rPr>
        <w:t xml:space="preserve"> </w:t>
      </w:r>
      <w:r w:rsidR="00331E2B" w:rsidRPr="00185BC0">
        <w:rPr>
          <w:sz w:val="28"/>
          <w:szCs w:val="28"/>
          <w:lang w:val="kk-KZ"/>
        </w:rPr>
        <w:t>–</w:t>
      </w:r>
      <w:r w:rsidR="00331E2B" w:rsidRPr="00185BC0">
        <w:rPr>
          <w:b/>
          <w:bCs/>
          <w:sz w:val="28"/>
          <w:szCs w:val="28"/>
        </w:rPr>
        <w:t xml:space="preserve"> </w:t>
      </w:r>
      <w:r w:rsidRPr="00185BC0">
        <w:rPr>
          <w:sz w:val="28"/>
          <w:szCs w:val="28"/>
          <w:lang w:val="kk-KZ" w:eastAsia="ru-RU"/>
        </w:rPr>
        <w:t xml:space="preserve">Последовательная рентгенологическая оценка сращения остеотомии после ТЭТС с использованием деротационной пластины с угловой стабильностью у пациента с дисплазией тазобедренного сустава типа Crowe IV: </w:t>
      </w:r>
      <w:r w:rsidR="00E93125" w:rsidRPr="00185BC0">
        <w:rPr>
          <w:sz w:val="28"/>
          <w:szCs w:val="28"/>
          <w:lang w:val="kk-KZ" w:eastAsia="ru-RU"/>
        </w:rPr>
        <w:t>A) дооперационная рентгенограмма; Б) 1,5 месяца после операции; В) 3 месяца после операции; Г) этапное двустороннее ТЭТС: правая сторона через 6 месяцев, левая – через 1,5 месяца; Д) контроль через 12 месяцев</w:t>
      </w:r>
      <w:r w:rsidR="0097588E" w:rsidRPr="00185BC0">
        <w:rPr>
          <w:sz w:val="28"/>
          <w:szCs w:val="28"/>
          <w:lang w:val="kk-KZ" w:eastAsia="ru-RU"/>
        </w:rPr>
        <w:t xml:space="preserve"> </w:t>
      </w:r>
    </w:p>
    <w:p w14:paraId="42CF7598" w14:textId="1418CF7D" w:rsidR="001E51ED" w:rsidRPr="00185BC0" w:rsidRDefault="001E51ED" w:rsidP="001E51ED">
      <w:pPr>
        <w:ind w:firstLine="720"/>
        <w:jc w:val="both"/>
        <w:rPr>
          <w:sz w:val="28"/>
          <w:szCs w:val="28"/>
        </w:rPr>
      </w:pPr>
      <w:r w:rsidRPr="00185BC0">
        <w:rPr>
          <w:sz w:val="28"/>
          <w:szCs w:val="28"/>
        </w:rPr>
        <w:lastRenderedPageBreak/>
        <w:t>Рентгенологический анализ показал, что уже через 1,5 месяца после операции в основной группе наблюдались более высокие показатели костного регенерата. Среднее значение составило 1</w:t>
      </w:r>
      <w:r w:rsidR="00BF2144" w:rsidRPr="00185BC0">
        <w:rPr>
          <w:sz w:val="28"/>
          <w:szCs w:val="28"/>
          <w:lang w:val="tr-TR"/>
        </w:rPr>
        <w:t>,</w:t>
      </w:r>
      <w:r w:rsidRPr="00185BC0">
        <w:rPr>
          <w:sz w:val="28"/>
          <w:szCs w:val="28"/>
        </w:rPr>
        <w:t>13 ± 0</w:t>
      </w:r>
      <w:r w:rsidR="00BF2144" w:rsidRPr="00185BC0">
        <w:rPr>
          <w:sz w:val="28"/>
          <w:szCs w:val="28"/>
          <w:lang w:val="tr-TR"/>
        </w:rPr>
        <w:t>,</w:t>
      </w:r>
      <w:r w:rsidRPr="00185BC0">
        <w:rPr>
          <w:sz w:val="28"/>
          <w:szCs w:val="28"/>
        </w:rPr>
        <w:t xml:space="preserve">37, тогда как в контрольной группе </w:t>
      </w:r>
      <w:r w:rsidR="00F34EF9" w:rsidRPr="00185BC0">
        <w:rPr>
          <w:sz w:val="28"/>
          <w:szCs w:val="28"/>
        </w:rPr>
        <w:t>–</w:t>
      </w:r>
      <w:r w:rsidRPr="00185BC0">
        <w:rPr>
          <w:sz w:val="28"/>
          <w:szCs w:val="28"/>
        </w:rPr>
        <w:t xml:space="preserve"> 0</w:t>
      </w:r>
      <w:r w:rsidR="00BF2144" w:rsidRPr="00185BC0">
        <w:rPr>
          <w:sz w:val="28"/>
          <w:szCs w:val="28"/>
          <w:lang w:val="tr-TR"/>
        </w:rPr>
        <w:t>,</w:t>
      </w:r>
      <w:r w:rsidRPr="00185BC0">
        <w:rPr>
          <w:sz w:val="28"/>
          <w:szCs w:val="28"/>
        </w:rPr>
        <w:t>67 ± 0</w:t>
      </w:r>
      <w:r w:rsidR="00BF2144" w:rsidRPr="00185BC0">
        <w:rPr>
          <w:sz w:val="28"/>
          <w:szCs w:val="28"/>
          <w:lang w:val="tr-TR"/>
        </w:rPr>
        <w:t>,</w:t>
      </w:r>
      <w:r w:rsidRPr="00185BC0">
        <w:rPr>
          <w:sz w:val="28"/>
          <w:szCs w:val="28"/>
        </w:rPr>
        <w:t>47 (p = 0</w:t>
      </w:r>
      <w:r w:rsidR="00BF2144" w:rsidRPr="00185BC0">
        <w:rPr>
          <w:sz w:val="28"/>
          <w:szCs w:val="28"/>
          <w:lang w:val="tr-TR"/>
        </w:rPr>
        <w:t>,</w:t>
      </w:r>
      <w:r w:rsidRPr="00185BC0">
        <w:rPr>
          <w:sz w:val="28"/>
          <w:szCs w:val="28"/>
        </w:rPr>
        <w:t xml:space="preserve">001), что свидетельствует о более выраженном раннем остеогенезе при использовании индивидуализированной </w:t>
      </w:r>
      <w:proofErr w:type="spellStart"/>
      <w:r w:rsidRPr="00185BC0">
        <w:rPr>
          <w:sz w:val="28"/>
          <w:szCs w:val="28"/>
        </w:rPr>
        <w:t>деротационной</w:t>
      </w:r>
      <w:proofErr w:type="spellEnd"/>
      <w:r w:rsidRPr="00185BC0">
        <w:rPr>
          <w:sz w:val="28"/>
          <w:szCs w:val="28"/>
        </w:rPr>
        <w:t xml:space="preserve"> пластины с угловой стабильностью.</w:t>
      </w:r>
    </w:p>
    <w:p w14:paraId="2827E246" w14:textId="13A303BB" w:rsidR="001E51ED" w:rsidRPr="00185BC0" w:rsidRDefault="001E51ED" w:rsidP="001E51ED">
      <w:pPr>
        <w:ind w:firstLine="720"/>
        <w:jc w:val="both"/>
        <w:rPr>
          <w:sz w:val="28"/>
          <w:szCs w:val="28"/>
        </w:rPr>
      </w:pPr>
      <w:r w:rsidRPr="00185BC0">
        <w:rPr>
          <w:sz w:val="28"/>
          <w:szCs w:val="28"/>
        </w:rPr>
        <w:t>Через 3 месяца различия между группами сохранялись и становились ещё более значимыми: 1</w:t>
      </w:r>
      <w:r w:rsidR="00BF2144" w:rsidRPr="00185BC0">
        <w:rPr>
          <w:sz w:val="28"/>
          <w:szCs w:val="28"/>
          <w:lang w:val="tr-TR"/>
        </w:rPr>
        <w:t>,</w:t>
      </w:r>
      <w:r w:rsidRPr="00185BC0">
        <w:rPr>
          <w:sz w:val="28"/>
          <w:szCs w:val="28"/>
        </w:rPr>
        <w:t>47 ± 0</w:t>
      </w:r>
      <w:r w:rsidR="00BF2144" w:rsidRPr="00185BC0">
        <w:rPr>
          <w:sz w:val="28"/>
          <w:szCs w:val="28"/>
          <w:lang w:val="tr-TR"/>
        </w:rPr>
        <w:t>,</w:t>
      </w:r>
      <w:r w:rsidRPr="00185BC0">
        <w:rPr>
          <w:sz w:val="28"/>
          <w:szCs w:val="28"/>
        </w:rPr>
        <w:t>47 в основной группе против 0</w:t>
      </w:r>
      <w:r w:rsidR="00BF2144" w:rsidRPr="00185BC0">
        <w:rPr>
          <w:sz w:val="28"/>
          <w:szCs w:val="28"/>
          <w:lang w:val="tr-TR"/>
        </w:rPr>
        <w:t>,</w:t>
      </w:r>
      <w:r w:rsidRPr="00185BC0">
        <w:rPr>
          <w:sz w:val="28"/>
          <w:szCs w:val="28"/>
        </w:rPr>
        <w:t>97 ± 0</w:t>
      </w:r>
      <w:r w:rsidR="00BF2144" w:rsidRPr="00185BC0">
        <w:rPr>
          <w:sz w:val="28"/>
          <w:szCs w:val="28"/>
          <w:lang w:val="tr-TR"/>
        </w:rPr>
        <w:t>,</w:t>
      </w:r>
      <w:r w:rsidRPr="00185BC0">
        <w:rPr>
          <w:sz w:val="28"/>
          <w:szCs w:val="28"/>
        </w:rPr>
        <w:t xml:space="preserve">40 в контрольной (p </w:t>
      </w:r>
      <w:proofErr w:type="gramStart"/>
      <w:r w:rsidRPr="00185BC0">
        <w:rPr>
          <w:sz w:val="28"/>
          <w:szCs w:val="28"/>
        </w:rPr>
        <w:t>&lt; 0</w:t>
      </w:r>
      <w:r w:rsidR="00BF2144" w:rsidRPr="00185BC0">
        <w:rPr>
          <w:sz w:val="28"/>
          <w:szCs w:val="28"/>
          <w:lang w:val="tr-TR"/>
        </w:rPr>
        <w:t>,</w:t>
      </w:r>
      <w:r w:rsidRPr="00185BC0">
        <w:rPr>
          <w:sz w:val="28"/>
          <w:szCs w:val="28"/>
        </w:rPr>
        <w:t>001</w:t>
      </w:r>
      <w:proofErr w:type="gramEnd"/>
      <w:r w:rsidRPr="00185BC0">
        <w:rPr>
          <w:sz w:val="28"/>
          <w:szCs w:val="28"/>
        </w:rPr>
        <w:t>). Эти данные отражают активное формирование костных перемычек и стабильный прогресс консолидации остеотомии в основной группе.</w:t>
      </w:r>
    </w:p>
    <w:p w14:paraId="7C258998" w14:textId="7A02F84C" w:rsidR="001E51ED" w:rsidRPr="00185BC0" w:rsidRDefault="001E51ED" w:rsidP="001E51ED">
      <w:pPr>
        <w:ind w:firstLine="720"/>
        <w:jc w:val="both"/>
        <w:rPr>
          <w:sz w:val="28"/>
          <w:szCs w:val="28"/>
        </w:rPr>
      </w:pPr>
      <w:r w:rsidRPr="00185BC0">
        <w:rPr>
          <w:sz w:val="28"/>
          <w:szCs w:val="28"/>
        </w:rPr>
        <w:t>К 6 месяцам у всех пациентов основной группы была достигнута практически полная консолидация остеотомии (среднее значение 2</w:t>
      </w:r>
      <w:r w:rsidR="00BF2144" w:rsidRPr="00185BC0">
        <w:rPr>
          <w:sz w:val="28"/>
          <w:szCs w:val="28"/>
          <w:lang w:val="tr-TR"/>
        </w:rPr>
        <w:t>,</w:t>
      </w:r>
      <w:r w:rsidRPr="00185BC0">
        <w:rPr>
          <w:sz w:val="28"/>
          <w:szCs w:val="28"/>
        </w:rPr>
        <w:t>00 ± 0</w:t>
      </w:r>
      <w:r w:rsidR="00BF2144" w:rsidRPr="00185BC0">
        <w:rPr>
          <w:sz w:val="28"/>
          <w:szCs w:val="28"/>
          <w:lang w:val="tr-TR"/>
        </w:rPr>
        <w:t>,</w:t>
      </w:r>
      <w:r w:rsidRPr="00185BC0">
        <w:rPr>
          <w:sz w:val="28"/>
          <w:szCs w:val="28"/>
        </w:rPr>
        <w:t>00). В контрольной группе средний показатель составил 1</w:t>
      </w:r>
      <w:r w:rsidR="00BF2144" w:rsidRPr="00185BC0">
        <w:rPr>
          <w:sz w:val="28"/>
          <w:szCs w:val="28"/>
          <w:lang w:val="tr-TR"/>
        </w:rPr>
        <w:t>,</w:t>
      </w:r>
      <w:r w:rsidRPr="00185BC0">
        <w:rPr>
          <w:sz w:val="28"/>
          <w:szCs w:val="28"/>
        </w:rPr>
        <w:t>80 ± 0</w:t>
      </w:r>
      <w:r w:rsidR="00BF2144" w:rsidRPr="00185BC0">
        <w:rPr>
          <w:sz w:val="28"/>
          <w:szCs w:val="28"/>
          <w:lang w:val="tr-TR"/>
        </w:rPr>
        <w:t>,</w:t>
      </w:r>
      <w:r w:rsidRPr="00185BC0">
        <w:rPr>
          <w:sz w:val="28"/>
          <w:szCs w:val="28"/>
        </w:rPr>
        <w:t>33 (p = 0</w:t>
      </w:r>
      <w:r w:rsidR="00BF2144" w:rsidRPr="00185BC0">
        <w:rPr>
          <w:sz w:val="28"/>
          <w:szCs w:val="28"/>
          <w:lang w:val="tr-TR"/>
        </w:rPr>
        <w:t>,</w:t>
      </w:r>
      <w:r w:rsidRPr="00185BC0">
        <w:rPr>
          <w:sz w:val="28"/>
          <w:szCs w:val="28"/>
        </w:rPr>
        <w:t>03), что указывает на сохранение признаков незавершённого остеогенеза у части пациентов.</w:t>
      </w:r>
    </w:p>
    <w:p w14:paraId="44679BC2" w14:textId="1D90CC97" w:rsidR="00220331" w:rsidRPr="00185BC0" w:rsidRDefault="001E51ED" w:rsidP="001E51ED">
      <w:pPr>
        <w:ind w:firstLine="720"/>
        <w:jc w:val="both"/>
        <w:rPr>
          <w:sz w:val="28"/>
          <w:szCs w:val="28"/>
        </w:rPr>
      </w:pPr>
      <w:r w:rsidRPr="00185BC0">
        <w:rPr>
          <w:sz w:val="28"/>
          <w:szCs w:val="28"/>
        </w:rPr>
        <w:t>К 12 месяцам различия между группами становились статистически незначимыми: 2</w:t>
      </w:r>
      <w:r w:rsidR="00BF2144" w:rsidRPr="00185BC0">
        <w:rPr>
          <w:sz w:val="28"/>
          <w:szCs w:val="28"/>
          <w:lang w:val="tr-TR"/>
        </w:rPr>
        <w:t>,</w:t>
      </w:r>
      <w:r w:rsidRPr="00185BC0">
        <w:rPr>
          <w:sz w:val="28"/>
          <w:szCs w:val="28"/>
        </w:rPr>
        <w:t>00 ± 0</w:t>
      </w:r>
      <w:r w:rsidR="00BF2144" w:rsidRPr="00185BC0">
        <w:rPr>
          <w:sz w:val="28"/>
          <w:szCs w:val="28"/>
          <w:lang w:val="tr-TR"/>
        </w:rPr>
        <w:t>,</w:t>
      </w:r>
      <w:r w:rsidRPr="00185BC0">
        <w:rPr>
          <w:sz w:val="28"/>
          <w:szCs w:val="28"/>
        </w:rPr>
        <w:t>00 в основной группе и 1</w:t>
      </w:r>
      <w:r w:rsidR="00BF2144" w:rsidRPr="00185BC0">
        <w:rPr>
          <w:sz w:val="28"/>
          <w:szCs w:val="28"/>
          <w:lang w:val="tr-TR"/>
        </w:rPr>
        <w:t>,</w:t>
      </w:r>
      <w:r w:rsidRPr="00185BC0">
        <w:rPr>
          <w:sz w:val="28"/>
          <w:szCs w:val="28"/>
        </w:rPr>
        <w:t>90 ± 0</w:t>
      </w:r>
      <w:r w:rsidR="00BF2144" w:rsidRPr="00185BC0">
        <w:rPr>
          <w:sz w:val="28"/>
          <w:szCs w:val="28"/>
          <w:lang w:val="tr-TR"/>
        </w:rPr>
        <w:t>,</w:t>
      </w:r>
      <w:r w:rsidRPr="00185BC0">
        <w:rPr>
          <w:sz w:val="28"/>
          <w:szCs w:val="28"/>
        </w:rPr>
        <w:t>20</w:t>
      </w:r>
      <w:r w:rsidR="00BF2144" w:rsidRPr="00185BC0">
        <w:rPr>
          <w:sz w:val="28"/>
          <w:szCs w:val="28"/>
          <w:lang w:val="tr-TR"/>
        </w:rPr>
        <w:t xml:space="preserve">, </w:t>
      </w:r>
      <w:r w:rsidR="00BF2144" w:rsidRPr="00185BC0">
        <w:rPr>
          <w:sz w:val="28"/>
          <w:szCs w:val="28"/>
        </w:rPr>
        <w:t xml:space="preserve">а </w:t>
      </w:r>
      <w:r w:rsidRPr="00185BC0">
        <w:rPr>
          <w:sz w:val="28"/>
          <w:szCs w:val="28"/>
        </w:rPr>
        <w:t>в контрольной (p = 0</w:t>
      </w:r>
      <w:r w:rsidR="00BF2144" w:rsidRPr="00185BC0">
        <w:rPr>
          <w:sz w:val="28"/>
          <w:szCs w:val="28"/>
          <w:lang w:val="tr-TR"/>
        </w:rPr>
        <w:t>,</w:t>
      </w:r>
      <w:r w:rsidRPr="00185BC0">
        <w:rPr>
          <w:sz w:val="28"/>
          <w:szCs w:val="28"/>
        </w:rPr>
        <w:t xml:space="preserve">12), что отражает завершение </w:t>
      </w:r>
      <w:proofErr w:type="spellStart"/>
      <w:r w:rsidRPr="00185BC0">
        <w:rPr>
          <w:sz w:val="28"/>
          <w:szCs w:val="28"/>
        </w:rPr>
        <w:t>ремоделирования</w:t>
      </w:r>
      <w:proofErr w:type="spellEnd"/>
      <w:r w:rsidRPr="00185BC0">
        <w:rPr>
          <w:sz w:val="28"/>
          <w:szCs w:val="28"/>
        </w:rPr>
        <w:t xml:space="preserve"> костного регенерата и выравнивание отдалённых результатов (таблицы </w:t>
      </w:r>
      <w:r w:rsidR="001A5BA0" w:rsidRPr="00185BC0">
        <w:rPr>
          <w:sz w:val="28"/>
          <w:szCs w:val="28"/>
          <w:lang w:val="kk-KZ"/>
        </w:rPr>
        <w:t>11</w:t>
      </w:r>
      <w:r w:rsidRPr="00185BC0">
        <w:rPr>
          <w:sz w:val="28"/>
          <w:szCs w:val="28"/>
        </w:rPr>
        <w:t>–1</w:t>
      </w:r>
      <w:r w:rsidR="001A5BA0" w:rsidRPr="00185BC0">
        <w:rPr>
          <w:sz w:val="28"/>
          <w:szCs w:val="28"/>
          <w:lang w:val="kk-KZ"/>
        </w:rPr>
        <w:t>2</w:t>
      </w:r>
      <w:r w:rsidRPr="00185BC0">
        <w:rPr>
          <w:sz w:val="28"/>
          <w:szCs w:val="28"/>
        </w:rPr>
        <w:t>).</w:t>
      </w:r>
    </w:p>
    <w:p w14:paraId="1D389A26" w14:textId="77777777" w:rsidR="006A73B6" w:rsidRPr="00185BC0" w:rsidRDefault="006A73B6" w:rsidP="001E51ED">
      <w:pPr>
        <w:ind w:firstLine="720"/>
        <w:jc w:val="both"/>
        <w:rPr>
          <w:sz w:val="28"/>
          <w:szCs w:val="28"/>
        </w:rPr>
      </w:pPr>
    </w:p>
    <w:p w14:paraId="0C6DC9B8" w14:textId="495603F0" w:rsidR="00220331" w:rsidRPr="00185BC0" w:rsidRDefault="00220331" w:rsidP="00331E2B">
      <w:pPr>
        <w:jc w:val="both"/>
        <w:rPr>
          <w:b/>
          <w:bCs/>
          <w:sz w:val="28"/>
          <w:szCs w:val="28"/>
        </w:rPr>
      </w:pPr>
      <w:r w:rsidRPr="00185BC0">
        <w:rPr>
          <w:b/>
          <w:bCs/>
          <w:sz w:val="28"/>
          <w:szCs w:val="28"/>
        </w:rPr>
        <w:t>Таблица 1</w:t>
      </w:r>
      <w:r w:rsidR="001A5BA0" w:rsidRPr="00185BC0">
        <w:rPr>
          <w:b/>
          <w:bCs/>
          <w:sz w:val="28"/>
          <w:szCs w:val="28"/>
          <w:lang w:val="kk-KZ"/>
        </w:rPr>
        <w:t>1</w:t>
      </w:r>
      <w:r w:rsidR="00331E2B" w:rsidRPr="00185BC0">
        <w:rPr>
          <w:b/>
          <w:bCs/>
          <w:sz w:val="28"/>
          <w:szCs w:val="28"/>
          <w:lang w:val="kk-KZ"/>
        </w:rPr>
        <w:t xml:space="preserve"> –</w:t>
      </w:r>
      <w:r w:rsidR="00331E2B" w:rsidRPr="00185BC0">
        <w:rPr>
          <w:b/>
          <w:bCs/>
          <w:sz w:val="28"/>
          <w:szCs w:val="28"/>
        </w:rPr>
        <w:t xml:space="preserve"> </w:t>
      </w:r>
      <w:r w:rsidRPr="00185BC0">
        <w:rPr>
          <w:b/>
          <w:bCs/>
          <w:sz w:val="28"/>
          <w:szCs w:val="28"/>
        </w:rPr>
        <w:t>Динамика сроков консолидации остеотомии у пациентов основной и контрольной групп</w:t>
      </w:r>
    </w:p>
    <w:p w14:paraId="28BDF5B6" w14:textId="1A880024" w:rsidR="00D6324F" w:rsidRPr="00185BC0" w:rsidRDefault="00D6324F" w:rsidP="00220331">
      <w:pPr>
        <w:rPr>
          <w:lang w:val="kk-KZ" w:eastAsia="ru-RU"/>
        </w:rPr>
      </w:pPr>
    </w:p>
    <w:tbl>
      <w:tblPr>
        <w:tblStyle w:val="13"/>
        <w:tblW w:w="0" w:type="auto"/>
        <w:tblLook w:val="04A0" w:firstRow="1" w:lastRow="0" w:firstColumn="1" w:lastColumn="0" w:noHBand="0" w:noVBand="1"/>
      </w:tblPr>
      <w:tblGrid>
        <w:gridCol w:w="1769"/>
        <w:gridCol w:w="2054"/>
        <w:gridCol w:w="1842"/>
        <w:gridCol w:w="1843"/>
        <w:gridCol w:w="1836"/>
      </w:tblGrid>
      <w:tr w:rsidR="00BF5746" w:rsidRPr="00185BC0" w14:paraId="783EB9DB" w14:textId="77777777" w:rsidTr="006A73B6">
        <w:tc>
          <w:tcPr>
            <w:tcW w:w="1769" w:type="dxa"/>
            <w:hideMark/>
          </w:tcPr>
          <w:p w14:paraId="34296ADB" w14:textId="77777777" w:rsidR="00D6324F" w:rsidRPr="00185BC0" w:rsidRDefault="00D6324F" w:rsidP="00BF5746">
            <w:pPr>
              <w:jc w:val="center"/>
              <w:rPr>
                <w:b/>
                <w:bCs/>
                <w:sz w:val="20"/>
                <w:szCs w:val="20"/>
                <w:lang w:eastAsia="ru-RU"/>
              </w:rPr>
            </w:pPr>
            <w:r w:rsidRPr="00185BC0">
              <w:rPr>
                <w:b/>
                <w:bCs/>
                <w:sz w:val="20"/>
                <w:szCs w:val="20"/>
                <w:lang w:eastAsia="ru-RU"/>
              </w:rPr>
              <w:t>Период наблюдения</w:t>
            </w:r>
          </w:p>
        </w:tc>
        <w:tc>
          <w:tcPr>
            <w:tcW w:w="2054" w:type="dxa"/>
            <w:hideMark/>
          </w:tcPr>
          <w:p w14:paraId="33F51F2A" w14:textId="77777777" w:rsidR="00D6324F" w:rsidRPr="00185BC0" w:rsidRDefault="00D6324F" w:rsidP="00BF5746">
            <w:pPr>
              <w:jc w:val="center"/>
              <w:rPr>
                <w:b/>
                <w:bCs/>
                <w:sz w:val="20"/>
                <w:szCs w:val="20"/>
                <w:lang w:eastAsia="ru-RU"/>
              </w:rPr>
            </w:pPr>
            <w:r w:rsidRPr="00185BC0">
              <w:rPr>
                <w:b/>
                <w:bCs/>
                <w:sz w:val="20"/>
                <w:szCs w:val="20"/>
                <w:lang w:eastAsia="ru-RU"/>
              </w:rPr>
              <w:t>Группа</w:t>
            </w:r>
          </w:p>
        </w:tc>
        <w:tc>
          <w:tcPr>
            <w:tcW w:w="1842" w:type="dxa"/>
            <w:hideMark/>
          </w:tcPr>
          <w:p w14:paraId="131112CC" w14:textId="110ADCA0" w:rsidR="00BF5746" w:rsidRPr="00185BC0" w:rsidRDefault="00BF5746" w:rsidP="00BF5746">
            <w:pPr>
              <w:jc w:val="center"/>
              <w:rPr>
                <w:b/>
                <w:bCs/>
                <w:sz w:val="20"/>
                <w:szCs w:val="20"/>
                <w:lang w:val="kk-KZ" w:eastAsia="ru-RU"/>
              </w:rPr>
            </w:pPr>
            <w:r w:rsidRPr="00185BC0">
              <w:rPr>
                <w:b/>
                <w:bCs/>
                <w:sz w:val="20"/>
                <w:szCs w:val="20"/>
                <w:lang w:val="kk-KZ" w:eastAsia="ru-RU"/>
              </w:rPr>
              <w:t>1 зона</w:t>
            </w:r>
          </w:p>
          <w:p w14:paraId="68BEA8A9" w14:textId="606911C6" w:rsidR="00BF5746" w:rsidRPr="00185BC0" w:rsidRDefault="00BF5746" w:rsidP="00BF5746">
            <w:pPr>
              <w:jc w:val="center"/>
              <w:rPr>
                <w:b/>
                <w:bCs/>
                <w:sz w:val="20"/>
                <w:szCs w:val="20"/>
                <w:lang w:val="kk-KZ" w:eastAsia="ru-RU"/>
              </w:rPr>
            </w:pPr>
            <w:r w:rsidRPr="00185BC0">
              <w:rPr>
                <w:b/>
                <w:bCs/>
                <w:sz w:val="20"/>
                <w:szCs w:val="20"/>
                <w:lang w:eastAsia="ru-RU"/>
              </w:rPr>
              <w:t>шарнирная зона</w:t>
            </w:r>
          </w:p>
          <w:p w14:paraId="5DB94C4C" w14:textId="2031E338" w:rsidR="00D6324F" w:rsidRPr="00185BC0" w:rsidRDefault="00D6324F" w:rsidP="00BF5746">
            <w:pPr>
              <w:jc w:val="center"/>
              <w:rPr>
                <w:b/>
                <w:bCs/>
                <w:sz w:val="20"/>
                <w:szCs w:val="20"/>
                <w:lang w:eastAsia="ru-RU"/>
              </w:rPr>
            </w:pPr>
            <w:proofErr w:type="spellStart"/>
            <w:r w:rsidRPr="00185BC0">
              <w:rPr>
                <w:b/>
                <w:bCs/>
                <w:sz w:val="20"/>
                <w:szCs w:val="20"/>
                <w:lang w:eastAsia="ru-RU"/>
              </w:rPr>
              <w:t>Mean</w:t>
            </w:r>
            <w:proofErr w:type="spellEnd"/>
            <w:r w:rsidRPr="00185BC0">
              <w:rPr>
                <w:b/>
                <w:bCs/>
                <w:sz w:val="20"/>
                <w:szCs w:val="20"/>
                <w:lang w:eastAsia="ru-RU"/>
              </w:rPr>
              <w:t xml:space="preserve"> ± SD</w:t>
            </w:r>
          </w:p>
        </w:tc>
        <w:tc>
          <w:tcPr>
            <w:tcW w:w="1843" w:type="dxa"/>
            <w:hideMark/>
          </w:tcPr>
          <w:p w14:paraId="28B0E8BC" w14:textId="7E72495B" w:rsidR="00D6324F" w:rsidRPr="00185BC0" w:rsidRDefault="00D6324F" w:rsidP="00BF5746">
            <w:pPr>
              <w:jc w:val="center"/>
              <w:rPr>
                <w:b/>
                <w:bCs/>
                <w:sz w:val="20"/>
                <w:szCs w:val="20"/>
                <w:lang w:eastAsia="ru-RU"/>
              </w:rPr>
            </w:pPr>
            <w:r w:rsidRPr="00185BC0">
              <w:rPr>
                <w:b/>
                <w:bCs/>
                <w:sz w:val="20"/>
                <w:szCs w:val="20"/>
                <w:lang w:eastAsia="ru-RU"/>
              </w:rPr>
              <w:t>2</w:t>
            </w:r>
            <w:r w:rsidR="00BF5746" w:rsidRPr="00185BC0">
              <w:rPr>
                <w:b/>
                <w:bCs/>
                <w:sz w:val="20"/>
                <w:szCs w:val="20"/>
                <w:lang w:val="kk-KZ" w:eastAsia="ru-RU"/>
              </w:rPr>
              <w:t xml:space="preserve"> </w:t>
            </w:r>
            <w:r w:rsidR="006A73B6" w:rsidRPr="00185BC0">
              <w:rPr>
                <w:b/>
                <w:bCs/>
                <w:sz w:val="20"/>
                <w:szCs w:val="20"/>
                <w:lang w:val="kk-KZ" w:eastAsia="ru-RU"/>
              </w:rPr>
              <w:t xml:space="preserve">зона </w:t>
            </w:r>
            <w:r w:rsidR="006A73B6" w:rsidRPr="00185BC0">
              <w:rPr>
                <w:b/>
                <w:bCs/>
                <w:sz w:val="20"/>
                <w:szCs w:val="20"/>
                <w:lang w:eastAsia="ru-RU"/>
              </w:rPr>
              <w:t>центральная</w:t>
            </w:r>
            <w:r w:rsidR="00BF5746" w:rsidRPr="00185BC0">
              <w:rPr>
                <w:b/>
                <w:bCs/>
                <w:sz w:val="20"/>
                <w:szCs w:val="20"/>
                <w:lang w:eastAsia="ru-RU"/>
              </w:rPr>
              <w:t xml:space="preserve"> зона </w:t>
            </w:r>
            <w:r w:rsidRPr="00185BC0">
              <w:rPr>
                <w:b/>
                <w:bCs/>
                <w:sz w:val="20"/>
                <w:szCs w:val="20"/>
                <w:lang w:eastAsia="ru-RU"/>
              </w:rPr>
              <w:t xml:space="preserve"> </w:t>
            </w:r>
            <w:r w:rsidR="00193CB4" w:rsidRPr="00185BC0">
              <w:rPr>
                <w:b/>
                <w:bCs/>
                <w:sz w:val="20"/>
                <w:szCs w:val="20"/>
                <w:lang w:val="kk-KZ" w:eastAsia="ru-RU"/>
              </w:rPr>
              <w:t xml:space="preserve">     </w:t>
            </w:r>
            <w:r w:rsidRPr="00185BC0">
              <w:rPr>
                <w:b/>
                <w:bCs/>
                <w:sz w:val="20"/>
                <w:szCs w:val="20"/>
                <w:lang w:val="en-US" w:eastAsia="ru-RU"/>
              </w:rPr>
              <w:t>Mean</w:t>
            </w:r>
            <w:r w:rsidRPr="00185BC0">
              <w:rPr>
                <w:b/>
                <w:bCs/>
                <w:sz w:val="20"/>
                <w:szCs w:val="20"/>
                <w:lang w:eastAsia="ru-RU"/>
              </w:rPr>
              <w:t xml:space="preserve"> ± </w:t>
            </w:r>
            <w:r w:rsidRPr="00185BC0">
              <w:rPr>
                <w:b/>
                <w:bCs/>
                <w:sz w:val="20"/>
                <w:szCs w:val="20"/>
                <w:lang w:val="en-US" w:eastAsia="ru-RU"/>
              </w:rPr>
              <w:t>SD</w:t>
            </w:r>
          </w:p>
        </w:tc>
        <w:tc>
          <w:tcPr>
            <w:tcW w:w="1836" w:type="dxa"/>
            <w:hideMark/>
          </w:tcPr>
          <w:p w14:paraId="3EC106A6" w14:textId="34E6A4ED" w:rsidR="00BF5746" w:rsidRPr="00185BC0" w:rsidRDefault="00D6324F" w:rsidP="00BF5746">
            <w:pPr>
              <w:jc w:val="center"/>
              <w:rPr>
                <w:b/>
                <w:bCs/>
                <w:sz w:val="20"/>
                <w:szCs w:val="20"/>
                <w:lang w:val="kk-KZ" w:eastAsia="ru-RU"/>
              </w:rPr>
            </w:pPr>
            <w:r w:rsidRPr="00185BC0">
              <w:rPr>
                <w:b/>
                <w:bCs/>
                <w:sz w:val="20"/>
                <w:szCs w:val="20"/>
                <w:lang w:eastAsia="ru-RU"/>
              </w:rPr>
              <w:t>3</w:t>
            </w:r>
            <w:r w:rsidR="00BF5746" w:rsidRPr="00185BC0">
              <w:rPr>
                <w:b/>
                <w:bCs/>
                <w:sz w:val="20"/>
                <w:szCs w:val="20"/>
                <w:lang w:val="kk-KZ" w:eastAsia="ru-RU"/>
              </w:rPr>
              <w:t xml:space="preserve"> зона</w:t>
            </w:r>
          </w:p>
          <w:p w14:paraId="25DD4812" w14:textId="411A1203" w:rsidR="00D6324F" w:rsidRPr="00185BC0" w:rsidRDefault="00BF5746" w:rsidP="00BF5746">
            <w:pPr>
              <w:jc w:val="center"/>
              <w:rPr>
                <w:b/>
                <w:bCs/>
                <w:sz w:val="20"/>
                <w:szCs w:val="20"/>
                <w:lang w:eastAsia="ru-RU"/>
              </w:rPr>
            </w:pPr>
            <w:r w:rsidRPr="00185BC0">
              <w:rPr>
                <w:b/>
                <w:bCs/>
                <w:sz w:val="20"/>
                <w:szCs w:val="20"/>
                <w:lang w:eastAsia="ru-RU"/>
              </w:rPr>
              <w:t>зона замыкания</w:t>
            </w:r>
            <w:r w:rsidR="00D6324F" w:rsidRPr="00185BC0">
              <w:rPr>
                <w:b/>
                <w:bCs/>
                <w:sz w:val="20"/>
                <w:szCs w:val="20"/>
                <w:lang w:eastAsia="ru-RU"/>
              </w:rPr>
              <w:t xml:space="preserve"> </w:t>
            </w:r>
            <w:proofErr w:type="spellStart"/>
            <w:r w:rsidR="00D6324F" w:rsidRPr="00185BC0">
              <w:rPr>
                <w:b/>
                <w:bCs/>
                <w:sz w:val="20"/>
                <w:szCs w:val="20"/>
                <w:lang w:eastAsia="ru-RU"/>
              </w:rPr>
              <w:t>Mean</w:t>
            </w:r>
            <w:proofErr w:type="spellEnd"/>
            <w:r w:rsidR="00D6324F" w:rsidRPr="00185BC0">
              <w:rPr>
                <w:b/>
                <w:bCs/>
                <w:sz w:val="20"/>
                <w:szCs w:val="20"/>
                <w:lang w:eastAsia="ru-RU"/>
              </w:rPr>
              <w:t xml:space="preserve"> ± SD</w:t>
            </w:r>
          </w:p>
        </w:tc>
      </w:tr>
      <w:tr w:rsidR="00BF5746" w:rsidRPr="00185BC0" w14:paraId="6AC60D04" w14:textId="77777777" w:rsidTr="006A73B6">
        <w:tc>
          <w:tcPr>
            <w:tcW w:w="1769" w:type="dxa"/>
            <w:vMerge w:val="restart"/>
            <w:hideMark/>
          </w:tcPr>
          <w:p w14:paraId="196D0963" w14:textId="77777777" w:rsidR="00D6324F" w:rsidRPr="00185BC0" w:rsidRDefault="00D6324F" w:rsidP="00D6324F">
            <w:pPr>
              <w:rPr>
                <w:sz w:val="20"/>
                <w:szCs w:val="20"/>
                <w:lang w:eastAsia="ru-RU"/>
              </w:rPr>
            </w:pPr>
            <w:r w:rsidRPr="00185BC0">
              <w:rPr>
                <w:b/>
                <w:bCs/>
                <w:sz w:val="20"/>
                <w:szCs w:val="20"/>
                <w:lang w:eastAsia="ru-RU"/>
              </w:rPr>
              <w:t>1,5 месяца</w:t>
            </w:r>
          </w:p>
        </w:tc>
        <w:tc>
          <w:tcPr>
            <w:tcW w:w="2054" w:type="dxa"/>
            <w:hideMark/>
          </w:tcPr>
          <w:p w14:paraId="070DD424" w14:textId="77777777" w:rsidR="00D6324F" w:rsidRPr="00185BC0" w:rsidRDefault="00D6324F" w:rsidP="00D6324F">
            <w:pPr>
              <w:rPr>
                <w:sz w:val="20"/>
                <w:szCs w:val="20"/>
                <w:lang w:eastAsia="ru-RU"/>
              </w:rPr>
            </w:pPr>
            <w:r w:rsidRPr="00185BC0">
              <w:rPr>
                <w:sz w:val="20"/>
                <w:szCs w:val="20"/>
                <w:lang w:eastAsia="ru-RU"/>
              </w:rPr>
              <w:t>Основная (n=30)</w:t>
            </w:r>
          </w:p>
        </w:tc>
        <w:tc>
          <w:tcPr>
            <w:tcW w:w="1842" w:type="dxa"/>
            <w:hideMark/>
          </w:tcPr>
          <w:p w14:paraId="38900CE5" w14:textId="14A7B8FC"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2 ± 0</w:t>
            </w:r>
            <w:r w:rsidR="00BF2144" w:rsidRPr="00185BC0">
              <w:rPr>
                <w:sz w:val="20"/>
                <w:szCs w:val="20"/>
                <w:lang w:val="tr-TR" w:eastAsia="ru-RU"/>
              </w:rPr>
              <w:t>,</w:t>
            </w:r>
            <w:r w:rsidRPr="00185BC0">
              <w:rPr>
                <w:sz w:val="20"/>
                <w:szCs w:val="20"/>
                <w:lang w:eastAsia="ru-RU"/>
              </w:rPr>
              <w:t>4</w:t>
            </w:r>
          </w:p>
        </w:tc>
        <w:tc>
          <w:tcPr>
            <w:tcW w:w="1843" w:type="dxa"/>
            <w:hideMark/>
          </w:tcPr>
          <w:p w14:paraId="094B804A" w14:textId="391704B0"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1 ± 0</w:t>
            </w:r>
            <w:r w:rsidR="00BF2144" w:rsidRPr="00185BC0">
              <w:rPr>
                <w:sz w:val="20"/>
                <w:szCs w:val="20"/>
                <w:lang w:val="tr-TR" w:eastAsia="ru-RU"/>
              </w:rPr>
              <w:t>,</w:t>
            </w:r>
            <w:r w:rsidRPr="00185BC0">
              <w:rPr>
                <w:sz w:val="20"/>
                <w:szCs w:val="20"/>
                <w:lang w:eastAsia="ru-RU"/>
              </w:rPr>
              <w:t>4</w:t>
            </w:r>
          </w:p>
        </w:tc>
        <w:tc>
          <w:tcPr>
            <w:tcW w:w="1836" w:type="dxa"/>
            <w:hideMark/>
          </w:tcPr>
          <w:p w14:paraId="30855B38" w14:textId="76E81AA0"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1 ± 0</w:t>
            </w:r>
            <w:r w:rsidR="00BF2144" w:rsidRPr="00185BC0">
              <w:rPr>
                <w:sz w:val="20"/>
                <w:szCs w:val="20"/>
                <w:lang w:val="tr-TR" w:eastAsia="ru-RU"/>
              </w:rPr>
              <w:t>,</w:t>
            </w:r>
            <w:r w:rsidRPr="00185BC0">
              <w:rPr>
                <w:sz w:val="20"/>
                <w:szCs w:val="20"/>
                <w:lang w:eastAsia="ru-RU"/>
              </w:rPr>
              <w:t>3</w:t>
            </w:r>
          </w:p>
        </w:tc>
      </w:tr>
      <w:tr w:rsidR="00BF5746" w:rsidRPr="00185BC0" w14:paraId="0D525F30" w14:textId="77777777" w:rsidTr="006A73B6">
        <w:tc>
          <w:tcPr>
            <w:tcW w:w="1769" w:type="dxa"/>
            <w:vMerge/>
            <w:hideMark/>
          </w:tcPr>
          <w:p w14:paraId="4AEE51D5" w14:textId="77777777" w:rsidR="00D6324F" w:rsidRPr="00185BC0" w:rsidRDefault="00D6324F" w:rsidP="00D6324F">
            <w:pPr>
              <w:rPr>
                <w:sz w:val="20"/>
                <w:szCs w:val="20"/>
                <w:lang w:eastAsia="ru-RU"/>
              </w:rPr>
            </w:pPr>
          </w:p>
        </w:tc>
        <w:tc>
          <w:tcPr>
            <w:tcW w:w="2054" w:type="dxa"/>
            <w:hideMark/>
          </w:tcPr>
          <w:p w14:paraId="33C62A20" w14:textId="77777777" w:rsidR="00D6324F" w:rsidRPr="00185BC0" w:rsidRDefault="00D6324F" w:rsidP="00D6324F">
            <w:pPr>
              <w:rPr>
                <w:sz w:val="20"/>
                <w:szCs w:val="20"/>
                <w:lang w:eastAsia="ru-RU"/>
              </w:rPr>
            </w:pPr>
            <w:r w:rsidRPr="00185BC0">
              <w:rPr>
                <w:sz w:val="20"/>
                <w:szCs w:val="20"/>
                <w:lang w:eastAsia="ru-RU"/>
              </w:rPr>
              <w:t>Контрольная (n=30)</w:t>
            </w:r>
          </w:p>
        </w:tc>
        <w:tc>
          <w:tcPr>
            <w:tcW w:w="1842" w:type="dxa"/>
            <w:hideMark/>
          </w:tcPr>
          <w:p w14:paraId="544AEDFB" w14:textId="4E467753" w:rsidR="00D6324F" w:rsidRPr="00185BC0" w:rsidRDefault="00D6324F" w:rsidP="006A73B6">
            <w:pPr>
              <w:jc w:val="center"/>
              <w:rPr>
                <w:sz w:val="20"/>
                <w:szCs w:val="20"/>
                <w:lang w:eastAsia="ru-RU"/>
              </w:rPr>
            </w:pPr>
            <w:r w:rsidRPr="00185BC0">
              <w:rPr>
                <w:sz w:val="20"/>
                <w:szCs w:val="20"/>
                <w:lang w:eastAsia="ru-RU"/>
              </w:rPr>
              <w:t>0</w:t>
            </w:r>
            <w:r w:rsidR="00BF2144" w:rsidRPr="00185BC0">
              <w:rPr>
                <w:sz w:val="20"/>
                <w:szCs w:val="20"/>
                <w:lang w:val="tr-TR" w:eastAsia="ru-RU"/>
              </w:rPr>
              <w:t>,</w:t>
            </w:r>
            <w:r w:rsidRPr="00185BC0">
              <w:rPr>
                <w:sz w:val="20"/>
                <w:szCs w:val="20"/>
                <w:lang w:eastAsia="ru-RU"/>
              </w:rPr>
              <w:t>7 ± 0</w:t>
            </w:r>
            <w:r w:rsidR="00BF2144" w:rsidRPr="00185BC0">
              <w:rPr>
                <w:sz w:val="20"/>
                <w:szCs w:val="20"/>
                <w:lang w:val="tr-TR" w:eastAsia="ru-RU"/>
              </w:rPr>
              <w:t>,</w:t>
            </w:r>
            <w:r w:rsidRPr="00185BC0">
              <w:rPr>
                <w:sz w:val="20"/>
                <w:szCs w:val="20"/>
                <w:lang w:eastAsia="ru-RU"/>
              </w:rPr>
              <w:t>5</w:t>
            </w:r>
          </w:p>
        </w:tc>
        <w:tc>
          <w:tcPr>
            <w:tcW w:w="1843" w:type="dxa"/>
            <w:hideMark/>
          </w:tcPr>
          <w:p w14:paraId="5998A6A6" w14:textId="18D7F21B" w:rsidR="00D6324F" w:rsidRPr="00185BC0" w:rsidRDefault="00D6324F" w:rsidP="006A73B6">
            <w:pPr>
              <w:jc w:val="center"/>
              <w:rPr>
                <w:sz w:val="20"/>
                <w:szCs w:val="20"/>
                <w:lang w:eastAsia="ru-RU"/>
              </w:rPr>
            </w:pPr>
            <w:r w:rsidRPr="00185BC0">
              <w:rPr>
                <w:sz w:val="20"/>
                <w:szCs w:val="20"/>
                <w:lang w:eastAsia="ru-RU"/>
              </w:rPr>
              <w:t>0</w:t>
            </w:r>
            <w:r w:rsidR="00BF2144" w:rsidRPr="00185BC0">
              <w:rPr>
                <w:sz w:val="20"/>
                <w:szCs w:val="20"/>
                <w:lang w:val="tr-TR" w:eastAsia="ru-RU"/>
              </w:rPr>
              <w:t>,</w:t>
            </w:r>
            <w:r w:rsidRPr="00185BC0">
              <w:rPr>
                <w:sz w:val="20"/>
                <w:szCs w:val="20"/>
                <w:lang w:eastAsia="ru-RU"/>
              </w:rPr>
              <w:t>7 ± 0</w:t>
            </w:r>
            <w:r w:rsidR="00BF2144" w:rsidRPr="00185BC0">
              <w:rPr>
                <w:sz w:val="20"/>
                <w:szCs w:val="20"/>
                <w:lang w:val="tr-TR" w:eastAsia="ru-RU"/>
              </w:rPr>
              <w:t>,</w:t>
            </w:r>
            <w:r w:rsidRPr="00185BC0">
              <w:rPr>
                <w:sz w:val="20"/>
                <w:szCs w:val="20"/>
                <w:lang w:eastAsia="ru-RU"/>
              </w:rPr>
              <w:t>4</w:t>
            </w:r>
          </w:p>
        </w:tc>
        <w:tc>
          <w:tcPr>
            <w:tcW w:w="1836" w:type="dxa"/>
            <w:hideMark/>
          </w:tcPr>
          <w:p w14:paraId="503E20CB" w14:textId="12380282" w:rsidR="00D6324F" w:rsidRPr="00185BC0" w:rsidRDefault="00D6324F" w:rsidP="006A73B6">
            <w:pPr>
              <w:jc w:val="center"/>
              <w:rPr>
                <w:sz w:val="20"/>
                <w:szCs w:val="20"/>
                <w:lang w:eastAsia="ru-RU"/>
              </w:rPr>
            </w:pPr>
            <w:r w:rsidRPr="00185BC0">
              <w:rPr>
                <w:sz w:val="20"/>
                <w:szCs w:val="20"/>
                <w:lang w:eastAsia="ru-RU"/>
              </w:rPr>
              <w:t>0</w:t>
            </w:r>
            <w:r w:rsidR="00BF2144" w:rsidRPr="00185BC0">
              <w:rPr>
                <w:sz w:val="20"/>
                <w:szCs w:val="20"/>
                <w:lang w:val="tr-TR" w:eastAsia="ru-RU"/>
              </w:rPr>
              <w:t>,</w:t>
            </w:r>
            <w:r w:rsidRPr="00185BC0">
              <w:rPr>
                <w:sz w:val="20"/>
                <w:szCs w:val="20"/>
                <w:lang w:eastAsia="ru-RU"/>
              </w:rPr>
              <w:t>6 ± 0</w:t>
            </w:r>
            <w:r w:rsidR="00BF2144" w:rsidRPr="00185BC0">
              <w:rPr>
                <w:sz w:val="20"/>
                <w:szCs w:val="20"/>
                <w:lang w:val="tr-TR" w:eastAsia="ru-RU"/>
              </w:rPr>
              <w:t>,</w:t>
            </w:r>
            <w:r w:rsidRPr="00185BC0">
              <w:rPr>
                <w:sz w:val="20"/>
                <w:szCs w:val="20"/>
                <w:lang w:eastAsia="ru-RU"/>
              </w:rPr>
              <w:t>5</w:t>
            </w:r>
          </w:p>
        </w:tc>
      </w:tr>
      <w:tr w:rsidR="00BF5746" w:rsidRPr="00185BC0" w14:paraId="43C0DC9F" w14:textId="77777777" w:rsidTr="006A73B6">
        <w:tc>
          <w:tcPr>
            <w:tcW w:w="1769" w:type="dxa"/>
            <w:vMerge w:val="restart"/>
            <w:hideMark/>
          </w:tcPr>
          <w:p w14:paraId="2C1A600C" w14:textId="77777777" w:rsidR="00D6324F" w:rsidRPr="00185BC0" w:rsidRDefault="00D6324F" w:rsidP="00D6324F">
            <w:pPr>
              <w:rPr>
                <w:sz w:val="20"/>
                <w:szCs w:val="20"/>
                <w:lang w:eastAsia="ru-RU"/>
              </w:rPr>
            </w:pPr>
            <w:r w:rsidRPr="00185BC0">
              <w:rPr>
                <w:b/>
                <w:bCs/>
                <w:sz w:val="20"/>
                <w:szCs w:val="20"/>
                <w:lang w:eastAsia="ru-RU"/>
              </w:rPr>
              <w:t>3 месяца</w:t>
            </w:r>
          </w:p>
        </w:tc>
        <w:tc>
          <w:tcPr>
            <w:tcW w:w="2054" w:type="dxa"/>
            <w:hideMark/>
          </w:tcPr>
          <w:p w14:paraId="0AE37B43" w14:textId="77777777" w:rsidR="00D6324F" w:rsidRPr="00185BC0" w:rsidRDefault="00D6324F" w:rsidP="00D6324F">
            <w:pPr>
              <w:rPr>
                <w:sz w:val="20"/>
                <w:szCs w:val="20"/>
                <w:lang w:eastAsia="ru-RU"/>
              </w:rPr>
            </w:pPr>
            <w:r w:rsidRPr="00185BC0">
              <w:rPr>
                <w:sz w:val="20"/>
                <w:szCs w:val="20"/>
                <w:lang w:eastAsia="ru-RU"/>
              </w:rPr>
              <w:t>Основная (n=30)</w:t>
            </w:r>
          </w:p>
        </w:tc>
        <w:tc>
          <w:tcPr>
            <w:tcW w:w="1842" w:type="dxa"/>
            <w:hideMark/>
          </w:tcPr>
          <w:p w14:paraId="53FC7714" w14:textId="7710D0CC"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5 ± 0</w:t>
            </w:r>
            <w:r w:rsidR="00BF2144" w:rsidRPr="00185BC0">
              <w:rPr>
                <w:sz w:val="20"/>
                <w:szCs w:val="20"/>
                <w:lang w:val="tr-TR" w:eastAsia="ru-RU"/>
              </w:rPr>
              <w:t>,</w:t>
            </w:r>
            <w:r w:rsidRPr="00185BC0">
              <w:rPr>
                <w:sz w:val="20"/>
                <w:szCs w:val="20"/>
                <w:lang w:eastAsia="ru-RU"/>
              </w:rPr>
              <w:t>5</w:t>
            </w:r>
          </w:p>
        </w:tc>
        <w:tc>
          <w:tcPr>
            <w:tcW w:w="1843" w:type="dxa"/>
            <w:hideMark/>
          </w:tcPr>
          <w:p w14:paraId="17712DE2" w14:textId="698A6984"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5 ± 0</w:t>
            </w:r>
            <w:r w:rsidR="00BF2144" w:rsidRPr="00185BC0">
              <w:rPr>
                <w:sz w:val="20"/>
                <w:szCs w:val="20"/>
                <w:lang w:val="tr-TR" w:eastAsia="ru-RU"/>
              </w:rPr>
              <w:t>,</w:t>
            </w:r>
            <w:r w:rsidRPr="00185BC0">
              <w:rPr>
                <w:sz w:val="20"/>
                <w:szCs w:val="20"/>
                <w:lang w:eastAsia="ru-RU"/>
              </w:rPr>
              <w:t>4</w:t>
            </w:r>
          </w:p>
        </w:tc>
        <w:tc>
          <w:tcPr>
            <w:tcW w:w="1836" w:type="dxa"/>
            <w:hideMark/>
          </w:tcPr>
          <w:p w14:paraId="6BF9F4FD" w14:textId="65870BE0"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4 ± 0</w:t>
            </w:r>
            <w:r w:rsidR="00BF2144" w:rsidRPr="00185BC0">
              <w:rPr>
                <w:sz w:val="20"/>
                <w:szCs w:val="20"/>
                <w:lang w:val="tr-TR" w:eastAsia="ru-RU"/>
              </w:rPr>
              <w:t>,</w:t>
            </w:r>
            <w:r w:rsidRPr="00185BC0">
              <w:rPr>
                <w:sz w:val="20"/>
                <w:szCs w:val="20"/>
                <w:lang w:eastAsia="ru-RU"/>
              </w:rPr>
              <w:t>5</w:t>
            </w:r>
          </w:p>
        </w:tc>
      </w:tr>
      <w:tr w:rsidR="00BF5746" w:rsidRPr="00185BC0" w14:paraId="47146052" w14:textId="77777777" w:rsidTr="006A73B6">
        <w:tc>
          <w:tcPr>
            <w:tcW w:w="1769" w:type="dxa"/>
            <w:vMerge/>
            <w:hideMark/>
          </w:tcPr>
          <w:p w14:paraId="58DC9794" w14:textId="77777777" w:rsidR="00D6324F" w:rsidRPr="00185BC0" w:rsidRDefault="00D6324F" w:rsidP="00D6324F">
            <w:pPr>
              <w:rPr>
                <w:sz w:val="20"/>
                <w:szCs w:val="20"/>
                <w:lang w:eastAsia="ru-RU"/>
              </w:rPr>
            </w:pPr>
          </w:p>
        </w:tc>
        <w:tc>
          <w:tcPr>
            <w:tcW w:w="2054" w:type="dxa"/>
            <w:hideMark/>
          </w:tcPr>
          <w:p w14:paraId="21AFDE1C" w14:textId="77777777" w:rsidR="00D6324F" w:rsidRPr="00185BC0" w:rsidRDefault="00D6324F" w:rsidP="00D6324F">
            <w:pPr>
              <w:rPr>
                <w:sz w:val="20"/>
                <w:szCs w:val="20"/>
                <w:lang w:eastAsia="ru-RU"/>
              </w:rPr>
            </w:pPr>
            <w:r w:rsidRPr="00185BC0">
              <w:rPr>
                <w:sz w:val="20"/>
                <w:szCs w:val="20"/>
                <w:lang w:eastAsia="ru-RU"/>
              </w:rPr>
              <w:t>Контрольная (n=30)</w:t>
            </w:r>
          </w:p>
        </w:tc>
        <w:tc>
          <w:tcPr>
            <w:tcW w:w="1842" w:type="dxa"/>
            <w:hideMark/>
          </w:tcPr>
          <w:p w14:paraId="72E8ADBD" w14:textId="04D8542B"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5</w:t>
            </w:r>
          </w:p>
        </w:tc>
        <w:tc>
          <w:tcPr>
            <w:tcW w:w="1843" w:type="dxa"/>
            <w:hideMark/>
          </w:tcPr>
          <w:p w14:paraId="635E1622" w14:textId="3769EE61" w:rsidR="00D6324F" w:rsidRPr="00185BC0" w:rsidRDefault="00D6324F" w:rsidP="006A73B6">
            <w:pPr>
              <w:jc w:val="center"/>
              <w:rPr>
                <w:sz w:val="20"/>
                <w:szCs w:val="20"/>
                <w:lang w:eastAsia="ru-RU"/>
              </w:rPr>
            </w:pPr>
            <w:r w:rsidRPr="00185BC0">
              <w:rPr>
                <w:sz w:val="20"/>
                <w:szCs w:val="20"/>
                <w:lang w:eastAsia="ru-RU"/>
              </w:rPr>
              <w:t>0.9 ± 0</w:t>
            </w:r>
            <w:r w:rsidR="00BF2144" w:rsidRPr="00185BC0">
              <w:rPr>
                <w:sz w:val="20"/>
                <w:szCs w:val="20"/>
                <w:lang w:val="tr-TR" w:eastAsia="ru-RU"/>
              </w:rPr>
              <w:t>,</w:t>
            </w:r>
            <w:r w:rsidRPr="00185BC0">
              <w:rPr>
                <w:sz w:val="20"/>
                <w:szCs w:val="20"/>
                <w:lang w:eastAsia="ru-RU"/>
              </w:rPr>
              <w:t>4</w:t>
            </w:r>
          </w:p>
        </w:tc>
        <w:tc>
          <w:tcPr>
            <w:tcW w:w="1836" w:type="dxa"/>
            <w:hideMark/>
          </w:tcPr>
          <w:p w14:paraId="2B83F48A" w14:textId="0081548F"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3</w:t>
            </w:r>
          </w:p>
        </w:tc>
      </w:tr>
      <w:tr w:rsidR="00BF5746" w:rsidRPr="00185BC0" w14:paraId="27CB42C9" w14:textId="77777777" w:rsidTr="006A73B6">
        <w:tc>
          <w:tcPr>
            <w:tcW w:w="1769" w:type="dxa"/>
            <w:vMerge w:val="restart"/>
            <w:hideMark/>
          </w:tcPr>
          <w:p w14:paraId="73BFF778" w14:textId="77777777" w:rsidR="00D6324F" w:rsidRPr="00185BC0" w:rsidRDefault="00D6324F" w:rsidP="00D6324F">
            <w:pPr>
              <w:rPr>
                <w:sz w:val="20"/>
                <w:szCs w:val="20"/>
                <w:lang w:eastAsia="ru-RU"/>
              </w:rPr>
            </w:pPr>
            <w:r w:rsidRPr="00185BC0">
              <w:rPr>
                <w:b/>
                <w:bCs/>
                <w:sz w:val="20"/>
                <w:szCs w:val="20"/>
                <w:lang w:eastAsia="ru-RU"/>
              </w:rPr>
              <w:t>6 месяцев</w:t>
            </w:r>
          </w:p>
        </w:tc>
        <w:tc>
          <w:tcPr>
            <w:tcW w:w="2054" w:type="dxa"/>
            <w:hideMark/>
          </w:tcPr>
          <w:p w14:paraId="2685A62A" w14:textId="77777777" w:rsidR="00D6324F" w:rsidRPr="00185BC0" w:rsidRDefault="00D6324F" w:rsidP="00D6324F">
            <w:pPr>
              <w:rPr>
                <w:sz w:val="20"/>
                <w:szCs w:val="20"/>
                <w:lang w:eastAsia="ru-RU"/>
              </w:rPr>
            </w:pPr>
            <w:r w:rsidRPr="00185BC0">
              <w:rPr>
                <w:sz w:val="20"/>
                <w:szCs w:val="20"/>
                <w:lang w:eastAsia="ru-RU"/>
              </w:rPr>
              <w:t>Основная (n=30)</w:t>
            </w:r>
          </w:p>
        </w:tc>
        <w:tc>
          <w:tcPr>
            <w:tcW w:w="1842" w:type="dxa"/>
            <w:hideMark/>
          </w:tcPr>
          <w:p w14:paraId="70445E90" w14:textId="78FF0EA3" w:rsidR="00D6324F" w:rsidRPr="00185BC0" w:rsidRDefault="00D6324F" w:rsidP="006A73B6">
            <w:pPr>
              <w:jc w:val="center"/>
              <w:rPr>
                <w:sz w:val="20"/>
                <w:szCs w:val="20"/>
                <w:lang w:eastAsia="ru-RU"/>
              </w:rPr>
            </w:pPr>
            <w:r w:rsidRPr="00185BC0">
              <w:rPr>
                <w:sz w:val="20"/>
                <w:szCs w:val="20"/>
                <w:lang w:eastAsia="ru-RU"/>
              </w:rPr>
              <w:t>2</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0</w:t>
            </w:r>
          </w:p>
        </w:tc>
        <w:tc>
          <w:tcPr>
            <w:tcW w:w="1843" w:type="dxa"/>
            <w:hideMark/>
          </w:tcPr>
          <w:p w14:paraId="09ECBB31" w14:textId="49805503" w:rsidR="00D6324F" w:rsidRPr="00185BC0" w:rsidRDefault="00D6324F" w:rsidP="006A73B6">
            <w:pPr>
              <w:jc w:val="center"/>
              <w:rPr>
                <w:sz w:val="20"/>
                <w:szCs w:val="20"/>
                <w:lang w:eastAsia="ru-RU"/>
              </w:rPr>
            </w:pPr>
            <w:r w:rsidRPr="00185BC0">
              <w:rPr>
                <w:sz w:val="20"/>
                <w:szCs w:val="20"/>
                <w:lang w:eastAsia="ru-RU"/>
              </w:rPr>
              <w:t>2</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0</w:t>
            </w:r>
          </w:p>
        </w:tc>
        <w:tc>
          <w:tcPr>
            <w:tcW w:w="1836" w:type="dxa"/>
            <w:hideMark/>
          </w:tcPr>
          <w:p w14:paraId="59D60A76" w14:textId="12ECC44D" w:rsidR="00D6324F" w:rsidRPr="00185BC0" w:rsidRDefault="00D6324F" w:rsidP="006A73B6">
            <w:pPr>
              <w:jc w:val="center"/>
              <w:rPr>
                <w:sz w:val="20"/>
                <w:szCs w:val="20"/>
                <w:lang w:eastAsia="ru-RU"/>
              </w:rPr>
            </w:pPr>
            <w:r w:rsidRPr="00185BC0">
              <w:rPr>
                <w:sz w:val="20"/>
                <w:szCs w:val="20"/>
                <w:lang w:eastAsia="ru-RU"/>
              </w:rPr>
              <w:t>2</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0</w:t>
            </w:r>
          </w:p>
        </w:tc>
      </w:tr>
      <w:tr w:rsidR="00BF5746" w:rsidRPr="00185BC0" w14:paraId="4189E090" w14:textId="77777777" w:rsidTr="006A73B6">
        <w:tc>
          <w:tcPr>
            <w:tcW w:w="1769" w:type="dxa"/>
            <w:vMerge/>
            <w:hideMark/>
          </w:tcPr>
          <w:p w14:paraId="3BCDEB5E" w14:textId="77777777" w:rsidR="00D6324F" w:rsidRPr="00185BC0" w:rsidRDefault="00D6324F" w:rsidP="00D6324F">
            <w:pPr>
              <w:rPr>
                <w:sz w:val="20"/>
                <w:szCs w:val="20"/>
                <w:lang w:eastAsia="ru-RU"/>
              </w:rPr>
            </w:pPr>
          </w:p>
        </w:tc>
        <w:tc>
          <w:tcPr>
            <w:tcW w:w="2054" w:type="dxa"/>
            <w:hideMark/>
          </w:tcPr>
          <w:p w14:paraId="65CB5787" w14:textId="77777777" w:rsidR="00D6324F" w:rsidRPr="00185BC0" w:rsidRDefault="00D6324F" w:rsidP="00D6324F">
            <w:pPr>
              <w:rPr>
                <w:sz w:val="20"/>
                <w:szCs w:val="20"/>
                <w:lang w:eastAsia="ru-RU"/>
              </w:rPr>
            </w:pPr>
            <w:r w:rsidRPr="00185BC0">
              <w:rPr>
                <w:sz w:val="20"/>
                <w:szCs w:val="20"/>
                <w:lang w:eastAsia="ru-RU"/>
              </w:rPr>
              <w:t>Контрольная (n=30)</w:t>
            </w:r>
          </w:p>
        </w:tc>
        <w:tc>
          <w:tcPr>
            <w:tcW w:w="1842" w:type="dxa"/>
            <w:hideMark/>
          </w:tcPr>
          <w:p w14:paraId="44E9C2D7" w14:textId="45F42C30"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8 ± 0</w:t>
            </w:r>
            <w:r w:rsidR="00BF2144" w:rsidRPr="00185BC0">
              <w:rPr>
                <w:sz w:val="20"/>
                <w:szCs w:val="20"/>
                <w:lang w:val="tr-TR" w:eastAsia="ru-RU"/>
              </w:rPr>
              <w:t>,</w:t>
            </w:r>
            <w:r w:rsidRPr="00185BC0">
              <w:rPr>
                <w:sz w:val="20"/>
                <w:szCs w:val="20"/>
                <w:lang w:eastAsia="ru-RU"/>
              </w:rPr>
              <w:t>4</w:t>
            </w:r>
          </w:p>
        </w:tc>
        <w:tc>
          <w:tcPr>
            <w:tcW w:w="1843" w:type="dxa"/>
            <w:hideMark/>
          </w:tcPr>
          <w:p w14:paraId="56E4820E" w14:textId="485ACEED"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8 ± 0</w:t>
            </w:r>
            <w:r w:rsidR="00BF2144" w:rsidRPr="00185BC0">
              <w:rPr>
                <w:sz w:val="20"/>
                <w:szCs w:val="20"/>
                <w:lang w:val="tr-TR" w:eastAsia="ru-RU"/>
              </w:rPr>
              <w:t>,</w:t>
            </w:r>
            <w:r w:rsidRPr="00185BC0">
              <w:rPr>
                <w:sz w:val="20"/>
                <w:szCs w:val="20"/>
                <w:lang w:eastAsia="ru-RU"/>
              </w:rPr>
              <w:t>3</w:t>
            </w:r>
          </w:p>
        </w:tc>
        <w:tc>
          <w:tcPr>
            <w:tcW w:w="1836" w:type="dxa"/>
            <w:hideMark/>
          </w:tcPr>
          <w:p w14:paraId="175E25A9" w14:textId="723207D3"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8 ± 0</w:t>
            </w:r>
            <w:r w:rsidR="00BF2144" w:rsidRPr="00185BC0">
              <w:rPr>
                <w:sz w:val="20"/>
                <w:szCs w:val="20"/>
                <w:lang w:val="tr-TR" w:eastAsia="ru-RU"/>
              </w:rPr>
              <w:t>,</w:t>
            </w:r>
            <w:r w:rsidRPr="00185BC0">
              <w:rPr>
                <w:sz w:val="20"/>
                <w:szCs w:val="20"/>
                <w:lang w:eastAsia="ru-RU"/>
              </w:rPr>
              <w:t>4</w:t>
            </w:r>
          </w:p>
        </w:tc>
      </w:tr>
      <w:tr w:rsidR="00BF5746" w:rsidRPr="00185BC0" w14:paraId="757408D4" w14:textId="77777777" w:rsidTr="006A73B6">
        <w:tc>
          <w:tcPr>
            <w:tcW w:w="1769" w:type="dxa"/>
            <w:vMerge w:val="restart"/>
            <w:hideMark/>
          </w:tcPr>
          <w:p w14:paraId="6178BC64" w14:textId="77777777" w:rsidR="00D6324F" w:rsidRPr="00185BC0" w:rsidRDefault="00D6324F" w:rsidP="00D6324F">
            <w:pPr>
              <w:rPr>
                <w:sz w:val="20"/>
                <w:szCs w:val="20"/>
                <w:lang w:eastAsia="ru-RU"/>
              </w:rPr>
            </w:pPr>
            <w:r w:rsidRPr="00185BC0">
              <w:rPr>
                <w:b/>
                <w:bCs/>
                <w:sz w:val="20"/>
                <w:szCs w:val="20"/>
                <w:lang w:eastAsia="ru-RU"/>
              </w:rPr>
              <w:t>12 месяцев</w:t>
            </w:r>
          </w:p>
        </w:tc>
        <w:tc>
          <w:tcPr>
            <w:tcW w:w="2054" w:type="dxa"/>
            <w:hideMark/>
          </w:tcPr>
          <w:p w14:paraId="6FE03E7D" w14:textId="77777777" w:rsidR="00D6324F" w:rsidRPr="00185BC0" w:rsidRDefault="00D6324F" w:rsidP="00D6324F">
            <w:pPr>
              <w:rPr>
                <w:sz w:val="20"/>
                <w:szCs w:val="20"/>
                <w:lang w:eastAsia="ru-RU"/>
              </w:rPr>
            </w:pPr>
            <w:r w:rsidRPr="00185BC0">
              <w:rPr>
                <w:sz w:val="20"/>
                <w:szCs w:val="20"/>
                <w:lang w:eastAsia="ru-RU"/>
              </w:rPr>
              <w:t>Основная (n=30)</w:t>
            </w:r>
          </w:p>
        </w:tc>
        <w:tc>
          <w:tcPr>
            <w:tcW w:w="1842" w:type="dxa"/>
            <w:hideMark/>
          </w:tcPr>
          <w:p w14:paraId="08CA2C69" w14:textId="6E3FD6F7" w:rsidR="00D6324F" w:rsidRPr="00185BC0" w:rsidRDefault="00D6324F" w:rsidP="006A73B6">
            <w:pPr>
              <w:jc w:val="center"/>
              <w:rPr>
                <w:sz w:val="20"/>
                <w:szCs w:val="20"/>
                <w:lang w:eastAsia="ru-RU"/>
              </w:rPr>
            </w:pPr>
            <w:r w:rsidRPr="00185BC0">
              <w:rPr>
                <w:sz w:val="20"/>
                <w:szCs w:val="20"/>
                <w:lang w:eastAsia="ru-RU"/>
              </w:rPr>
              <w:t>2</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0</w:t>
            </w:r>
          </w:p>
        </w:tc>
        <w:tc>
          <w:tcPr>
            <w:tcW w:w="1843" w:type="dxa"/>
            <w:hideMark/>
          </w:tcPr>
          <w:p w14:paraId="4F167A4E" w14:textId="33FB1AFC" w:rsidR="00D6324F" w:rsidRPr="00185BC0" w:rsidRDefault="00D6324F" w:rsidP="006A73B6">
            <w:pPr>
              <w:jc w:val="center"/>
              <w:rPr>
                <w:sz w:val="20"/>
                <w:szCs w:val="20"/>
                <w:lang w:eastAsia="ru-RU"/>
              </w:rPr>
            </w:pPr>
            <w:r w:rsidRPr="00185BC0">
              <w:rPr>
                <w:sz w:val="20"/>
                <w:szCs w:val="20"/>
                <w:lang w:eastAsia="ru-RU"/>
              </w:rPr>
              <w:t>2</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0</w:t>
            </w:r>
          </w:p>
        </w:tc>
        <w:tc>
          <w:tcPr>
            <w:tcW w:w="1836" w:type="dxa"/>
            <w:hideMark/>
          </w:tcPr>
          <w:p w14:paraId="2C5EEB16" w14:textId="6886681E" w:rsidR="00D6324F" w:rsidRPr="00185BC0" w:rsidRDefault="00D6324F" w:rsidP="006A73B6">
            <w:pPr>
              <w:jc w:val="center"/>
              <w:rPr>
                <w:sz w:val="20"/>
                <w:szCs w:val="20"/>
                <w:lang w:eastAsia="ru-RU"/>
              </w:rPr>
            </w:pPr>
            <w:r w:rsidRPr="00185BC0">
              <w:rPr>
                <w:sz w:val="20"/>
                <w:szCs w:val="20"/>
                <w:lang w:eastAsia="ru-RU"/>
              </w:rPr>
              <w:t>2</w:t>
            </w:r>
            <w:r w:rsidR="00BF2144" w:rsidRPr="00185BC0">
              <w:rPr>
                <w:sz w:val="20"/>
                <w:szCs w:val="20"/>
                <w:lang w:val="tr-TR" w:eastAsia="ru-RU"/>
              </w:rPr>
              <w:t>,</w:t>
            </w:r>
            <w:r w:rsidRPr="00185BC0">
              <w:rPr>
                <w:sz w:val="20"/>
                <w:szCs w:val="20"/>
                <w:lang w:eastAsia="ru-RU"/>
              </w:rPr>
              <w:t>0 ± 0</w:t>
            </w:r>
            <w:r w:rsidR="00BF2144" w:rsidRPr="00185BC0">
              <w:rPr>
                <w:sz w:val="20"/>
                <w:szCs w:val="20"/>
                <w:lang w:val="tr-TR" w:eastAsia="ru-RU"/>
              </w:rPr>
              <w:t>,</w:t>
            </w:r>
            <w:r w:rsidRPr="00185BC0">
              <w:rPr>
                <w:sz w:val="20"/>
                <w:szCs w:val="20"/>
                <w:lang w:eastAsia="ru-RU"/>
              </w:rPr>
              <w:t>0</w:t>
            </w:r>
          </w:p>
        </w:tc>
      </w:tr>
      <w:tr w:rsidR="00BF5746" w:rsidRPr="00185BC0" w14:paraId="689106D8" w14:textId="77777777" w:rsidTr="006A73B6">
        <w:tc>
          <w:tcPr>
            <w:tcW w:w="1769" w:type="dxa"/>
            <w:vMerge/>
            <w:hideMark/>
          </w:tcPr>
          <w:p w14:paraId="7F8394DD" w14:textId="77777777" w:rsidR="00D6324F" w:rsidRPr="00185BC0" w:rsidRDefault="00D6324F" w:rsidP="00D6324F">
            <w:pPr>
              <w:rPr>
                <w:sz w:val="20"/>
                <w:szCs w:val="20"/>
                <w:lang w:eastAsia="ru-RU"/>
              </w:rPr>
            </w:pPr>
          </w:p>
        </w:tc>
        <w:tc>
          <w:tcPr>
            <w:tcW w:w="2054" w:type="dxa"/>
            <w:hideMark/>
          </w:tcPr>
          <w:p w14:paraId="75F2D932" w14:textId="77777777" w:rsidR="00D6324F" w:rsidRPr="00185BC0" w:rsidRDefault="00D6324F" w:rsidP="00D6324F">
            <w:pPr>
              <w:rPr>
                <w:sz w:val="20"/>
                <w:szCs w:val="20"/>
                <w:lang w:eastAsia="ru-RU"/>
              </w:rPr>
            </w:pPr>
            <w:r w:rsidRPr="00185BC0">
              <w:rPr>
                <w:sz w:val="20"/>
                <w:szCs w:val="20"/>
                <w:lang w:eastAsia="ru-RU"/>
              </w:rPr>
              <w:t>Контрольная (n=30)</w:t>
            </w:r>
          </w:p>
        </w:tc>
        <w:tc>
          <w:tcPr>
            <w:tcW w:w="1842" w:type="dxa"/>
            <w:hideMark/>
          </w:tcPr>
          <w:p w14:paraId="00833733" w14:textId="421354C8"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9 ± 0</w:t>
            </w:r>
            <w:r w:rsidR="00BF2144" w:rsidRPr="00185BC0">
              <w:rPr>
                <w:sz w:val="20"/>
                <w:szCs w:val="20"/>
                <w:lang w:val="tr-TR" w:eastAsia="ru-RU"/>
              </w:rPr>
              <w:t>,</w:t>
            </w:r>
            <w:r w:rsidRPr="00185BC0">
              <w:rPr>
                <w:sz w:val="20"/>
                <w:szCs w:val="20"/>
                <w:lang w:eastAsia="ru-RU"/>
              </w:rPr>
              <w:t>2</w:t>
            </w:r>
          </w:p>
        </w:tc>
        <w:tc>
          <w:tcPr>
            <w:tcW w:w="1843" w:type="dxa"/>
            <w:hideMark/>
          </w:tcPr>
          <w:p w14:paraId="44E93F86" w14:textId="13B3CDDA" w:rsidR="00D6324F" w:rsidRPr="00185BC0" w:rsidRDefault="00D6324F" w:rsidP="006A73B6">
            <w:pPr>
              <w:jc w:val="center"/>
              <w:rPr>
                <w:sz w:val="20"/>
                <w:szCs w:val="20"/>
                <w:lang w:eastAsia="ru-RU"/>
              </w:rPr>
            </w:pPr>
            <w:r w:rsidRPr="00185BC0">
              <w:rPr>
                <w:sz w:val="20"/>
                <w:szCs w:val="20"/>
                <w:lang w:eastAsia="ru-RU"/>
              </w:rPr>
              <w:t>1</w:t>
            </w:r>
            <w:r w:rsidR="00BF2144" w:rsidRPr="00185BC0">
              <w:rPr>
                <w:sz w:val="20"/>
                <w:szCs w:val="20"/>
                <w:lang w:val="tr-TR" w:eastAsia="ru-RU"/>
              </w:rPr>
              <w:t>,</w:t>
            </w:r>
            <w:r w:rsidRPr="00185BC0">
              <w:rPr>
                <w:sz w:val="20"/>
                <w:szCs w:val="20"/>
                <w:lang w:eastAsia="ru-RU"/>
              </w:rPr>
              <w:t>9 ± 0</w:t>
            </w:r>
            <w:r w:rsidR="00BF2144" w:rsidRPr="00185BC0">
              <w:rPr>
                <w:sz w:val="20"/>
                <w:szCs w:val="20"/>
                <w:lang w:val="tr-TR" w:eastAsia="ru-RU"/>
              </w:rPr>
              <w:t>,</w:t>
            </w:r>
            <w:r w:rsidRPr="00185BC0">
              <w:rPr>
                <w:sz w:val="20"/>
                <w:szCs w:val="20"/>
                <w:lang w:eastAsia="ru-RU"/>
              </w:rPr>
              <w:t>2</w:t>
            </w:r>
          </w:p>
        </w:tc>
        <w:tc>
          <w:tcPr>
            <w:tcW w:w="1836" w:type="dxa"/>
            <w:hideMark/>
          </w:tcPr>
          <w:p w14:paraId="4336C0A9" w14:textId="6B427CE3" w:rsidR="00D6324F" w:rsidRPr="00185BC0" w:rsidRDefault="00D6324F" w:rsidP="006A73B6">
            <w:pPr>
              <w:jc w:val="center"/>
              <w:rPr>
                <w:sz w:val="20"/>
                <w:szCs w:val="20"/>
                <w:lang w:eastAsia="ru-RU"/>
              </w:rPr>
            </w:pPr>
            <w:r w:rsidRPr="00185BC0">
              <w:rPr>
                <w:sz w:val="20"/>
                <w:szCs w:val="20"/>
                <w:lang w:eastAsia="ru-RU"/>
              </w:rPr>
              <w:t>19 ± 0</w:t>
            </w:r>
            <w:r w:rsidR="00BF2144" w:rsidRPr="00185BC0">
              <w:rPr>
                <w:sz w:val="20"/>
                <w:szCs w:val="20"/>
                <w:lang w:val="tr-TR" w:eastAsia="ru-RU"/>
              </w:rPr>
              <w:t>,</w:t>
            </w:r>
            <w:r w:rsidRPr="00185BC0">
              <w:rPr>
                <w:sz w:val="20"/>
                <w:szCs w:val="20"/>
                <w:lang w:eastAsia="ru-RU"/>
              </w:rPr>
              <w:t>2</w:t>
            </w:r>
          </w:p>
        </w:tc>
      </w:tr>
    </w:tbl>
    <w:p w14:paraId="0585504D" w14:textId="77777777" w:rsidR="006A73B6" w:rsidRPr="00185BC0" w:rsidRDefault="006A73B6" w:rsidP="001A5BA0">
      <w:pPr>
        <w:ind w:firstLine="720"/>
        <w:jc w:val="both"/>
        <w:rPr>
          <w:b/>
          <w:bCs/>
          <w:sz w:val="28"/>
          <w:szCs w:val="28"/>
          <w:lang w:eastAsia="ru-RU"/>
        </w:rPr>
      </w:pPr>
    </w:p>
    <w:p w14:paraId="01FA3F78" w14:textId="01752126" w:rsidR="00F33ABB" w:rsidRPr="00185BC0" w:rsidRDefault="00F33ABB" w:rsidP="001A5BA0">
      <w:pPr>
        <w:ind w:firstLine="720"/>
        <w:jc w:val="both"/>
        <w:rPr>
          <w:b/>
          <w:bCs/>
          <w:sz w:val="28"/>
          <w:szCs w:val="28"/>
          <w:lang w:val="kk-KZ" w:eastAsia="ru-RU"/>
        </w:rPr>
      </w:pPr>
      <w:r w:rsidRPr="00185BC0">
        <w:rPr>
          <w:b/>
          <w:bCs/>
          <w:sz w:val="28"/>
          <w:szCs w:val="28"/>
          <w:lang w:eastAsia="ru-RU"/>
        </w:rPr>
        <w:t>Таблица 1</w:t>
      </w:r>
      <w:r w:rsidR="001A5BA0" w:rsidRPr="00185BC0">
        <w:rPr>
          <w:b/>
          <w:bCs/>
          <w:sz w:val="28"/>
          <w:szCs w:val="28"/>
          <w:lang w:val="kk-KZ" w:eastAsia="ru-RU"/>
        </w:rPr>
        <w:t>2</w:t>
      </w:r>
      <w:r w:rsidR="00331E2B" w:rsidRPr="00185BC0">
        <w:rPr>
          <w:b/>
          <w:bCs/>
          <w:sz w:val="28"/>
          <w:szCs w:val="28"/>
          <w:lang w:val="kk-KZ" w:eastAsia="ru-RU"/>
        </w:rPr>
        <w:t xml:space="preserve"> </w:t>
      </w:r>
      <w:r w:rsidRPr="00185BC0">
        <w:rPr>
          <w:b/>
          <w:bCs/>
          <w:sz w:val="28"/>
          <w:szCs w:val="28"/>
          <w:lang w:val="kk-KZ" w:eastAsia="ru-RU"/>
        </w:rPr>
        <w:t xml:space="preserve">– </w:t>
      </w:r>
      <w:r w:rsidRPr="00185BC0">
        <w:rPr>
          <w:b/>
          <w:bCs/>
          <w:sz w:val="28"/>
          <w:szCs w:val="28"/>
          <w:lang w:eastAsia="ru-RU"/>
        </w:rPr>
        <w:t>Межгрупповое сравнение консолидации остеотомии в разные сроки наблюдения</w:t>
      </w:r>
      <w:r w:rsidR="00B47C71" w:rsidRPr="00185BC0">
        <w:rPr>
          <w:b/>
          <w:bCs/>
          <w:sz w:val="28"/>
          <w:szCs w:val="28"/>
          <w:lang w:val="kk-KZ" w:eastAsia="ru-RU"/>
        </w:rPr>
        <w:t xml:space="preserve"> </w:t>
      </w:r>
    </w:p>
    <w:p w14:paraId="4FD1E95F" w14:textId="77777777" w:rsidR="00F33ABB" w:rsidRPr="00185BC0" w:rsidRDefault="00F33ABB" w:rsidP="00220331">
      <w:pPr>
        <w:rPr>
          <w:lang w:eastAsia="ru-RU"/>
        </w:rPr>
      </w:pPr>
    </w:p>
    <w:tbl>
      <w:tblPr>
        <w:tblStyle w:val="13"/>
        <w:tblW w:w="0" w:type="auto"/>
        <w:jc w:val="center"/>
        <w:tblLook w:val="04A0" w:firstRow="1" w:lastRow="0" w:firstColumn="1" w:lastColumn="0" w:noHBand="0" w:noVBand="1"/>
      </w:tblPr>
      <w:tblGrid>
        <w:gridCol w:w="1271"/>
        <w:gridCol w:w="2726"/>
        <w:gridCol w:w="1668"/>
        <w:gridCol w:w="1701"/>
      </w:tblGrid>
      <w:tr w:rsidR="00F33ABB" w:rsidRPr="00185BC0" w14:paraId="66FB5184" w14:textId="77777777" w:rsidTr="00F33ABB">
        <w:trPr>
          <w:jc w:val="center"/>
        </w:trPr>
        <w:tc>
          <w:tcPr>
            <w:tcW w:w="1271" w:type="dxa"/>
            <w:hideMark/>
          </w:tcPr>
          <w:p w14:paraId="6423798C" w14:textId="77777777" w:rsidR="00F33ABB" w:rsidRPr="00185BC0" w:rsidRDefault="00F33ABB" w:rsidP="00F33ABB">
            <w:pPr>
              <w:widowControl/>
              <w:autoSpaceDE/>
              <w:autoSpaceDN/>
              <w:jc w:val="center"/>
              <w:rPr>
                <w:b/>
                <w:bCs/>
                <w:sz w:val="20"/>
                <w:szCs w:val="20"/>
                <w:lang w:eastAsia="ru-RU"/>
              </w:rPr>
            </w:pPr>
            <w:r w:rsidRPr="00185BC0">
              <w:rPr>
                <w:b/>
                <w:bCs/>
                <w:sz w:val="20"/>
                <w:szCs w:val="20"/>
                <w:lang w:eastAsia="ru-RU"/>
              </w:rPr>
              <w:t>Период</w:t>
            </w:r>
          </w:p>
        </w:tc>
        <w:tc>
          <w:tcPr>
            <w:tcW w:w="2726" w:type="dxa"/>
            <w:hideMark/>
          </w:tcPr>
          <w:p w14:paraId="3FFAE8CC" w14:textId="77777777" w:rsidR="00F33ABB" w:rsidRPr="00185BC0" w:rsidRDefault="00F33ABB" w:rsidP="00F33ABB">
            <w:pPr>
              <w:widowControl/>
              <w:autoSpaceDE/>
              <w:autoSpaceDN/>
              <w:jc w:val="center"/>
              <w:rPr>
                <w:b/>
                <w:bCs/>
                <w:sz w:val="20"/>
                <w:szCs w:val="20"/>
                <w:lang w:eastAsia="ru-RU"/>
              </w:rPr>
            </w:pPr>
            <w:r w:rsidRPr="00185BC0">
              <w:rPr>
                <w:b/>
                <w:bCs/>
                <w:sz w:val="20"/>
                <w:szCs w:val="20"/>
                <w:lang w:eastAsia="ru-RU"/>
              </w:rPr>
              <w:t>Группа</w:t>
            </w:r>
          </w:p>
        </w:tc>
        <w:tc>
          <w:tcPr>
            <w:tcW w:w="1668" w:type="dxa"/>
            <w:hideMark/>
          </w:tcPr>
          <w:p w14:paraId="17C19F7F" w14:textId="77777777" w:rsidR="00F33ABB" w:rsidRPr="00185BC0" w:rsidRDefault="00F33ABB" w:rsidP="00F33ABB">
            <w:pPr>
              <w:widowControl/>
              <w:autoSpaceDE/>
              <w:autoSpaceDN/>
              <w:jc w:val="center"/>
              <w:rPr>
                <w:b/>
                <w:bCs/>
                <w:sz w:val="20"/>
                <w:szCs w:val="20"/>
                <w:lang w:eastAsia="ru-RU"/>
              </w:rPr>
            </w:pPr>
            <w:proofErr w:type="spellStart"/>
            <w:r w:rsidRPr="00185BC0">
              <w:rPr>
                <w:b/>
                <w:bCs/>
                <w:sz w:val="20"/>
                <w:szCs w:val="20"/>
                <w:lang w:eastAsia="ru-RU"/>
              </w:rPr>
              <w:t>Mean</w:t>
            </w:r>
            <w:proofErr w:type="spellEnd"/>
            <w:r w:rsidRPr="00185BC0">
              <w:rPr>
                <w:b/>
                <w:bCs/>
                <w:sz w:val="20"/>
                <w:szCs w:val="20"/>
                <w:lang w:eastAsia="ru-RU"/>
              </w:rPr>
              <w:t xml:space="preserve"> ± SD</w:t>
            </w:r>
          </w:p>
        </w:tc>
        <w:tc>
          <w:tcPr>
            <w:tcW w:w="1701" w:type="dxa"/>
            <w:hideMark/>
          </w:tcPr>
          <w:p w14:paraId="7A108640" w14:textId="77777777" w:rsidR="00F33ABB" w:rsidRPr="00185BC0" w:rsidRDefault="00F33ABB" w:rsidP="00F33ABB">
            <w:pPr>
              <w:widowControl/>
              <w:autoSpaceDE/>
              <w:autoSpaceDN/>
              <w:jc w:val="center"/>
              <w:rPr>
                <w:b/>
                <w:bCs/>
                <w:sz w:val="20"/>
                <w:szCs w:val="20"/>
                <w:lang w:eastAsia="ru-RU"/>
              </w:rPr>
            </w:pPr>
            <w:r w:rsidRPr="00185BC0">
              <w:rPr>
                <w:b/>
                <w:bCs/>
                <w:sz w:val="20"/>
                <w:szCs w:val="20"/>
                <w:lang w:eastAsia="ru-RU"/>
              </w:rPr>
              <w:t>p-</w:t>
            </w:r>
            <w:proofErr w:type="spellStart"/>
            <w:r w:rsidRPr="00185BC0">
              <w:rPr>
                <w:b/>
                <w:bCs/>
                <w:sz w:val="20"/>
                <w:szCs w:val="20"/>
                <w:lang w:eastAsia="ru-RU"/>
              </w:rPr>
              <w:t>value</w:t>
            </w:r>
            <w:proofErr w:type="spellEnd"/>
          </w:p>
        </w:tc>
      </w:tr>
      <w:tr w:rsidR="00F33ABB" w:rsidRPr="00185BC0" w14:paraId="6C248554" w14:textId="77777777" w:rsidTr="00F33ABB">
        <w:trPr>
          <w:jc w:val="center"/>
        </w:trPr>
        <w:tc>
          <w:tcPr>
            <w:tcW w:w="1271" w:type="dxa"/>
            <w:hideMark/>
          </w:tcPr>
          <w:p w14:paraId="52730FFD" w14:textId="77777777" w:rsidR="00F33ABB" w:rsidRPr="00185BC0" w:rsidRDefault="00F33ABB" w:rsidP="00F33ABB">
            <w:pPr>
              <w:widowControl/>
              <w:autoSpaceDE/>
              <w:autoSpaceDN/>
              <w:rPr>
                <w:sz w:val="20"/>
                <w:szCs w:val="20"/>
                <w:lang w:eastAsia="ru-RU"/>
              </w:rPr>
            </w:pPr>
            <w:r w:rsidRPr="00185BC0">
              <w:rPr>
                <w:b/>
                <w:bCs/>
                <w:sz w:val="20"/>
                <w:szCs w:val="20"/>
                <w:lang w:eastAsia="ru-RU"/>
              </w:rPr>
              <w:t xml:space="preserve">1,5 </w:t>
            </w:r>
            <w:proofErr w:type="spellStart"/>
            <w:r w:rsidRPr="00185BC0">
              <w:rPr>
                <w:b/>
                <w:bCs/>
                <w:sz w:val="20"/>
                <w:szCs w:val="20"/>
                <w:lang w:eastAsia="ru-RU"/>
              </w:rPr>
              <w:t>мес</w:t>
            </w:r>
            <w:proofErr w:type="spellEnd"/>
          </w:p>
        </w:tc>
        <w:tc>
          <w:tcPr>
            <w:tcW w:w="2726" w:type="dxa"/>
            <w:hideMark/>
          </w:tcPr>
          <w:p w14:paraId="2339515A" w14:textId="77777777" w:rsidR="00F33ABB" w:rsidRPr="00185BC0" w:rsidRDefault="00F33ABB" w:rsidP="00F33ABB">
            <w:pPr>
              <w:widowControl/>
              <w:autoSpaceDE/>
              <w:autoSpaceDN/>
              <w:rPr>
                <w:sz w:val="20"/>
                <w:szCs w:val="20"/>
                <w:lang w:eastAsia="ru-RU"/>
              </w:rPr>
            </w:pPr>
            <w:r w:rsidRPr="00185BC0">
              <w:rPr>
                <w:sz w:val="20"/>
                <w:szCs w:val="20"/>
                <w:lang w:eastAsia="ru-RU"/>
              </w:rPr>
              <w:t>Основная (n=30)</w:t>
            </w:r>
          </w:p>
        </w:tc>
        <w:tc>
          <w:tcPr>
            <w:tcW w:w="1668" w:type="dxa"/>
            <w:hideMark/>
          </w:tcPr>
          <w:p w14:paraId="68F2A782" w14:textId="5FCF8D2C" w:rsidR="00F33ABB" w:rsidRPr="00185BC0" w:rsidRDefault="00F33ABB" w:rsidP="006A73B6">
            <w:pPr>
              <w:widowControl/>
              <w:autoSpaceDE/>
              <w:autoSpaceDN/>
              <w:jc w:val="center"/>
              <w:rPr>
                <w:sz w:val="20"/>
                <w:szCs w:val="20"/>
                <w:lang w:eastAsia="ru-RU"/>
              </w:rPr>
            </w:pPr>
            <w:r w:rsidRPr="00185BC0">
              <w:rPr>
                <w:sz w:val="20"/>
                <w:szCs w:val="20"/>
                <w:lang w:eastAsia="ru-RU"/>
              </w:rPr>
              <w:t>1</w:t>
            </w:r>
            <w:r w:rsidR="00BF2144" w:rsidRPr="00185BC0">
              <w:rPr>
                <w:sz w:val="20"/>
                <w:szCs w:val="20"/>
                <w:lang w:eastAsia="ru-RU"/>
              </w:rPr>
              <w:t>,</w:t>
            </w:r>
            <w:r w:rsidRPr="00185BC0">
              <w:rPr>
                <w:sz w:val="20"/>
                <w:szCs w:val="20"/>
                <w:lang w:eastAsia="ru-RU"/>
              </w:rPr>
              <w:t>13 ± 0</w:t>
            </w:r>
            <w:r w:rsidR="00BF2144" w:rsidRPr="00185BC0">
              <w:rPr>
                <w:sz w:val="20"/>
                <w:szCs w:val="20"/>
                <w:lang w:eastAsia="ru-RU"/>
              </w:rPr>
              <w:t>,</w:t>
            </w:r>
            <w:r w:rsidRPr="00185BC0">
              <w:rPr>
                <w:sz w:val="20"/>
                <w:szCs w:val="20"/>
                <w:lang w:eastAsia="ru-RU"/>
              </w:rPr>
              <w:t>37</w:t>
            </w:r>
          </w:p>
        </w:tc>
        <w:tc>
          <w:tcPr>
            <w:tcW w:w="1701" w:type="dxa"/>
            <w:hideMark/>
          </w:tcPr>
          <w:p w14:paraId="401120CF" w14:textId="14D0E4F9" w:rsidR="00F33ABB" w:rsidRPr="00185BC0" w:rsidRDefault="00F33ABB" w:rsidP="006A73B6">
            <w:pPr>
              <w:widowControl/>
              <w:autoSpaceDE/>
              <w:autoSpaceDN/>
              <w:jc w:val="center"/>
              <w:rPr>
                <w:sz w:val="20"/>
                <w:szCs w:val="20"/>
                <w:lang w:eastAsia="ru-RU"/>
              </w:rPr>
            </w:pPr>
            <w:r w:rsidRPr="00185BC0">
              <w:rPr>
                <w:sz w:val="20"/>
                <w:szCs w:val="20"/>
                <w:lang w:eastAsia="ru-RU"/>
              </w:rPr>
              <w:t>0</w:t>
            </w:r>
            <w:r w:rsidR="00BF2144" w:rsidRPr="00185BC0">
              <w:rPr>
                <w:sz w:val="20"/>
                <w:szCs w:val="20"/>
                <w:lang w:eastAsia="ru-RU"/>
              </w:rPr>
              <w:t>,</w:t>
            </w:r>
            <w:r w:rsidRPr="00185BC0">
              <w:rPr>
                <w:sz w:val="20"/>
                <w:szCs w:val="20"/>
                <w:lang w:eastAsia="ru-RU"/>
              </w:rPr>
              <w:t>001</w:t>
            </w:r>
          </w:p>
        </w:tc>
      </w:tr>
      <w:tr w:rsidR="00F33ABB" w:rsidRPr="00185BC0" w14:paraId="73637DCE" w14:textId="77777777" w:rsidTr="00F33ABB">
        <w:trPr>
          <w:jc w:val="center"/>
        </w:trPr>
        <w:tc>
          <w:tcPr>
            <w:tcW w:w="1271" w:type="dxa"/>
            <w:hideMark/>
          </w:tcPr>
          <w:p w14:paraId="501BE971" w14:textId="77777777" w:rsidR="00F33ABB" w:rsidRPr="00185BC0" w:rsidRDefault="00F33ABB" w:rsidP="00F33ABB">
            <w:pPr>
              <w:widowControl/>
              <w:autoSpaceDE/>
              <w:autoSpaceDN/>
              <w:rPr>
                <w:sz w:val="20"/>
                <w:szCs w:val="20"/>
                <w:lang w:eastAsia="ru-RU"/>
              </w:rPr>
            </w:pPr>
          </w:p>
        </w:tc>
        <w:tc>
          <w:tcPr>
            <w:tcW w:w="2726" w:type="dxa"/>
            <w:hideMark/>
          </w:tcPr>
          <w:p w14:paraId="59D76CB1" w14:textId="77777777" w:rsidR="00F33ABB" w:rsidRPr="00185BC0" w:rsidRDefault="00F33ABB" w:rsidP="00F33ABB">
            <w:pPr>
              <w:widowControl/>
              <w:autoSpaceDE/>
              <w:autoSpaceDN/>
              <w:rPr>
                <w:sz w:val="20"/>
                <w:szCs w:val="20"/>
                <w:lang w:eastAsia="ru-RU"/>
              </w:rPr>
            </w:pPr>
            <w:r w:rsidRPr="00185BC0">
              <w:rPr>
                <w:sz w:val="20"/>
                <w:szCs w:val="20"/>
                <w:lang w:eastAsia="ru-RU"/>
              </w:rPr>
              <w:t>Контрольная (n=30)</w:t>
            </w:r>
          </w:p>
        </w:tc>
        <w:tc>
          <w:tcPr>
            <w:tcW w:w="1668" w:type="dxa"/>
            <w:hideMark/>
          </w:tcPr>
          <w:p w14:paraId="38719792" w14:textId="7EBA73AC" w:rsidR="00F33ABB" w:rsidRPr="00185BC0" w:rsidRDefault="00F33ABB" w:rsidP="006A73B6">
            <w:pPr>
              <w:widowControl/>
              <w:autoSpaceDE/>
              <w:autoSpaceDN/>
              <w:jc w:val="center"/>
              <w:rPr>
                <w:sz w:val="20"/>
                <w:szCs w:val="20"/>
                <w:lang w:eastAsia="ru-RU"/>
              </w:rPr>
            </w:pPr>
            <w:r w:rsidRPr="00185BC0">
              <w:rPr>
                <w:sz w:val="20"/>
                <w:szCs w:val="20"/>
                <w:lang w:eastAsia="ru-RU"/>
              </w:rPr>
              <w:t>067 ± 0</w:t>
            </w:r>
            <w:r w:rsidR="00BF2144" w:rsidRPr="00185BC0">
              <w:rPr>
                <w:sz w:val="20"/>
                <w:szCs w:val="20"/>
                <w:lang w:eastAsia="ru-RU"/>
              </w:rPr>
              <w:t>,</w:t>
            </w:r>
            <w:r w:rsidRPr="00185BC0">
              <w:rPr>
                <w:sz w:val="20"/>
                <w:szCs w:val="20"/>
                <w:lang w:eastAsia="ru-RU"/>
              </w:rPr>
              <w:t>47</w:t>
            </w:r>
          </w:p>
        </w:tc>
        <w:tc>
          <w:tcPr>
            <w:tcW w:w="1701" w:type="dxa"/>
            <w:hideMark/>
          </w:tcPr>
          <w:p w14:paraId="78D08AA3" w14:textId="77777777" w:rsidR="00F33ABB" w:rsidRPr="00185BC0" w:rsidRDefault="00F33ABB" w:rsidP="006A73B6">
            <w:pPr>
              <w:widowControl/>
              <w:autoSpaceDE/>
              <w:autoSpaceDN/>
              <w:jc w:val="center"/>
              <w:rPr>
                <w:sz w:val="20"/>
                <w:szCs w:val="20"/>
                <w:lang w:eastAsia="ru-RU"/>
              </w:rPr>
            </w:pPr>
          </w:p>
        </w:tc>
      </w:tr>
      <w:tr w:rsidR="00F33ABB" w:rsidRPr="00185BC0" w14:paraId="01013442" w14:textId="77777777" w:rsidTr="00F33ABB">
        <w:trPr>
          <w:jc w:val="center"/>
        </w:trPr>
        <w:tc>
          <w:tcPr>
            <w:tcW w:w="1271" w:type="dxa"/>
            <w:hideMark/>
          </w:tcPr>
          <w:p w14:paraId="4ADE4BEF" w14:textId="77777777" w:rsidR="00F33ABB" w:rsidRPr="00185BC0" w:rsidRDefault="00F33ABB" w:rsidP="00F33ABB">
            <w:pPr>
              <w:widowControl/>
              <w:autoSpaceDE/>
              <w:autoSpaceDN/>
              <w:rPr>
                <w:sz w:val="20"/>
                <w:szCs w:val="20"/>
                <w:lang w:eastAsia="ru-RU"/>
              </w:rPr>
            </w:pPr>
            <w:r w:rsidRPr="00185BC0">
              <w:rPr>
                <w:b/>
                <w:bCs/>
                <w:sz w:val="20"/>
                <w:szCs w:val="20"/>
                <w:lang w:eastAsia="ru-RU"/>
              </w:rPr>
              <w:t xml:space="preserve">3 </w:t>
            </w:r>
            <w:proofErr w:type="spellStart"/>
            <w:r w:rsidRPr="00185BC0">
              <w:rPr>
                <w:b/>
                <w:bCs/>
                <w:sz w:val="20"/>
                <w:szCs w:val="20"/>
                <w:lang w:eastAsia="ru-RU"/>
              </w:rPr>
              <w:t>мес</w:t>
            </w:r>
            <w:proofErr w:type="spellEnd"/>
          </w:p>
        </w:tc>
        <w:tc>
          <w:tcPr>
            <w:tcW w:w="2726" w:type="dxa"/>
            <w:hideMark/>
          </w:tcPr>
          <w:p w14:paraId="4D13F2A7" w14:textId="77777777" w:rsidR="00F33ABB" w:rsidRPr="00185BC0" w:rsidRDefault="00F33ABB" w:rsidP="00F33ABB">
            <w:pPr>
              <w:widowControl/>
              <w:autoSpaceDE/>
              <w:autoSpaceDN/>
              <w:rPr>
                <w:sz w:val="20"/>
                <w:szCs w:val="20"/>
                <w:lang w:eastAsia="ru-RU"/>
              </w:rPr>
            </w:pPr>
            <w:r w:rsidRPr="00185BC0">
              <w:rPr>
                <w:sz w:val="20"/>
                <w:szCs w:val="20"/>
                <w:lang w:eastAsia="ru-RU"/>
              </w:rPr>
              <w:t>Основная (n=30)</w:t>
            </w:r>
          </w:p>
        </w:tc>
        <w:tc>
          <w:tcPr>
            <w:tcW w:w="1668" w:type="dxa"/>
            <w:hideMark/>
          </w:tcPr>
          <w:p w14:paraId="1150E0EA" w14:textId="2B37A9EE" w:rsidR="00F33ABB" w:rsidRPr="00185BC0" w:rsidRDefault="00F33ABB" w:rsidP="006A73B6">
            <w:pPr>
              <w:widowControl/>
              <w:autoSpaceDE/>
              <w:autoSpaceDN/>
              <w:jc w:val="center"/>
              <w:rPr>
                <w:sz w:val="20"/>
                <w:szCs w:val="20"/>
                <w:lang w:eastAsia="ru-RU"/>
              </w:rPr>
            </w:pPr>
            <w:r w:rsidRPr="00185BC0">
              <w:rPr>
                <w:sz w:val="20"/>
                <w:szCs w:val="20"/>
                <w:lang w:eastAsia="ru-RU"/>
              </w:rPr>
              <w:t>1</w:t>
            </w:r>
            <w:r w:rsidR="00BF2144" w:rsidRPr="00185BC0">
              <w:rPr>
                <w:sz w:val="20"/>
                <w:szCs w:val="20"/>
                <w:lang w:eastAsia="ru-RU"/>
              </w:rPr>
              <w:t>,</w:t>
            </w:r>
            <w:r w:rsidRPr="00185BC0">
              <w:rPr>
                <w:sz w:val="20"/>
                <w:szCs w:val="20"/>
                <w:lang w:eastAsia="ru-RU"/>
              </w:rPr>
              <w:t>47 ± 0</w:t>
            </w:r>
            <w:r w:rsidR="00BF2144" w:rsidRPr="00185BC0">
              <w:rPr>
                <w:sz w:val="20"/>
                <w:szCs w:val="20"/>
                <w:lang w:eastAsia="ru-RU"/>
              </w:rPr>
              <w:t>,</w:t>
            </w:r>
            <w:r w:rsidRPr="00185BC0">
              <w:rPr>
                <w:sz w:val="20"/>
                <w:szCs w:val="20"/>
                <w:lang w:eastAsia="ru-RU"/>
              </w:rPr>
              <w:t>47</w:t>
            </w:r>
          </w:p>
        </w:tc>
        <w:tc>
          <w:tcPr>
            <w:tcW w:w="1701" w:type="dxa"/>
            <w:hideMark/>
          </w:tcPr>
          <w:p w14:paraId="66D1283A" w14:textId="14F6BF91" w:rsidR="00F33ABB" w:rsidRPr="00185BC0" w:rsidRDefault="00F33ABB" w:rsidP="006A73B6">
            <w:pPr>
              <w:widowControl/>
              <w:autoSpaceDE/>
              <w:autoSpaceDN/>
              <w:jc w:val="center"/>
              <w:rPr>
                <w:sz w:val="20"/>
                <w:szCs w:val="20"/>
                <w:lang w:eastAsia="ru-RU"/>
              </w:rPr>
            </w:pPr>
            <w:r w:rsidRPr="00185BC0">
              <w:rPr>
                <w:sz w:val="20"/>
                <w:szCs w:val="20"/>
                <w:lang w:eastAsia="ru-RU"/>
              </w:rPr>
              <w:t>&lt;0</w:t>
            </w:r>
            <w:r w:rsidR="00BF2144" w:rsidRPr="00185BC0">
              <w:rPr>
                <w:sz w:val="20"/>
                <w:szCs w:val="20"/>
                <w:lang w:eastAsia="ru-RU"/>
              </w:rPr>
              <w:t>,</w:t>
            </w:r>
            <w:r w:rsidRPr="00185BC0">
              <w:rPr>
                <w:sz w:val="20"/>
                <w:szCs w:val="20"/>
                <w:lang w:eastAsia="ru-RU"/>
              </w:rPr>
              <w:t>001</w:t>
            </w:r>
          </w:p>
        </w:tc>
      </w:tr>
      <w:tr w:rsidR="00F33ABB" w:rsidRPr="00185BC0" w14:paraId="1197CE3C" w14:textId="77777777" w:rsidTr="00F33ABB">
        <w:trPr>
          <w:jc w:val="center"/>
        </w:trPr>
        <w:tc>
          <w:tcPr>
            <w:tcW w:w="1271" w:type="dxa"/>
            <w:hideMark/>
          </w:tcPr>
          <w:p w14:paraId="263E6CC5" w14:textId="77777777" w:rsidR="00F33ABB" w:rsidRPr="00185BC0" w:rsidRDefault="00F33ABB" w:rsidP="00F33ABB">
            <w:pPr>
              <w:widowControl/>
              <w:autoSpaceDE/>
              <w:autoSpaceDN/>
              <w:rPr>
                <w:sz w:val="20"/>
                <w:szCs w:val="20"/>
                <w:lang w:eastAsia="ru-RU"/>
              </w:rPr>
            </w:pPr>
          </w:p>
        </w:tc>
        <w:tc>
          <w:tcPr>
            <w:tcW w:w="2726" w:type="dxa"/>
            <w:hideMark/>
          </w:tcPr>
          <w:p w14:paraId="43DF7C29" w14:textId="77777777" w:rsidR="00F33ABB" w:rsidRPr="00185BC0" w:rsidRDefault="00F33ABB" w:rsidP="00F33ABB">
            <w:pPr>
              <w:widowControl/>
              <w:autoSpaceDE/>
              <w:autoSpaceDN/>
              <w:rPr>
                <w:sz w:val="20"/>
                <w:szCs w:val="20"/>
                <w:lang w:eastAsia="ru-RU"/>
              </w:rPr>
            </w:pPr>
            <w:r w:rsidRPr="00185BC0">
              <w:rPr>
                <w:sz w:val="20"/>
                <w:szCs w:val="20"/>
                <w:lang w:eastAsia="ru-RU"/>
              </w:rPr>
              <w:t>Контрольная (n=30)</w:t>
            </w:r>
          </w:p>
        </w:tc>
        <w:tc>
          <w:tcPr>
            <w:tcW w:w="1668" w:type="dxa"/>
            <w:hideMark/>
          </w:tcPr>
          <w:p w14:paraId="6FAB17E2" w14:textId="486AD2F4" w:rsidR="00F33ABB" w:rsidRPr="00185BC0" w:rsidRDefault="00F33ABB" w:rsidP="006A73B6">
            <w:pPr>
              <w:widowControl/>
              <w:autoSpaceDE/>
              <w:autoSpaceDN/>
              <w:jc w:val="center"/>
              <w:rPr>
                <w:sz w:val="20"/>
                <w:szCs w:val="20"/>
                <w:lang w:eastAsia="ru-RU"/>
              </w:rPr>
            </w:pPr>
            <w:r w:rsidRPr="00185BC0">
              <w:rPr>
                <w:sz w:val="20"/>
                <w:szCs w:val="20"/>
                <w:lang w:eastAsia="ru-RU"/>
              </w:rPr>
              <w:t>0</w:t>
            </w:r>
            <w:r w:rsidR="00BF2144" w:rsidRPr="00185BC0">
              <w:rPr>
                <w:sz w:val="20"/>
                <w:szCs w:val="20"/>
                <w:lang w:eastAsia="ru-RU"/>
              </w:rPr>
              <w:t>,</w:t>
            </w:r>
            <w:r w:rsidRPr="00185BC0">
              <w:rPr>
                <w:sz w:val="20"/>
                <w:szCs w:val="20"/>
                <w:lang w:eastAsia="ru-RU"/>
              </w:rPr>
              <w:t>97 ± 0</w:t>
            </w:r>
            <w:r w:rsidR="00BF2144" w:rsidRPr="00185BC0">
              <w:rPr>
                <w:sz w:val="20"/>
                <w:szCs w:val="20"/>
                <w:lang w:eastAsia="ru-RU"/>
              </w:rPr>
              <w:t>,</w:t>
            </w:r>
            <w:r w:rsidRPr="00185BC0">
              <w:rPr>
                <w:sz w:val="20"/>
                <w:szCs w:val="20"/>
                <w:lang w:eastAsia="ru-RU"/>
              </w:rPr>
              <w:t>40</w:t>
            </w:r>
          </w:p>
        </w:tc>
        <w:tc>
          <w:tcPr>
            <w:tcW w:w="1701" w:type="dxa"/>
            <w:hideMark/>
          </w:tcPr>
          <w:p w14:paraId="11C01950" w14:textId="77777777" w:rsidR="00F33ABB" w:rsidRPr="00185BC0" w:rsidRDefault="00F33ABB" w:rsidP="006A73B6">
            <w:pPr>
              <w:widowControl/>
              <w:autoSpaceDE/>
              <w:autoSpaceDN/>
              <w:jc w:val="center"/>
              <w:rPr>
                <w:sz w:val="20"/>
                <w:szCs w:val="20"/>
                <w:lang w:eastAsia="ru-RU"/>
              </w:rPr>
            </w:pPr>
          </w:p>
        </w:tc>
      </w:tr>
      <w:tr w:rsidR="00F33ABB" w:rsidRPr="00185BC0" w14:paraId="38117EE9" w14:textId="77777777" w:rsidTr="00F33ABB">
        <w:trPr>
          <w:jc w:val="center"/>
        </w:trPr>
        <w:tc>
          <w:tcPr>
            <w:tcW w:w="1271" w:type="dxa"/>
            <w:hideMark/>
          </w:tcPr>
          <w:p w14:paraId="07CF81CE" w14:textId="77777777" w:rsidR="00F33ABB" w:rsidRPr="00185BC0" w:rsidRDefault="00F33ABB" w:rsidP="00F33ABB">
            <w:pPr>
              <w:widowControl/>
              <w:autoSpaceDE/>
              <w:autoSpaceDN/>
              <w:rPr>
                <w:sz w:val="20"/>
                <w:szCs w:val="20"/>
                <w:lang w:eastAsia="ru-RU"/>
              </w:rPr>
            </w:pPr>
            <w:r w:rsidRPr="00185BC0">
              <w:rPr>
                <w:b/>
                <w:bCs/>
                <w:sz w:val="20"/>
                <w:szCs w:val="20"/>
                <w:lang w:eastAsia="ru-RU"/>
              </w:rPr>
              <w:t xml:space="preserve">6 </w:t>
            </w:r>
            <w:proofErr w:type="spellStart"/>
            <w:r w:rsidRPr="00185BC0">
              <w:rPr>
                <w:b/>
                <w:bCs/>
                <w:sz w:val="20"/>
                <w:szCs w:val="20"/>
                <w:lang w:eastAsia="ru-RU"/>
              </w:rPr>
              <w:t>мес</w:t>
            </w:r>
            <w:proofErr w:type="spellEnd"/>
          </w:p>
        </w:tc>
        <w:tc>
          <w:tcPr>
            <w:tcW w:w="2726" w:type="dxa"/>
            <w:hideMark/>
          </w:tcPr>
          <w:p w14:paraId="3EB3838B" w14:textId="77777777" w:rsidR="00F33ABB" w:rsidRPr="00185BC0" w:rsidRDefault="00F33ABB" w:rsidP="00F33ABB">
            <w:pPr>
              <w:widowControl/>
              <w:autoSpaceDE/>
              <w:autoSpaceDN/>
              <w:rPr>
                <w:sz w:val="20"/>
                <w:szCs w:val="20"/>
                <w:lang w:eastAsia="ru-RU"/>
              </w:rPr>
            </w:pPr>
            <w:r w:rsidRPr="00185BC0">
              <w:rPr>
                <w:sz w:val="20"/>
                <w:szCs w:val="20"/>
                <w:lang w:eastAsia="ru-RU"/>
              </w:rPr>
              <w:t>Основная (n=30)</w:t>
            </w:r>
          </w:p>
        </w:tc>
        <w:tc>
          <w:tcPr>
            <w:tcW w:w="1668" w:type="dxa"/>
            <w:hideMark/>
          </w:tcPr>
          <w:p w14:paraId="07CA3ED2" w14:textId="376D133B" w:rsidR="00F33ABB" w:rsidRPr="00185BC0" w:rsidRDefault="00F33ABB" w:rsidP="006A73B6">
            <w:pPr>
              <w:widowControl/>
              <w:autoSpaceDE/>
              <w:autoSpaceDN/>
              <w:jc w:val="center"/>
              <w:rPr>
                <w:sz w:val="20"/>
                <w:szCs w:val="20"/>
                <w:lang w:eastAsia="ru-RU"/>
              </w:rPr>
            </w:pPr>
            <w:r w:rsidRPr="00185BC0">
              <w:rPr>
                <w:sz w:val="20"/>
                <w:szCs w:val="20"/>
                <w:lang w:eastAsia="ru-RU"/>
              </w:rPr>
              <w:t>2</w:t>
            </w:r>
            <w:r w:rsidR="00BF2144" w:rsidRPr="00185BC0">
              <w:rPr>
                <w:sz w:val="20"/>
                <w:szCs w:val="20"/>
                <w:lang w:eastAsia="ru-RU"/>
              </w:rPr>
              <w:t>,</w:t>
            </w:r>
            <w:r w:rsidRPr="00185BC0">
              <w:rPr>
                <w:sz w:val="20"/>
                <w:szCs w:val="20"/>
                <w:lang w:eastAsia="ru-RU"/>
              </w:rPr>
              <w:t>00 ± 0</w:t>
            </w:r>
            <w:r w:rsidR="00BF2144" w:rsidRPr="00185BC0">
              <w:rPr>
                <w:sz w:val="20"/>
                <w:szCs w:val="20"/>
                <w:lang w:eastAsia="ru-RU"/>
              </w:rPr>
              <w:t>,</w:t>
            </w:r>
            <w:r w:rsidRPr="00185BC0">
              <w:rPr>
                <w:sz w:val="20"/>
                <w:szCs w:val="20"/>
                <w:lang w:eastAsia="ru-RU"/>
              </w:rPr>
              <w:t>00</w:t>
            </w:r>
          </w:p>
        </w:tc>
        <w:tc>
          <w:tcPr>
            <w:tcW w:w="1701" w:type="dxa"/>
            <w:hideMark/>
          </w:tcPr>
          <w:p w14:paraId="74D8B12A" w14:textId="38B82806" w:rsidR="00F33ABB" w:rsidRPr="00185BC0" w:rsidRDefault="00F33ABB" w:rsidP="006A73B6">
            <w:pPr>
              <w:widowControl/>
              <w:autoSpaceDE/>
              <w:autoSpaceDN/>
              <w:jc w:val="center"/>
              <w:rPr>
                <w:sz w:val="20"/>
                <w:szCs w:val="20"/>
                <w:lang w:eastAsia="ru-RU"/>
              </w:rPr>
            </w:pPr>
            <w:r w:rsidRPr="00185BC0">
              <w:rPr>
                <w:sz w:val="20"/>
                <w:szCs w:val="20"/>
                <w:lang w:eastAsia="ru-RU"/>
              </w:rPr>
              <w:t>0</w:t>
            </w:r>
            <w:r w:rsidR="00BF2144" w:rsidRPr="00185BC0">
              <w:rPr>
                <w:sz w:val="20"/>
                <w:szCs w:val="20"/>
                <w:lang w:eastAsia="ru-RU"/>
              </w:rPr>
              <w:t>,</w:t>
            </w:r>
            <w:r w:rsidRPr="00185BC0">
              <w:rPr>
                <w:sz w:val="20"/>
                <w:szCs w:val="20"/>
                <w:lang w:eastAsia="ru-RU"/>
              </w:rPr>
              <w:t>03</w:t>
            </w:r>
          </w:p>
        </w:tc>
      </w:tr>
      <w:tr w:rsidR="00F33ABB" w:rsidRPr="00185BC0" w14:paraId="64DB51E3" w14:textId="77777777" w:rsidTr="00F33ABB">
        <w:trPr>
          <w:jc w:val="center"/>
        </w:trPr>
        <w:tc>
          <w:tcPr>
            <w:tcW w:w="1271" w:type="dxa"/>
            <w:hideMark/>
          </w:tcPr>
          <w:p w14:paraId="123E84CB" w14:textId="77777777" w:rsidR="00F33ABB" w:rsidRPr="00185BC0" w:rsidRDefault="00F33ABB" w:rsidP="00F33ABB">
            <w:pPr>
              <w:widowControl/>
              <w:autoSpaceDE/>
              <w:autoSpaceDN/>
              <w:rPr>
                <w:sz w:val="20"/>
                <w:szCs w:val="20"/>
                <w:lang w:eastAsia="ru-RU"/>
              </w:rPr>
            </w:pPr>
          </w:p>
        </w:tc>
        <w:tc>
          <w:tcPr>
            <w:tcW w:w="2726" w:type="dxa"/>
            <w:hideMark/>
          </w:tcPr>
          <w:p w14:paraId="0379128D" w14:textId="77777777" w:rsidR="00F33ABB" w:rsidRPr="00185BC0" w:rsidRDefault="00F33ABB" w:rsidP="00F33ABB">
            <w:pPr>
              <w:widowControl/>
              <w:autoSpaceDE/>
              <w:autoSpaceDN/>
              <w:rPr>
                <w:sz w:val="20"/>
                <w:szCs w:val="20"/>
                <w:lang w:eastAsia="ru-RU"/>
              </w:rPr>
            </w:pPr>
            <w:r w:rsidRPr="00185BC0">
              <w:rPr>
                <w:sz w:val="20"/>
                <w:szCs w:val="20"/>
                <w:lang w:eastAsia="ru-RU"/>
              </w:rPr>
              <w:t>Контрольная (n=30)</w:t>
            </w:r>
          </w:p>
        </w:tc>
        <w:tc>
          <w:tcPr>
            <w:tcW w:w="1668" w:type="dxa"/>
            <w:hideMark/>
          </w:tcPr>
          <w:p w14:paraId="56C9648B" w14:textId="5F20D2AF" w:rsidR="00F33ABB" w:rsidRPr="00185BC0" w:rsidRDefault="00F33ABB" w:rsidP="006A73B6">
            <w:pPr>
              <w:widowControl/>
              <w:autoSpaceDE/>
              <w:autoSpaceDN/>
              <w:jc w:val="center"/>
              <w:rPr>
                <w:sz w:val="20"/>
                <w:szCs w:val="20"/>
                <w:lang w:eastAsia="ru-RU"/>
              </w:rPr>
            </w:pPr>
            <w:r w:rsidRPr="00185BC0">
              <w:rPr>
                <w:sz w:val="20"/>
                <w:szCs w:val="20"/>
                <w:lang w:eastAsia="ru-RU"/>
              </w:rPr>
              <w:t>1</w:t>
            </w:r>
            <w:r w:rsidR="00BF2144" w:rsidRPr="00185BC0">
              <w:rPr>
                <w:sz w:val="20"/>
                <w:szCs w:val="20"/>
                <w:lang w:eastAsia="ru-RU"/>
              </w:rPr>
              <w:t>,</w:t>
            </w:r>
            <w:r w:rsidRPr="00185BC0">
              <w:rPr>
                <w:sz w:val="20"/>
                <w:szCs w:val="20"/>
                <w:lang w:eastAsia="ru-RU"/>
              </w:rPr>
              <w:t>80 ± 0</w:t>
            </w:r>
            <w:r w:rsidR="00BF2144" w:rsidRPr="00185BC0">
              <w:rPr>
                <w:sz w:val="20"/>
                <w:szCs w:val="20"/>
                <w:lang w:eastAsia="ru-RU"/>
              </w:rPr>
              <w:t>,</w:t>
            </w:r>
            <w:r w:rsidRPr="00185BC0">
              <w:rPr>
                <w:sz w:val="20"/>
                <w:szCs w:val="20"/>
                <w:lang w:eastAsia="ru-RU"/>
              </w:rPr>
              <w:t>33</w:t>
            </w:r>
          </w:p>
        </w:tc>
        <w:tc>
          <w:tcPr>
            <w:tcW w:w="1701" w:type="dxa"/>
            <w:hideMark/>
          </w:tcPr>
          <w:p w14:paraId="0723009E" w14:textId="77777777" w:rsidR="00F33ABB" w:rsidRPr="00185BC0" w:rsidRDefault="00F33ABB" w:rsidP="006A73B6">
            <w:pPr>
              <w:widowControl/>
              <w:autoSpaceDE/>
              <w:autoSpaceDN/>
              <w:jc w:val="center"/>
              <w:rPr>
                <w:sz w:val="20"/>
                <w:szCs w:val="20"/>
                <w:lang w:eastAsia="ru-RU"/>
              </w:rPr>
            </w:pPr>
          </w:p>
        </w:tc>
      </w:tr>
      <w:tr w:rsidR="00F33ABB" w:rsidRPr="00185BC0" w14:paraId="7FF4DF2A" w14:textId="77777777" w:rsidTr="00F33ABB">
        <w:trPr>
          <w:jc w:val="center"/>
        </w:trPr>
        <w:tc>
          <w:tcPr>
            <w:tcW w:w="1271" w:type="dxa"/>
            <w:hideMark/>
          </w:tcPr>
          <w:p w14:paraId="4CE15CE9" w14:textId="77777777" w:rsidR="00F33ABB" w:rsidRPr="00185BC0" w:rsidRDefault="00F33ABB" w:rsidP="00F33ABB">
            <w:pPr>
              <w:widowControl/>
              <w:autoSpaceDE/>
              <w:autoSpaceDN/>
              <w:rPr>
                <w:sz w:val="20"/>
                <w:szCs w:val="20"/>
                <w:lang w:eastAsia="ru-RU"/>
              </w:rPr>
            </w:pPr>
            <w:r w:rsidRPr="00185BC0">
              <w:rPr>
                <w:b/>
                <w:bCs/>
                <w:sz w:val="20"/>
                <w:szCs w:val="20"/>
                <w:lang w:eastAsia="ru-RU"/>
              </w:rPr>
              <w:t xml:space="preserve">12 </w:t>
            </w:r>
            <w:proofErr w:type="spellStart"/>
            <w:r w:rsidRPr="00185BC0">
              <w:rPr>
                <w:b/>
                <w:bCs/>
                <w:sz w:val="20"/>
                <w:szCs w:val="20"/>
                <w:lang w:eastAsia="ru-RU"/>
              </w:rPr>
              <w:t>мес</w:t>
            </w:r>
            <w:proofErr w:type="spellEnd"/>
          </w:p>
        </w:tc>
        <w:tc>
          <w:tcPr>
            <w:tcW w:w="2726" w:type="dxa"/>
            <w:hideMark/>
          </w:tcPr>
          <w:p w14:paraId="7CB6429D" w14:textId="77777777" w:rsidR="00F33ABB" w:rsidRPr="00185BC0" w:rsidRDefault="00F33ABB" w:rsidP="00F33ABB">
            <w:pPr>
              <w:widowControl/>
              <w:autoSpaceDE/>
              <w:autoSpaceDN/>
              <w:rPr>
                <w:sz w:val="20"/>
                <w:szCs w:val="20"/>
                <w:lang w:eastAsia="ru-RU"/>
              </w:rPr>
            </w:pPr>
            <w:r w:rsidRPr="00185BC0">
              <w:rPr>
                <w:sz w:val="20"/>
                <w:szCs w:val="20"/>
                <w:lang w:eastAsia="ru-RU"/>
              </w:rPr>
              <w:t>Основная (n=30)</w:t>
            </w:r>
          </w:p>
        </w:tc>
        <w:tc>
          <w:tcPr>
            <w:tcW w:w="1668" w:type="dxa"/>
            <w:hideMark/>
          </w:tcPr>
          <w:p w14:paraId="7726776B" w14:textId="60093081" w:rsidR="00F33ABB" w:rsidRPr="00185BC0" w:rsidRDefault="00F33ABB" w:rsidP="006A73B6">
            <w:pPr>
              <w:widowControl/>
              <w:autoSpaceDE/>
              <w:autoSpaceDN/>
              <w:jc w:val="center"/>
              <w:rPr>
                <w:sz w:val="20"/>
                <w:szCs w:val="20"/>
                <w:lang w:eastAsia="ru-RU"/>
              </w:rPr>
            </w:pPr>
            <w:r w:rsidRPr="00185BC0">
              <w:rPr>
                <w:sz w:val="20"/>
                <w:szCs w:val="20"/>
                <w:lang w:eastAsia="ru-RU"/>
              </w:rPr>
              <w:t>2</w:t>
            </w:r>
            <w:r w:rsidR="00BF2144" w:rsidRPr="00185BC0">
              <w:rPr>
                <w:sz w:val="20"/>
                <w:szCs w:val="20"/>
                <w:lang w:eastAsia="ru-RU"/>
              </w:rPr>
              <w:t>,</w:t>
            </w:r>
            <w:r w:rsidRPr="00185BC0">
              <w:rPr>
                <w:sz w:val="20"/>
                <w:szCs w:val="20"/>
                <w:lang w:eastAsia="ru-RU"/>
              </w:rPr>
              <w:t>00 ± 0</w:t>
            </w:r>
            <w:r w:rsidR="00BF2144" w:rsidRPr="00185BC0">
              <w:rPr>
                <w:sz w:val="20"/>
                <w:szCs w:val="20"/>
                <w:lang w:eastAsia="ru-RU"/>
              </w:rPr>
              <w:t>,</w:t>
            </w:r>
            <w:r w:rsidRPr="00185BC0">
              <w:rPr>
                <w:sz w:val="20"/>
                <w:szCs w:val="20"/>
                <w:lang w:eastAsia="ru-RU"/>
              </w:rPr>
              <w:t>00</w:t>
            </w:r>
          </w:p>
        </w:tc>
        <w:tc>
          <w:tcPr>
            <w:tcW w:w="1701" w:type="dxa"/>
            <w:hideMark/>
          </w:tcPr>
          <w:p w14:paraId="19C043C7" w14:textId="504132C3" w:rsidR="00F33ABB" w:rsidRPr="00185BC0" w:rsidRDefault="00F33ABB" w:rsidP="006A73B6">
            <w:pPr>
              <w:widowControl/>
              <w:autoSpaceDE/>
              <w:autoSpaceDN/>
              <w:jc w:val="center"/>
              <w:rPr>
                <w:sz w:val="20"/>
                <w:szCs w:val="20"/>
                <w:lang w:eastAsia="ru-RU"/>
              </w:rPr>
            </w:pPr>
            <w:r w:rsidRPr="00185BC0">
              <w:rPr>
                <w:sz w:val="20"/>
                <w:szCs w:val="20"/>
                <w:lang w:eastAsia="ru-RU"/>
              </w:rPr>
              <w:t>0</w:t>
            </w:r>
            <w:r w:rsidR="00BF2144" w:rsidRPr="00185BC0">
              <w:rPr>
                <w:sz w:val="20"/>
                <w:szCs w:val="20"/>
                <w:lang w:eastAsia="ru-RU"/>
              </w:rPr>
              <w:t>,</w:t>
            </w:r>
            <w:r w:rsidRPr="00185BC0">
              <w:rPr>
                <w:sz w:val="20"/>
                <w:szCs w:val="20"/>
                <w:lang w:eastAsia="ru-RU"/>
              </w:rPr>
              <w:t>12</w:t>
            </w:r>
          </w:p>
        </w:tc>
      </w:tr>
      <w:tr w:rsidR="00F33ABB" w:rsidRPr="00185BC0" w14:paraId="39BD4A8F" w14:textId="77777777" w:rsidTr="00F33ABB">
        <w:trPr>
          <w:jc w:val="center"/>
        </w:trPr>
        <w:tc>
          <w:tcPr>
            <w:tcW w:w="1271" w:type="dxa"/>
            <w:hideMark/>
          </w:tcPr>
          <w:p w14:paraId="70223F19" w14:textId="77777777" w:rsidR="00F33ABB" w:rsidRPr="00185BC0" w:rsidRDefault="00F33ABB" w:rsidP="00F33ABB">
            <w:pPr>
              <w:widowControl/>
              <w:autoSpaceDE/>
              <w:autoSpaceDN/>
              <w:rPr>
                <w:sz w:val="20"/>
                <w:szCs w:val="20"/>
                <w:lang w:eastAsia="ru-RU"/>
              </w:rPr>
            </w:pPr>
          </w:p>
        </w:tc>
        <w:tc>
          <w:tcPr>
            <w:tcW w:w="2726" w:type="dxa"/>
            <w:hideMark/>
          </w:tcPr>
          <w:p w14:paraId="6CDB9133" w14:textId="77777777" w:rsidR="00F33ABB" w:rsidRPr="00185BC0" w:rsidRDefault="00F33ABB" w:rsidP="00F33ABB">
            <w:pPr>
              <w:widowControl/>
              <w:autoSpaceDE/>
              <w:autoSpaceDN/>
              <w:rPr>
                <w:sz w:val="20"/>
                <w:szCs w:val="20"/>
                <w:lang w:eastAsia="ru-RU"/>
              </w:rPr>
            </w:pPr>
            <w:r w:rsidRPr="00185BC0">
              <w:rPr>
                <w:sz w:val="20"/>
                <w:szCs w:val="20"/>
                <w:lang w:eastAsia="ru-RU"/>
              </w:rPr>
              <w:t>Контрольная (n=30)</w:t>
            </w:r>
          </w:p>
        </w:tc>
        <w:tc>
          <w:tcPr>
            <w:tcW w:w="1668" w:type="dxa"/>
            <w:hideMark/>
          </w:tcPr>
          <w:p w14:paraId="3E5E39C1" w14:textId="3EF9928B" w:rsidR="00F33ABB" w:rsidRPr="00185BC0" w:rsidRDefault="00F33ABB" w:rsidP="006A73B6">
            <w:pPr>
              <w:widowControl/>
              <w:autoSpaceDE/>
              <w:autoSpaceDN/>
              <w:jc w:val="center"/>
              <w:rPr>
                <w:sz w:val="20"/>
                <w:szCs w:val="20"/>
                <w:lang w:eastAsia="ru-RU"/>
              </w:rPr>
            </w:pPr>
            <w:r w:rsidRPr="00185BC0">
              <w:rPr>
                <w:sz w:val="20"/>
                <w:szCs w:val="20"/>
                <w:lang w:eastAsia="ru-RU"/>
              </w:rPr>
              <w:t>1</w:t>
            </w:r>
            <w:r w:rsidR="00BF2144" w:rsidRPr="00185BC0">
              <w:rPr>
                <w:sz w:val="20"/>
                <w:szCs w:val="20"/>
                <w:lang w:eastAsia="ru-RU"/>
              </w:rPr>
              <w:t>,</w:t>
            </w:r>
            <w:r w:rsidRPr="00185BC0">
              <w:rPr>
                <w:sz w:val="20"/>
                <w:szCs w:val="20"/>
                <w:lang w:eastAsia="ru-RU"/>
              </w:rPr>
              <w:t>90 ± 0</w:t>
            </w:r>
            <w:r w:rsidR="00BF2144" w:rsidRPr="00185BC0">
              <w:rPr>
                <w:sz w:val="20"/>
                <w:szCs w:val="20"/>
                <w:lang w:eastAsia="ru-RU"/>
              </w:rPr>
              <w:t>,</w:t>
            </w:r>
            <w:r w:rsidRPr="00185BC0">
              <w:rPr>
                <w:sz w:val="20"/>
                <w:szCs w:val="20"/>
                <w:lang w:eastAsia="ru-RU"/>
              </w:rPr>
              <w:t>20</w:t>
            </w:r>
          </w:p>
        </w:tc>
        <w:tc>
          <w:tcPr>
            <w:tcW w:w="1701" w:type="dxa"/>
            <w:hideMark/>
          </w:tcPr>
          <w:p w14:paraId="3FDA6E11" w14:textId="77777777" w:rsidR="00F33ABB" w:rsidRPr="00185BC0" w:rsidRDefault="00F33ABB" w:rsidP="006A73B6">
            <w:pPr>
              <w:widowControl/>
              <w:autoSpaceDE/>
              <w:autoSpaceDN/>
              <w:jc w:val="center"/>
              <w:rPr>
                <w:sz w:val="20"/>
                <w:szCs w:val="20"/>
                <w:lang w:eastAsia="ru-RU"/>
              </w:rPr>
            </w:pPr>
          </w:p>
        </w:tc>
      </w:tr>
    </w:tbl>
    <w:p w14:paraId="7B63999A" w14:textId="77777777" w:rsidR="00F33ABB" w:rsidRPr="00185BC0" w:rsidRDefault="00F33ABB" w:rsidP="00220331">
      <w:pPr>
        <w:ind w:firstLine="720"/>
        <w:jc w:val="both"/>
        <w:rPr>
          <w:sz w:val="28"/>
          <w:szCs w:val="28"/>
        </w:rPr>
      </w:pPr>
    </w:p>
    <w:p w14:paraId="180AF827" w14:textId="0891EBB5" w:rsidR="00220331" w:rsidRPr="00185BC0" w:rsidRDefault="00E93125" w:rsidP="00220331">
      <w:pPr>
        <w:ind w:firstLine="720"/>
        <w:jc w:val="both"/>
        <w:rPr>
          <w:sz w:val="28"/>
          <w:szCs w:val="28"/>
        </w:rPr>
      </w:pPr>
      <w:r w:rsidRPr="00185BC0">
        <w:rPr>
          <w:sz w:val="28"/>
          <w:szCs w:val="28"/>
        </w:rPr>
        <w:t xml:space="preserve">Таким образом, полученные данные свидетельствуют о более благоприятном течении послеоперационного периода и достоверно более ранней </w:t>
      </w:r>
      <w:r w:rsidRPr="00185BC0">
        <w:rPr>
          <w:sz w:val="28"/>
          <w:szCs w:val="28"/>
        </w:rPr>
        <w:lastRenderedPageBreak/>
        <w:t xml:space="preserve">костной консолидации у пациентов, оперированных с применением </w:t>
      </w:r>
      <w:proofErr w:type="spellStart"/>
      <w:r w:rsidRPr="00185BC0">
        <w:rPr>
          <w:sz w:val="28"/>
          <w:szCs w:val="28"/>
        </w:rPr>
        <w:t>деротационной</w:t>
      </w:r>
      <w:proofErr w:type="spellEnd"/>
      <w:r w:rsidRPr="00185BC0">
        <w:rPr>
          <w:sz w:val="28"/>
          <w:szCs w:val="28"/>
        </w:rPr>
        <w:t xml:space="preserve"> пластины с угловой стабильностью. Это подтверждает её биомеханическую эффективность и клиническую состоятельность в качестве метода фиксации при укорачивающих и поддерживающих остеотомиях у пациентов с диспластическим коксартрозом высокой степени.</w:t>
      </w:r>
    </w:p>
    <w:p w14:paraId="36328058" w14:textId="77777777" w:rsidR="00220331" w:rsidRPr="00185BC0" w:rsidRDefault="00220331" w:rsidP="00220331">
      <w:pPr>
        <w:ind w:firstLine="720"/>
        <w:jc w:val="both"/>
        <w:rPr>
          <w:i/>
          <w:iCs/>
          <w:sz w:val="28"/>
          <w:szCs w:val="28"/>
        </w:rPr>
      </w:pPr>
      <w:r w:rsidRPr="00185BC0">
        <w:rPr>
          <w:i/>
          <w:iCs/>
          <w:sz w:val="28"/>
          <w:szCs w:val="28"/>
        </w:rPr>
        <w:t>Частота и характер послеоперационных осложнений</w:t>
      </w:r>
    </w:p>
    <w:p w14:paraId="24244F21" w14:textId="77777777" w:rsidR="009D5FDE" w:rsidRPr="00185BC0" w:rsidRDefault="009D5FDE" w:rsidP="009D5FDE">
      <w:pPr>
        <w:ind w:firstLine="720"/>
        <w:jc w:val="both"/>
        <w:rPr>
          <w:sz w:val="28"/>
          <w:szCs w:val="28"/>
        </w:rPr>
      </w:pPr>
      <w:r w:rsidRPr="00185BC0">
        <w:rPr>
          <w:sz w:val="28"/>
          <w:szCs w:val="28"/>
        </w:rPr>
        <w:t xml:space="preserve">Анализ послеоперационных осложнений проводился с целью оценки безопасности хирургического вмешательства и надёжности фиксации зоны </w:t>
      </w:r>
      <w:proofErr w:type="spellStart"/>
      <w:r w:rsidRPr="00185BC0">
        <w:rPr>
          <w:sz w:val="28"/>
          <w:szCs w:val="28"/>
        </w:rPr>
        <w:t>подвертельной</w:t>
      </w:r>
      <w:proofErr w:type="spellEnd"/>
      <w:r w:rsidRPr="00185BC0">
        <w:rPr>
          <w:sz w:val="28"/>
          <w:szCs w:val="28"/>
        </w:rPr>
        <w:t xml:space="preserve"> остеотомии.</w:t>
      </w:r>
    </w:p>
    <w:p w14:paraId="1FFC5CD0" w14:textId="739EC66F" w:rsidR="009D5FDE" w:rsidRPr="00185BC0" w:rsidRDefault="009D5FDE" w:rsidP="009D5FDE">
      <w:pPr>
        <w:ind w:firstLine="720"/>
        <w:jc w:val="both"/>
        <w:rPr>
          <w:sz w:val="28"/>
          <w:szCs w:val="28"/>
        </w:rPr>
      </w:pPr>
      <w:r w:rsidRPr="00185BC0">
        <w:rPr>
          <w:sz w:val="28"/>
          <w:szCs w:val="28"/>
        </w:rPr>
        <w:t xml:space="preserve">В основной группе (n = 30), где применялась </w:t>
      </w:r>
      <w:proofErr w:type="spellStart"/>
      <w:r w:rsidRPr="00185BC0">
        <w:rPr>
          <w:sz w:val="28"/>
          <w:szCs w:val="28"/>
        </w:rPr>
        <w:t>деротационная</w:t>
      </w:r>
      <w:proofErr w:type="spellEnd"/>
      <w:r w:rsidRPr="00185BC0">
        <w:rPr>
          <w:sz w:val="28"/>
          <w:szCs w:val="28"/>
        </w:rPr>
        <w:t xml:space="preserve"> пластина с угловой стабильностью, осложнение было зарегистрировано в одном случае (3,3%)</w:t>
      </w:r>
      <w:r w:rsidR="00F056F4" w:rsidRPr="00185BC0">
        <w:rPr>
          <w:sz w:val="28"/>
          <w:szCs w:val="28"/>
        </w:rPr>
        <w:t xml:space="preserve"> </w:t>
      </w:r>
      <w:r w:rsidR="00F056F4" w:rsidRPr="00185BC0">
        <w:rPr>
          <w:sz w:val="28"/>
          <w:szCs w:val="28"/>
        </w:rPr>
        <w:fldChar w:fldCharType="begin" w:fldLock="1"/>
      </w:r>
      <w:r w:rsidR="00483103" w:rsidRPr="00185BC0">
        <w:rPr>
          <w:sz w:val="28"/>
          <w:szCs w:val="28"/>
        </w:rPr>
        <w:instrText>ADDIN CSL_CITATION {"citationItems":[{"id":"ITEM-1","itemData":{"DOI":"10.52965/001c.150316","author":[{"dropping-particle":"","family":"Ramazanov","given":"Zhanatay","non-dropping-particle":"","parse-names":false,"suffix":""},{"dropping-particle":"","family":"Ph","given":"D","non-dropping-particle":"","parse-names":false,"suffix":""},{"dropping-particle":"","family":"Ashimov","given":"Kairat","non-dropping-particle":"","parse-names":false,"suffix":""},{"dropping-particle":"","family":"Ph","given":"D","non-dropping-particle":"","parse-names":false,"suffix":""},{"dropping-particle":"","family":"Oktyabrova","given":"Durdana","non-dropping-particle":"","parse-names":false,"suffix":""},{"dropping-particle":"","family":"Ph","given":"D","non-dropping-particle":"","parse-names":false,"suffix":""}],"id":"ITEM-1","issued":{"date-parts":[["2025"]]},"page":"1-13","title":"Early Functional and Radiographic Outcomes of Stable Fixation with a Derotational Plate in Subtrochanteric Osteotomy for Crowe IV Developmental Dysplasia of the Hip","type":"article-journal"},"uris":["http://www.mendeley.com/documents/?uuid=653c35cc-15b8-40a8-a5ac-f63f55eb71cf"]}],"mendeley":{"formattedCitation":"[109]","plainTextFormattedCitation":"[109]","previouslyFormattedCitation":"[108]"},"properties":{"noteIndex":0},"schema":"https://github.com/citation-style-language/schema/raw/master/csl-citation.json"}</w:instrText>
      </w:r>
      <w:r w:rsidR="00F056F4" w:rsidRPr="00185BC0">
        <w:rPr>
          <w:sz w:val="28"/>
          <w:szCs w:val="28"/>
        </w:rPr>
        <w:fldChar w:fldCharType="separate"/>
      </w:r>
      <w:r w:rsidR="00483103" w:rsidRPr="00185BC0">
        <w:rPr>
          <w:noProof/>
          <w:sz w:val="28"/>
          <w:szCs w:val="28"/>
        </w:rPr>
        <w:t>[109]</w:t>
      </w:r>
      <w:r w:rsidR="00F056F4" w:rsidRPr="00185BC0">
        <w:rPr>
          <w:sz w:val="28"/>
          <w:szCs w:val="28"/>
        </w:rPr>
        <w:fldChar w:fldCharType="end"/>
      </w:r>
      <w:r w:rsidRPr="00185BC0">
        <w:rPr>
          <w:sz w:val="28"/>
          <w:szCs w:val="28"/>
        </w:rPr>
        <w:t xml:space="preserve">. Оно носило </w:t>
      </w:r>
      <w:proofErr w:type="spellStart"/>
      <w:r w:rsidRPr="00185BC0">
        <w:rPr>
          <w:sz w:val="28"/>
          <w:szCs w:val="28"/>
        </w:rPr>
        <w:t>интраоперационный</w:t>
      </w:r>
      <w:proofErr w:type="spellEnd"/>
      <w:r w:rsidRPr="00185BC0">
        <w:rPr>
          <w:sz w:val="28"/>
          <w:szCs w:val="28"/>
        </w:rPr>
        <w:t xml:space="preserve"> характер и было представлено продольной </w:t>
      </w:r>
      <w:proofErr w:type="spellStart"/>
      <w:r w:rsidRPr="00185BC0">
        <w:rPr>
          <w:sz w:val="28"/>
          <w:szCs w:val="28"/>
        </w:rPr>
        <w:t>фиссурой</w:t>
      </w:r>
      <w:proofErr w:type="spellEnd"/>
      <w:r w:rsidRPr="00185BC0">
        <w:rPr>
          <w:sz w:val="28"/>
          <w:szCs w:val="28"/>
        </w:rPr>
        <w:t xml:space="preserve"> проксимального отдела бедренной кости, возникшей на этапе установки бедренного компонента эндопротеза. Повреждение было своевременно выявлено и стабилизировано </w:t>
      </w:r>
      <w:proofErr w:type="spellStart"/>
      <w:r w:rsidRPr="00185BC0">
        <w:rPr>
          <w:sz w:val="28"/>
          <w:szCs w:val="28"/>
        </w:rPr>
        <w:t>серкляжной</w:t>
      </w:r>
      <w:proofErr w:type="spellEnd"/>
      <w:r w:rsidRPr="00185BC0">
        <w:rPr>
          <w:sz w:val="28"/>
          <w:szCs w:val="28"/>
        </w:rPr>
        <w:t xml:space="preserve"> фиксацией. В дальнейшем течение послеоперационного периода было благоприятным, консолидация остеотомии проходила в стандартные сроки, признаков нестабильности фиксации и дополнительных осложнений не отмечено.</w:t>
      </w:r>
    </w:p>
    <w:p w14:paraId="2F815767" w14:textId="0278DCF9" w:rsidR="009D5FDE" w:rsidRPr="00185BC0" w:rsidRDefault="009D5FDE" w:rsidP="009D5FDE">
      <w:pPr>
        <w:ind w:firstLine="720"/>
        <w:jc w:val="both"/>
        <w:rPr>
          <w:sz w:val="28"/>
          <w:szCs w:val="28"/>
        </w:rPr>
      </w:pPr>
      <w:r w:rsidRPr="00185BC0">
        <w:rPr>
          <w:sz w:val="28"/>
          <w:szCs w:val="28"/>
        </w:rPr>
        <w:t>В контрольной группе (n = 30), где использовалась традиционная пластина, послеоперационные осложнения были выявлены у трёх пациентов (10,0%). В одном случае (3,3%) на третьи сутки после операции произошёл вывих головки эндопротеза, потребовавший выполнения открытого вправления тазобедренного сустава и последующей пролонгированной иммобилизации.</w:t>
      </w:r>
      <w:r w:rsidRPr="00185BC0">
        <w:rPr>
          <w:sz w:val="28"/>
          <w:szCs w:val="28"/>
          <w:lang w:val="kk-KZ"/>
        </w:rPr>
        <w:t xml:space="preserve"> </w:t>
      </w:r>
      <w:r w:rsidRPr="00185BC0">
        <w:rPr>
          <w:sz w:val="28"/>
          <w:szCs w:val="28"/>
        </w:rPr>
        <w:t xml:space="preserve">Кроме того, у двух пациентов (6,7%) в раннем послеоперационном периоде отмечались </w:t>
      </w:r>
      <w:proofErr w:type="spellStart"/>
      <w:r w:rsidRPr="00185BC0">
        <w:rPr>
          <w:sz w:val="28"/>
          <w:szCs w:val="28"/>
        </w:rPr>
        <w:t>тракционные</w:t>
      </w:r>
      <w:proofErr w:type="spellEnd"/>
      <w:r w:rsidRPr="00185BC0">
        <w:rPr>
          <w:sz w:val="28"/>
          <w:szCs w:val="28"/>
        </w:rPr>
        <w:t xml:space="preserve"> неврологические нарушения, обусловленные </w:t>
      </w:r>
      <w:proofErr w:type="spellStart"/>
      <w:r w:rsidRPr="00185BC0">
        <w:rPr>
          <w:sz w:val="28"/>
          <w:szCs w:val="28"/>
        </w:rPr>
        <w:t>интраоперационной</w:t>
      </w:r>
      <w:proofErr w:type="spellEnd"/>
      <w:r w:rsidRPr="00185BC0">
        <w:rPr>
          <w:sz w:val="28"/>
          <w:szCs w:val="28"/>
        </w:rPr>
        <w:t xml:space="preserve"> тракцией конечности. Указанные неврологические расстройства носили транзиторный характер и полностью регрессировали в сроки до 6 месяцев после операции на фоне консервативной терапии и динамического наблюдения без формирования стойкого неврологического дефицита.</w:t>
      </w:r>
    </w:p>
    <w:p w14:paraId="1002DAF8" w14:textId="0E77B277" w:rsidR="009D5FDE" w:rsidRPr="00185BC0" w:rsidRDefault="009D5FDE" w:rsidP="009D5FDE">
      <w:pPr>
        <w:ind w:firstLine="720"/>
        <w:jc w:val="both"/>
        <w:rPr>
          <w:sz w:val="28"/>
          <w:szCs w:val="28"/>
        </w:rPr>
      </w:pPr>
      <w:r w:rsidRPr="00185BC0">
        <w:rPr>
          <w:sz w:val="28"/>
          <w:szCs w:val="28"/>
        </w:rPr>
        <w:t>При сравнении общей частоты послеоперационных осложнений между группами статистически значимых различий выявлено не было (10,0% в контрольной группе против 3,3% в основной группе p = 0,30).</w:t>
      </w:r>
    </w:p>
    <w:p w14:paraId="589719AF" w14:textId="77777777" w:rsidR="009D5FDE" w:rsidRPr="00185BC0" w:rsidRDefault="009D5FDE" w:rsidP="009D5FDE">
      <w:pPr>
        <w:ind w:firstLine="720"/>
        <w:jc w:val="both"/>
        <w:rPr>
          <w:sz w:val="28"/>
          <w:szCs w:val="28"/>
        </w:rPr>
      </w:pPr>
      <w:r w:rsidRPr="00185BC0">
        <w:rPr>
          <w:sz w:val="28"/>
          <w:szCs w:val="28"/>
        </w:rPr>
        <w:t xml:space="preserve">Таким образом, несмотря на отсутствие статистически значимых различий по частоте осложнений, характер послеоперационных осложнений в группах различался. В основной группе осложнение носило технический </w:t>
      </w:r>
      <w:proofErr w:type="spellStart"/>
      <w:r w:rsidRPr="00185BC0">
        <w:rPr>
          <w:sz w:val="28"/>
          <w:szCs w:val="28"/>
        </w:rPr>
        <w:t>интраоперационный</w:t>
      </w:r>
      <w:proofErr w:type="spellEnd"/>
      <w:r w:rsidRPr="00185BC0">
        <w:rPr>
          <w:sz w:val="28"/>
          <w:szCs w:val="28"/>
        </w:rPr>
        <w:t xml:space="preserve"> характер и не оказало влияния на течение послеоперационного периода и отдалённые результаты лечения, тогда как в контрольной группе осложнения сопровождались более выраженным клиническим воздействием и увеличением сроков функционального восстановления.</w:t>
      </w:r>
    </w:p>
    <w:p w14:paraId="3DC167A5" w14:textId="0735B706" w:rsidR="00220331" w:rsidRPr="00185BC0" w:rsidRDefault="00220331" w:rsidP="00220331">
      <w:pPr>
        <w:ind w:firstLine="720"/>
        <w:jc w:val="both"/>
        <w:rPr>
          <w:i/>
          <w:iCs/>
          <w:sz w:val="28"/>
          <w:szCs w:val="28"/>
        </w:rPr>
      </w:pPr>
      <w:bookmarkStart w:id="43" w:name="_Hlk203922104"/>
      <w:r w:rsidRPr="00185BC0">
        <w:rPr>
          <w:i/>
          <w:iCs/>
          <w:sz w:val="28"/>
          <w:szCs w:val="28"/>
        </w:rPr>
        <w:t>Функциональные результаты</w:t>
      </w:r>
    </w:p>
    <w:bookmarkEnd w:id="43"/>
    <w:p w14:paraId="29126124" w14:textId="77777777" w:rsidR="00220331" w:rsidRPr="00185BC0" w:rsidRDefault="00220331" w:rsidP="00220331">
      <w:pPr>
        <w:ind w:firstLine="720"/>
        <w:jc w:val="both"/>
        <w:rPr>
          <w:sz w:val="28"/>
          <w:szCs w:val="28"/>
        </w:rPr>
      </w:pPr>
      <w:r w:rsidRPr="00185BC0">
        <w:rPr>
          <w:sz w:val="28"/>
          <w:szCs w:val="28"/>
        </w:rPr>
        <w:t xml:space="preserve">Функциональные исходы хирургического лечения оценивались в динамике с использованием трёх </w:t>
      </w:r>
      <w:proofErr w:type="spellStart"/>
      <w:r w:rsidRPr="00185BC0">
        <w:rPr>
          <w:sz w:val="28"/>
          <w:szCs w:val="28"/>
        </w:rPr>
        <w:t>валидизированных</w:t>
      </w:r>
      <w:proofErr w:type="spellEnd"/>
      <w:r w:rsidRPr="00185BC0">
        <w:rPr>
          <w:sz w:val="28"/>
          <w:szCs w:val="28"/>
        </w:rPr>
        <w:t xml:space="preserve"> шкал: Harris </w:t>
      </w:r>
      <w:proofErr w:type="spellStart"/>
      <w:r w:rsidRPr="00185BC0">
        <w:rPr>
          <w:sz w:val="28"/>
          <w:szCs w:val="28"/>
        </w:rPr>
        <w:t>Hip</w:t>
      </w:r>
      <w:proofErr w:type="spellEnd"/>
      <w:r w:rsidRPr="00185BC0">
        <w:rPr>
          <w:sz w:val="28"/>
          <w:szCs w:val="28"/>
        </w:rPr>
        <w:t xml:space="preserve"> </w:t>
      </w:r>
      <w:proofErr w:type="spellStart"/>
      <w:r w:rsidRPr="00185BC0">
        <w:rPr>
          <w:sz w:val="28"/>
          <w:szCs w:val="28"/>
        </w:rPr>
        <w:t>Score</w:t>
      </w:r>
      <w:proofErr w:type="spellEnd"/>
      <w:r w:rsidRPr="00185BC0">
        <w:rPr>
          <w:sz w:val="28"/>
          <w:szCs w:val="28"/>
        </w:rPr>
        <w:t xml:space="preserve"> (HHS), </w:t>
      </w:r>
      <w:proofErr w:type="spellStart"/>
      <w:r w:rsidRPr="00185BC0">
        <w:rPr>
          <w:sz w:val="28"/>
          <w:szCs w:val="28"/>
        </w:rPr>
        <w:t>Oxford</w:t>
      </w:r>
      <w:proofErr w:type="spellEnd"/>
      <w:r w:rsidRPr="00185BC0">
        <w:rPr>
          <w:sz w:val="28"/>
          <w:szCs w:val="28"/>
        </w:rPr>
        <w:t xml:space="preserve"> </w:t>
      </w:r>
      <w:proofErr w:type="spellStart"/>
      <w:r w:rsidRPr="00185BC0">
        <w:rPr>
          <w:sz w:val="28"/>
          <w:szCs w:val="28"/>
        </w:rPr>
        <w:t>Hip</w:t>
      </w:r>
      <w:proofErr w:type="spellEnd"/>
      <w:r w:rsidRPr="00185BC0">
        <w:rPr>
          <w:sz w:val="28"/>
          <w:szCs w:val="28"/>
        </w:rPr>
        <w:t xml:space="preserve"> </w:t>
      </w:r>
      <w:proofErr w:type="spellStart"/>
      <w:r w:rsidRPr="00185BC0">
        <w:rPr>
          <w:sz w:val="28"/>
          <w:szCs w:val="28"/>
        </w:rPr>
        <w:t>Score</w:t>
      </w:r>
      <w:proofErr w:type="spellEnd"/>
      <w:r w:rsidRPr="00185BC0">
        <w:rPr>
          <w:sz w:val="28"/>
          <w:szCs w:val="28"/>
        </w:rPr>
        <w:t xml:space="preserve"> (OHS) и визуально-аналоговой шкалы боли (VAS). Измерения проводились в дооперационном периоде, при выписке, а также через </w:t>
      </w:r>
      <w:r w:rsidRPr="00185BC0">
        <w:rPr>
          <w:sz w:val="28"/>
          <w:szCs w:val="28"/>
        </w:rPr>
        <w:lastRenderedPageBreak/>
        <w:t>1,5, 3, 6 и 12 месяцев после вмешательства. Полученные данные позволили объективно оценить клиническую эффективность применённых методов остеосинтеза.</w:t>
      </w:r>
    </w:p>
    <w:p w14:paraId="55CABB25" w14:textId="6C2F1437" w:rsidR="00220331" w:rsidRPr="00185BC0" w:rsidRDefault="00220331" w:rsidP="00220331">
      <w:pPr>
        <w:ind w:firstLine="720"/>
        <w:jc w:val="both"/>
        <w:rPr>
          <w:sz w:val="28"/>
          <w:szCs w:val="28"/>
        </w:rPr>
      </w:pPr>
      <w:r w:rsidRPr="00185BC0">
        <w:rPr>
          <w:sz w:val="28"/>
          <w:szCs w:val="28"/>
        </w:rPr>
        <w:t xml:space="preserve">По шкале HHS исходные показатели были сопоставимы в обеих группах (67,5 [61,25; 70,0] в основной и 67,0 [65,0; 69,75] в контрольной, p = 0,923). Уже к моменту выписки зафиксированы статистически значимые различия: 79,0 [78,0; 80,0] против 72,0 [70,0; 76,0] (p &lt;0,001). Дальнейшая динамика сохраняла достоверное преимущество основной группы: через 1,5 месяца </w:t>
      </w:r>
      <w:r w:rsidR="00DA5A93" w:rsidRPr="00185BC0">
        <w:rPr>
          <w:sz w:val="28"/>
          <w:szCs w:val="28"/>
        </w:rPr>
        <w:t>–</w:t>
      </w:r>
      <w:r w:rsidRPr="00185BC0">
        <w:rPr>
          <w:sz w:val="28"/>
          <w:szCs w:val="28"/>
        </w:rPr>
        <w:t xml:space="preserve"> 82,0 [80,0; 84,0] против 76,5 [75,0; 79,75] (p &lt; 0,001), через 3 месяца </w:t>
      </w:r>
      <w:r w:rsidR="00DA5A93" w:rsidRPr="00185BC0">
        <w:rPr>
          <w:sz w:val="28"/>
          <w:szCs w:val="28"/>
        </w:rPr>
        <w:t>–</w:t>
      </w:r>
      <w:r w:rsidRPr="00185BC0">
        <w:rPr>
          <w:sz w:val="28"/>
          <w:szCs w:val="28"/>
        </w:rPr>
        <w:t xml:space="preserve"> 84,0 [82,25; 85,0] против 81,5 [80,0; 84,5] (p = 0,002), через 6 месяцев </w:t>
      </w:r>
      <w:r w:rsidR="00DA5A93" w:rsidRPr="00185BC0">
        <w:rPr>
          <w:sz w:val="28"/>
          <w:szCs w:val="28"/>
        </w:rPr>
        <w:t>–</w:t>
      </w:r>
      <w:r w:rsidRPr="00185BC0">
        <w:rPr>
          <w:sz w:val="28"/>
          <w:szCs w:val="28"/>
        </w:rPr>
        <w:t xml:space="preserve"> 86,0 [85,0; 88,0] против 85,0 [83,25; 85,75] (p = 0,012), и через 12 месяцев </w:t>
      </w:r>
      <w:r w:rsidR="00DA5A93" w:rsidRPr="00185BC0">
        <w:rPr>
          <w:sz w:val="28"/>
          <w:szCs w:val="28"/>
        </w:rPr>
        <w:t>–</w:t>
      </w:r>
      <w:r w:rsidRPr="00185BC0">
        <w:rPr>
          <w:sz w:val="28"/>
          <w:szCs w:val="28"/>
        </w:rPr>
        <w:t xml:space="preserve"> 90,0 [90,0; 90,0] против 85,5 [85,0; 88,0] (p &lt; 0,001) (рисунок 3</w:t>
      </w:r>
      <w:r w:rsidR="00654A28" w:rsidRPr="00185BC0">
        <w:rPr>
          <w:sz w:val="28"/>
          <w:szCs w:val="28"/>
          <w:lang w:val="kk-KZ"/>
        </w:rPr>
        <w:t>7</w:t>
      </w:r>
      <w:r w:rsidRPr="00185BC0">
        <w:rPr>
          <w:sz w:val="28"/>
          <w:szCs w:val="28"/>
        </w:rPr>
        <w:t>).</w:t>
      </w:r>
    </w:p>
    <w:p w14:paraId="5D7A6A02" w14:textId="77777777" w:rsidR="00220331" w:rsidRPr="00185BC0" w:rsidRDefault="00220331" w:rsidP="00220331">
      <w:pPr>
        <w:ind w:firstLine="720"/>
        <w:jc w:val="both"/>
        <w:rPr>
          <w:sz w:val="28"/>
          <w:szCs w:val="28"/>
        </w:rPr>
      </w:pPr>
    </w:p>
    <w:p w14:paraId="3C41BA53" w14:textId="77777777" w:rsidR="00220331" w:rsidRPr="00185BC0" w:rsidRDefault="00220331" w:rsidP="00220331">
      <w:pPr>
        <w:jc w:val="center"/>
        <w:rPr>
          <w:sz w:val="28"/>
          <w:szCs w:val="28"/>
        </w:rPr>
      </w:pPr>
      <w:r w:rsidRPr="00185BC0">
        <w:rPr>
          <w:noProof/>
        </w:rPr>
        <mc:AlternateContent>
          <mc:Choice Requires="cx1">
            <w:drawing>
              <wp:inline distT="0" distB="0" distL="0" distR="0" wp14:anchorId="5840766D" wp14:editId="291BFA38">
                <wp:extent cx="5992859" cy="3992578"/>
                <wp:effectExtent l="0" t="0" r="8255" b="8255"/>
                <wp:docPr id="15" name="Диаграмма 15">
                  <a:extLst xmlns:a="http://schemas.openxmlformats.org/drawingml/2006/main">
                    <a:ext uri="{FF2B5EF4-FFF2-40B4-BE49-F238E27FC236}">
                      <a16:creationId xmlns:a16="http://schemas.microsoft.com/office/drawing/2014/main" id="{FA11C2E6-1652-4AEA-8348-F1856AD0640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1"/>
                  </a:graphicData>
                </a:graphic>
              </wp:inline>
            </w:drawing>
          </mc:Choice>
          <mc:Fallback>
            <w:drawing>
              <wp:inline distT="0" distB="0" distL="0" distR="0" wp14:anchorId="5840766D" wp14:editId="291BFA38">
                <wp:extent cx="5992859" cy="3992578"/>
                <wp:effectExtent l="0" t="0" r="8255" b="8255"/>
                <wp:docPr id="15" name="Диаграмма 15">
                  <a:extLst xmlns:a="http://schemas.openxmlformats.org/drawingml/2006/main">
                    <a:ext uri="{FF2B5EF4-FFF2-40B4-BE49-F238E27FC236}">
                      <a16:creationId xmlns:a16="http://schemas.microsoft.com/office/drawing/2014/main" id="{FA11C2E6-1652-4AEA-8348-F1856AD0640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 name="Диаграмма 15">
                          <a:extLst>
                            <a:ext uri="{FF2B5EF4-FFF2-40B4-BE49-F238E27FC236}">
                              <a16:creationId xmlns:a16="http://schemas.microsoft.com/office/drawing/2014/main" id="{FA11C2E6-1652-4AEA-8348-F1856AD0640D}"/>
                            </a:ext>
                          </a:extLst>
                        </pic:cNvPr>
                        <pic:cNvPicPr>
                          <a:picLocks noGrp="1" noRot="1" noChangeAspect="1" noMove="1" noResize="1" noEditPoints="1" noAdjustHandles="1" noChangeArrowheads="1" noChangeShapeType="1"/>
                        </pic:cNvPicPr>
                      </pic:nvPicPr>
                      <pic:blipFill>
                        <a:blip r:embed="rId53"/>
                        <a:stretch>
                          <a:fillRect/>
                        </a:stretch>
                      </pic:blipFill>
                      <pic:spPr>
                        <a:xfrm>
                          <a:off x="0" y="0"/>
                          <a:ext cx="5992495" cy="3992245"/>
                        </a:xfrm>
                        <a:prstGeom prst="rect">
                          <a:avLst/>
                        </a:prstGeom>
                      </pic:spPr>
                    </pic:pic>
                  </a:graphicData>
                </a:graphic>
              </wp:inline>
            </w:drawing>
          </mc:Fallback>
        </mc:AlternateContent>
      </w:r>
    </w:p>
    <w:p w14:paraId="4095D5B3" w14:textId="77777777" w:rsidR="00220331" w:rsidRPr="00185BC0" w:rsidRDefault="00220331" w:rsidP="00220331">
      <w:pPr>
        <w:ind w:firstLine="720"/>
        <w:jc w:val="center"/>
        <w:rPr>
          <w:i/>
          <w:iCs/>
          <w:sz w:val="28"/>
          <w:szCs w:val="28"/>
        </w:rPr>
      </w:pPr>
    </w:p>
    <w:p w14:paraId="4F33FBCF" w14:textId="33BAC4DD" w:rsidR="00220331" w:rsidRPr="00185BC0" w:rsidRDefault="00220331" w:rsidP="00220331">
      <w:pPr>
        <w:ind w:firstLine="720"/>
        <w:jc w:val="center"/>
        <w:rPr>
          <w:sz w:val="28"/>
          <w:szCs w:val="28"/>
        </w:rPr>
      </w:pPr>
      <w:r w:rsidRPr="00185BC0">
        <w:rPr>
          <w:sz w:val="28"/>
          <w:szCs w:val="28"/>
        </w:rPr>
        <w:t>Рисунок 3</w:t>
      </w:r>
      <w:r w:rsidR="00654A28" w:rsidRPr="00185BC0">
        <w:rPr>
          <w:sz w:val="28"/>
          <w:szCs w:val="28"/>
          <w:lang w:val="kk-KZ"/>
        </w:rPr>
        <w:t>7</w:t>
      </w:r>
      <w:r w:rsidR="00331E2B" w:rsidRPr="00185BC0">
        <w:rPr>
          <w:sz w:val="28"/>
          <w:szCs w:val="28"/>
          <w:lang w:val="kk-KZ"/>
        </w:rPr>
        <w:t xml:space="preserve"> </w:t>
      </w:r>
      <w:r w:rsidR="0092206E" w:rsidRPr="00185BC0">
        <w:rPr>
          <w:sz w:val="28"/>
          <w:szCs w:val="28"/>
          <w:lang w:val="kk-KZ"/>
        </w:rPr>
        <w:t>–</w:t>
      </w:r>
      <w:r w:rsidR="0092206E" w:rsidRPr="00185BC0">
        <w:rPr>
          <w:b/>
          <w:bCs/>
          <w:sz w:val="28"/>
          <w:szCs w:val="28"/>
        </w:rPr>
        <w:t xml:space="preserve"> </w:t>
      </w:r>
      <w:r w:rsidR="0092206E" w:rsidRPr="00185BC0">
        <w:rPr>
          <w:sz w:val="28"/>
          <w:szCs w:val="28"/>
        </w:rPr>
        <w:t>Сравнение</w:t>
      </w:r>
      <w:r w:rsidRPr="00185BC0">
        <w:rPr>
          <w:sz w:val="28"/>
          <w:szCs w:val="28"/>
        </w:rPr>
        <w:t xml:space="preserve"> показателей HHS в разные сроки наблюдения у пациентов основной и контрольной групп (</w:t>
      </w:r>
      <w:proofErr w:type="spellStart"/>
      <w:r w:rsidRPr="00185BC0">
        <w:rPr>
          <w:sz w:val="28"/>
          <w:szCs w:val="28"/>
        </w:rPr>
        <w:t>boxplot</w:t>
      </w:r>
      <w:proofErr w:type="spellEnd"/>
      <w:r w:rsidRPr="00185BC0">
        <w:rPr>
          <w:sz w:val="28"/>
          <w:szCs w:val="28"/>
        </w:rPr>
        <w:t>-диаграмма)</w:t>
      </w:r>
    </w:p>
    <w:p w14:paraId="18500E7E" w14:textId="77777777" w:rsidR="00220331" w:rsidRPr="00185BC0" w:rsidRDefault="00220331" w:rsidP="00220331">
      <w:pPr>
        <w:ind w:firstLine="720"/>
        <w:jc w:val="both"/>
        <w:rPr>
          <w:sz w:val="28"/>
          <w:szCs w:val="28"/>
        </w:rPr>
      </w:pPr>
    </w:p>
    <w:p w14:paraId="5248A687" w14:textId="068B603A" w:rsidR="00220331" w:rsidRPr="00185BC0" w:rsidRDefault="00220331" w:rsidP="00220331">
      <w:pPr>
        <w:ind w:firstLine="720"/>
        <w:jc w:val="both"/>
        <w:rPr>
          <w:sz w:val="28"/>
          <w:szCs w:val="28"/>
        </w:rPr>
      </w:pPr>
      <w:r w:rsidRPr="00185BC0">
        <w:rPr>
          <w:sz w:val="28"/>
          <w:szCs w:val="28"/>
        </w:rPr>
        <w:t>По шкале OHS исходные значения также не различались (23,03 ± 3,31 в основной группе и 23,20 ± 2,30 в контрольной, p = 0,821). Однако</w:t>
      </w:r>
      <w:r w:rsidR="0092206E" w:rsidRPr="00185BC0">
        <w:rPr>
          <w:sz w:val="28"/>
          <w:szCs w:val="28"/>
        </w:rPr>
        <w:t>,</w:t>
      </w:r>
      <w:r w:rsidRPr="00185BC0">
        <w:rPr>
          <w:sz w:val="28"/>
          <w:szCs w:val="28"/>
        </w:rPr>
        <w:t xml:space="preserve"> уже к выписке отмечался выраженный контраст: 30,0 [29,25; 30,0] против 25,0 [25,0; 26,0] (p &lt;0,001). На сроках наблюдения сохранялась устойчивая статистически значимая разница в пользу основной группы: через 1,5 месяца </w:t>
      </w:r>
      <w:r w:rsidR="00DA5A93" w:rsidRPr="00185BC0">
        <w:rPr>
          <w:sz w:val="28"/>
          <w:szCs w:val="28"/>
        </w:rPr>
        <w:t>–</w:t>
      </w:r>
      <w:r w:rsidRPr="00185BC0">
        <w:rPr>
          <w:sz w:val="28"/>
          <w:szCs w:val="28"/>
        </w:rPr>
        <w:t xml:space="preserve"> 33,0 [31,0; 34,0] против 28,0 [26,0; 30,0], через 3 месяца </w:t>
      </w:r>
      <w:r w:rsidR="00DA5A93" w:rsidRPr="00185BC0">
        <w:rPr>
          <w:sz w:val="28"/>
          <w:szCs w:val="28"/>
        </w:rPr>
        <w:t>–</w:t>
      </w:r>
      <w:r w:rsidRPr="00185BC0">
        <w:rPr>
          <w:sz w:val="28"/>
          <w:szCs w:val="28"/>
        </w:rPr>
        <w:t xml:space="preserve"> 35,0 [33,0; 36,0] против 28,0 [26,0; 30,0], через 6 месяцев </w:t>
      </w:r>
      <w:r w:rsidR="00DA5A93" w:rsidRPr="00185BC0">
        <w:rPr>
          <w:sz w:val="28"/>
          <w:szCs w:val="28"/>
        </w:rPr>
        <w:t>–</w:t>
      </w:r>
      <w:r w:rsidRPr="00185BC0">
        <w:rPr>
          <w:sz w:val="28"/>
          <w:szCs w:val="28"/>
        </w:rPr>
        <w:t xml:space="preserve"> 39,0 [38,0; 40,0] против 32,0 [30,0; 34,0], и через 12 месяцев </w:t>
      </w:r>
      <w:r w:rsidR="00DA5A93" w:rsidRPr="00185BC0">
        <w:rPr>
          <w:sz w:val="28"/>
          <w:szCs w:val="28"/>
        </w:rPr>
        <w:t>–</w:t>
      </w:r>
      <w:r w:rsidRPr="00185BC0">
        <w:rPr>
          <w:sz w:val="28"/>
          <w:szCs w:val="28"/>
        </w:rPr>
        <w:t xml:space="preserve"> 40,0 [39,0; 40,75] против 34,0 [32,0; 35,0] (во всех случаях p &lt; 0,001) (рисунок 3</w:t>
      </w:r>
      <w:r w:rsidR="00654A28" w:rsidRPr="00185BC0">
        <w:rPr>
          <w:sz w:val="28"/>
          <w:szCs w:val="28"/>
          <w:lang w:val="kk-KZ"/>
        </w:rPr>
        <w:t>8</w:t>
      </w:r>
      <w:r w:rsidRPr="00185BC0">
        <w:rPr>
          <w:sz w:val="28"/>
          <w:szCs w:val="28"/>
        </w:rPr>
        <w:t>).</w:t>
      </w:r>
    </w:p>
    <w:p w14:paraId="48297012" w14:textId="77777777" w:rsidR="00220331" w:rsidRPr="00185BC0" w:rsidRDefault="00220331" w:rsidP="00220331">
      <w:pPr>
        <w:ind w:firstLine="720"/>
        <w:jc w:val="both"/>
        <w:rPr>
          <w:sz w:val="28"/>
          <w:szCs w:val="28"/>
        </w:rPr>
      </w:pPr>
    </w:p>
    <w:p w14:paraId="78BD3302" w14:textId="77777777" w:rsidR="00220331" w:rsidRPr="00185BC0" w:rsidRDefault="00220331" w:rsidP="00220331">
      <w:pPr>
        <w:jc w:val="both"/>
        <w:rPr>
          <w:sz w:val="28"/>
          <w:szCs w:val="28"/>
        </w:rPr>
      </w:pPr>
      <w:r w:rsidRPr="00185BC0">
        <w:rPr>
          <w:noProof/>
        </w:rPr>
        <mc:AlternateContent>
          <mc:Choice Requires="cx1">
            <w:drawing>
              <wp:inline distT="0" distB="0" distL="0" distR="0" wp14:anchorId="34DF79B3" wp14:editId="778A7250">
                <wp:extent cx="5984341" cy="4065006"/>
                <wp:effectExtent l="0" t="0" r="16510" b="12065"/>
                <wp:docPr id="29" name="Диаграмма 29">
                  <a:extLst xmlns:a="http://schemas.openxmlformats.org/drawingml/2006/main">
                    <a:ext uri="{FF2B5EF4-FFF2-40B4-BE49-F238E27FC236}">
                      <a16:creationId xmlns:a16="http://schemas.microsoft.com/office/drawing/2014/main" id="{B29A040D-5654-4DB6-81A5-2AC4C6D002E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4"/>
                  </a:graphicData>
                </a:graphic>
              </wp:inline>
            </w:drawing>
          </mc:Choice>
          <mc:Fallback>
            <w:drawing>
              <wp:inline distT="0" distB="0" distL="0" distR="0" wp14:anchorId="34DF79B3" wp14:editId="778A7250">
                <wp:extent cx="5984341" cy="4065006"/>
                <wp:effectExtent l="0" t="0" r="16510" b="12065"/>
                <wp:docPr id="29" name="Диаграмма 29">
                  <a:extLst xmlns:a="http://schemas.openxmlformats.org/drawingml/2006/main">
                    <a:ext uri="{FF2B5EF4-FFF2-40B4-BE49-F238E27FC236}">
                      <a16:creationId xmlns:a16="http://schemas.microsoft.com/office/drawing/2014/main" id="{B29A040D-5654-4DB6-81A5-2AC4C6D002E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9" name="Диаграмма 29">
                          <a:extLst>
                            <a:ext uri="{FF2B5EF4-FFF2-40B4-BE49-F238E27FC236}">
                              <a16:creationId xmlns:a16="http://schemas.microsoft.com/office/drawing/2014/main" id="{B29A040D-5654-4DB6-81A5-2AC4C6D002ED}"/>
                            </a:ext>
                          </a:extLst>
                        </pic:cNvPr>
                        <pic:cNvPicPr>
                          <a:picLocks noGrp="1" noRot="1" noChangeAspect="1" noMove="1" noResize="1" noEditPoints="1" noAdjustHandles="1" noChangeArrowheads="1" noChangeShapeType="1"/>
                        </pic:cNvPicPr>
                      </pic:nvPicPr>
                      <pic:blipFill>
                        <a:blip r:embed="rId55"/>
                        <a:stretch>
                          <a:fillRect/>
                        </a:stretch>
                      </pic:blipFill>
                      <pic:spPr>
                        <a:xfrm>
                          <a:off x="0" y="0"/>
                          <a:ext cx="5984240" cy="4064635"/>
                        </a:xfrm>
                        <a:prstGeom prst="rect">
                          <a:avLst/>
                        </a:prstGeom>
                      </pic:spPr>
                    </pic:pic>
                  </a:graphicData>
                </a:graphic>
              </wp:inline>
            </w:drawing>
          </mc:Fallback>
        </mc:AlternateContent>
      </w:r>
    </w:p>
    <w:p w14:paraId="0D5AD714" w14:textId="77777777" w:rsidR="00220331" w:rsidRPr="00185BC0" w:rsidRDefault="00220331" w:rsidP="00220331">
      <w:pPr>
        <w:ind w:firstLine="720"/>
        <w:jc w:val="center"/>
        <w:rPr>
          <w:i/>
          <w:iCs/>
          <w:sz w:val="28"/>
          <w:szCs w:val="28"/>
        </w:rPr>
      </w:pPr>
    </w:p>
    <w:p w14:paraId="70F9DDC6" w14:textId="74AE5A2D" w:rsidR="00220331" w:rsidRPr="00185BC0" w:rsidRDefault="00220331" w:rsidP="00220331">
      <w:pPr>
        <w:ind w:firstLine="720"/>
        <w:jc w:val="center"/>
        <w:rPr>
          <w:sz w:val="28"/>
          <w:szCs w:val="28"/>
        </w:rPr>
      </w:pPr>
      <w:r w:rsidRPr="00185BC0">
        <w:rPr>
          <w:sz w:val="28"/>
          <w:szCs w:val="28"/>
        </w:rPr>
        <w:t>Рисунок 3</w:t>
      </w:r>
      <w:r w:rsidR="00654A28" w:rsidRPr="00185BC0">
        <w:rPr>
          <w:sz w:val="28"/>
          <w:szCs w:val="28"/>
          <w:lang w:val="kk-KZ"/>
        </w:rPr>
        <w:t>8</w:t>
      </w:r>
      <w:r w:rsidR="00331E2B" w:rsidRPr="00185BC0">
        <w:rPr>
          <w:sz w:val="28"/>
          <w:szCs w:val="28"/>
          <w:lang w:val="kk-KZ"/>
        </w:rPr>
        <w:t xml:space="preserve"> –</w:t>
      </w:r>
      <w:r w:rsidR="00331E2B" w:rsidRPr="00185BC0">
        <w:rPr>
          <w:b/>
          <w:bCs/>
          <w:sz w:val="28"/>
          <w:szCs w:val="28"/>
        </w:rPr>
        <w:t xml:space="preserve"> </w:t>
      </w:r>
      <w:r w:rsidRPr="00185BC0">
        <w:rPr>
          <w:sz w:val="28"/>
          <w:szCs w:val="28"/>
        </w:rPr>
        <w:t xml:space="preserve">Сравнение показателей </w:t>
      </w:r>
      <w:r w:rsidRPr="00185BC0">
        <w:rPr>
          <w:sz w:val="28"/>
          <w:szCs w:val="28"/>
          <w:lang w:val="tr-TR"/>
        </w:rPr>
        <w:t>O</w:t>
      </w:r>
      <w:r w:rsidRPr="00185BC0">
        <w:rPr>
          <w:sz w:val="28"/>
          <w:szCs w:val="28"/>
        </w:rPr>
        <w:t>HS в разные сроки наблюдения у пациентов основной и контрольной групп</w:t>
      </w:r>
      <w:r w:rsidR="0092206E" w:rsidRPr="00185BC0">
        <w:rPr>
          <w:sz w:val="28"/>
          <w:szCs w:val="28"/>
        </w:rPr>
        <w:t>ах</w:t>
      </w:r>
      <w:r w:rsidRPr="00185BC0">
        <w:rPr>
          <w:sz w:val="28"/>
          <w:szCs w:val="28"/>
        </w:rPr>
        <w:t xml:space="preserve"> (</w:t>
      </w:r>
      <w:proofErr w:type="spellStart"/>
      <w:r w:rsidRPr="00185BC0">
        <w:rPr>
          <w:sz w:val="28"/>
          <w:szCs w:val="28"/>
        </w:rPr>
        <w:t>boxplot</w:t>
      </w:r>
      <w:proofErr w:type="spellEnd"/>
      <w:r w:rsidRPr="00185BC0">
        <w:rPr>
          <w:sz w:val="28"/>
          <w:szCs w:val="28"/>
        </w:rPr>
        <w:t>-диаграмма)</w:t>
      </w:r>
    </w:p>
    <w:p w14:paraId="3CBDE805" w14:textId="77777777" w:rsidR="00220331" w:rsidRPr="00185BC0" w:rsidRDefault="00220331" w:rsidP="00220331">
      <w:pPr>
        <w:ind w:firstLine="720"/>
        <w:jc w:val="both"/>
        <w:rPr>
          <w:sz w:val="28"/>
          <w:szCs w:val="28"/>
        </w:rPr>
      </w:pPr>
    </w:p>
    <w:p w14:paraId="5C7AE1A7" w14:textId="49E7CB31" w:rsidR="00220331" w:rsidRPr="00185BC0" w:rsidRDefault="00220331" w:rsidP="00220331">
      <w:pPr>
        <w:ind w:firstLine="720"/>
        <w:jc w:val="both"/>
        <w:rPr>
          <w:sz w:val="28"/>
          <w:szCs w:val="28"/>
        </w:rPr>
      </w:pPr>
      <w:r w:rsidRPr="00185BC0">
        <w:rPr>
          <w:sz w:val="28"/>
          <w:szCs w:val="28"/>
        </w:rPr>
        <w:t xml:space="preserve">По шкале VAS в предоперационном периоде различий между группами не выявлено (7,0 [7,0; 8,0] против 7,0 [6,25; 8,0], p = 0,937). На момент выписки показатели боли оставались сопоставимыми (5,0 [5,0; 5,0] против 5,0 [5,0; 6,0], p = 0,283). Начиная с 1,5 месяцев после операции, различия приобрели достоверный характер: 4,0 [4,0; 4,0] против 5,0 [4,0; 5,0] (p &lt;0,001). В дальнейшем сохранялось преимущество основной группы: через 3 месяца </w:t>
      </w:r>
      <w:r w:rsidR="00DA5A93" w:rsidRPr="00185BC0">
        <w:rPr>
          <w:sz w:val="28"/>
          <w:szCs w:val="28"/>
        </w:rPr>
        <w:t>–</w:t>
      </w:r>
      <w:r w:rsidRPr="00185BC0">
        <w:rPr>
          <w:sz w:val="28"/>
          <w:szCs w:val="28"/>
        </w:rPr>
        <w:t xml:space="preserve"> 3,0 [3,0; 4,0] против 4,0 [3,0; 4,0] (p = 0,012), через 6 месяцев </w:t>
      </w:r>
      <w:r w:rsidR="00DA5A93" w:rsidRPr="00185BC0">
        <w:rPr>
          <w:sz w:val="28"/>
          <w:szCs w:val="28"/>
        </w:rPr>
        <w:t>–</w:t>
      </w:r>
      <w:r w:rsidRPr="00185BC0">
        <w:rPr>
          <w:sz w:val="28"/>
          <w:szCs w:val="28"/>
        </w:rPr>
        <w:t xml:space="preserve"> 2,0 [2,0; 3,0] против 3,0 [3,0; 4,0] (p &lt; 0,001), через 12 месяцев </w:t>
      </w:r>
      <w:r w:rsidR="00DA5A93" w:rsidRPr="00185BC0">
        <w:rPr>
          <w:sz w:val="28"/>
          <w:szCs w:val="28"/>
        </w:rPr>
        <w:t>–</w:t>
      </w:r>
      <w:r w:rsidRPr="00185BC0">
        <w:rPr>
          <w:sz w:val="28"/>
          <w:szCs w:val="28"/>
        </w:rPr>
        <w:t xml:space="preserve"> 2,0 [2,0; 2,75] против 3,0 [3,0; 3,0] (p &lt; 0,001) (рисунок 3</w:t>
      </w:r>
      <w:r w:rsidR="00654A28" w:rsidRPr="00185BC0">
        <w:rPr>
          <w:sz w:val="28"/>
          <w:szCs w:val="28"/>
          <w:lang w:val="kk-KZ"/>
        </w:rPr>
        <w:t>9</w:t>
      </w:r>
      <w:r w:rsidRPr="00185BC0">
        <w:rPr>
          <w:sz w:val="28"/>
          <w:szCs w:val="28"/>
        </w:rPr>
        <w:t>).</w:t>
      </w:r>
    </w:p>
    <w:p w14:paraId="712FBBB3" w14:textId="77777777" w:rsidR="00220331" w:rsidRPr="00185BC0" w:rsidRDefault="00220331" w:rsidP="00220331">
      <w:pPr>
        <w:rPr>
          <w:kern w:val="36"/>
          <w:sz w:val="28"/>
          <w:szCs w:val="28"/>
          <w:lang w:eastAsia="ru-RU"/>
        </w:rPr>
      </w:pPr>
      <w:r w:rsidRPr="00185BC0">
        <w:rPr>
          <w:kern w:val="36"/>
          <w:sz w:val="28"/>
          <w:szCs w:val="28"/>
          <w:lang w:val="kk-KZ" w:eastAsia="ru-RU"/>
        </w:rPr>
        <w:lastRenderedPageBreak/>
        <w:t xml:space="preserve">  </w:t>
      </w:r>
      <w:r w:rsidRPr="00185BC0">
        <w:rPr>
          <w:noProof/>
        </w:rPr>
        <w:drawing>
          <wp:inline distT="0" distB="0" distL="0" distR="0" wp14:anchorId="1E9DA4DB" wp14:editId="20CA1E22">
            <wp:extent cx="5898861" cy="3856776"/>
            <wp:effectExtent l="0" t="0" r="6985" b="10795"/>
            <wp:docPr id="32" name="Диаграмма 32">
              <a:extLst xmlns:a="http://schemas.openxmlformats.org/drawingml/2006/main">
                <a:ext uri="{FF2B5EF4-FFF2-40B4-BE49-F238E27FC236}">
                  <a16:creationId xmlns:a16="http://schemas.microsoft.com/office/drawing/2014/main" id="{AE28D03A-913B-48A9-BD68-A2031202A8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EDED565" w14:textId="77777777" w:rsidR="00387CA6" w:rsidRPr="00185BC0" w:rsidRDefault="00387CA6" w:rsidP="00220331">
      <w:pPr>
        <w:jc w:val="center"/>
        <w:rPr>
          <w:sz w:val="28"/>
          <w:szCs w:val="28"/>
          <w:lang w:val="kk-KZ" w:eastAsia="ru-RU"/>
        </w:rPr>
      </w:pPr>
    </w:p>
    <w:p w14:paraId="4F40C1C8" w14:textId="567A755A" w:rsidR="00220331" w:rsidRPr="00185BC0" w:rsidRDefault="00220331" w:rsidP="00220331">
      <w:pPr>
        <w:jc w:val="center"/>
        <w:rPr>
          <w:sz w:val="28"/>
          <w:szCs w:val="28"/>
          <w:lang w:val="kk-KZ" w:eastAsia="ru-RU"/>
        </w:rPr>
      </w:pPr>
      <w:r w:rsidRPr="00185BC0">
        <w:rPr>
          <w:sz w:val="28"/>
          <w:szCs w:val="28"/>
          <w:lang w:val="kk-KZ" w:eastAsia="ru-RU"/>
        </w:rPr>
        <w:t>Рисунок 3</w:t>
      </w:r>
      <w:r w:rsidR="00654A28" w:rsidRPr="00185BC0">
        <w:rPr>
          <w:sz w:val="28"/>
          <w:szCs w:val="28"/>
          <w:lang w:val="kk-KZ" w:eastAsia="ru-RU"/>
        </w:rPr>
        <w:t>9</w:t>
      </w:r>
      <w:r w:rsidR="00331E2B" w:rsidRPr="00185BC0">
        <w:rPr>
          <w:sz w:val="28"/>
          <w:szCs w:val="28"/>
          <w:lang w:val="kk-KZ" w:eastAsia="ru-RU"/>
        </w:rPr>
        <w:t xml:space="preserve"> </w:t>
      </w:r>
      <w:r w:rsidR="00331E2B" w:rsidRPr="00185BC0">
        <w:rPr>
          <w:sz w:val="28"/>
          <w:szCs w:val="28"/>
          <w:lang w:val="kk-KZ"/>
        </w:rPr>
        <w:t>–</w:t>
      </w:r>
      <w:r w:rsidR="00331E2B" w:rsidRPr="00185BC0">
        <w:rPr>
          <w:b/>
          <w:bCs/>
          <w:sz w:val="28"/>
          <w:szCs w:val="28"/>
        </w:rPr>
        <w:t xml:space="preserve"> </w:t>
      </w:r>
      <w:r w:rsidRPr="00185BC0">
        <w:rPr>
          <w:sz w:val="28"/>
          <w:szCs w:val="28"/>
          <w:lang w:val="kk-KZ" w:eastAsia="ru-RU"/>
        </w:rPr>
        <w:t>Динамика интенсивности боли по шкале VAS</w:t>
      </w:r>
    </w:p>
    <w:p w14:paraId="4058446B" w14:textId="77777777" w:rsidR="00220331" w:rsidRPr="00185BC0" w:rsidRDefault="00220331" w:rsidP="00220331">
      <w:pPr>
        <w:ind w:firstLine="720"/>
        <w:jc w:val="both"/>
        <w:rPr>
          <w:lang w:val="kk-KZ"/>
        </w:rPr>
      </w:pPr>
    </w:p>
    <w:p w14:paraId="0256E3F6" w14:textId="1E33B29F" w:rsidR="00220331" w:rsidRPr="00185BC0" w:rsidRDefault="00220331" w:rsidP="00220331">
      <w:pPr>
        <w:ind w:firstLine="720"/>
        <w:jc w:val="both"/>
        <w:rPr>
          <w:sz w:val="28"/>
          <w:szCs w:val="28"/>
        </w:rPr>
      </w:pPr>
      <w:r w:rsidRPr="00185BC0">
        <w:rPr>
          <w:sz w:val="28"/>
          <w:szCs w:val="28"/>
          <w:lang w:val="kk-KZ"/>
        </w:rPr>
        <w:t>Т</w:t>
      </w:r>
      <w:r w:rsidRPr="00185BC0">
        <w:rPr>
          <w:sz w:val="28"/>
          <w:szCs w:val="28"/>
        </w:rPr>
        <w:t xml:space="preserve">аким образом, применение предложенной методики фиксации обеспечивало лучшие функциональные результаты по всем </w:t>
      </w:r>
      <w:proofErr w:type="spellStart"/>
      <w:r w:rsidRPr="00185BC0">
        <w:rPr>
          <w:sz w:val="28"/>
          <w:szCs w:val="28"/>
        </w:rPr>
        <w:t>валидизированным</w:t>
      </w:r>
      <w:proofErr w:type="spellEnd"/>
      <w:r w:rsidRPr="00185BC0">
        <w:rPr>
          <w:sz w:val="28"/>
          <w:szCs w:val="28"/>
        </w:rPr>
        <w:t xml:space="preserve"> шкалам (HHS, OHS, VAS), что подтверждает её клиническую эффективность и позволяет рекомендовать к использованию для восстановления функции тазобедренного сустава, снижения выраженности болевого синдрома и повышения качества жизни пациентов.</w:t>
      </w:r>
    </w:p>
    <w:p w14:paraId="5A7400B9" w14:textId="77777777" w:rsidR="00220331" w:rsidRPr="00185BC0" w:rsidRDefault="00220331" w:rsidP="00220331"/>
    <w:p w14:paraId="2F4CA76E" w14:textId="77777777" w:rsidR="00220331" w:rsidRPr="00185BC0" w:rsidRDefault="00220331" w:rsidP="00220331"/>
    <w:p w14:paraId="2ABFF8DC" w14:textId="77777777" w:rsidR="00220331" w:rsidRPr="00185BC0" w:rsidRDefault="00220331" w:rsidP="00220331"/>
    <w:p w14:paraId="21BAD7DB" w14:textId="15AD4DB9" w:rsidR="00220331" w:rsidRPr="00185BC0" w:rsidRDefault="00220331" w:rsidP="00220331">
      <w:pPr>
        <w:rPr>
          <w:b/>
          <w:bCs/>
          <w:lang w:val="kk-KZ"/>
        </w:rPr>
      </w:pPr>
    </w:p>
    <w:p w14:paraId="348B775E" w14:textId="656F1DB9" w:rsidR="00387CA6" w:rsidRPr="00185BC0" w:rsidRDefault="00387CA6" w:rsidP="00220331">
      <w:pPr>
        <w:rPr>
          <w:b/>
          <w:bCs/>
          <w:lang w:val="kk-KZ"/>
        </w:rPr>
      </w:pPr>
    </w:p>
    <w:p w14:paraId="72D43478" w14:textId="51EDDFDF" w:rsidR="00387CA6" w:rsidRPr="00185BC0" w:rsidRDefault="00387CA6" w:rsidP="00220331">
      <w:pPr>
        <w:rPr>
          <w:b/>
          <w:bCs/>
          <w:lang w:val="kk-KZ"/>
        </w:rPr>
      </w:pPr>
    </w:p>
    <w:p w14:paraId="2DB246A7" w14:textId="2B4D49F0" w:rsidR="00387CA6" w:rsidRPr="00185BC0" w:rsidRDefault="00387CA6" w:rsidP="00220331">
      <w:pPr>
        <w:rPr>
          <w:b/>
          <w:bCs/>
          <w:lang w:val="kk-KZ"/>
        </w:rPr>
      </w:pPr>
    </w:p>
    <w:p w14:paraId="4F1A4AC9" w14:textId="3EB3EF9D" w:rsidR="00387CA6" w:rsidRPr="00185BC0" w:rsidRDefault="00387CA6" w:rsidP="00220331">
      <w:pPr>
        <w:rPr>
          <w:b/>
          <w:bCs/>
          <w:lang w:val="kk-KZ"/>
        </w:rPr>
      </w:pPr>
    </w:p>
    <w:p w14:paraId="17FC37C6" w14:textId="41F46352" w:rsidR="00387CA6" w:rsidRPr="00185BC0" w:rsidRDefault="00387CA6" w:rsidP="00220331">
      <w:pPr>
        <w:rPr>
          <w:b/>
          <w:bCs/>
          <w:lang w:val="kk-KZ"/>
        </w:rPr>
      </w:pPr>
    </w:p>
    <w:p w14:paraId="57932A10" w14:textId="43C18985" w:rsidR="00387CA6" w:rsidRPr="00185BC0" w:rsidRDefault="00387CA6" w:rsidP="00220331">
      <w:pPr>
        <w:rPr>
          <w:b/>
          <w:bCs/>
          <w:lang w:val="kk-KZ"/>
        </w:rPr>
      </w:pPr>
    </w:p>
    <w:p w14:paraId="72C587C2" w14:textId="1EF61284" w:rsidR="00387CA6" w:rsidRPr="00185BC0" w:rsidRDefault="00387CA6" w:rsidP="00220331">
      <w:pPr>
        <w:rPr>
          <w:b/>
          <w:bCs/>
          <w:lang w:val="kk-KZ"/>
        </w:rPr>
      </w:pPr>
    </w:p>
    <w:p w14:paraId="6131214D" w14:textId="34D76E86" w:rsidR="00387CA6" w:rsidRPr="00185BC0" w:rsidRDefault="00387CA6" w:rsidP="00220331">
      <w:pPr>
        <w:rPr>
          <w:b/>
          <w:bCs/>
          <w:lang w:val="kk-KZ"/>
        </w:rPr>
      </w:pPr>
    </w:p>
    <w:p w14:paraId="47B7E591" w14:textId="74EED22D" w:rsidR="00387CA6" w:rsidRPr="00185BC0" w:rsidRDefault="00387CA6" w:rsidP="00220331">
      <w:pPr>
        <w:rPr>
          <w:b/>
          <w:bCs/>
          <w:lang w:val="kk-KZ"/>
        </w:rPr>
      </w:pPr>
    </w:p>
    <w:p w14:paraId="0901F4C6" w14:textId="2B17FD1D" w:rsidR="00387CA6" w:rsidRPr="00185BC0" w:rsidRDefault="00387CA6" w:rsidP="00220331">
      <w:pPr>
        <w:rPr>
          <w:b/>
          <w:bCs/>
          <w:lang w:val="kk-KZ"/>
        </w:rPr>
      </w:pPr>
    </w:p>
    <w:p w14:paraId="52560951" w14:textId="49B042B7" w:rsidR="00387CA6" w:rsidRPr="00185BC0" w:rsidRDefault="00387CA6" w:rsidP="00220331">
      <w:pPr>
        <w:rPr>
          <w:b/>
          <w:bCs/>
          <w:lang w:val="kk-KZ"/>
        </w:rPr>
      </w:pPr>
    </w:p>
    <w:p w14:paraId="09FC3B9A" w14:textId="2C87439C" w:rsidR="00387CA6" w:rsidRPr="00185BC0" w:rsidRDefault="00387CA6" w:rsidP="00220331">
      <w:pPr>
        <w:rPr>
          <w:b/>
          <w:bCs/>
          <w:lang w:val="kk-KZ"/>
        </w:rPr>
      </w:pPr>
    </w:p>
    <w:p w14:paraId="5C398825" w14:textId="2628D06E" w:rsidR="00387CA6" w:rsidRPr="00185BC0" w:rsidRDefault="00387CA6" w:rsidP="00220331">
      <w:pPr>
        <w:rPr>
          <w:b/>
          <w:bCs/>
          <w:lang w:val="kk-KZ"/>
        </w:rPr>
      </w:pPr>
    </w:p>
    <w:p w14:paraId="06D0CF66" w14:textId="13B141D1" w:rsidR="00387CA6" w:rsidRPr="00185BC0" w:rsidRDefault="00387CA6" w:rsidP="00220331">
      <w:pPr>
        <w:rPr>
          <w:b/>
          <w:bCs/>
          <w:lang w:val="kk-KZ"/>
        </w:rPr>
      </w:pPr>
    </w:p>
    <w:p w14:paraId="1236A687" w14:textId="559F33FA" w:rsidR="00387CA6" w:rsidRPr="00185BC0" w:rsidRDefault="00387CA6" w:rsidP="00220331">
      <w:pPr>
        <w:rPr>
          <w:b/>
          <w:bCs/>
          <w:lang w:val="kk-KZ"/>
        </w:rPr>
      </w:pPr>
    </w:p>
    <w:p w14:paraId="5799DABB" w14:textId="44691AC4" w:rsidR="00387CA6" w:rsidRPr="00185BC0" w:rsidRDefault="00387CA6" w:rsidP="00220331">
      <w:pPr>
        <w:rPr>
          <w:b/>
          <w:bCs/>
          <w:lang w:val="kk-KZ"/>
        </w:rPr>
      </w:pPr>
    </w:p>
    <w:p w14:paraId="0F349B16" w14:textId="702E5236" w:rsidR="00387CA6" w:rsidRPr="00185BC0" w:rsidRDefault="00387CA6" w:rsidP="00220331">
      <w:pPr>
        <w:rPr>
          <w:b/>
          <w:bCs/>
          <w:lang w:val="kk-KZ"/>
        </w:rPr>
      </w:pPr>
    </w:p>
    <w:p w14:paraId="3C14DCCD" w14:textId="2E7FB9B0" w:rsidR="00387CA6" w:rsidRPr="00185BC0" w:rsidRDefault="00387CA6" w:rsidP="00220331">
      <w:pPr>
        <w:rPr>
          <w:b/>
          <w:bCs/>
          <w:lang w:val="kk-KZ"/>
        </w:rPr>
      </w:pPr>
    </w:p>
    <w:p w14:paraId="08D21A2D" w14:textId="77777777" w:rsidR="00387CA6" w:rsidRPr="00185BC0" w:rsidRDefault="00387CA6" w:rsidP="00387CA6">
      <w:pPr>
        <w:pStyle w:val="1"/>
        <w:jc w:val="center"/>
        <w:rPr>
          <w:lang w:val="kk-KZ"/>
        </w:rPr>
      </w:pPr>
      <w:bookmarkStart w:id="44" w:name="_Toc217561943"/>
      <w:r w:rsidRPr="00185BC0">
        <w:rPr>
          <w:lang w:val="kk-KZ"/>
        </w:rPr>
        <w:lastRenderedPageBreak/>
        <w:t>ЗАКЛЮЧЕНИЕ</w:t>
      </w:r>
      <w:bookmarkEnd w:id="44"/>
    </w:p>
    <w:p w14:paraId="7F42F222" w14:textId="77777777" w:rsidR="00387CA6" w:rsidRPr="00185BC0" w:rsidRDefault="00387CA6" w:rsidP="00387CA6">
      <w:pPr>
        <w:ind w:firstLine="720"/>
        <w:jc w:val="center"/>
        <w:rPr>
          <w:b/>
          <w:bCs/>
          <w:sz w:val="28"/>
          <w:szCs w:val="28"/>
          <w:lang w:val="kk-KZ"/>
        </w:rPr>
      </w:pPr>
    </w:p>
    <w:p w14:paraId="3FACAA4A" w14:textId="6958E31E" w:rsidR="00BC231B" w:rsidRPr="00185BC0" w:rsidRDefault="00BC231B" w:rsidP="00BC231B">
      <w:pPr>
        <w:ind w:firstLine="720"/>
        <w:jc w:val="both"/>
        <w:rPr>
          <w:sz w:val="28"/>
          <w:szCs w:val="28"/>
          <w:lang w:val="kk-KZ"/>
        </w:rPr>
      </w:pPr>
      <w:r w:rsidRPr="00185BC0">
        <w:rPr>
          <w:sz w:val="28"/>
          <w:szCs w:val="28"/>
          <w:lang w:val="kk-KZ"/>
        </w:rPr>
        <w:t xml:space="preserve">Дисплазия тазобедренного сустава IV типа по Crowe характеризуется выраженными анатомическими деформациями </w:t>
      </w:r>
      <w:r w:rsidR="00DA5A93" w:rsidRPr="00185BC0">
        <w:rPr>
          <w:sz w:val="28"/>
          <w:szCs w:val="28"/>
          <w:lang w:val="kk-KZ"/>
        </w:rPr>
        <w:t>–</w:t>
      </w:r>
      <w:r w:rsidRPr="00185BC0">
        <w:rPr>
          <w:sz w:val="28"/>
          <w:szCs w:val="28"/>
          <w:lang w:val="kk-KZ"/>
        </w:rPr>
        <w:t xml:space="preserve"> высоким врождённым вывихом бедра, гипоплазией или деформацией вертлужной впадины, сужением и избыточной антеторсией проксимального отдела бедренной кости, а также мягкотканевыми контрактурами и укорочением конечности</w:t>
      </w:r>
      <w:r w:rsidRPr="00185BC0">
        <w:rPr>
          <w:sz w:val="28"/>
          <w:szCs w:val="28"/>
        </w:rPr>
        <w:t xml:space="preserve"> </w:t>
      </w:r>
      <w:r w:rsidR="00CE4722" w:rsidRPr="00185BC0">
        <w:rPr>
          <w:sz w:val="28"/>
          <w:szCs w:val="28"/>
          <w:lang w:val="kk-KZ"/>
        </w:rPr>
        <w:fldChar w:fldCharType="begin" w:fldLock="1"/>
      </w:r>
      <w:r w:rsidR="00483103" w:rsidRPr="00185BC0">
        <w:rPr>
          <w:sz w:val="28"/>
          <w:szCs w:val="28"/>
          <w:lang w:val="kk-KZ"/>
        </w:rPr>
        <w:instrText>ADDIN CSL_CITATION {"citationItems":[{"id":"ITEM-1","itemData":{"ISSN":"15551377","abstract":"Background: Treatment of Crowe IV developmental dysplasia of the hip (DDH) with total hip arthroplasty (THA) reconstructs the true acetabulum, which improves hip biomechanics and function. However, restoration of the native acetabulum may lead to limb lengthening and traction neuropraxia. The purpose of this study is to describe the short term results of a retrospectively reviewed series of patients with Crowe IV DDH treated with THA using a titanium mesh cup, cemented liner, and subtrochanteric femoral shortening osteotomy. Methods: Eighteen patients (21 hips) with an average age of 47 years (age range: 28-61 years) with Crowe IV DDH underwent reconstructive THA and subtrochanteric femoral shortening osteotomy between September 2005 and February 2014. Follow up was assessed at 1, 3, 6, 9, and 12 months post operatively and then annually after the first year. The average follow up was 3.5 years (range 0.5-9 years). At each follow up visit, radiographs were used to assess for osteolysis and subsidence. Preoperative and postoperative patient reported outcomes including Harris Hip Score and Modified Merle d'Aubigne Hip Score were compared. Results: At the minimum 6 month follow up, all radiographic assessments showed no signs of osteolysis or subsidence of the implants. Both the Harris Hip Score and Modified Merle d'Aubigne Hip Score improved from preoperative assessments (p&lt;0.05). Three patients developed symptoms of sciatic nerve neuropraxia that subsequently resolved. Conclusion: THA of Crowe IV DDH by reconstructing the acetabulum with bone graft, a titanium mesh cup, cemented liner, and subtrochanteric femoral shortening osteotomy demonstrated no osteolysis or subsidence and improved function with a low incidence of sciatic nerve palsy at short term follow up.Level of evidence: IV.","author":[{"dropping-particle":"","family":"Chen","given":"Mengcun","non-dropping-particle":"","parse-names":false,"suffix":""},{"dropping-particle":"","family":"Gittings","given":"Daniel J.","non-dropping-particle":"","parse-names":false,"suffix":""},{"dropping-particle":"","family":"Yang","given":"Shuhua","non-dropping-particle":"","parse-names":false,"suffix":""},{"dropping-particle":"","family":"Liu","given":"Xianzhe","non-dropping-particle":"","parse-names":false,"suffix":""}],"container-title":"The Iowa orthopaedic journal","id":"ITEM-1","issued":{"date-parts":[["2018"]]},"title":"Total Hip Arthroplasty for Crowe Type IV Developmental Dysplasia of the Hip Using a Titanium Mesh Cup and Subtrochanteric Femoral Osteotomy","type":"article-journal","volume":"38"},"uris":["http://www.mendeley.com/documents/?uuid=88da0e63-220b-3513-bab2-0a56724ddb7b"]},{"id":"ITEM-2","itemData":{"DOI":"10.1016/j.knee.2024.01.006","ISSN":"18735800","abstract":"Aims: Accurately predicting the implant size in total knee arthroplasties could increase the efficiency of the operation, decrease the costs associated with the procedure and result in improved patient outcomes. To substantiate its continued use, digital templating must demonstrate itself to be an accurate tool in predicting component size in order for surgeons to confidently use it to optimize the procedure. Methods: A systematic literature review was performed and identified 16 studies within the Pubmed, Ebsco and Ovid-Embase databases, with 1189 TKR prostheses included for analysis. A quality of evidence assessment was performed on each study depending on the study design. A random effects meta-analysis model was used to pool overall implant accuracy and the reported inter-rater agreement when performing digital templating and displayed in a forest plot. Meta-regression was used analyze potential factors that may affect the accuracy of digital templating. Results: The pooled proportion of accurate templates with 0 margin of error was found to be 56% (52–61, 95CI), which increases to 96% (0.94–0.98, 95CI) when allowing for a 1 size margin of error. Subgroup analysis between femoral and tibial components concluded no statistically significant difference. Conclusions: This study supports the continued use of digital templating for planning total knee arthroplasties and recommends further subgroup analysis of patient age, body mass index and sex against accuracy. This review was registered in the International Prospective Register of Systematic Reviews Database under ID: CRD420222367461. No funding was provided for the completion of this systematic review. Background: Templating in the preoperative planning of total knee arthroplasties is a vital step in ensuring maximum operative efficiency. A method that can accurately predict the required implant size within 1 size could improve theatre turnover, decrease costs and benefit patient outcomes. The current literature on the accuracy of digital templating in total knee arthroplasties lacks a systematic review calculating the overall accuracy of the process, this study aims to address this gap.","author":[{"dropping-particle":"","family":"Lee","given":"Oliver Sebastian","non-dropping-particle":"","parse-names":false,"suffix":""},{"dropping-particle":"","family":"Raheman","given":"Firas","non-dropping-particle":"","parse-names":false,"suffix":""},{"dropping-particle":"","family":"Jaiswal","given":"Parag","non-dropping-particle":"","parse-names":false,"suffix":""}],"container-title":"Knee","id":"ITEM-2","issued":{"date-parts":[["2024"]]},"title":"The accuracy of digital templating in the preoperative planning of total knee arthroplasties: A systematic review and meta-analysis","type":"article-journal","volume":"47"},"uris":["http://www.mendeley.com/documents/?uuid=88186ab7-3d04-34fa-a56c-09703ba2d459"]},{"id":"ITEM-3","itemData":{"DOI":"10.1177/0300060519853383","ISSN":"14732300","abstract":"Objective: This study was performed to document the clinical and radiographic results of consecutive patients with Crowe IV developmental dysplasia of the hip (DDH) treated by cementless total hip arthroplasty (THA) using an S-ROM femoral component with shortening derotational subtrochanteric osteotomy. Methods: Twenty-three hips of 21 patients with Crowe IV DDH were treated by cementless THA combined with shortening derotational subtrochanteric osteotomy from January 2005 to January 2011. The mean preoperative modified Harris hip score (mHHS) and University of California, Los Angeles (UCLA) activity score were 40.7 and 4.2, respectively. Results: The mean follow-up was 105 months. The mean mHHS and UCLA score improved to 87.0 and 9.1, respectively, at the latest follow-up. Nine of the 23 hips had a negative Trendelenburg sign. One of the 23 hips was outside the Lewinnek acetabular cup inclination safe range, and 3 of the 23 hips were outside the Lewinnek acetabular cup anteversion safe range. The probability of prosthesis survival was 100% at 5 years and 91.3% at 10 years. Conclusion: Patients with Crowe IV DDH can be treated by cementless THA combined with shortening derotational subtrochanteric osteotomy. This method can greatly improve hip joint function and relieve pain without significant complications.","author":[{"dropping-particle":"","family":"Liu","given":"Tang","non-dropping-particle":"","parse-names":false,"suffix":""},{"dropping-particle":"","family":"Wang","given":"Sisi","non-dropping-particle":"","parse-names":false,"suffix":""},{"dropping-particle":"","family":"Huang","given":"Guoliang","non-dropping-particle":"","parse-names":false,"suffix":""},{"dropping-particle":"","family":"Wang","given":"Wanchun","non-dropping-particle":"","parse-names":false,"suffix":""}],"container-title":"Journal of International Medical Research","id":"ITEM-3","issue":"7","issued":{"date-parts":[["2019"]]},"title":"Treatment of Crowe IV developmental dysplasia of the hip with cementless total hip arthroplasty and shortening subtrochanteric osteotomy","type":"article-journal","volume":"47"},"uris":["http://www.mendeley.com/documents/?uuid=aa1bf088-48f1-3428-b5b8-8d926177fb24"]},{"id":"ITEM-4","itemData":{"DOI":"10.1111/os.13733","ISSN":"17577853","abstract":"The severe anatomic deformities render acetabular reconstruction as one of the greatest challenges in total hip arthroplasty (THA) for patients with Crowe III/IV developmental dysplasia of the hip (DDH). Thorough understanding of acetabular morphology and bone defect is the basis of acetabular reconstruction techniques. Researchers have proposed either true acetabulum position reconstruction or high hip center (HHC) position reconstruction. The former can obtain the optimal hip biomechanics, including bulk femoral head autograft, acetabular medial wall displacement osteotomy, and acetabular component medialization, while the latter is relatively easy for hip reduction, as it can avoid neurovascular lesions and obtain more bone coverage; however, it cannot achieve good hip biomechanics. Both techniques have their own advantages and disadvantages. Although there is no consensus on which approach is better, most researchers suggest the true acetabulum position reconstruction. Based on the various acetabular deformities in DDH patients, evaluation of acetabular morphology, bone defect, and bone stock using the 3D image and acetabular component simulation techniques, as well as the soft tissue tension around the hip joint, individualized acetabular reconstruction plans can be formulated and appropriate techniques can be selected to acquire desired clinical outcomes.","author":[{"dropping-particle":"","family":"Qian","given":"Hang","non-dropping-particle":"","parse-names":false,"suffix":""},{"dropping-particle":"","family":"Wang","given":"Xu","non-dropping-particle":"","parse-names":false,"suffix":""},{"dropping-particle":"","family":"Wang","given":"Pengbo","non-dropping-particle":"","parse-names":false,"suffix":""},{"dropping-particle":"","family":"Zhang","given":"Guangyang","non-dropping-particle":"","parse-names":false,"suffix":""},{"dropping-particle":"","family":"Dang","given":"Xiaoqian","non-dropping-particle":"","parse-names":false,"suffix":""},{"dropping-particle":"","family":"Wang","given":"Kunzheng","non-dropping-particle":"","parse-names":false,"suffix":""},{"dropping-particle":"","family":"Liu","given":"Ruiyu","non-dropping-particle":"","parse-names":false,"suffix":""}],"container-title":"Orthopaedic Surgery","id":"ITEM-4","issue":"6","issued":{"date-parts":[["2023"]]},"title":"Total Hip Arthroplasty in Patients with Crowe III/IV Developmental Dysplasia of the Hip: Acetabular Morphology and Reconstruction Techniques","type":"article","volume":"15"},"uris":["http://www.mendeley.com/documents/?uuid=296f9d6a-d823-3232-8dcd-a6ff125de70f"]},{"id":"ITEM-5","itemData":{"DOI":"10.1007/s00590-017-2076-8","ISSN":"14321068","abstract":"Introduction: The anatomic abnormalities in developmental dysplasia of hip (DDH) often make total hip replacement (THR) inevitable at a younger age. However, there is no universal gold standard technique of THR for high dislocated dysplastic hips. Materials and methods: Here we present the outcomes of midterm follow-up after THR in patients diagnosed with DDH Crowe type III and IV hospitalized in a tertiary center in Iran for whom placement of a cup in true acetabulum and selective transverse subtrochanteric osteotomy was performed. Pre- and postoperative Harris Hip Score, leg length discrepancy and postoperative complications were evaluated. Results: A total of 48 patients with DDH Crowe type III and IV (uni- or bilateral which made 52 hips) were studied. Mean age of patients was 41 years with minimum follow-up ranging from 12 months to 3 years. Mean Harris Hip Score significantly improved from 41.70 preoperatively to 88.1 at last follow-up postoperatively. Leg length discrepancy of less than 2 cm was observed which was well tolerated using shoe lifts. Regarding postoperative complications, two patients had transient peroneal nerve palsy in early postoperative period which recovered within 2 months. No other major complication was encountered. Conclusion: THR in patients with DDH (Crowe III and IV) with a cup positioned in true acetabulum and transverse subtrochanteric osteotomy is a safe successful procedure.","author":[{"dropping-particle":"","family":"Rasi","given":"Alireza Manafi","non-dropping-particle":"","parse-names":false,"suffix":""},{"dropping-particle":"","family":"Kazemian","given":"Gholamhossein","non-dropping-particle":"","parse-names":false,"suffix":""},{"dropping-particle":"","family":"Khak","given":"Mohammad","non-dropping-particle":"","parse-names":false,"suffix":""},{"dropping-particle":"","family":"Zarei","given":"Reza","non-dropping-particle":"","parse-names":false,"suffix":""}],"container-title":"European Journal of Orthopaedic Surgery and Traumatology","id":"ITEM-5","issue":"5","issued":{"date-parts":[["2018"]]},"title":"Shortening subtrochanteric osteotomy and cup placement at true acetabulum in total hip arthroplasty of Crowe III–IV developmental dysplasia: results of midterm follow-up","type":"article-journal","volume":"28"},"uris":["http://www.mendeley.com/documents/?uuid=e9eb3b17-488e-357d-a0e9-c44f552566d5"]},{"id":"ITEM-6","itemData":{"DOI":"10.1038/s41598-024-81716-0","ISSN":"20452322","PMID":"40055389","abstract":"This study aims to evaluate the effectiveness of total hip arthroplasty (THA) with subtrochanteric femoral osteotomy in patients with Crowe type IV DDH in terms of functional outcomes, complication rates, and implant stability. The study was prospective, conducted in the University Clinical Center of Kosovo and Otrila Hospital from 2016 to 2022 and included 22 patients with Crowe type IV hip dysplasia who underwent the THA with a subtrochanteric femoral osteotomy procedure. The treatment was performed using the posterior approach, and the placement of the dual mobility acetabular cup was based on the anatomic hip center using a Quattro non-cemented endoprothesis. There were no reported hip dislocations, and all patients had a negative Trendelenburg sign at approximately 6 months post-surgery. Harris Hip Score (HHS) and Functional Independent Score (FIS) were significantly increased after the treatment (t = 21.342, p &lt; 0.0001; and t = 83.331, p &lt; 0.0001, respectively). The limb-length discrepancy decreased significantly after surgery (Mean = 0.7 cm) compared to pre-surgery (Mean = 3.5 cm) (p &lt; 0.05). The study concludes that THA with subtrochanteric osteotomy is a safe and effective treatment option for Crowe type IV hip dysplasia. Using dual mobility acetabular components and compression in the osteotomy led to improved outcomes and faster recovery. It can restore the anatomic hip center and improve functional outcomes while reducing the risk of dislocation.","author":[{"dropping-particle":"","family":"Ukaj","given":"Skender","non-dropping-particle":"","parse-names":false,"suffix":""},{"dropping-particle":"","family":"Krasniqi","given":"Shaip","non-dropping-particle":"","parse-names":false,"suffix":""},{"dropping-particle":"","family":"Ukaj","given":"Dren","non-dropping-particle":"","parse-names":false,"suffix":""},{"dropping-particle":"","family":"Dervishaj","given":"Fatime","non-dropping-particle":"","parse-names":false,"suffix":""},{"dropping-particle":"","family":"Dyla","given":"Dea","non-dropping-particle":"","parse-names":false,"suffix":""},{"dropping-particle":"","family":"Muçaj","given":"Sefedin","non-dropping-particle":"","parse-names":false,"suffix":""},{"dropping-particle":"","family":"Tahirbegolli","given":"Bernard","non-dropping-particle":"","parse-names":false,"suffix":""}],"container-title":"Scientific reports","id":"ITEM-6","issue":"1","issued":{"date-parts":[["2025"]]},"page":"7982","title":"Total hip arthroplasty for crowe type IV developmental dysplasia of the hip using a dual mobility acetabular cup","type":"article-journal","volume":"15"},"uris":["http://www.mendeley.com/documents/?uuid=7f102b70-ba13-4a3f-96dc-2209660088d7"]},{"id":"ITEM-7","itemData":{"DOI":"10.1186/s13018-021-02789-5","ISSN":"1749799X","abstract":"Background: When performing femoral reconstruction in patients with Crowe type IV developmental dysplasia of the hip (DDH), anatomical deformity presents many technical challenges to orthopedic surgeons. The false acetabulum is suggested to influence load transmission and femoral development. The aim of this study was to describe the morphological features of dysplastic femurs in Crowe type IV DDH and further evaluate the potential effect of the false acetabulum on morphological features and medullary canal of Crowe type IV femurs. Methods: We analyzed preoperative computed tomography scans from 45 patients with 51 hips (25 hips without false acetabulum in the IVa group and 26 hips with false acetabulum in the IVb group) who were diagnosed with Crowe type IV DDH and 30 normal hips in our hospital between January 2009 and January 2019. Three-dimensional reconstruction was performed using Mimics software, and the coronal femoral plane was determined to evaluate the following parameters: dislocation height, dislocation ratio, height of the femoral head (FH), height of the greater trochanter (GT), GT–FH height discrepancy, height of the isthmus, neck-shaft angle, femoral offset and anteversion of the femoral neck. The mediolateral (ML) width, anterolateral (AP) width and diameter of medullary canal of the proximal femur were measured on the axial sections. Further, canal flare index (CFI), metaphyseal-CFI and diaphyseal-CFI were also calculated. Results: Compared with the normal femurs, the Crowe type IV DDH femurs had a higher femoral head, larger GT–FH height discrepancy, larger femoral neck anteversion, higher isthmus position and smaller femoral offset. Dislocation height and dislocation rate were significantly larger in the IVa DDH group (65.34 ± 9.83 mm vs. 52.24 ± 11.42 mm). Further, the IVb femurs had a significantly lower isthmus position, larger neck-shaft angle and smaller femoral neck anteversion than IVa femurs. The ML, AP canal widths and the diameter of medullary canal in both DDH groups were significantly smaller than the normal group. Dimensional parameters of IVa femurs were also narrower than IVb femurs in most sections, but with no difference at the level of isthmus. According to the CFIs, the variation of proximal medullary canal in IVb femurs was mainly located in the diaphyseal region, while that in IVa femurs was located in the whole proximal femur. Conclusions: High dislocated femurs are associated with more anteverted femoral neck,…","author":[{"dropping-particle":"","family":"Yang","given":"Yuhui","non-dropping-particle":"","parse-names":false,"suffix":""},{"dropping-particle":"","family":"Liao","given":"Weihong","non-dropping-particle":"","parse-names":false,"suffix":""},{"dropping-particle":"","family":"Yi","given":"Weiqun","non-dropping-particle":"","parse-names":false,"suffix":""},{"dropping-particle":"","family":"Jiang","given":"Hai","non-dropping-particle":"","parse-names":false,"suffix":""},{"dropping-particle":"","family":"Fu","given":"Guangtao","non-dropping-particle":"","parse-names":false,"suffix":""},{"dropping-particle":"","family":"Ma","given":"Yuanchen","non-dropping-particle":"","parse-names":false,"suffix":""},{"dropping-particle":"","family":"Zheng","given":"Qiujian","non-dropping-particle":"","parse-names":false,"suffix":""}],"container-title":"Journal of Orthopaedic Surgery and Research","id":"ITEM-7","issue":"1","issued":{"date-parts":[["2021"]]},"title":"Three-dimensional morphological study of the proximal femur in Crowe type IV developmental dysplasia of the hip","type":"article-journal","volume":"16"},"uris":["http://www.mendeley.com/documents/?uuid=f1d4ed81-dc72-3980-a49f-a37d1ddd47da"]}],"mendeley":{"formattedCitation":"[4, 110–115]","plainTextFormattedCitation":"[4, 110–115]","previouslyFormattedCitation":"[4, 109–114]"},"properties":{"noteIndex":0},"schema":"https://github.com/citation-style-language/schema/raw/master/csl-citation.json"}</w:instrText>
      </w:r>
      <w:r w:rsidR="00CE4722" w:rsidRPr="00185BC0">
        <w:rPr>
          <w:sz w:val="28"/>
          <w:szCs w:val="28"/>
          <w:lang w:val="kk-KZ"/>
        </w:rPr>
        <w:fldChar w:fldCharType="separate"/>
      </w:r>
      <w:r w:rsidR="00483103" w:rsidRPr="00185BC0">
        <w:rPr>
          <w:noProof/>
          <w:sz w:val="28"/>
          <w:szCs w:val="28"/>
          <w:lang w:val="kk-KZ"/>
        </w:rPr>
        <w:t>[4, 110–115]</w:t>
      </w:r>
      <w:r w:rsidR="00CE4722" w:rsidRPr="00185BC0">
        <w:rPr>
          <w:sz w:val="28"/>
          <w:szCs w:val="28"/>
          <w:lang w:val="kk-KZ"/>
        </w:rPr>
        <w:fldChar w:fldCharType="end"/>
      </w:r>
      <w:r w:rsidR="00387CA6" w:rsidRPr="00185BC0">
        <w:rPr>
          <w:sz w:val="28"/>
          <w:szCs w:val="28"/>
          <w:lang w:val="kk-KZ"/>
        </w:rPr>
        <w:t xml:space="preserve">.  </w:t>
      </w:r>
      <w:r w:rsidRPr="00185BC0">
        <w:rPr>
          <w:sz w:val="28"/>
          <w:szCs w:val="28"/>
          <w:lang w:val="kk-KZ"/>
        </w:rPr>
        <w:t>Такие изменения часто требуют релиза мягких тканей или предоперационного вытяжения и делают невозможной анатомическую репозицию без укорачивания из-за риска удлинения конечности более чем на 4</w:t>
      </w:r>
      <w:r w:rsidR="0092206E" w:rsidRPr="00185BC0">
        <w:rPr>
          <w:sz w:val="28"/>
          <w:szCs w:val="28"/>
          <w:lang w:val="kk-KZ"/>
        </w:rPr>
        <w:t xml:space="preserve"> </w:t>
      </w:r>
      <w:r w:rsidRPr="00185BC0">
        <w:rPr>
          <w:sz w:val="28"/>
          <w:szCs w:val="28"/>
          <w:lang w:val="kk-KZ"/>
        </w:rPr>
        <w:t>–</w:t>
      </w:r>
      <w:r w:rsidR="0092206E" w:rsidRPr="00185BC0">
        <w:rPr>
          <w:sz w:val="28"/>
          <w:szCs w:val="28"/>
          <w:lang w:val="kk-KZ"/>
        </w:rPr>
        <w:t xml:space="preserve"> </w:t>
      </w:r>
      <w:r w:rsidRPr="00185BC0">
        <w:rPr>
          <w:sz w:val="28"/>
          <w:szCs w:val="28"/>
          <w:lang w:val="kk-KZ"/>
        </w:rPr>
        <w:t xml:space="preserve">5 см и повреждения седалищного нерва </w:t>
      </w:r>
      <w:r w:rsidR="00D800DC" w:rsidRPr="00185BC0">
        <w:rPr>
          <w:sz w:val="28"/>
          <w:szCs w:val="28"/>
          <w:lang w:val="kk-KZ"/>
        </w:rPr>
        <w:fldChar w:fldCharType="begin" w:fldLock="1"/>
      </w:r>
      <w:r w:rsidR="00483103" w:rsidRPr="00185BC0">
        <w:rPr>
          <w:sz w:val="28"/>
          <w:szCs w:val="28"/>
          <w:lang w:val="kk-KZ"/>
        </w:rPr>
        <w:instrText>ADDIN CSL_CITATION {"citationItems":[{"id":"ITEM-1","itemData":{"DOI":"10.3390/medicina60010114","ISSN":"16489144","abstract":"Background and Objectives: total hip arthroplasty (THA) for Crowe IV hip dysplasia poses challenges due to severe leg shortening, muscle retraction and bone stock issues, leading to an increased neurological complication, and revision rate. The direct anterior approach (DAA) is used for minimally invasive THA but its role in Crowe IV dysplasia is unclear. This retrospective study examines if DAA effectively restores hip biomechanics in Crowe IV dysplasia patients with &lt;4 cm leg length discrepancy, managing soft tissue and yielding functional improvement, limb length correction, and limited complications. Materials and Methods: 19 patients with unilateral Crowe IV hip osteoarthritis and &lt;4 cm leg length discrepancy undergoing DAA THA were reviewed. Surgery involved gradual soft tissue release, precise acetabular cup positioning, and stem placement without femoral osteotomy. Results: results were evaluated clinically and radiographically, with complications recorded. Follow-up revealed significant Harris Hip Score and limb length discrepancy improvements. Abductor muscle insufficiency was present in 21%. The acetabular component was accurately placed, centralizing the prosthetic joint’s rotation. Complications occurred in 16% of cases, including fractures, nerve issues, and infection. DAA in THA showcased positive outcomes for hip function, limb length, and biomechanics in Crowe IV dysplasia. Conclusions: the technique enabled accurate cup positioning and rotation center adjustment. Complications were managed well without implant revisions. DAA is a viable option for Crowe IV dysplasia, restoring hip function, biomechanics, and reducing limb length discrepancy. Larger, longer studies are needed for validation.","author":[{"dropping-particle":"","family":"Faldini","given":"Cesare","non-dropping-particle":"","parse-names":false,"suffix":""},{"dropping-particle":"","family":"Tassinari","given":"Leonardo","non-dropping-particle":"","parse-names":false,"suffix":""},{"dropping-particle":"","family":"Pederiva","given":"Davide","non-dropping-particle":"","parse-names":false,"suffix":""},{"dropping-particle":"","family":"Rossomando","given":"Valentino","non-dropping-particle":"","parse-names":false,"suffix":""},{"dropping-particle":"","family":"Brunello","given":"Matteo","non-dropping-particle":"","parse-names":false,"suffix":""},{"dropping-particle":"","family":"Pilla","given":"Federico","non-dropping-particle":"","parse-names":false,"suffix":""},{"dropping-particle":"","family":"Geraci","given":"Giuseppe","non-dropping-particle":"","parse-names":false,"suffix":""},{"dropping-particle":"","family":"Traina","given":"Francesco","non-dropping-particle":"","parse-names":false,"suffix":""},{"dropping-particle":"","family":"Martino","given":"Alberto","non-dropping-particle":"Di","parse-names":false,"suffix":""}],"container-title":"Medicina (Lithuania)","id":"ITEM-1","issue":"1","issued":{"date-parts":[["2024"]]},"title":"Direct Anterior Approach in Total Hip Arthroplasty for Severe Crowe IV Dysplasia: Retrospective Clinical and Radiological Study","type":"article-journal","volume":"60"},"uris":["http://www.mendeley.com/documents/?uuid=18a5e4e9-2f10-351a-ab66-068ab7c7bbef"]},{"id":"ITEM-2","itemData":{"DOI":"10.1038/s41598-024-81716-0","ISSN":"20452322","PMID":"40055389","abstract":"This study aims to evaluate the effectiveness of total hip arthroplasty (THA) with subtrochanteric femoral osteotomy in patients with Crowe type IV DDH in terms of functional outcomes, complication rates, and implant stability. The study was prospective, conducted in the University Clinical Center of Kosovo and Otrila Hospital from 2016 to 2022 and included 22 patients with Crowe type IV hip dysplasia who underwent the THA with a subtrochanteric femoral osteotomy procedure. The treatment was performed using the posterior approach, and the placement of the dual mobility acetabular cup was based on the anatomic hip center using a Quattro non-cemented endoprothesis. There were no reported hip dislocations, and all patients had a negative Trendelenburg sign at approximately 6 months post-surgery. Harris Hip Score (HHS) and Functional Independent Score (FIS) were significantly increased after the treatment (t = 21.342, p &lt; 0.0001; and t = 83.331, p &lt; 0.0001, respectively). The limb-length discrepancy decreased significantly after surgery (Mean = 0.7 cm) compared to pre-surgery (Mean = 3.5 cm) (p &lt; 0.05). The study concludes that THA with subtrochanteric osteotomy is a safe and effective treatment option for Crowe type IV hip dysplasia. Using dual mobility acetabular components and compression in the osteotomy led to improved outcomes and faster recovery. It can restore the anatomic hip center and improve functional outcomes while reducing the risk of dislocation.","author":[{"dropping-particle":"","family":"Ukaj","given":"Skender","non-dropping-particle":"","parse-names":false,"suffix":""},{"dropping-particle":"","family":"Krasniqi","given":"Shaip","non-dropping-particle":"","parse-names":false,"suffix":""},{"dropping-particle":"","family":"Ukaj","given":"Dren","non-dropping-particle":"","parse-names":false,"suffix":""},{"dropping-particle":"","family":"Dervishaj","given":"Fatime","non-dropping-particle":"","parse-names":false,"suffix":""},{"dropping-particle":"","family":"Dyla","given":"Dea","non-dropping-particle":"","parse-names":false,"suffix":""},{"dropping-particle":"","family":"Muçaj","given":"Sefedin","non-dropping-particle":"","parse-names":false,"suffix":""},{"dropping-particle":"","family":"Tahirbegolli","given":"Bernard","non-dropping-particle":"","parse-names":false,"suffix":""}],"container-title":"Scientific reports","id":"ITEM-2","issue":"1","issued":{"date-parts":[["2025"]]},"page":"7982","title":"Total hip arthroplasty for crowe type IV developmental dysplasia of the hip using a dual mobility acetabular cup","type":"article-journal","volume":"15"},"uris":["http://www.mendeley.com/documents/?uuid=7f102b70-ba13-4a3f-96dc-2209660088d7"]},{"id":"ITEM-3","itemData":{"DOI":"10.4055/cios.2013.5.3.167","ISSN":"2005291X","abstract":"Background: Total hip arthroplasty (THA) for severe developmental dysplasia of the hip (DDH) is a technically demanding procedure for arthroplasty surgeons, and it is often difficult to reduce the hip joint without soft tissue release due to severe flexion contracture. We performed two-stage THAs in irreducible hips with expected lengthening of the affected limb after THA of over 2.5 cm or with flexion contractures of greater than 30 degrees in order to place the acetabular cup in the true acetabulum and to prevent neurologic deficits associated with acute elongation of the limb. The purpose of this study is to evaluate the outcomes of cementless THA in patients with severe DDH with a special focus on the results of two-stage THA. Methods: Retrospective clinical and radiological evaluations were done on 17 patients with Crowe type III or IV developmental DDH treated by THA. There were 14 women and 3 men with a mean age of 52.3 years. Follow-ups averaged 52 months. Six cases were treated with two-stage THA followed by surgical hip liberalization and skeletal traction for 2 weeks. Results: The mean Harris hip score improved from 40.9 to 89.1, and mean leg length discrepancy (LLD) in 13 unilateral cases was reduced from 2.95 to 0.8 cm. In the patients who underwent two-stage surgery, no nerve palsy was observed, and the single one-stage patient with incomplete peroneal nerve palsy recovered fully 4 weeks postoperatively. Conclusions: The short-term clinical and radiographic outcomes of primary cementless THA for patients with Crowe type III or IV DDH were encouraging. Two-stage THA followed by skeletal traction after soft tissue release could provide alternative solutions to the minimization of limb shortenings or LLD without neurologic deficits in highly selected patients. © 2013 by The Korean Orthopaedic Association.","author":[{"dropping-particle":"","family":"Yoon","given":"Pil Whan","non-dropping-particle":"","parse-names":false,"suffix":""},{"dropping-particle":"Il","family":"Kim","given":"Jung","non-dropping-particle":"","parse-names":false,"suffix":""},{"dropping-particle":"","family":"Kim","given":"Dong Ok","non-dropping-particle":"","parse-names":false,"suffix":""},{"dropping-particle":"","family":"Yu","given":"Cheol Hwan","non-dropping-particle":"","parse-names":false,"suffix":""},{"dropping-particle":"","family":"Yoo","given":"Jeong Joon","non-dropping-particle":"","parse-names":false,"suffix":""},{"dropping-particle":"","family":"Kim","given":"Hee Joong","non-dropping-particle":"","parse-names":false,"suffix":""},{"dropping-particle":"","family":"Yoon","given":"Kang Sup","non-dropping-particle":"","parse-names":false,"suffix":""}],"container-title":"Clinics in Orthopedic Surgery","id":"ITEM-3","issue":"3","issued":{"date-parts":[["2013"]]},"title":"Cementless total hip arthroplasty for patients with crowe type III or IV developmental dysplasia of the hip: Two-stage total hip arthroplasty following skeletal traction after soft tissue release for irreducible hips","type":"article-journal","volume":"5"},"uris":["http://www.mendeley.com/documents/?uuid=fc1be04d-88f5-37da-b411-daf9e44d0463"]},{"id":"ITEM-4","itemData":{"DOI":"10.1177/0300060519853383","ISSN":"14732300","abstract":"Objective: This study was performed to document the clinical and radiographic results of consecutive patients with Crowe IV developmental dysplasia of the hip (DDH) treated by cementless total hip arthroplasty (THA) using an S-ROM femoral component with shortening derotational subtrochanteric osteotomy. Methods: Twenty-three hips of 21 patients with Crowe IV DDH were treated by cementless THA combined with shortening derotational subtrochanteric osteotomy from January 2005 to January 2011. The mean preoperative modified Harris hip score (mHHS) and University of California, Los Angeles (UCLA) activity score were 40.7 and 4.2, respectively. Results: The mean follow-up was 105 months. The mean mHHS and UCLA score improved to 87.0 and 9.1, respectively, at the latest follow-up. Nine of the 23 hips had a negative Trendelenburg sign. One of the 23 hips was outside the Lewinnek acetabular cup inclination safe range, and 3 of the 23 hips were outside the Lewinnek acetabular cup anteversion safe range. The probability of prosthesis survival was 100% at 5 years and 91.3% at 10 years. Conclusion: Patients with Crowe IV DDH can be treated by cementless THA combined with shortening derotational subtrochanteric osteotomy. This method can greatly improve hip joint function and relieve pain without significant complications.","author":[{"dropping-particle":"","family":"Liu","given":"Tang","non-dropping-particle":"","parse-names":false,"suffix":""},{"dropping-particle":"","family":"Wang","given":"Sisi","non-dropping-particle":"","parse-names":false,"suffix":""},{"dropping-particle":"","family":"Huang","given":"Guoliang","non-dropping-particle":"","parse-names":false,"suffix":""},{"dropping-particle":"","family":"Wang","given":"Wanchun","non-dropping-particle":"","parse-names":false,"suffix":""}],"container-title":"Journal of International Medical Research","id":"ITEM-4","issue":"7","issued":{"date-parts":[["2019"]]},"title":"Treatment of Crowe IV developmental dysplasia of the hip with cementless total hip arthroplasty and shortening subtrochanteric osteotomy","type":"article-journal","volume":"47"},"uris":["http://www.mendeley.com/documents/?uuid=aa1bf088-48f1-3428-b5b8-8d926177fb24"]},{"id":"ITEM-5","itemData":{"ISSN":"21863326","abstract":"Total hip arthroplasty (THA) in patients with high hip dislocation is challenging and technically demanding. Nerve injury is a problem associated with leg lengthening after THA. The purpose of this study was to identify the risk factors for sciatic nerve injury after THA in patients with high hip dislocation. Thirty-seven patients (41 THAs) with Crowe type IV hips were consecutively treated. The average leg lengthening (LL) was 3.2 cm. The average Harris hip score was improved from 57.5 points to 83.1 points at the final follow-up. The clinical outcomes after an average 6.4-years follow-up were satisfactory. Sciatic nerve injury was observed in two joints. LL in the two joints (two patients) with sciatic nerve injury was 5.2 cm and 6.7 cm, respectively. Leg lengthening of &gt;5 cm was a risk factor for sciatic nerve injury. Therefore, leg lengthening of &gt;5 cm should be avoided to prevent sciatic nerve injury.","author":[{"dropping-particle":"","family":"Higuchi","given":"Yoshitoshi","non-dropping-particle":"","parse-names":false,"suffix":""},{"dropping-particle":"","family":"Hasegawa","given":"Yukiharu","non-dropping-particle":"","parse-names":false,"suffix":""},{"dropping-particle":"","family":"Ishiguro","given":"Naoki","non-dropping-particle":"","parse-names":false,"suffix":""}],"container-title":"Nagoya Journal of Medical Science","id":"ITEM-5","issue":"3","issued":{"date-parts":[["2015"]]},"title":"Leg lengthening of more than 5 cm is a risk factor for sciatic nerve injury after total hip arthroplasty for adult hip dislocation","type":"article-journal","volume":"77"},"uris":["http://www.mendeley.com/documents/?uuid=af0a7e75-a18a-35cb-b2d1-41e38f0cac03"]}],"mendeley":{"formattedCitation":"[4, 114, 116–118]","plainTextFormattedCitation":"[4, 114, 116–118]","previouslyFormattedCitation":"[4, 113, 115–117]"},"properties":{"noteIndex":0},"schema":"https://github.com/citation-style-language/schema/raw/master/csl-citation.json"}</w:instrText>
      </w:r>
      <w:r w:rsidR="00D800DC" w:rsidRPr="00185BC0">
        <w:rPr>
          <w:sz w:val="28"/>
          <w:szCs w:val="28"/>
          <w:lang w:val="kk-KZ"/>
        </w:rPr>
        <w:fldChar w:fldCharType="separate"/>
      </w:r>
      <w:r w:rsidR="00483103" w:rsidRPr="00185BC0">
        <w:rPr>
          <w:noProof/>
          <w:sz w:val="28"/>
          <w:szCs w:val="28"/>
          <w:lang w:val="kk-KZ"/>
        </w:rPr>
        <w:t>[4, 114, 116–118]</w:t>
      </w:r>
      <w:r w:rsidR="00D800DC" w:rsidRPr="00185BC0">
        <w:rPr>
          <w:sz w:val="28"/>
          <w:szCs w:val="28"/>
          <w:lang w:val="kk-KZ"/>
        </w:rPr>
        <w:fldChar w:fldCharType="end"/>
      </w:r>
      <w:r w:rsidR="00387CA6" w:rsidRPr="00185BC0">
        <w:rPr>
          <w:sz w:val="28"/>
          <w:szCs w:val="28"/>
          <w:lang w:val="kk-KZ"/>
        </w:rPr>
        <w:t>.</w:t>
      </w:r>
      <w:r w:rsidRPr="00185BC0">
        <w:rPr>
          <w:sz w:val="28"/>
          <w:szCs w:val="28"/>
        </w:rPr>
        <w:t xml:space="preserve"> В этих условиях особое значение приобретает тщательное предоперационное планирование и применение специализированных методик тотального эндопротезирования, ориентированных на восстановление центра вращения и стабильности сустава </w:t>
      </w:r>
      <w:r w:rsidR="00D800DC" w:rsidRPr="00185BC0">
        <w:rPr>
          <w:sz w:val="28"/>
          <w:szCs w:val="28"/>
          <w:lang w:val="kk-KZ"/>
        </w:rPr>
        <w:fldChar w:fldCharType="begin" w:fldLock="1"/>
      </w:r>
      <w:r w:rsidR="00483103" w:rsidRPr="00185BC0">
        <w:rPr>
          <w:sz w:val="28"/>
          <w:szCs w:val="28"/>
          <w:lang w:val="kk-KZ"/>
        </w:rPr>
        <w:instrText>ADDIN CSL_CITATION {"citationItems":[{"id":"ITEM-1","itemData":{"DOI":"10.21037/atm.2016.11.49","ISSN":"23055847","abstract":"Total hip replacement (THR) is the treatment of choice for the patient suffering from end-stage hip osteoarthritis. In the presence of deformities due to congenital hip disease (CHD), THR is, in most of the cases, a difficult task, since the technique of performing such an operation is demanding and the results could vary. We present our experience and preferred strategies focusing on challenges and surgical techniques associated with reconstructing the dysplastic hip.","author":[{"dropping-particle":"","family":"Macheras","given":"George A.","non-dropping-particle":"","parse-names":false,"suffix":""},{"dropping-particle":"","family":"Lepetsos","given":"Panagiotis","non-dropping-particle":"","parse-names":false,"suffix":""},{"dropping-particle":"","family":"Anastasopoulos","given":"Panagiotis P.","non-dropping-particle":"","parse-names":false,"suffix":""},{"dropping-particle":"","family":"Galanakos","given":"Spyridon P.","non-dropping-particle":"","parse-names":false,"suffix":""}],"container-title":"Annals of Translational Medicine","id":"ITEM-1","issue":"23","issued":{"date-parts":[["2016"]]},"title":"The necessity to restore the anatomic hip centre in congenital hip disease","type":"article-journal","volume":"4"},"uris":["http://www.mendeley.com/documents/?uuid=82743200-e016-3b43-8770-64acbde1c8bb"]},{"id":"ITEM-2","itemData":{"DOI":"10.1111/os.12576","ISSN":"17577853","abstract":"Total hip arthroplasty (THA) of Crowe type IV developmental dysplasia of the hip (DDH) is challenging. Although traditional (lateral, posterolateral, and posterior) THA approaches have been used with great anatomic success, they damage periarticular muscles, which are already quite weak in type IV DDH. The recently developed direct anterior approach (DAA) can provide an inter-nerve and inter-muscle approach for THA of type IV dysplasia hips. However, femur exposure with the DAA could be difficult during surgery and it is hard to apply femoral shortening osteotomy. THA techniques used for type IV DDH include anatomic hip center techniques (true acetabular reconstruction) and high hip center techniques, wherein an acetabulum is reconstructed above the original one. Although anatomic construction of the hip center is considered “the gold standard” treatment, it is impossible if the anatomical acetabular is too small and shallow. Procedures used to support type IV DDH reduction with anatomic hip center techniques include greater trochanter osteotomy, lesser trochanter osteotomy, and subtrochanteric osteotomy. However, these techniques have yet to be standardized, and it is unclear which is best for type IV DDH. One-state and two-state non-osteotomy reduction techniques have also been introduced to treat type IV DDH. Potential complications of THA performed in patients with type IV DDH include leg length discrepancy (LLD), peri-operative femur fracture, nonunion of the osteotomy site, and nerve injury. It is worth noting that nowadays an increasing number of Crowe type IV DDH patients are more sensitive to postoperative LLD.","author":[{"dropping-particle":"","family":"Shi","given":"Xiao tong","non-dropping-particle":"","parse-names":false,"suffix":""},{"dropping-particle":"","family":"Li","given":"Chao feng","non-dropping-particle":"","parse-names":false,"suffix":""},{"dropping-particle":"","family":"Han","given":"Yu","non-dropping-particle":"","parse-names":false,"suffix":""},{"dropping-particle":"","family":"Song","given":"Ya","non-dropping-particle":"","parse-names":false,"suffix":""},{"dropping-particle":"","family":"Li","given":"Shu xuan","non-dropping-particle":"","parse-names":false,"suffix":""},{"dropping-particle":"","family":"Liu","given":"Jian guo","non-dropping-particle":"","parse-names":false,"suffix":""}],"container-title":"Orthopaedic Surgery","id":"ITEM-2","issue":"6","issued":{"date-parts":[["2019"]]},"title":"Total Hip Arthroplasty for Crowe Type IV Hip Dysplasia: Surgical Techniques and Postoperative Complications","type":"article","volume":"11"},"uris":["http://www.mendeley.com/documents/?uuid=52005101-5c30-31ad-8367-db0edc3c4e8a"]},{"id":"ITEM-3","itemData":{"DOI":"10.1038/s41598-024-81716-0","ISSN":"20452322","PMID":"40055389","abstract":"This study aims to evaluate the effectiveness of total hip arthroplasty (THA) with subtrochanteric femoral osteotomy in patients with Crowe type IV DDH in terms of functional outcomes, complication rates, and implant stability. The study was prospective, conducted in the University Clinical Center of Kosovo and Otrila Hospital from 2016 to 2022 and included 22 patients with Crowe type IV hip dysplasia who underwent the THA with a subtrochanteric femoral osteotomy procedure. The treatment was performed using the posterior approach, and the placement of the dual mobility acetabular cup was based on the anatomic hip center using a Quattro non-cemented endoprothesis. There were no reported hip dislocations, and all patients had a negative Trendelenburg sign at approximately 6 months post-surgery. Harris Hip Score (HHS) and Functional Independent Score (FIS) were significantly increased after the treatment (t = 21.342, p &lt; 0.0001; and t = 83.331, p &lt; 0.0001, respectively). The limb-length discrepancy decreased significantly after surgery (Mean = 0.7 cm) compared to pre-surgery (Mean = 3.5 cm) (p &lt; 0.05). The study concludes that THA with subtrochanteric osteotomy is a safe and effective treatment option for Crowe type IV hip dysplasia. Using dual mobility acetabular components and compression in the osteotomy led to improved outcomes and faster recovery. It can restore the anatomic hip center and improve functional outcomes while reducing the risk of dislocation.","author":[{"dropping-particle":"","family":"Ukaj","given":"Skender","non-dropping-particle":"","parse-names":false,"suffix":""},{"dropping-particle":"","family":"Krasniqi","given":"Shaip","non-dropping-particle":"","parse-names":false,"suffix":""},{"dropping-particle":"","family":"Ukaj","given":"Dren","non-dropping-particle":"","parse-names":false,"suffix":""},{"dropping-particle":"","family":"Dervishaj","given":"Fatime","non-dropping-particle":"","parse-names":false,"suffix":""},{"dropping-particle":"","family":"Dyla","given":"Dea","non-dropping-particle":"","parse-names":false,"suffix":""},{"dropping-particle":"","family":"Muçaj","given":"Sefedin","non-dropping-particle":"","parse-names":false,"suffix":""},{"dropping-particle":"","family":"Tahirbegolli","given":"Bernard","non-dropping-particle":"","parse-names":false,"suffix":""}],"container-title":"Scientific reports","id":"ITEM-3","issue":"1","issued":{"date-parts":[["2025"]]},"page":"7982","title":"Total hip arthroplasty for crowe type IV developmental dysplasia of the hip using a dual mobility acetabular cup","type":"article-journal","volume":"15"},"uris":["http://www.mendeley.com/documents/?uuid=7f102b70-ba13-4a3f-96dc-2209660088d7"]},{"id":"ITEM-4","itemData":{"DOI":"10.1007/s00590-017-2076-8","ISSN":"14321068","abstract":"Introduction: The anatomic abnormalities in developmental dysplasia of hip (DDH) often make total hip replacement (THR) inevitable at a younger age. However, there is no universal gold standard technique of THR for high dislocated dysplastic hips. Materials and methods: Here we present the outcomes of midterm follow-up after THR in patients diagnosed with DDH Crowe type III and IV hospitalized in a tertiary center in Iran for whom placement of a cup in true acetabulum and selective transverse subtrochanteric osteotomy was performed. Pre- and postoperative Harris Hip Score, leg length discrepancy and postoperative complications were evaluated. Results: A total of 48 patients with DDH Crowe type III and IV (uni- or bilateral which made 52 hips) were studied. Mean age of patients was 41 years with minimum follow-up ranging from 12 months to 3 years. Mean Harris Hip Score significantly improved from 41.70 preoperatively to 88.1 at last follow-up postoperatively. Leg length discrepancy of less than 2 cm was observed which was well tolerated using shoe lifts. Regarding postoperative complications, two patients had transient peroneal nerve palsy in early postoperative period which recovered within 2 months. No other major complication was encountered. Conclusion: THR in patients with DDH (Crowe III and IV) with a cup positioned in true acetabulum and transverse subtrochanteric osteotomy is a safe successful procedure.","author":[{"dropping-particle":"","family":"Rasi","given":"Alireza Manafi","non-dropping-particle":"","parse-names":false,"suffix":""},{"dropping-particle":"","family":"Kazemian","given":"Gholamhossein","non-dropping-particle":"","parse-names":false,"suffix":""},{"dropping-particle":"","family":"Khak","given":"Mohammad","non-dropping-particle":"","parse-names":false,"suffix":""},{"dropping-particle":"","family":"Zarei","given":"Reza","non-dropping-particle":"","parse-names":false,"suffix":""}],"container-title":"European Journal of Orthopaedic Surgery and Traumatology","id":"ITEM-4","issue":"5","issued":{"date-parts":[["2018"]]},"title":"Shortening subtrochanteric osteotomy and cup placement at true acetabulum in total hip arthroplasty of Crowe III–IV developmental dysplasia: results of midterm follow-up","type":"article-journal","volume":"28"},"uris":["http://www.mendeley.com/documents/?uuid=e9eb3b17-488e-357d-a0e9-c44f552566d5"]},{"id":"ITEM-5","itemData":{"DOI":"10.1007/s10195-017-0466-7","ISSN":"15909999","abstract":"Background: Total hip replacement for high dislocation of the hip presents some difficulties, considering patients’ young ages, the abnormal hip anatomy and the high rate of complications. In this study, we present our experience in terms of clinical and radiological results in the treatment of Crowe type IV hips with subtrochanteric femoral shortening osteotomy and cementless total hip replacement. Materials and Methods: We retrospectively reviewed 15 patients with Crowe type IV hip dysplasia (two bilateral cases for a total of 17 hips) treated with cementless total hip replacement associated with shortening subtrochanteric osteotomies (nine transversal and eight Z-shape osteotomies) between March 2000 to February 2006. The mean follow-up was 88 months (range 63–133). Harris hip score, leg length discrepancy, neurological status, union status of the osteotomy and the component stability were the criteria of the evaluation. All complications were noted. Results: The mean HHS improved from 38.3 (range 32–52) to 85.6 (range 69–90). The mean preoperative leg length discrepancy was of 45 mm (range 38–70) and reduced to a mean of 12 mm (range 9–1.6) postoperatively. All osteotomies resulted healed at an average of 12.3 weeks (range 10–15). No cases of delayed union or nonunion were detected. Two patients (11%) showed early symptoms of sciatic nerve palsy which resolved uneventfully in 6 months. There was no migrations and none of the implants required revision. Conclusions: Cementless THA with shortening subtrochanteric osteotomy is an effective method in the treatment of patients with Crowe type IV development dysplasia of the hip. Level of evidence: IV.","author":[{"dropping-particle":"","family":"Rollo","given":"Giuseppe","non-dropping-particle":"","parse-names":false,"suffix":""},{"dropping-particle":"","family":"Solarino","given":"Giuseppe","non-dropping-particle":"","parse-names":false,"suffix":""},{"dropping-particle":"","family":"Vicenti","given":"Giovanni","non-dropping-particle":"","parse-names":false,"suffix":""},{"dropping-particle":"","family":"Picca","given":"Girolamo","non-dropping-particle":"","parse-names":false,"suffix":""},{"dropping-particle":"","family":"Carrozzo","given":"Massimiliano","non-dropping-particle":"","parse-names":false,"suffix":""},{"dropping-particle":"","family":"Moretti","given":"Biagio","non-dropping-particle":"","parse-names":false,"suffix":""}],"container-title":"Journal of Orthopaedics and Traumatology","id":"ITEM-5","issue":"4","issued":{"date-parts":[["2017"]]},"title":"Subtrochanteric femoral shortening osteotomy combined with cementless total hip replacement for Crowe type IV developmental dysplasia: a retrospective study","type":"article-journal","volume":"18"},"uris":["http://www.mendeley.com/documents/?uuid=79f3e562-f1d1-3018-bacb-38eded3b6197"]}],"mendeley":{"formattedCitation":"[7, 113, 114, 119, 120]","plainTextFormattedCitation":"[7, 113, 114, 119, 120]","previouslyFormattedCitation":"[7, 112, 113, 118, 119]"},"properties":{"noteIndex":0},"schema":"https://github.com/citation-style-language/schema/raw/master/csl-citation.json"}</w:instrText>
      </w:r>
      <w:r w:rsidR="00D800DC" w:rsidRPr="00185BC0">
        <w:rPr>
          <w:sz w:val="28"/>
          <w:szCs w:val="28"/>
          <w:lang w:val="kk-KZ"/>
        </w:rPr>
        <w:fldChar w:fldCharType="separate"/>
      </w:r>
      <w:r w:rsidR="00483103" w:rsidRPr="00185BC0">
        <w:rPr>
          <w:noProof/>
          <w:sz w:val="28"/>
          <w:szCs w:val="28"/>
          <w:lang w:val="kk-KZ"/>
        </w:rPr>
        <w:t>[7, 113, 114, 119, 120]</w:t>
      </w:r>
      <w:r w:rsidR="00D800DC" w:rsidRPr="00185BC0">
        <w:rPr>
          <w:sz w:val="28"/>
          <w:szCs w:val="28"/>
          <w:lang w:val="kk-KZ"/>
        </w:rPr>
        <w:fldChar w:fldCharType="end"/>
      </w:r>
      <w:r w:rsidR="00387CA6" w:rsidRPr="00185BC0">
        <w:rPr>
          <w:sz w:val="28"/>
          <w:szCs w:val="28"/>
          <w:lang w:val="kk-KZ"/>
        </w:rPr>
        <w:t xml:space="preserve">. </w:t>
      </w:r>
    </w:p>
    <w:p w14:paraId="07B0E1ED" w14:textId="0B93A372" w:rsidR="00BC231B" w:rsidRPr="00185BC0" w:rsidRDefault="00BC231B" w:rsidP="00BC231B">
      <w:pPr>
        <w:ind w:firstLine="720"/>
        <w:jc w:val="both"/>
        <w:rPr>
          <w:sz w:val="28"/>
          <w:szCs w:val="28"/>
          <w:lang w:val="kk-KZ"/>
        </w:rPr>
      </w:pPr>
      <w:r w:rsidRPr="00185BC0">
        <w:rPr>
          <w:sz w:val="28"/>
          <w:szCs w:val="28"/>
          <w:lang w:val="kk-KZ"/>
        </w:rPr>
        <w:t xml:space="preserve">Несмотря на разнообразие подвертельных остеотомий (поперечная, косая, Z-образная, шеврон-остеотомия) </w:t>
      </w:r>
      <w:r w:rsidR="00D800DC" w:rsidRPr="00185BC0">
        <w:rPr>
          <w:sz w:val="28"/>
          <w:szCs w:val="28"/>
          <w:lang w:val="kk-KZ"/>
        </w:rPr>
        <w:fldChar w:fldCharType="begin" w:fldLock="1"/>
      </w:r>
      <w:r w:rsidR="001D29A3" w:rsidRPr="00185BC0">
        <w:rPr>
          <w:sz w:val="28"/>
          <w:szCs w:val="28"/>
          <w:lang w:val="kk-KZ"/>
        </w:rPr>
        <w:instrText>ADDIN CSL_CITATION {"citationItems":[{"id":"ITEM-1","itemData":{"DOI":"10.1007/s43465-021-00567-3","ISSN":"19983727","abstract":"Objective: The purpose of this study was to evaluate the long-term results of sub-trochanteric step-cut shortening osteotomy (SSCO) used in the total hip arthroplasty (THA) procedure for treatment of Crowe type IV dysplastic hips. Materials and Methods: Crowe type IV dysplastic 35 hips of 31 patients were treated with cementless THA. Patients were followed up meanly 9.2 years (range 4–18). SSCO was applied to all hips to reduce the femoral head into the true acetabulum. Autologous bone grafts which were obtained by shortening the femur and cable cerclage wires were used for fixing the osteotomy site. The results were evaluated clinically and radiologically. In clinical evaluation, Harris hip score (HHS) and d'Aubigne hip evaluation criteria were used. Results: The mean HHS increased from 40.6 to 92.5. Merle d’Aubigne hip evaluation score was increased on average from 1.76 to 5.8 in terms of pain and from 2.9 to 5.5 in terms of range of motion. In 9 hips (25.7%), medialization was achieved by creating a controlled fracture in the acetabulum. The hip rotation center was lowered by an average of 5.7 cm. The average leg lengthening was 3.4 cm. No more than 4 cm lengthening was made. Dislocation did not develop in any of the patients. Conclusion: It was concluded that the long-term results were found to be successful in the THA with SSCO in Crowe type IV dysplastic hips, since nerve complications were reduced, leg-lengthening was achieved, and a painless and mobile hip joint could be achieved.","author":[{"dropping-particle":"","family":"Akıncı","given":"Orhan","non-dropping-particle":"","parse-names":false,"suffix":""},{"dropping-particle":"","family":"Turgut","given":"Ali","non-dropping-particle":"","parse-names":false,"suffix":""}],"container-title":"Indian Journal of Orthopaedics","id":"ITEM-1","issue":"4","issued":{"date-parts":[["2022"]]},"title":"Long-Term Results of Total Hip Arthroplasty with Step-Cut Osteotomy in Crowe Type IV Dysplastic Hips","type":"article-journal","volume":"56"},"uris":["http://www.mendeley.com/documents/?uuid=9045f48b-d3d5-3e42-8f57-10ce05c55367"]},{"id":"ITEM-2","itemData":{"DOI":"10.4103/ortho.IJOrtho_445_16","ISSN":"19983727","abstract":"Background: Crowe type IV developmental dysplasia of hip (DDH), subtrochanteric shortening osteotomy is required to restore the hip joint. Several approaches have been described for subtrochanteric shortening osteotomy. Several osteotomy fixation techniques have been defined for Crowe type IV DDH. This study evaluates the outcomes of subtrochanteric shortening osteotomy fixed with a combination of split onlay autograft and distal fluted femoral stem. Materials and Methods: A retrospective study was carried out on 41 hips of 37 patients treated with total hip replacement for Crowe type IV developmental dysplasia of the hip by subtrochanteric transverse osteotomy and fixed with split intercalary autograft by two cables. A femoral stem with proximal coated and distally fluted was used. The patients were evaluated at a mean of 34 months (range 12-68 months) for union time, leg equalization, and clinical outcomes. Results: Mean time of union was 13.5 ± 4.6 weeks (range 6-24 weeks). Intraoperative instability of the osteotomy site (n = 16) that was encountered at the trial stage was restored properly by this surgical protocol. Leg length discrepancies were improved to 1.4 ± 0.8 cm (range 0-3 cm). Harris scores were improved from 47.7 ± 10.8 (range 30-68) to 88 ± 5.6 (range 72-98) (P &lt; 0.05) points. There was no nonunion. Conclusions: Distally well-fitted stem and strengthening of fixation with split intercalary autograft promote additional rotational stability and improve bone union.","author":[{"dropping-particle":"","family":"Altay","given":"Murat","non-dropping-particle":"","parse-names":false,"suffix":""},{"dropping-particle":"","family":"Demirkale","given":"İsmail","non-dropping-particle":"","parse-names":false,"suffix":""},{"dropping-particle":"","family":"Çatma","given":"Mehmet Faruk","non-dropping-particle":"","parse-names":false,"suffix":""},{"dropping-particle":"","family":"Şeşen","given":"Hakan","non-dropping-particle":"","parse-names":false,"suffix":""},{"dropping-particle":"","family":"Ünlü","given":"Serhan","non-dropping-particle":"","parse-names":false,"suffix":""},{"dropping-particle":"","family":"Karaduman","given":"Mert","non-dropping-particle":"","parse-names":false,"suffix":""}],"container-title":"Indian Journal of Orthopaedics","id":"ITEM-2","issue":"4","issued":{"date-parts":[["2018"]]},"title":"Results of crowe Type IV developmental dysplasia of hip treated by subtrochantric osteotomy and total hip arthroplasty","type":"article-journal","volume":"52"},"uris":["http://www.mendeley.com/documents/?uuid=7a879c68-8899-3f1a-b3ff-1e9d6884ad27"]},{"id":"ITEM-3","itemData":{"DOI":"10.1186/1471-2474-15-331","ISSN":"14712474","abstract":"Background: Subtrochanteric femoral shortening osteotomy is a crucial procedure to prevent nerve injury in total hip arthroplasty for severe developmental dysplasia of the hip. Transverse osteotomy was first applied, and other modified methods have also been reported. Each has its own advantages and limitations, but no definitive conclusions regarding differences in outcomes have been reached to date. Methods: We therefore performed a comprehensive meta-analysis to compare the outcomes of different approaches. 37 studies (795 hips) were included in the final analysis. Meta-analysis, subgroup analysis and meta-regression were performed. Results: Meta-analysis and subgroup analysis showed no significant difference between transverse and modified method. This is further confirmed by meta-regression. Method of osteotomy was found to be not associated with nonunion rate (P = 0.472), as well as other post-operative outcomes including nerve palsy (P = 0.240), dislocation (P = 0.735), revision (P = 0.653) and Harris hip score improvement (P = 0.562). In addition, western countries (P = 0.010) and duration of follow-up more than 5 years (P = 0.014) were associated with higher revision rate. Conclusions: Transverse osteotomy and modified osteotomy appear to be equivalent in terms of nonunion, safety and efficacy. Transverse osteotomy may be recommended, due to its simplicity and convenience in adjusting the anteversion angle. Well-designed and large-sample-size randomized controlled trials are expected to confirm and update the findings of this analysis.","author":[{"dropping-particle":"","family":"Li","given":"Changchuan","non-dropping-particle":"","parse-names":false,"suffix":""},{"dropping-particle":"","family":"Zhang","given":"Chi","non-dropping-particle":"","parse-names":false,"suffix":""},{"dropping-particle":"","family":"Zhang","given":"Maolin","non-dropping-particle":"","parse-names":false,"suffix":""},{"dropping-particle":"","family":"Ding","given":"Yue","non-dropping-particle":"","parse-names":false,"suffix":""}],"container-title":"BMC Musculoskeletal Disorders","id":"ITEM-3","issue":"1","issued":{"date-parts":[["2014"]]},"title":"Comparison of transverse and modified subtrochanteric femoral shortening osteotomy in total hip arthroplasty for developmental dysplasia of hip: A meta-analysis","type":"article-journal","volume":"15"},"uris":["http://www.mendeley.com/documents/?uuid=6354b36c-6216-3a90-80ea-a5d9d83e20ca"]},{"id":"ITEM-4","itemData":{"DOI":"10.1016/j.arth.2013.09.004","ISSN":"15328406","abstract":"Safe reduction of the femoral head into the true acetabulum requires a certain amount of femoral shortening in patients with high dislocation of the hip. In subtrochanteric shortening applications, to reduce complications it is necessary to maintain a stable fixation at the osteotomy line. The purpose of this study is to investigate frequently used methods from a biomechanical point of view. Four osteotomy groups were created with composite femurs to investigate subtrochanteric osteotomies; transverse, oblique, z-subtrochanteric and double Chevron. All loading tests were carried out with two implant types both with and without strut graft and cable fixation. No single inherent feature increasing the stability of the investigated osteotomy types was found. Additionally graft application did not have a significant contribution to stability. © 2014 Elsevier Inc.","author":[{"dropping-particle":"","family":"Muratli","given":"Kivanc S.","non-dropping-particle":"","parse-names":false,"suffix":""},{"dropping-particle":"","family":"Karatosun","given":"Vasfi","non-dropping-particle":"","parse-names":false,"suffix":""},{"dropping-particle":"","family":"Uzun","given":"Bora","non-dropping-particle":"","parse-names":false,"suffix":""},{"dropping-particle":"","family":"Celik","given":"Salih","non-dropping-particle":"","parse-names":false,"suffix":""}],"container-title":"Journal of Arthroplasty","id":"ITEM-4","issue":"4","issued":{"date-parts":[["2014"]]},"title":"Subtrochanteric Shortening in Total Hip Arthroplasty: Biomechanical Comparison of Four Techniques","type":"article-journal","volume":"29"},"uris":["http://www.mendeley.com/documents/?uuid=d4070cbb-c701-3f06-8d17-c7b499ac7b22"]},{"id":"ITEM-5","itemData":{"DOI":"10.1111/os.12576","ISSN":"17577853","abstract":"Total hip arthroplasty (THA) of Crowe type IV developmental dysplasia of the hip (DDH) is challenging. Although traditional (lateral, posterolateral, and posterior) THA approaches have been used with great anatomic success, they damage periarticular muscles, which are already quite weak in type IV DDH. The recently developed direct anterior approach (DAA) can provide an inter-nerve and inter-muscle approach for THA of type IV dysplasia hips. However, femur exposure with the DAA could be difficult during surgery and it is hard to apply femoral shortening osteotomy. THA techniques used for type IV DDH include anatomic hip center techniques (true acetabular reconstruction) and high hip center techniques, wherein an acetabulum is reconstructed above the original one. Although anatomic construction of the hip center is considered “the gold standard” treatment, it is impossible if the anatomical acetabular is too small and shallow. Procedures used to support type IV DDH reduction with anatomic hip center techniques include greater trochanter osteotomy, lesser trochanter osteotomy, and subtrochanteric osteotomy. However, these techniques have yet to be standardized, and it is unclear which is best for type IV DDH. One-state and two-state non-osteotomy reduction techniques have also been introduced to treat type IV DDH. Potential complications of THA performed in patients with type IV DDH include leg length discrepancy (LLD), peri-operative femur fracture, nonunion of the osteotomy site, and nerve injury. It is worth noting that nowadays an increasing number of Crowe type IV DDH patients are more sensitive to postoperative LLD.","author":[{"dropping-particle":"","family":"Shi","given":"Xiao tong","non-dropping-particle":"","parse-names":false,"suffix":""},{"dropping-particle":"","family":"Li","given":"Chao feng","non-dropping-particle":"","parse-names":false,"suffix":""},{"dropping-particle":"","family":"Han","given":"Yu","non-dropping-particle":"","parse-names":false,"suffix":""},{"dropping-particle":"","family":"Song","given":"Ya","non-dropping-particle":"","parse-names":false,"suffix":""},{"dropping-particle":"","family":"Li","given":"Shu xuan","non-dropping-particle":"","parse-names":false,"suffix":""},{"dropping-particle":"","family":"Liu","given":"Jian guo","non-dropping-particle":"","parse-names":false,"suffix":""}],"container-title":"Orthopaedic Surgery","id":"ITEM-5","issue":"6","issued":{"date-parts":[["2019"]]},"title":"Total Hip Arthroplasty for Crowe Type IV Hip Dysplasia: Surgical Techniques and Postoperative Complications","type":"article","volume":"11"},"uris":["http://www.mendeley.com/documents/?uuid=52005101-5c30-31ad-8367-db0edc3c4e8a"]}],"mendeley":{"formattedCitation":"[7, 15, 83, 89, 92]","plainTextFormattedCitation":"[7, 15, 83, 89, 92]","previouslyFormattedCitation":"[7, 15, 83, 89, 92]"},"properties":{"noteIndex":0},"schema":"https://github.com/citation-style-language/schema/raw/master/csl-citation.json"}</w:instrText>
      </w:r>
      <w:r w:rsidR="00D800DC" w:rsidRPr="00185BC0">
        <w:rPr>
          <w:sz w:val="28"/>
          <w:szCs w:val="28"/>
          <w:lang w:val="kk-KZ"/>
        </w:rPr>
        <w:fldChar w:fldCharType="separate"/>
      </w:r>
      <w:r w:rsidR="008A5983" w:rsidRPr="00185BC0">
        <w:rPr>
          <w:noProof/>
          <w:sz w:val="28"/>
          <w:szCs w:val="28"/>
          <w:lang w:val="kk-KZ"/>
        </w:rPr>
        <w:t>[7, 15, 83, 89, 92]</w:t>
      </w:r>
      <w:r w:rsidR="00D800DC" w:rsidRPr="00185BC0">
        <w:rPr>
          <w:sz w:val="28"/>
          <w:szCs w:val="28"/>
          <w:lang w:val="kk-KZ"/>
        </w:rPr>
        <w:fldChar w:fldCharType="end"/>
      </w:r>
      <w:r w:rsidRPr="00185BC0">
        <w:rPr>
          <w:sz w:val="28"/>
          <w:szCs w:val="28"/>
        </w:rPr>
        <w:t xml:space="preserve">, клинические и биомеханические исследования не демонстрируют преимуществ сложных геометрических вариантов по скорости консолидации, прочности фиксации и функциональным исходам по сравнению с простой поперечной остеотомией, которая остаётся наиболее воспроизводимой и удобной для коррекции </w:t>
      </w:r>
      <w:proofErr w:type="spellStart"/>
      <w:r w:rsidRPr="00185BC0">
        <w:rPr>
          <w:sz w:val="28"/>
          <w:szCs w:val="28"/>
        </w:rPr>
        <w:t>антеторсии</w:t>
      </w:r>
      <w:proofErr w:type="spellEnd"/>
      <w:r w:rsidRPr="00185BC0">
        <w:rPr>
          <w:sz w:val="28"/>
          <w:szCs w:val="28"/>
        </w:rPr>
        <w:t xml:space="preserve"> </w:t>
      </w:r>
      <w:r w:rsidR="00D800DC" w:rsidRPr="00185BC0">
        <w:rPr>
          <w:sz w:val="28"/>
          <w:szCs w:val="28"/>
          <w:lang w:val="kk-KZ"/>
        </w:rPr>
        <w:fldChar w:fldCharType="begin" w:fldLock="1"/>
      </w:r>
      <w:r w:rsidR="00483103" w:rsidRPr="00185BC0">
        <w:rPr>
          <w:sz w:val="28"/>
          <w:szCs w:val="28"/>
          <w:lang w:val="kk-KZ"/>
        </w:rPr>
        <w:instrText>ADDIN CSL_CITATION {"citationItems":[{"id":"ITEM-1","itemData":{"DOI":"10.1016/j.artd.2019.03.002","ISSN":"23523441","abstract":"Background: The complexity of femoral and acetabular anatomy and restoring anatomic center of hip rotation in Crowe type IV developmental dysplasia of the hip (DDH) complicates standard reconstruction. The aim of this study is to evaluate surgical techniques and clinical outcomes of subtrochanteric transverse shortening osteotomy with the use of cementless rectangular cross-section femoral implants in Crowe IV dysplastic hips. Methods: A total of 26 hips of 25 consecutive patients with Crowe type IV DDH who underwent cementless total hip arthroplasty with subtrochanteric femoral transverse shortening osteotomy were retrospectively analyzed. The Harris Hip Score, Visual Analog Scale-pain, leg length discrepancy, and vertical and lateral migration of hip rotation center were recorded. Results: Mean age, follow-up, and time of union were 41 ± 9.7 years, 7.1 ± 1.2 years, and 3.7 ± 1.1 months, respectively. Mean Harris Hip Score significantly improved from 38 ± 5.7 to 86 ± 6.1 points postoperatively (P &lt; .01). Mean leg length discrepancy and Visual Analog Scale significantly decreased from 4.3 ± 1.3 to 1.2 ± 0.6 cm, and 6.4 ± 1.2 to 1.8 ± 0.8 points, respectively (P &lt; .01). One female patient had a dislocation due to acetabular liner wear, which was managed by liner and head change. One patient had Sudeck's atrophy, while another had pain on the lateral thigh, both of which were resolved with conservative management. Conclusions: Combined transverse subtrochanteric femoral osteotomy and cementless total hip arthroplasty with rectangular cross-section femoral implants is technically demanding, effective, and safe in femoral shortening for treatment of Crowe type IV DDH.","author":[{"dropping-particle":"","family":"Erdem","given":"Yusuf","non-dropping-particle":"","parse-names":false,"suffix":""},{"dropping-particle":"","family":"Bek","given":"Dogan","non-dropping-particle":"","parse-names":false,"suffix":""},{"dropping-particle":"","family":"Atbasi","given":"Zafer","non-dropping-particle":"","parse-names":false,"suffix":""},{"dropping-particle":"","family":"Neyisci","given":"Cagri","non-dropping-particle":"","parse-names":false,"suffix":""},{"dropping-particle":"","family":"Yildiz","given":"Cemil","non-dropping-particle":"","parse-names":false,"suffix":""},{"dropping-particle":"","family":"Basbozkurt","given":"Mustafa","non-dropping-particle":"","parse-names":false,"suffix":""}],"container-title":"Arthroplasty Today","id":"ITEM-1","issue":"2","issued":{"date-parts":[["2019"]]},"title":"Total hip arthroplasty with rectangular stems and subtrochanteric transverse shortening osteotomy in Crowe type IV hips: a retrospective study","type":"article-journal","volume":"5"},"uris":["http://www.mendeley.com/documents/?uuid=9d7f57da-1a6e-37be-97b4-4f03bffdd84c"]},{"id":"ITEM-2","itemData":{"DOI":"10.1016/j.arth.2012.06.014","ISSN":"08835403","abstract":"Midterm results of cementless total hip arthroplasty in patients with Crowe type IV congenital dislocation of the hip were evaluated. A modified oblique subtrochanteric shortening osteotomy was used in all patients. A cylindrical femoral stem was used in all patients to stabilize the osteotomy. Mean follow-up was 82 months in 20 hips of 16 patients. Mean Merle D'Aubigné pain score increased from 2.52 to 5.65 points, function score improved from 4.0 to 5.3 points, and mobility score improved from 3.95 to 5.35. Mean greater trochanter height relative to the estimated hip center was 6.8 ± 2.0 cm preoperatively and. 1 ± 0.2 cm postoperatively. Complications were dislocations in 3 patients, which were successfully managed without redislocation and fracture of greater trochanter in 3 patients, which healed uneventfully in 2 but with residual Trendelenburg gait in one. Total hip arthroplasty with modified oblique subtrochanteric shortening osteotomy is an effective technique for the treatment for Crowe type IV hip dislocation. © 2013 Elsevier Inc.","author":[{"dropping-particle":"","family":"Kiliçoǧlu","given":"Önder I.","non-dropping-particle":"","parse-names":false,"suffix":""},{"dropping-particle":"","family":"Türker","given":"Mehmet","non-dropping-particle":"","parse-names":false,"suffix":""},{"dropping-particle":"","family":"Akgül","given":"Turgut","non-dropping-particle":"","parse-names":false,"suffix":""},{"dropping-particle":"","family":"Yazicioǧlu","given":"Önder","non-dropping-particle":"","parse-names":false,"suffix":""}],"container-title":"Journal of Arthroplasty","id":"ITEM-2","issue":"1","issued":{"date-parts":[["2013"]]},"title":"Cementless Total Hip Arthroplasty With Modified Oblique Femoral Shortening Osteotomy in Crowe Type IV Congenital Hip Dislocation","type":"article-journal","volume":"28"},"uris":["http://www.mendeley.com/documents/?uuid=9de167a7-efbd-30e0-885e-3b12552cb2e7"]},{"id":"ITEM-3","itemData":{"DOI":"10.1186/s12891-017-1857-x","ISSN":"14712474","abstract":"Background: This retrospective study was designed to determine complications, functional and radiographic results of transverse subtrochanteric osteotomy during cementless, modular total hip arthroplasty (THA) in a series of active patients younger than 45 years with Crowe Type-III or IV developmental dysplasia of the hip (DDH). Methods: We followed 49 patients (56 hips) with DDH who were treated with cementless THA, where the acetabular cup was positioned in the anatomic hip center and where a simultaneous transverse femoral osteotomy was performed. Complication rate evaluation and clinical outcomes were measured by validated clinical scores and radiographic evaluation were performed at a mean follow up of 10 years (range, 4.8-14.3 years). Results: The mean limb-length discrepancy was reduced from 4.2 cm to 1.1 cm (P &lt; 0.01). The mean Harris hip score (HSS) significantly improved from 40.6 points to 87.4 points (P &lt; 0.01). Similarly, severity of low back pain, modified MAP, HOOS, and SF-12 also showed significant improvement (P &lt; 0.01). There were 3 cases of postoperative dislocation, 3 cases of transient nerve palsy, 2 cases of nonunion, and 4 cases of intraoperative fracture. At 10 years follow-up, the estimated survival rate with any component revision as end points was 92%. Conclusion: The cementless THA combined with transverse subtrochanteric osteotomy is a reliable technique with restoration of a more normal limb, satisfactory clinical outcomes, and mid-term survival of components.","author":[{"dropping-particle":"","family":"Wang","given":"Duan","non-dropping-particle":"","parse-names":false,"suffix":""},{"dropping-particle":"","family":"Li","given":"De Hua","non-dropping-particle":"","parse-names":false,"suffix":""},{"dropping-particle":"","family":"Li","given":"Qi","non-dropping-particle":"","parse-names":false,"suffix":""},{"dropping-particle":"","family":"Wang","given":"Hao Yang","non-dropping-particle":"","parse-names":false,"suffix":""},{"dropping-particle":"","family":"Luo","given":"Ze Yu","non-dropping-particle":"","parse-names":false,"suffix":""},{"dropping-particle":"","family":"Yang","given":"Yang","non-dropping-particle":"","parse-names":false,"suffix":""},{"dropping-particle":"","family":"Pei","given":"Fu Xing","non-dropping-particle":"","parse-names":false,"suffix":""},{"dropping-particle":"","family":"Zhou","given":"Zong Ke","non-dropping-particle":"","parse-names":false,"suffix":""}],"container-title":"BMC Musculoskeletal Disorders","id":"ITEM-3","issue":"1","issued":{"date-parts":[["2017"]]},"title":"Subtrochanteric shortening osteotomy during cementless total hip arthroplasty in young patients with severe developmental dysplasia of the hip","type":"article-journal","volume":"18"},"uris":["http://www.mendeley.com/documents/?uuid=53182822-953a-3cab-af0d-196990a4b1c6"]},{"id":"ITEM-4","itemData":{"DOI":"10.1016/j.ijsu.2017.04.029","ISSN":"17439159","abstract":"Background and objectives The aim of this study was to determine the rate of union, functional results and complications in patients with Crowe IV developmental dysplasia of the hip (DDH) who underwent cementless total hip arthroplasty (THA) with S-ROM prostheses and subtrochanteric transverse shortening osteotomy. Methods Forty-five patients (52 hips) operated between January 2005 and May 2008, with a mean age of 40.6 years at surgery were followed. The mean follow-up period was 9.8 years. Clinical outcomes, radiographic outcomes and complications were evaluated. Results Osteotomy union occurred in 52 of 52 femurs (100%). Mean Harris hip score improved from 33.7 ± 4.7 preoperatively to 81.2 ± 6.3, 90.8 ± 5.3 and 89.8 ± 7.1 at 1, 5 and 10 years postoperatively. Two patients had temporary sciatic nerve paralysis postoperatively, and 2 patients experienced early postoperative dislocation. Two patients complained about mild longer limb length than the non-operated limb at the last follow-up. Three hips showed osteolysis in Gruen zone 1, and 1 hip showed osteolysis in zone 1 and 7. No implants were revised, and no signs of component loosening and migration were observed at the last follow-up visit. Conclusions S-ROM stem combined with transverse subtrochanteric shortening osteotomy in THA for patients with Crowe type IV DDH has good clinical results with small risk of complications.","author":[{"dropping-particle":"","family":"Zeng","given":"Wei Nan","non-dropping-particle":"","parse-names":false,"suffix":""},{"dropping-particle":"","family":"Liu","given":"Jun Li","non-dropping-particle":"","parse-names":false,"suffix":""},{"dropping-particle":"","family":"Wang","given":"Fu You","non-dropping-particle":"","parse-names":false,"suffix":""},{"dropping-particle":"","family":"Zhang","given":"Xin","non-dropping-particle":"","parse-names":false,"suffix":""},{"dropping-particle":"","family":"Fan","given":"Hua Quan","non-dropping-particle":"","parse-names":false,"suffix":""},{"dropping-particle":"","family":"Chen","given":"Guang Xing","non-dropping-particle":"","parse-names":false,"suffix":""},{"dropping-particle":"","family":"Guo","given":"Lin","non-dropping-particle":"","parse-names":false,"suffix":""},{"dropping-particle":"","family":"Duan","given":"Xiao Jun","non-dropping-particle":"","parse-names":false,"suffix":""},{"dropping-particle":"","family":"Zhou","given":"Qiang","non-dropping-particle":"","parse-names":false,"suffix":""},{"dropping-particle":"","family":"Yang","given":"Liu","non-dropping-particle":"","parse-names":false,"suffix":""}],"container-title":"International Journal of Surgery","id":"ITEM-4","issued":{"date-parts":[["2017"]]},"title":"Total hip arthroplasty for patients with Crowe type IV developmental dysplasia of the hip: Ten years results","type":"article-journal","volume":"42"},"uris":["http://www.mendeley.com/documents/?uuid=bd242192-424c-3e73-877a-87b3ca574394"]},{"id":"ITEM-5","itemData":{"DOI":"10.5435/JAAOSGlobal-D-20-00056","ISSN":"24747661","abstract":"Background: Total hip arthroplasty (THA) with subtrochanteric shortening osteotomy for Crowe type IV hips poses the risk of nonunion at the osteotomy site. The aim of this study was to analyze the factors that affect the bone union rate at the osteotomy site. Methods: We retrospectively reviewed a consecutive series of 27 THAs with subtrochanteric transverse shortening osteotomy performed for Crowe type IV hips. The effects of patient-related and surgery-related factors on the risk of delayed union were analyzed using univariate and multivariate regression analyses. Results: The mean follow-up period was 10.0 (1.4 to 19.1) years. The implant survival rate was 87.8% (95% confidence interval: 60.2% to 97.2%) at 10 years. The length of femoral bone resection was the only factor associated with the risk of delayed union. Longer bone resection lengths were significantly correlated with the reduced risk of delayed union (odds ratio: 0.63 [0.030 to 0.90], P = 0.0013). Other variables, including the use of a cement stem (P = 0.34) and the presence of a gap &gt;1 mm at the osteotomy site (P = 0.98), were not associated with the risk of delayed union. Discussion: THA with subtrochanteric transverse osteotomy provides satisfactory long-term results for Crowe type IV hips. For shorter required femoral resection lengths, the risk of delayed union was higher. A longer resection could permit fabrication of longer autologous longitudinal bone struts and likely contributes to enhanced stability at the osteotomy site.","author":[{"dropping-particle":"","family":"Kawai","given":"Toshiyuki","non-dropping-particle":"","parse-names":false,"suffix":""},{"dropping-particle":"","family":"Goto","given":"Koji","non-dropping-particle":"","parse-names":false,"suffix":""},{"dropping-particle":"","family":"Kuroda","given":"Yutaka","non-dropping-particle":"","parse-names":false,"suffix":""},{"dropping-particle":"","family":"Matsuda","given":"Shuichi","non-dropping-particle":"","parse-names":false,"suffix":""}],"container-title":"Journal of the American Academy of Orthopaedic Surgeons Global Research and Reviews","id":"ITEM-5","issue":"8","issued":{"date-parts":[["2020"]]},"title":"Total Hip Arthroplasty Combined With Subtrochanteric Transverse Shortening Osteotomy: Factors Associated With Delayed Union at the Osteotomy Site","type":"article-journal","volume":"4"},"uris":["http://www.mendeley.com/documents/?uuid=d1d65a40-eea9-3149-8f73-5ebd3ce508f6"]}],"mendeley":{"formattedCitation":"[6, 12, 57, 95, 121]","plainTextFormattedCitation":"[6, 12, 57, 95, 121]","previouslyFormattedCitation":"[6, 12, 57, 95, 120]"},"properties":{"noteIndex":0},"schema":"https://github.com/citation-style-language/schema/raw/master/csl-citation.json"}</w:instrText>
      </w:r>
      <w:r w:rsidR="00D800DC" w:rsidRPr="00185BC0">
        <w:rPr>
          <w:sz w:val="28"/>
          <w:szCs w:val="28"/>
          <w:lang w:val="kk-KZ"/>
        </w:rPr>
        <w:fldChar w:fldCharType="separate"/>
      </w:r>
      <w:r w:rsidR="00483103" w:rsidRPr="00185BC0">
        <w:rPr>
          <w:noProof/>
          <w:sz w:val="28"/>
          <w:szCs w:val="28"/>
          <w:lang w:val="kk-KZ"/>
        </w:rPr>
        <w:t>[6, 12, 57, 95, 121]</w:t>
      </w:r>
      <w:r w:rsidR="00D800DC" w:rsidRPr="00185BC0">
        <w:rPr>
          <w:sz w:val="28"/>
          <w:szCs w:val="28"/>
          <w:lang w:val="kk-KZ"/>
        </w:rPr>
        <w:fldChar w:fldCharType="end"/>
      </w:r>
      <w:r w:rsidR="00387CA6" w:rsidRPr="00185BC0">
        <w:rPr>
          <w:sz w:val="28"/>
          <w:szCs w:val="28"/>
          <w:lang w:val="kk-KZ"/>
        </w:rPr>
        <w:t xml:space="preserve">. </w:t>
      </w:r>
      <w:r w:rsidRPr="00185BC0">
        <w:rPr>
          <w:sz w:val="28"/>
          <w:szCs w:val="28"/>
          <w:lang w:val="kk-KZ"/>
        </w:rPr>
        <w:t xml:space="preserve">При тяжёлой дисплазии Crowe IV требования к стабильности фиксации особенно высоки, поскольку от качества остеосинтеза зависят надёжность восстановления оси конечности, сроки реабилитации и риск осложнений, что </w:t>
      </w:r>
      <w:r w:rsidR="0092206E" w:rsidRPr="00185BC0">
        <w:rPr>
          <w:sz w:val="28"/>
          <w:szCs w:val="28"/>
          <w:lang w:val="kk-KZ"/>
        </w:rPr>
        <w:t>подтверждает</w:t>
      </w:r>
      <w:r w:rsidRPr="00185BC0">
        <w:rPr>
          <w:sz w:val="28"/>
          <w:szCs w:val="28"/>
          <w:lang w:val="kk-KZ"/>
        </w:rPr>
        <w:t xml:space="preserve"> необходимость биомеханически обоснованных методов стабилизации.</w:t>
      </w:r>
    </w:p>
    <w:p w14:paraId="4E31ECDF" w14:textId="62300945" w:rsidR="00387CA6" w:rsidRPr="00185BC0" w:rsidRDefault="00BC231B" w:rsidP="00387CA6">
      <w:pPr>
        <w:ind w:firstLine="720"/>
        <w:jc w:val="both"/>
        <w:rPr>
          <w:sz w:val="28"/>
          <w:szCs w:val="28"/>
        </w:rPr>
      </w:pPr>
      <w:r w:rsidRPr="00185BC0">
        <w:rPr>
          <w:sz w:val="28"/>
          <w:szCs w:val="28"/>
          <w:lang w:val="kk-KZ"/>
        </w:rPr>
        <w:t xml:space="preserve">В этой связи в рамках настоящего исследования проведена биомеханическая оценка разработанной деротационной пластины для фиксации поперечной подвертельной остеотомии при Crowe IV. Полученные данные показали, что система «протез – бедренная кость – деротационная пластина» обладает достаточной прочностью и устойчивостью к физиологическим нагрузкам, что подтверждает её пригодность для фиксации подвертельной укорачивающей остеотомии и согласуется с литературными данными о ключевой роли выбора имплантата для обеспечения стабильности при ТЭТС у пациентов с тяжёлой дисплазией </w:t>
      </w:r>
      <w:r w:rsidR="00C0181C" w:rsidRPr="00185BC0">
        <w:rPr>
          <w:sz w:val="28"/>
          <w:szCs w:val="28"/>
          <w:lang w:val="kk-KZ"/>
        </w:rPr>
        <w:fldChar w:fldCharType="begin" w:fldLock="1"/>
      </w:r>
      <w:r w:rsidR="00483103" w:rsidRPr="00185BC0">
        <w:rPr>
          <w:sz w:val="28"/>
          <w:szCs w:val="28"/>
          <w:lang w:val="kk-KZ"/>
        </w:rPr>
        <w:instrText>ADDIN CSL_CITATION {"citationItems":[{"id":"ITEM-1","itemData":{"DOI":"10.52628/90.4.13095","ISBN":"0000000169035","ISSN":"00016462","PMID":"39869860","abstract":"The current study aimed to objectively evaluate the fit of a rectangular, tapered stem to the severely dysplastic hips on the basis of the proximal femoral anatomy and the dimensional properties of the stem. It was hypothesized that the stem size planned with accordance to the diaphyseal canal width alone can accommodate the distal femur successfully with no sizing mismatch. Forty-six patients (53 hips) suffering from secondary osteoarthritis due to hip dysplasia scheduled for total hip arthroplasty (THA) with a subtrochanteric transverse shortening osteotomy were included. All hips were Crowe type 4. All patients underwent preoperative computed tomography imaging. Height of femoral head center (HCH) was determined. Medullary canal diameter measurements at different levels were made. These were made at a level (1) 35% of HCH above the lesser trochanter (DT +35), (2) 70% of HCH below the lesser trochanter (DT -70), and (3) at the level of isthmus (Di). Medullary canal flare indices were calculated from the individual parameter ratios. Similar measurements were carried out for the different sizes of the femoral stem. The mean DT +35 was 41.9 ± 6.4 mm, the mean DT-70 was 17.3 ± 2.2 mm, and the mean Di was 12.8 ± 1.9 mm. In all femurs, the width of the isthmus was wider than that of the corresponding femoral stem isthmus. The femoral stem sizes established with respect to the diaphyseal width of the femur were all compatible with the isthmus width of the femur. Tapered and rectangular stems can accommodate the proximal femur above and below the osteotomy level in Crowe type IV hip dyplasia patients, thereby constituting a viable option as the femoral stem in this patient group with technically demanding difficulties.","author":[{"dropping-particle":"","family":"Davulcu","given":"Cumhur Deniz","non-dropping-particle":"","parse-names":false,"suffix":""},{"dropping-particle":"","family":"Ozsahin","given":"Mahmut Kursat","non-dropping-particle":"","parse-names":false,"suffix":""},{"dropping-particle":"","family":"Kayaalp","given":"Mahmut Enes","non-dropping-particle":"","parse-names":false,"suffix":""},{"dropping-particle":"","family":"Celayir","given":"Arın","non-dropping-particle":"","parse-names":false,"suffix":""},{"dropping-particle":"","family":"Akbaba","given":"Derya","non-dropping-particle":"","parse-names":false,"suffix":""},{"dropping-particle":"","family":"Unlu","given":"Mehmet Can","non-dropping-particle":"","parse-names":false,"suffix":""}],"container-title":"Acta Orthopaedica Belgica","id":"ITEM-1","issue":"4","issued":{"date-parts":[["2024"]]},"page":"581-587","title":"Rectangular femoral stems can successfully accommodate the medullary canal in patients with severe hip dysplasia operated on with total hip arthroplasty and a shortening osteotomy: A morphometric study","type":"article-journal","volume":"90"},"uris":["http://www.mendeley.com/documents/?uuid=84336ec1-5e16-41cf-a5b1-c3417a0f5635"]},{"id":"ITEM-2","itemData":{"DOI":"10.3390/children11121525","ISSN":"22279067","abstract":"Background/Objectives: The redirection or reshaping of the acetabulum might be warranted to attain a concentric and stable hip in children with developmental dysplasia of the hip (DDH). The aim of this study is to assess the late clinical and radiological results, and to determine the number of patients requiring secondary surgery or a total hip arthroplasty at a long-term follow-up. Methods: Our institution performed 99 Salter osteotomies on 76 patients without underlying neuromuscular conditions over a 21-year period, from 1981 to 2002. These procedures were carried out by three different surgeons. Patients underwent a comprehensive evaluation at the review visit, including a physical examination, clinical assessments using the Harris hip score (HHS), Oxford score (OHS) and Visual Analogue Scale (VAS) pain score, as well as pelvic radiographs. Results: At a median follow-up of 22 years, total hip arthroplasty was performed in 6 out of 77 hips (8%). Patients who underwent a Salter osteotomy with an open reduction had a higher rate of avascular necrosis (AVN) of the femoral head compared to those who only underwent a Salter pelvic osteotomy (p &lt; 0.001). There were statistically significant differences in the group with and without AVN in terms of HHS (p = 0.006, 95%CI 0.003 to 0.006), OHS (p = 0.016, 95%CI 0.012 to 0.017), a modified OHS (p = 0.018, 95% CI 0.012 to 0.016), a VAS score in activity (p = 0.046, 95%CI 0.042 to 0.050) and VAS score satisfaction (p = 0.005, 95%CI 0.003 to 0.006). Conclusions: The rate of THA was 8% at a mean of follow-up of 22 years. Secondary results suggest that AVN occurs more frequently when a Salter osteotomy is combined with an open reduction. The occurrence of AVN is associated with significantly lower clinical outcome scores and patient satisfaction, as well as significantly higher pain scores. In the absence of AVN, good clinical results can be expected at long-term follow-up.","author":[{"dropping-particle":"","family":"Stralen","given":"Renée Anne","non-dropping-particle":"van","parse-names":false,"suffix":""},{"dropping-particle":"","family":"Colo","given":"Ena","non-dropping-particle":"","parse-names":false,"suffix":""},{"dropping-particle":"","family":"Rutz","given":"Erich","non-dropping-particle":"","parse-names":false,"suffix":""},{"dropping-particle":"","family":"Schreurs","given":"Berend Willem","non-dropping-particle":"","parse-names":false,"suffix":""},{"dropping-particle":"","family":"Hosman","given":"Allard Jan Frederik","non-dropping-particle":"","parse-names":false,"suffix":""}],"container-title":"Children","id":"ITEM-2","issue":"12","issued":{"date-parts":[["2024"]]},"title":"Long-Term Results After Salter Innominate Osteotomy for the Treatment of Developmental Dysplasia of the Hip—Only 8% Rate of Total Hip Arthroplasty at a Median Follow-Up of 22 Years †","type":"article-journal","volume":"11"},"uris":["http://www.mendeley.com/documents/?uuid=8de2afba-5a36-4e04-a41b-59cafa6b7353"]}],"mendeley":{"formattedCitation":"[122, 123]","plainTextFormattedCitation":"[122, 123]","previouslyFormattedCitation":"[121, 122]"},"properties":{"noteIndex":0},"schema":"https://github.com/citation-style-language/schema/raw/master/csl-citation.json"}</w:instrText>
      </w:r>
      <w:r w:rsidR="00C0181C" w:rsidRPr="00185BC0">
        <w:rPr>
          <w:sz w:val="28"/>
          <w:szCs w:val="28"/>
          <w:lang w:val="kk-KZ"/>
        </w:rPr>
        <w:fldChar w:fldCharType="separate"/>
      </w:r>
      <w:r w:rsidR="00483103" w:rsidRPr="00185BC0">
        <w:rPr>
          <w:noProof/>
          <w:sz w:val="28"/>
          <w:szCs w:val="28"/>
          <w:lang w:val="kk-KZ"/>
        </w:rPr>
        <w:t>[122, 123]</w:t>
      </w:r>
      <w:r w:rsidR="00C0181C" w:rsidRPr="00185BC0">
        <w:rPr>
          <w:sz w:val="28"/>
          <w:szCs w:val="28"/>
          <w:lang w:val="kk-KZ"/>
        </w:rPr>
        <w:fldChar w:fldCharType="end"/>
      </w:r>
      <w:r w:rsidR="00387CA6" w:rsidRPr="00185BC0">
        <w:rPr>
          <w:sz w:val="28"/>
          <w:szCs w:val="28"/>
        </w:rPr>
        <w:t xml:space="preserve">. </w:t>
      </w:r>
      <w:r w:rsidRPr="00185BC0">
        <w:rPr>
          <w:sz w:val="28"/>
          <w:szCs w:val="28"/>
        </w:rPr>
        <w:t xml:space="preserve">Анализ распределения напряжений по </w:t>
      </w:r>
      <w:proofErr w:type="spellStart"/>
      <w:r w:rsidRPr="00185BC0">
        <w:rPr>
          <w:sz w:val="28"/>
          <w:szCs w:val="28"/>
        </w:rPr>
        <w:t>Мизесу</w:t>
      </w:r>
      <w:proofErr w:type="spellEnd"/>
      <w:r w:rsidRPr="00185BC0">
        <w:rPr>
          <w:sz w:val="28"/>
          <w:szCs w:val="28"/>
        </w:rPr>
        <w:t xml:space="preserve"> продемонстрировал их концентрацию в области головки бедра, границы «кость</w:t>
      </w:r>
      <w:r w:rsidR="0092206E" w:rsidRPr="00185BC0">
        <w:rPr>
          <w:sz w:val="28"/>
          <w:szCs w:val="28"/>
        </w:rPr>
        <w:t xml:space="preserve"> </w:t>
      </w:r>
      <w:r w:rsidRPr="00185BC0">
        <w:rPr>
          <w:sz w:val="28"/>
          <w:szCs w:val="28"/>
        </w:rPr>
        <w:t>–</w:t>
      </w:r>
      <w:r w:rsidR="0092206E" w:rsidRPr="00185BC0">
        <w:rPr>
          <w:sz w:val="28"/>
          <w:szCs w:val="28"/>
        </w:rPr>
        <w:t xml:space="preserve"> </w:t>
      </w:r>
      <w:r w:rsidRPr="00185BC0">
        <w:rPr>
          <w:sz w:val="28"/>
          <w:szCs w:val="28"/>
        </w:rPr>
        <w:t xml:space="preserve">протез» и вокруг винтовых отверстий, однако значения оставались ниже предела текучести титанового сплава, что подтверждает высокую надёжность конструкции и соответствует результатам других FEA-исследований фиксации остеотомий </w:t>
      </w:r>
      <w:r w:rsidR="00601262" w:rsidRPr="00185BC0">
        <w:rPr>
          <w:sz w:val="28"/>
          <w:szCs w:val="28"/>
          <w:lang w:val="kk-KZ"/>
        </w:rPr>
        <w:fldChar w:fldCharType="begin" w:fldLock="1"/>
      </w:r>
      <w:r w:rsidR="00483103" w:rsidRPr="00185BC0">
        <w:rPr>
          <w:sz w:val="28"/>
          <w:szCs w:val="28"/>
          <w:lang w:val="kk-KZ"/>
        </w:rPr>
        <w:instrText>ADDIN CSL_CITATION {"citationItems":[{"id":"ITEM-1","itemData":{"DOI":"10.52312/jdrs.2023.1091","ISSN":"26874792","abstract":"Objectives: This study aims to analyze the clinical, functional, and radiographic results of patients with Crowe type 4 developmental dysplasia of the hip (DDH) sequelae undergoing cementless total hip arthroplasty (THA) with transverse subtrochanteric shortening osteotomy without fixation at the osteotomy site. Patients and methods: Between March 2013 and February 2020, a total of 42 hips of 34 patients (8 males, 26 females; mean age: 50.7±11.7 years; range, 27 to 76 years) with Crowe type 4 DDH treated with subtrochanteric shortening osteotomy combined with primary cementless THA were retrospectively analyzed. Each case was evaluated to the Harris Hip Score (HHS). Crowe classification, location of the rotation center of hip, loosening of the implants, and union at the osteotomy line were evaluated radiologically. Results: The mean follow-up was 57.9±31.5 (range, 24 to 192) months. The mean interval to complete bone union in 40 hips (95%) after surgery was 3.5±0.9 (range, 2 to 6) months. The mean preoperative HHS scores of the patients was 35.6±6.86, while the scores increased to 91.53±5.41 at the final follow-up (p&lt;0.001). Conclusion: Our study results suggest that excellent clinical and radiological results can be obtained in Crowe type 4 dysplastic hips in patients undergoing THA with the rectangular femoral component and transverse shortening osteotomy technique, without fixation at the osteotomy site.","author":[{"dropping-particle":"","family":"Atalar","given":"Hakan","non-dropping-particle":"","parse-names":false,"suffix":""},{"dropping-particle":"","family":"Baymurat","given":"Alim Can","non-dropping-particle":"","parse-names":false,"suffix":""},{"dropping-particle":"","family":"Kaya","given":"İbrahim","non-dropping-particle":"","parse-names":false,"suffix":""},{"dropping-particle":"","family":"Tokgöz","given":"Mehmet Ali","non-dropping-particle":"","parse-names":false,"suffix":""},{"dropping-particle":"","family":"Tolunay","given":"Tolga","non-dropping-particle":"","parse-names":false,"suffix":""},{"dropping-particle":"","family":"Arikan","given":"Şefik Murat","non-dropping-particle":"","parse-names":false,"suffix":""}],"container-title":"Joint Diseases and Related Surgery","id":"ITEM-1","issue":"3","issued":{"date-parts":[["2023"]]},"title":"Total hip arthroplasty in patients with coxarthrosis due to developmental dysplasia of the hip: Is fixation of the subtrochanteric osteotomy necessary?","type":"article-journal","volume":"34"},"uris":["http://www.mendeley.com/documents/?uuid=b8c5edca-efc7-314c-acba-b7fa262a49db"]},{"id":"ITEM-2","itemData":{"DOI":"10.3390/children11070844","ISSN":"22279067","abstract":"This study summarizes the current knowledge of the etiology of hip dysplasia in children with neuromuscular disease and the implications for management. This article is based on a review of development of the hip joint from embryology through childhood growth. This knowledge is then applied to selective case reviews to show how the understanding of these developmental principles can be used to plan specific treatments. The development of the hip joint is controlled by genetic shape determination, but the final adult shape is heavily dependent on the mechanical environment experienced by the hip joint during growth and development. Children with neuromuscular conditions show a high incidence of coxa valga, hip dysplasia, and subluxation. The etiology of hip pathology is influenced by factors including functional status, muscular tone, motor control, child’s age, and muscle strength. These factors in combination influence the development of high neck–shaft angle and acetabular dysplasia in many children. The hip joint reaction force (HJRF) direction and magnitude determine the location of the femoral head in the acetabulum, the acetabular development, and the shape of the femoral neck. The full range of motion is required to develop a round femoral head. Persistent abnormal direction and/or magnitude of HJRF related to the muscular tone can lead to a deformed femoral head and a dysplastic acetabulum. Predominating thigh position is the primary cause defining the direction of the HJRF, leading to subluxation in nonambulatory children. The magnitude and direction of the HJRF determine the acetabular shape. The age of the child when these pathomechanics occur acts as a factor increasing the risk of hip subluxation. Understanding the risk factors leading to hip pathology can help to define principles for the management of neurologic hip impairment. The type of neurologic impairment as defined by functional severity assessed by Gross Motor Function Classification System and muscle tone can help to predict the risk of hip joint deformity. A good understanding of the biomechanical mechanisms can be valuable for treatment planning.","author":[{"dropping-particle":"","family":"Presedo","given":"Ana","non-dropping-particle":"","parse-names":false,"suffix":""},{"dropping-particle":"","family":"Rutz","given":"Erich","non-dropping-particle":"","parse-names":false,"suffix":""},{"dropping-particle":"","family":"Howard","given":"Jason J.","non-dropping-particle":"","parse-names":false,"suffix":""},{"dropping-particle":"","family":"Shrader","given":"Michael Wade","non-dropping-particle":"","parse-names":false,"suffix":""},{"dropping-particle":"","family":"Miller","given":"Freeman","non-dropping-particle":"","parse-names":false,"suffix":""}],"container-title":"Children","id":"ITEM-2","issue":"7","issued":{"date-parts":[["2024"]]},"title":"The Etiology of Neuromuscular Hip Dysplasia and Implications for Management: A Narrative Review","type":"article-journal","volume":"11"},"uris":["http://www.mendeley.com/documents/?uuid=c7b3cd16-9b5c-446e-83f8-31cc4e63e3f1"]}],"mendeley":{"formattedCitation":"[124, 125]","plainTextFormattedCitation":"[124, 125]","previouslyFormattedCitation":"[123, 124]"},"properties":{"noteIndex":0},"schema":"https://github.com/citation-style-language/schema/raw/master/csl-citation.json"}</w:instrText>
      </w:r>
      <w:r w:rsidR="00601262" w:rsidRPr="00185BC0">
        <w:rPr>
          <w:sz w:val="28"/>
          <w:szCs w:val="28"/>
          <w:lang w:val="kk-KZ"/>
        </w:rPr>
        <w:fldChar w:fldCharType="separate"/>
      </w:r>
      <w:r w:rsidR="00483103" w:rsidRPr="00185BC0">
        <w:rPr>
          <w:noProof/>
          <w:sz w:val="28"/>
          <w:szCs w:val="28"/>
          <w:lang w:val="kk-KZ"/>
        </w:rPr>
        <w:t>[124, 125]</w:t>
      </w:r>
      <w:r w:rsidR="00601262" w:rsidRPr="00185BC0">
        <w:rPr>
          <w:sz w:val="28"/>
          <w:szCs w:val="28"/>
          <w:lang w:val="kk-KZ"/>
        </w:rPr>
        <w:fldChar w:fldCharType="end"/>
      </w:r>
      <w:r w:rsidR="00387CA6" w:rsidRPr="00185BC0">
        <w:rPr>
          <w:sz w:val="28"/>
          <w:szCs w:val="28"/>
        </w:rPr>
        <w:t>.</w:t>
      </w:r>
    </w:p>
    <w:p w14:paraId="2DA21B72" w14:textId="6A789BF5" w:rsidR="00387CA6" w:rsidRPr="00185BC0" w:rsidRDefault="00D91F4B" w:rsidP="00387CA6">
      <w:pPr>
        <w:ind w:firstLine="720"/>
        <w:jc w:val="both"/>
        <w:rPr>
          <w:sz w:val="28"/>
          <w:szCs w:val="28"/>
        </w:rPr>
      </w:pPr>
      <w:r w:rsidRPr="00185BC0">
        <w:rPr>
          <w:sz w:val="28"/>
          <w:szCs w:val="28"/>
        </w:rPr>
        <w:t xml:space="preserve">Анализ смещений показал, что </w:t>
      </w:r>
      <w:proofErr w:type="spellStart"/>
      <w:r w:rsidRPr="00185BC0">
        <w:rPr>
          <w:sz w:val="28"/>
          <w:szCs w:val="28"/>
        </w:rPr>
        <w:t>деротационная</w:t>
      </w:r>
      <w:proofErr w:type="spellEnd"/>
      <w:r w:rsidRPr="00185BC0">
        <w:rPr>
          <w:sz w:val="28"/>
          <w:szCs w:val="28"/>
        </w:rPr>
        <w:t xml:space="preserve"> пластина обеспечивает минимальные, существенно меньшие по сравнению с головкой протеза смещения, что подтверждает её выраженную ротационно-осевую стабилизирующую роль и благоприятное влияние на консолидацию остеотомии</w:t>
      </w:r>
      <w:r w:rsidR="0092206E" w:rsidRPr="00185BC0">
        <w:rPr>
          <w:sz w:val="28"/>
          <w:szCs w:val="28"/>
        </w:rPr>
        <w:t xml:space="preserve">  </w:t>
      </w:r>
      <w:r w:rsidRPr="00185BC0">
        <w:rPr>
          <w:sz w:val="28"/>
          <w:szCs w:val="28"/>
        </w:rPr>
        <w:t xml:space="preserve">в соответствии с данными о критической важности контроля </w:t>
      </w:r>
      <w:proofErr w:type="spellStart"/>
      <w:r w:rsidRPr="00185BC0">
        <w:rPr>
          <w:sz w:val="28"/>
          <w:szCs w:val="28"/>
        </w:rPr>
        <w:t>микроподвижности</w:t>
      </w:r>
      <w:proofErr w:type="spellEnd"/>
      <w:r w:rsidRPr="00185BC0">
        <w:rPr>
          <w:sz w:val="28"/>
          <w:szCs w:val="28"/>
        </w:rPr>
        <w:t xml:space="preserve"> </w:t>
      </w:r>
      <w:r w:rsidRPr="00185BC0">
        <w:rPr>
          <w:sz w:val="28"/>
          <w:szCs w:val="28"/>
        </w:rPr>
        <w:lastRenderedPageBreak/>
        <w:t>при фиксации остеотомии</w:t>
      </w:r>
      <w:r w:rsidR="00003907" w:rsidRPr="00185BC0">
        <w:rPr>
          <w:sz w:val="28"/>
          <w:szCs w:val="28"/>
        </w:rPr>
        <w:t xml:space="preserve"> </w:t>
      </w:r>
      <w:r w:rsidR="00601262" w:rsidRPr="00185BC0">
        <w:rPr>
          <w:sz w:val="28"/>
          <w:szCs w:val="28"/>
          <w:lang w:val="kk-KZ"/>
        </w:rPr>
        <w:fldChar w:fldCharType="begin" w:fldLock="1"/>
      </w:r>
      <w:r w:rsidR="00483103" w:rsidRPr="00185BC0">
        <w:rPr>
          <w:sz w:val="28"/>
          <w:szCs w:val="28"/>
          <w:lang w:val="kk-KZ"/>
        </w:rPr>
        <w:instrText>ADDIN CSL_CITATION {"citationItems":[{"id":"ITEM-1","itemData":{"DOI":"10.3390/jpm14020189","ISSN":"20754426","abstract":"Late-discovered developmental hip dysplasia deformities often necessitate complex surgical treatments and meticulous preoperative planning. The selection of osteotomies is contingent upon the patient’s age and the specific structural deformity of the hip. In our anatomical hip model, derived from the data of a 12-year-old patient, we performed virtual osteotomies that are commonly recommended for such cases. We precisely constructed geometric models for various osteotomies, including the Dega, Pemberton, Tönnis, Ganz, Chiari pelvic, and Pauwels femoral osteotomies. We employed Autodesk Inventor for the finite element analysis of the hip joint and the corrective osteotomies. In comparing one-stage osteotomies, we noted that the Dega and Ganz pelvic osteotomies, especially when combined with the Pauwels femoral osteotomy, yielded the most favorable outcomes. These combinations led to enhanced femoral head coverage and reduced intra-articular pressure. Furthermore, we calculated the femoral head-to-acetabulum volume ratio for both the Dega and Pauwels osteotomies. The encouraging results we obtained advocate for the integration of finite element analysis in virtual osteotomies of the pelvis and femur as a preoperative tool in the management of developmental hip dysplasia.","author":[{"dropping-particle":"","family":"Incze-Bartha","given":"Zsuzsanna","non-dropping-particle":"","parse-names":false,"suffix":""},{"dropping-particle":"","family":"Incze-Bartha","given":"Sandor","non-dropping-particle":"","parse-names":false,"suffix":""},{"dropping-particle":"","family":"Simon-Szabó","given":"Zsuzsánna","non-dropping-particle":"","parse-names":false,"suffix":""},{"dropping-particle":"","family":"Feier","given":"Andrei Marian","non-dropping-particle":"","parse-names":false,"suffix":""},{"dropping-particle":"","family":"Vunvulea","given":"Vlad","non-dropping-particle":"","parse-names":false,"suffix":""},{"dropping-particle":"","family":"Nechifor-Boila","given":"Alin Ioan","non-dropping-particle":"","parse-names":false,"suffix":""},{"dropping-particle":"","family":"Pastorello","given":"Ylenia","non-dropping-particle":"","parse-names":false,"suffix":""},{"dropping-particle":"","family":"Denes","given":"Lorand","non-dropping-particle":"","parse-names":false,"suffix":""}],"container-title":"Journal of Personalized Medicine","id":"ITEM-1","issue":"2","issued":{"date-parts":[["2024"]]},"title":"Finite Element Analysis of Various Osteotomies Used in the Treatment of Developmental Hip Dysplasia in Children","type":"article-journal","volume":"14"},"uris":["http://www.mendeley.com/documents/?uuid=e24574ea-9196-4d40-8705-b17222af3574"]},{"id":"ITEM-2","itemData":{"DOI":"10.1007/s13246-023-01277-w","ISBN":"0123456789","ISSN":"26624737","PMID":"37213051","abstract":"This study describes a computational analysis technique for evaluating the effect of screw spacing and angle on the pediatric hip locking plate system in proximal femoral osteotomy in pediatric patients having DDH with an aberrant femoral head and femoral angle. Under static compressive load conditions, the stresses of the screw and bone were examined as the screw spacing and angle changed. The spacing and angle of various screws were specifically considered as variables in this study based on the pile mechanism studied in civil engineering. As with the group pile mechanism, the tighter the screw spacing under static compressive loads, the more the overlapping effect between the bone stresses and the screws develops, increasing the risk of injuring the patient’s bone. Therefore, a series of simulations was performed to determine the optimal screw spacing and angles to minimize the overlapping effect of bone stress. In addition, a formula for determining the minimum screw spacing was proposed based on the computational simulation results. Finally, if the outcomes of this study are applied to pediatric patients with DDH in the pre-proximal femoral osteotomy stage, post-operative load-induced femur damage will be reduced.","author":[{"dropping-particle":"","family":"Jeong","given":"Byeong Cheol","non-dropping-particle":"","parse-names":false,"suffix":""},{"dropping-particle":"","family":"Goh","given":"Tae Sik","non-dropping-particle":"","parse-names":false,"suffix":""},{"dropping-particle":"","family":"Lee","given":"Chiseung","non-dropping-particle":"","parse-names":false,"suffix":""},{"dropping-particle":"","family":"Ahn","given":"Tae Young","non-dropping-particle":"","parse-names":false,"suffix":""},{"dropping-particle":"","family":"Ryu","given":"Dongman","non-dropping-particle":"","parse-names":false,"suffix":""}],"container-title":"Physical and Engineering Sciences in Medicine","id":"ITEM-2","issue":"3","issued":{"date-parts":[["2023"]]},"page":"1101-1114","publisher":"Springer International Publishing","title":"Identification of screw spacing on pediatric hip locking plate in proximal femoral osteotomy","type":"article-journal","volume":"46"},"uris":["http://www.mendeley.com/documents/?uuid=0972b285-d67a-4bb0-936c-f972baf03d11"]}],"mendeley":{"formattedCitation":"[126, 127]","plainTextFormattedCitation":"[126, 127]","previouslyFormattedCitation":"[125, 126]"},"properties":{"noteIndex":0},"schema":"https://github.com/citation-style-language/schema/raw/master/csl-citation.json"}</w:instrText>
      </w:r>
      <w:r w:rsidR="00601262" w:rsidRPr="00185BC0">
        <w:rPr>
          <w:sz w:val="28"/>
          <w:szCs w:val="28"/>
          <w:lang w:val="kk-KZ"/>
        </w:rPr>
        <w:fldChar w:fldCharType="separate"/>
      </w:r>
      <w:r w:rsidR="00483103" w:rsidRPr="00185BC0">
        <w:rPr>
          <w:noProof/>
          <w:sz w:val="28"/>
          <w:szCs w:val="28"/>
          <w:lang w:val="kk-KZ"/>
        </w:rPr>
        <w:t>[126, 127]</w:t>
      </w:r>
      <w:r w:rsidR="00601262" w:rsidRPr="00185BC0">
        <w:rPr>
          <w:sz w:val="28"/>
          <w:szCs w:val="28"/>
          <w:lang w:val="kk-KZ"/>
        </w:rPr>
        <w:fldChar w:fldCharType="end"/>
      </w:r>
      <w:r w:rsidR="00387CA6" w:rsidRPr="00185BC0">
        <w:rPr>
          <w:sz w:val="28"/>
          <w:szCs w:val="28"/>
        </w:rPr>
        <w:t xml:space="preserve">. </w:t>
      </w:r>
      <w:r w:rsidR="00003907" w:rsidRPr="00185BC0">
        <w:rPr>
          <w:sz w:val="28"/>
          <w:szCs w:val="28"/>
        </w:rPr>
        <w:t xml:space="preserve"> </w:t>
      </w:r>
      <w:r w:rsidRPr="00185BC0">
        <w:rPr>
          <w:sz w:val="28"/>
          <w:szCs w:val="28"/>
        </w:rPr>
        <w:t xml:space="preserve">Оценка коэффициента запаса прочности выявила достаточную механическую надёжность всех компонентов системы (минимум 3,63) при более низких значениях в костной ткани (1,24), что указывает на потенциально уязвимые зоны при пиковых нагрузках и необходимость дальнейшей оптимизации стабилизации, согласуясь с выводами предыдущих биомеханических исследований </w:t>
      </w:r>
      <w:r w:rsidR="00601262" w:rsidRPr="00185BC0">
        <w:rPr>
          <w:sz w:val="28"/>
          <w:szCs w:val="28"/>
          <w:lang w:val="kk-KZ"/>
        </w:rPr>
        <w:fldChar w:fldCharType="begin" w:fldLock="1"/>
      </w:r>
      <w:r w:rsidR="00483103" w:rsidRPr="00185BC0">
        <w:rPr>
          <w:sz w:val="28"/>
          <w:szCs w:val="28"/>
          <w:lang w:val="kk-KZ"/>
        </w:rPr>
        <w:instrText>ADDIN CSL_CITATION {"citationItems":[{"id":"ITEM-1","itemData":{"DOI":"10.1016/j.otsr.2023.103684","ISSN":"18770568","PMID":"37704103","abstract":"Background: When performing total hip arthroplasty in patients with severe developmental dysplasia, shortening the femur facilitates reduction while also preventing sciatic or crural nerve injury and excessive length of the operated limb. No consensus exists about the optimal type of implant and best internal fixation procedure, two parameters that directly govern the risk of the most common intraoperative and postoperative complications (diaphyseal fractures, dislocation, non-union). To minimise these risks, we developed a technique combining a transverse subtrochanteric shortening osteotomy, a long ovoid-profiled, cementless stem anchored in the metaphysis, and double tension-band wiring for internal fixation. The primary objective of this study was to evaluate the outcomes of this technique with emphasis on (i) complications and femoral implant survival, (ii) clinical outcomes (functional scores and lower-limb length inequality [LLLI]), and time to healing. Hypothesis: Our technique is associated with low rates of intraoperative and postoperative complications. Material and methods: This single-centre retrospective cohort study included patients who underwent THA with a transverse subtrochanteric shortening osteotomy and fixation using double tension-band wiring to treat severe (Crowe III or IV) developmental hip dysplasia. The femoral implant was a long, ovoid, cementless stem fully coated with hydroxyapatite. We collected the intraoperative and postoperative complications, survival, LLLI, functional scores (Harris Hip Score [HHS] and Forgotten Joint Score [FJS]), patient satisfaction, and radiographic outcomes. Results: The study included 31 hips in 25 patients. Two patients (2/31 hips, 6.5%) were lost to follow-up, leaving 29 hips for the analysis of postoperative outcomes. Mean follow-up was 13.7 ± 4.2 years (range, 5.8–18.3 years). The four intraoperative complications (4/31, 12.9%) consisted fracture of the diaphysis (2/31, 6.5%), fracture of the greater trochanter (1/31, 3.2%), and sciatic nerve injury followed by a full recovery (1/29, 3.4%). The 8 (8/29, 27.5%) postoperative complications consisted of dislocation (2/29, 6.9%), stem subsidence (2/29, 6.9%), and non-union (4/29, 13.8%). Femoral implant survival at last follow-up was 87.1% (95% CI, 76.1–99.7). The mean HHS increased from 39.6 ± 12.0 (range, 14–61) before surgery to 81.7 ± 13.2 (range, 48–100) at last follow-up (p &lt; 0.01). The FJS at last follow-up indicated that the joint was f…","author":[{"dropping-particle":"","family":"Masson","given":"Jean Baptiste","non-dropping-particle":"","parse-names":false,"suffix":""},{"dropping-particle":"","family":"Foissey","given":"Constant","non-dropping-particle":"","parse-names":false,"suffix":""},{"dropping-particle":"","family":"Bertani","given":"Antoine","non-dropping-particle":"","parse-names":false,"suffix":""},{"dropping-particle":"","family":"Pibarot","given":"Vincent","non-dropping-particle":"","parse-names":false,"suffix":""},{"dropping-particle":"","family":"Rongieras","given":"Frédéric","non-dropping-particle":"","parse-names":false,"suffix":""}],"container-title":"Orthopaedics and Traumatology: Surgery and Research","id":"ITEM-1","issue":"7","issued":{"date-parts":[["2023"]]},"title":"Transverse subtrochanteric shortening osteotomy with double tension-band fixation during THA for Crowe III-IV developmental dysplasia: 12-year outcomes","type":"article-journal","volume":"109"},"uris":["http://www.mendeley.com/documents/?uuid=a04dae26-9e1a-4d41-8b51-a12cbef42cd9"]}],"mendeley":{"formattedCitation":"[128]","plainTextFormattedCitation":"[128]","previouslyFormattedCitation":"[127]"},"properties":{"noteIndex":0},"schema":"https://github.com/citation-style-language/schema/raw/master/csl-citation.json"}</w:instrText>
      </w:r>
      <w:r w:rsidR="00601262" w:rsidRPr="00185BC0">
        <w:rPr>
          <w:sz w:val="28"/>
          <w:szCs w:val="28"/>
          <w:lang w:val="kk-KZ"/>
        </w:rPr>
        <w:fldChar w:fldCharType="separate"/>
      </w:r>
      <w:r w:rsidR="00483103" w:rsidRPr="00185BC0">
        <w:rPr>
          <w:noProof/>
          <w:sz w:val="28"/>
          <w:szCs w:val="28"/>
          <w:lang w:val="kk-KZ"/>
        </w:rPr>
        <w:t>[128]</w:t>
      </w:r>
      <w:r w:rsidR="00601262" w:rsidRPr="00185BC0">
        <w:rPr>
          <w:sz w:val="28"/>
          <w:szCs w:val="28"/>
          <w:lang w:val="kk-KZ"/>
        </w:rPr>
        <w:fldChar w:fldCharType="end"/>
      </w:r>
      <w:r w:rsidR="00387CA6" w:rsidRPr="00185BC0">
        <w:rPr>
          <w:sz w:val="28"/>
          <w:szCs w:val="28"/>
        </w:rPr>
        <w:t>.</w:t>
      </w:r>
    </w:p>
    <w:p w14:paraId="163F0700" w14:textId="50908AE4" w:rsidR="00387CA6" w:rsidRPr="00185BC0" w:rsidRDefault="00D91F4B" w:rsidP="00387CA6">
      <w:pPr>
        <w:ind w:firstLine="720"/>
        <w:jc w:val="both"/>
        <w:rPr>
          <w:sz w:val="28"/>
          <w:szCs w:val="28"/>
          <w:lang w:val="tr-TR"/>
        </w:rPr>
      </w:pPr>
      <w:r w:rsidRPr="00185BC0">
        <w:rPr>
          <w:sz w:val="28"/>
          <w:szCs w:val="28"/>
        </w:rPr>
        <w:t xml:space="preserve">Целенаправленный анализ </w:t>
      </w:r>
      <w:proofErr w:type="spellStart"/>
      <w:r w:rsidRPr="00185BC0">
        <w:rPr>
          <w:sz w:val="28"/>
          <w:szCs w:val="28"/>
        </w:rPr>
        <w:t>деротационной</w:t>
      </w:r>
      <w:proofErr w:type="spellEnd"/>
      <w:r w:rsidRPr="00185BC0">
        <w:rPr>
          <w:sz w:val="28"/>
          <w:szCs w:val="28"/>
        </w:rPr>
        <w:t xml:space="preserve"> пластины подтвердил концентрацию напряжений вокруг винтовых отверстий при сохранении их в допустимых пределах; по сравнению с традиционными методами фиксации (тросовые системы, менее жёсткие пластины) представленная конструкция обеспечивала более равномерное распределение напряжений и лучший контроль смещений, снижая риск </w:t>
      </w:r>
      <w:proofErr w:type="spellStart"/>
      <w:r w:rsidRPr="00185BC0">
        <w:rPr>
          <w:sz w:val="28"/>
          <w:szCs w:val="28"/>
        </w:rPr>
        <w:t>несращения</w:t>
      </w:r>
      <w:proofErr w:type="spellEnd"/>
      <w:r w:rsidRPr="00185BC0">
        <w:rPr>
          <w:sz w:val="28"/>
          <w:szCs w:val="28"/>
        </w:rPr>
        <w:t xml:space="preserve">, ротационной нестабильности и расшатывания имплантата </w:t>
      </w:r>
      <w:r w:rsidR="00601262" w:rsidRPr="00185BC0">
        <w:rPr>
          <w:sz w:val="28"/>
          <w:szCs w:val="28"/>
          <w:lang w:val="kk-KZ"/>
        </w:rPr>
        <w:fldChar w:fldCharType="begin" w:fldLock="1"/>
      </w:r>
      <w:r w:rsidR="00483103" w:rsidRPr="00185BC0">
        <w:rPr>
          <w:sz w:val="28"/>
          <w:szCs w:val="28"/>
          <w:lang w:val="kk-KZ"/>
        </w:rPr>
        <w:instrText>ADDIN CSL_CITATION {"citationItems":[{"id":"ITEM-1","itemData":{"DOI":"10.52312/jdrs.2023.1091","ISSN":"26874792","abstract":"Objectives: This study aims to analyze the clinical, functional, and radiographic results of patients with Crowe type 4 developmental dysplasia of the hip (DDH) sequelae undergoing cementless total hip arthroplasty (THA) with transverse subtrochanteric shortening osteotomy without fixation at the osteotomy site. Patients and methods: Between March 2013 and February 2020, a total of 42 hips of 34 patients (8 males, 26 females; mean age: 50.7±11.7 years; range, 27 to 76 years) with Crowe type 4 DDH treated with subtrochanteric shortening osteotomy combined with primary cementless THA were retrospectively analyzed. Each case was evaluated to the Harris Hip Score (HHS). Crowe classification, location of the rotation center of hip, loosening of the implants, and union at the osteotomy line were evaluated radiologically. Results: The mean follow-up was 57.9±31.5 (range, 24 to 192) months. The mean interval to complete bone union in 40 hips (95%) after surgery was 3.5±0.9 (range, 2 to 6) months. The mean preoperative HHS scores of the patients was 35.6±6.86, while the scores increased to 91.53±5.41 at the final follow-up (p&lt;0.001). Conclusion: Our study results suggest that excellent clinical and radiological results can be obtained in Crowe type 4 dysplastic hips in patients undergoing THA with the rectangular femoral component and transverse shortening osteotomy technique, without fixation at the osteotomy site.","author":[{"dropping-particle":"","family":"Atalar","given":"Hakan","non-dropping-particle":"","parse-names":false,"suffix":""},{"dropping-particle":"","family":"Baymurat","given":"Alim Can","non-dropping-particle":"","parse-names":false,"suffix":""},{"dropping-particle":"","family":"Kaya","given":"İbrahim","non-dropping-particle":"","parse-names":false,"suffix":""},{"dropping-particle":"","family":"Tokgöz","given":"Mehmet Ali","non-dropping-particle":"","parse-names":false,"suffix":""},{"dropping-particle":"","family":"Tolunay","given":"Tolga","non-dropping-particle":"","parse-names":false,"suffix":""},{"dropping-particle":"","family":"Arikan","given":"Şefik Murat","non-dropping-particle":"","parse-names":false,"suffix":""}],"container-title":"Joint Diseases and Related Surgery","id":"ITEM-1","issue":"3","issued":{"date-parts":[["2023"]]},"title":"Total hip arthroplasty in patients with coxarthrosis due to developmental dysplasia of the hip: Is fixation of the subtrochanteric osteotomy necessary?","type":"article-journal","volume":"34"},"uris":["http://www.mendeley.com/documents/?uuid=b8c5edca-efc7-314c-acba-b7fa262a49db"]},{"id":"ITEM-2","itemData":{"DOI":"10.52628/90.4.13095","ISBN":"0000000169035","ISSN":"00016462","PMID":"39869860","abstract":"The current study aimed to objectively evaluate the fit of a rectangular, tapered stem to the severely dysplastic hips on the basis of the proximal femoral anatomy and the dimensional properties of the stem. It was hypothesized that the stem size planned with accordance to the diaphyseal canal width alone can accommodate the distal femur successfully with no sizing mismatch. Forty-six patients (53 hips) suffering from secondary osteoarthritis due to hip dysplasia scheduled for total hip arthroplasty (THA) with a subtrochanteric transverse shortening osteotomy were included. All hips were Crowe type 4. All patients underwent preoperative computed tomography imaging. Height of femoral head center (HCH) was determined. Medullary canal diameter measurements at different levels were made. These were made at a level (1) 35% of HCH above the lesser trochanter (DT +35), (2) 70% of HCH below the lesser trochanter (DT -70), and (3) at the level of isthmus (Di). Medullary canal flare indices were calculated from the individual parameter ratios. Similar measurements were carried out for the different sizes of the femoral stem. The mean DT +35 was 41.9 ± 6.4 mm, the mean DT-70 was 17.3 ± 2.2 mm, and the mean Di was 12.8 ± 1.9 mm. In all femurs, the width of the isthmus was wider than that of the corresponding femoral stem isthmus. The femoral stem sizes established with respect to the diaphyseal width of the femur were all compatible with the isthmus width of the femur. Tapered and rectangular stems can accommodate the proximal femur above and below the osteotomy level in Crowe type IV hip dyplasia patients, thereby constituting a viable option as the femoral stem in this patient group with technically demanding difficulties.","author":[{"dropping-particle":"","family":"Davulcu","given":"Cumhur Deniz","non-dropping-particle":"","parse-names":false,"suffix":""},{"dropping-particle":"","family":"Ozsahin","given":"Mahmut Kursat","non-dropping-particle":"","parse-names":false,"suffix":""},{"dropping-particle":"","family":"Kayaalp","given":"Mahmut Enes","non-dropping-particle":"","parse-names":false,"suffix":""},{"dropping-particle":"","family":"Celayir","given":"Arın","non-dropping-particle":"","parse-names":false,"suffix":""},{"dropping-particle":"","family":"Akbaba","given":"Derya","non-dropping-particle":"","parse-names":false,"suffix":""},{"dropping-particle":"","family":"Unlu","given":"Mehmet Can","non-dropping-particle":"","parse-names":false,"suffix":""}],"container-title":"Acta Orthopaedica Belgica","id":"ITEM-2","issue":"4","issued":{"date-parts":[["2024"]]},"page":"581-587","title":"Rectangular femoral stems can successfully accommodate the medullary canal in patients with severe hip dysplasia operated on with total hip arthroplasty and a shortening osteotomy: A morphometric study","type":"article-journal","volume":"90"},"uris":["http://www.mendeley.com/documents/?uuid=84336ec1-5e16-41cf-a5b1-c3417a0f5635"]}],"mendeley":{"formattedCitation":"[122, 124]","plainTextFormattedCitation":"[122, 124]","previouslyFormattedCitation":"[121, 123]"},"properties":{"noteIndex":0},"schema":"https://github.com/citation-style-language/schema/raw/master/csl-citation.json"}</w:instrText>
      </w:r>
      <w:r w:rsidR="00601262" w:rsidRPr="00185BC0">
        <w:rPr>
          <w:sz w:val="28"/>
          <w:szCs w:val="28"/>
          <w:lang w:val="kk-KZ"/>
        </w:rPr>
        <w:fldChar w:fldCharType="separate"/>
      </w:r>
      <w:r w:rsidR="00483103" w:rsidRPr="00185BC0">
        <w:rPr>
          <w:noProof/>
          <w:sz w:val="28"/>
          <w:szCs w:val="28"/>
          <w:lang w:val="kk-KZ"/>
        </w:rPr>
        <w:t>[122, 124]</w:t>
      </w:r>
      <w:r w:rsidR="00601262" w:rsidRPr="00185BC0">
        <w:rPr>
          <w:sz w:val="28"/>
          <w:szCs w:val="28"/>
          <w:lang w:val="kk-KZ"/>
        </w:rPr>
        <w:fldChar w:fldCharType="end"/>
      </w:r>
      <w:r w:rsidR="00387CA6" w:rsidRPr="00185BC0">
        <w:rPr>
          <w:sz w:val="28"/>
          <w:szCs w:val="28"/>
        </w:rPr>
        <w:t>.</w:t>
      </w:r>
      <w:r w:rsidR="001A53C0" w:rsidRPr="00185BC0">
        <w:rPr>
          <w:sz w:val="28"/>
          <w:szCs w:val="28"/>
        </w:rPr>
        <w:t xml:space="preserve"> </w:t>
      </w:r>
      <w:r w:rsidRPr="00185BC0">
        <w:rPr>
          <w:sz w:val="28"/>
          <w:szCs w:val="28"/>
        </w:rPr>
        <w:t xml:space="preserve">Применение метода конечных элементов продемонстрировало потенциал компьютерного моделирования для оптимизации ортопедических имплантатов, обеспечивая точное понимание распределения напряжений и деформаций и позволяя совершенствовать конструкции до этапа экспериментальных испытаний </w:t>
      </w:r>
      <w:r w:rsidR="00601262" w:rsidRPr="00185BC0">
        <w:rPr>
          <w:sz w:val="28"/>
          <w:szCs w:val="28"/>
          <w:lang w:val="kk-KZ"/>
        </w:rPr>
        <w:fldChar w:fldCharType="begin" w:fldLock="1"/>
      </w:r>
      <w:r w:rsidR="00483103" w:rsidRPr="00185BC0">
        <w:rPr>
          <w:sz w:val="28"/>
          <w:szCs w:val="28"/>
          <w:lang w:val="kk-KZ"/>
        </w:rPr>
        <w:instrText>ADDIN CSL_CITATION {"citationItems":[{"id":"ITEM-1","itemData":{"DOI":"10.3390/jpm14020189","ISSN":"20754426","abstract":"Late-discovered developmental hip dysplasia deformities often necessitate complex surgical treatments and meticulous preoperative planning. The selection of osteotomies is contingent upon the patient’s age and the specific structural deformity of the hip. In our anatomical hip model, derived from the data of a 12-year-old patient, we performed virtual osteotomies that are commonly recommended for such cases. We precisely constructed geometric models for various osteotomies, including the Dega, Pemberton, Tönnis, Ganz, Chiari pelvic, and Pauwels femoral osteotomies. We employed Autodesk Inventor for the finite element analysis of the hip joint and the corrective osteotomies. In comparing one-stage osteotomies, we noted that the Dega and Ganz pelvic osteotomies, especially when combined with the Pauwels femoral osteotomy, yielded the most favorable outcomes. These combinations led to enhanced femoral head coverage and reduced intra-articular pressure. Furthermore, we calculated the femoral head-to-acetabulum volume ratio for both the Dega and Pauwels osteotomies. The encouraging results we obtained advocate for the integration of finite element analysis in virtual osteotomies of the pelvis and femur as a preoperative tool in the management of developmental hip dysplasia.","author":[{"dropping-particle":"","family":"Incze-Bartha","given":"Zsuzsanna","non-dropping-particle":"","parse-names":false,"suffix":""},{"dropping-particle":"","family":"Incze-Bartha","given":"Sandor","non-dropping-particle":"","parse-names":false,"suffix":""},{"dropping-particle":"","family":"Simon-Szabó","given":"Zsuzsánna","non-dropping-particle":"","parse-names":false,"suffix":""},{"dropping-particle":"","family":"Feier","given":"Andrei Marian","non-dropping-particle":"","parse-names":false,"suffix":""},{"dropping-particle":"","family":"Vunvulea","given":"Vlad","non-dropping-particle":"","parse-names":false,"suffix":""},{"dropping-particle":"","family":"Nechifor-Boila","given":"Alin Ioan","non-dropping-particle":"","parse-names":false,"suffix":""},{"dropping-particle":"","family":"Pastorello","given":"Ylenia","non-dropping-particle":"","parse-names":false,"suffix":""},{"dropping-particle":"","family":"Denes","given":"Lorand","non-dropping-particle":"","parse-names":false,"suffix":""}],"container-title":"Journal of Personalized Medicine","id":"ITEM-1","issue":"2","issued":{"date-parts":[["2024"]]},"title":"Finite Element Analysis of Various Osteotomies Used in the Treatment of Developmental Hip Dysplasia in Children","type":"article-journal","volume":"14"},"uris":["http://www.mendeley.com/documents/?uuid=e24574ea-9196-4d40-8705-b17222af3574"]},{"id":"ITEM-2","itemData":{"DOI":"10.1016/j.otsr.2023.103684","ISSN":"18770568","PMID":"37704103","abstract":"Background: When performing total hip arthroplasty in patients with severe developmental dysplasia, shortening the femur facilitates reduction while also preventing sciatic or crural nerve injury and excessive length of the operated limb. No consensus exists about the optimal type of implant and best internal fixation procedure, two parameters that directly govern the risk of the most common intraoperative and postoperative complications (diaphyseal fractures, dislocation, non-union). To minimise these risks, we developed a technique combining a transverse subtrochanteric shortening osteotomy, a long ovoid-profiled, cementless stem anchored in the metaphysis, and double tension-band wiring for internal fixation. The primary objective of this study was to evaluate the outcomes of this technique with emphasis on (i) complications and femoral implant survival, (ii) clinical outcomes (functional scores and lower-limb length inequality [LLLI]), and time to healing. Hypothesis: Our technique is associated with low rates of intraoperative and postoperative complications. Material and methods: This single-centre retrospective cohort study included patients who underwent THA with a transverse subtrochanteric shortening osteotomy and fixation using double tension-band wiring to treat severe (Crowe III or IV) developmental hip dysplasia. The femoral implant was a long, ovoid, cementless stem fully coated with hydroxyapatite. We collected the intraoperative and postoperative complications, survival, LLLI, functional scores (Harris Hip Score [HHS] and Forgotten Joint Score [FJS]), patient satisfaction, and radiographic outcomes. Results: The study included 31 hips in 25 patients. Two patients (2/31 hips, 6.5%) were lost to follow-up, leaving 29 hips for the analysis of postoperative outcomes. Mean follow-up was 13.7 ± 4.2 years (range, 5.8–18.3 years). The four intraoperative complications (4/31, 12.9%) consisted fracture of the diaphysis (2/31, 6.5%), fracture of the greater trochanter (1/31, 3.2%), and sciatic nerve injury followed by a full recovery (1/29, 3.4%). The 8 (8/29, 27.5%) postoperative complications consisted of dislocation (2/29, 6.9%), stem subsidence (2/29, 6.9%), and non-union (4/29, 13.8%). Femoral implant survival at last follow-up was 87.1% (95% CI, 76.1–99.7). The mean HHS increased from 39.6 ± 12.0 (range, 14–61) before surgery to 81.7 ± 13.2 (range, 48–100) at last follow-up (p &lt; 0.01). The FJS at last follow-up indicated that the joint was f…","author":[{"dropping-particle":"","family":"Masson","given":"Jean Baptiste","non-dropping-particle":"","parse-names":false,"suffix":""},{"dropping-particle":"","family":"Foissey","given":"Constant","non-dropping-particle":"","parse-names":false,"suffix":""},{"dropping-particle":"","family":"Bertani","given":"Antoine","non-dropping-particle":"","parse-names":false,"suffix":""},{"dropping-particle":"","family":"Pibarot","given":"Vincent","non-dropping-particle":"","parse-names":false,"suffix":""},{"dropping-particle":"","family":"Rongieras","given":"Frédéric","non-dropping-particle":"","parse-names":false,"suffix":""}],"container-title":"Orthopaedics and Traumatology: Surgery and Research","id":"ITEM-2","issue":"7","issued":{"date-parts":[["2023"]]},"title":"Transverse subtrochanteric shortening osteotomy with double tension-band fixation during THA for Crowe III-IV developmental dysplasia: 12-year outcomes","type":"article-journal","volume":"109"},"uris":["http://www.mendeley.com/documents/?uuid=a04dae26-9e1a-4d41-8b51-a12cbef42cd9"]}],"mendeley":{"formattedCitation":"[126, 128]","plainTextFormattedCitation":"[126, 128]","previouslyFormattedCitation":"[125, 127]"},"properties":{"noteIndex":0},"schema":"https://github.com/citation-style-language/schema/raw/master/csl-citation.json"}</w:instrText>
      </w:r>
      <w:r w:rsidR="00601262" w:rsidRPr="00185BC0">
        <w:rPr>
          <w:sz w:val="28"/>
          <w:szCs w:val="28"/>
          <w:lang w:val="kk-KZ"/>
        </w:rPr>
        <w:fldChar w:fldCharType="separate"/>
      </w:r>
      <w:r w:rsidR="00483103" w:rsidRPr="00185BC0">
        <w:rPr>
          <w:noProof/>
          <w:sz w:val="28"/>
          <w:szCs w:val="28"/>
          <w:lang w:val="kk-KZ"/>
        </w:rPr>
        <w:t>[126, 128]</w:t>
      </w:r>
      <w:r w:rsidR="00601262" w:rsidRPr="00185BC0">
        <w:rPr>
          <w:sz w:val="28"/>
          <w:szCs w:val="28"/>
          <w:lang w:val="kk-KZ"/>
        </w:rPr>
        <w:fldChar w:fldCharType="end"/>
      </w:r>
      <w:r w:rsidR="00387CA6" w:rsidRPr="00185BC0">
        <w:rPr>
          <w:sz w:val="28"/>
          <w:szCs w:val="28"/>
        </w:rPr>
        <w:t>.</w:t>
      </w:r>
      <w:r w:rsidR="001A53C0" w:rsidRPr="00185BC0">
        <w:rPr>
          <w:sz w:val="28"/>
          <w:szCs w:val="28"/>
        </w:rPr>
        <w:t xml:space="preserve"> </w:t>
      </w:r>
      <w:r w:rsidR="00421E32" w:rsidRPr="00185BC0">
        <w:rPr>
          <w:sz w:val="28"/>
          <w:szCs w:val="28"/>
        </w:rPr>
        <w:t xml:space="preserve">Несмотря на идеализированные условия моделирования, требующие дальнейшей валидации на более сложных биомеханических моделях и экспериментальных данных, результаты подтверждают, что </w:t>
      </w:r>
      <w:proofErr w:type="spellStart"/>
      <w:r w:rsidR="00421E32" w:rsidRPr="00185BC0">
        <w:rPr>
          <w:sz w:val="28"/>
          <w:szCs w:val="28"/>
        </w:rPr>
        <w:t>деротационная</w:t>
      </w:r>
      <w:proofErr w:type="spellEnd"/>
      <w:r w:rsidR="00421E32" w:rsidRPr="00185BC0">
        <w:rPr>
          <w:sz w:val="28"/>
          <w:szCs w:val="28"/>
        </w:rPr>
        <w:t xml:space="preserve"> пластина обеспечивает высокую биомеханическую стабильность, снижает смещения и способствует консолидации кости при тяжёлой дисплазии </w:t>
      </w:r>
      <w:proofErr w:type="spellStart"/>
      <w:r w:rsidR="00421E32" w:rsidRPr="00185BC0">
        <w:rPr>
          <w:sz w:val="28"/>
          <w:szCs w:val="28"/>
        </w:rPr>
        <w:t>Crowe</w:t>
      </w:r>
      <w:proofErr w:type="spellEnd"/>
      <w:r w:rsidR="00421E32" w:rsidRPr="00185BC0">
        <w:rPr>
          <w:sz w:val="28"/>
          <w:szCs w:val="28"/>
        </w:rPr>
        <w:t xml:space="preserve"> IV, формируя основу для дальнейшего развития современных титановых систем фиксации </w:t>
      </w:r>
      <w:r w:rsidR="00601262" w:rsidRPr="00185BC0">
        <w:rPr>
          <w:sz w:val="28"/>
          <w:szCs w:val="28"/>
          <w:lang w:val="kk-KZ"/>
        </w:rPr>
        <w:fldChar w:fldCharType="begin" w:fldLock="1"/>
      </w:r>
      <w:r w:rsidR="00483103" w:rsidRPr="00185BC0">
        <w:rPr>
          <w:sz w:val="28"/>
          <w:szCs w:val="28"/>
          <w:lang w:val="kk-KZ"/>
        </w:rPr>
        <w:instrText>ADDIN CSL_CITATION {"citationItems":[{"id":"ITEM-1","itemData":{"DOI":"10.1007/978-3-030-23073-9_4","ISSN":"22129413","abstract":"Osteoarthritis (OA) is a degenerative disease that alters the integrity of the joint. Osteophytes represent abnormal osteocartilaginous outgrowths associated with the evolution of OA. Finite element (FE) analysis was performed on an 3D model of the proximal half of human femur to determine the relevance of osteophytes on the stress and strain distributions within the femur head. We assume that the model includes three linearly elastic, homogeneous and isotropic media representing the articular cartilage, the cortical and trabecular bone. With the aim of a more accurate representation of the physiological conditions, we consider in the FE model the influence of the muscle forces that span the hip joint. We also assume a friction contact between the cartilage layer and the cortical tissue. Simulations were carried out for a healthy and three different stages of OA femur. Different load distributions are considered for the four models due to the alterations of bone structure. The patterns of stress and strain within the trabecular tissue suggest that osteophytes manifestation could justify the development of bone cysts (geodes) and the formation of highly mineralized tissue (eburnation). The FE approach presented in this work could result useful in predicting bone behaviour towards abnormal mechanical solicitations.","author":[{"dropping-particle":"","family":"Bini","given":"Fabiano","non-dropping-particle":"","parse-names":false,"suffix":""},{"dropping-particle":"","family":"Pica","given":"Andrada","non-dropping-particle":"","parse-names":false,"suffix":""},{"dropping-particle":"","family":"Marinozzi","given":"Andrea","non-dropping-particle":"","parse-names":false,"suffix":""},{"dropping-particle":"","family":"Marinozzi","given":"Franco","non-dropping-particle":"","parse-names":false,"suffix":""}],"container-title":"Lecture Notes in Computational Vision and Biomechanics","id":"ITEM-1","issued":{"date-parts":[["2019"]]},"title":"Prediction of stress and strain patterns from load rearrangement in human osteoarthritic femur head: Finite element study with the integration of muscular forces and friction contact","type":"chapter","volume":"999"},"uris":["http://www.mendeley.com/documents/?uuid=1b7539d7-d5dd-3692-af7b-d36cfa4b6983"]},{"id":"ITEM-2","itemData":{"DOI":"10.3390/jpm15010013","ISSN":"20754426","abstract":"Background: Femoral neck fractures are rare but serious injuries in children and adolescents, often resulting from high-energy trauma and prone to complications like avascular necrosis (AVN) and nonunion. Even rarer is the development of slipped capital femoral epiphysis (SCFE) following femoral neck fracture, which presents unique diagnostic and treatment challenges. SCFE can destabilize the femoral head, with severe cases requiring complex surgical interventions. Case presentation: This report details a case of a 15-year-old male with autism spectrum disorder (ASD) who developed severe SCFE one month after treatment for a Delbet type III femoral neck fracture. The condition was managed with an Imhäuser intertrochanteric osteotomy (ITO), in situ fixation (ISF), and osteochondroplasty (OChP), supported by virtual surgical planning (VSP) and 3D-printed patient-specific instruments (PSIs) for precise correction and fixation. Discussion: The surgery was completed without complications. Six months after the operation, the patient exhibited a pain-free, mobile hip with radiographic evidence of fracture healing and no signs of AVN. Functional outcomes were favorable despite rehabilitation challenges due to ASD. Conclusions: The Imhäuser ITO, combined with ISF and OChP, effectively addressed severe SCFE after femoral neck fracture, minimizing AVN risk. VSP and PSIs enhanced surgical accuracy and efficiency, demonstrating their value in treating rare and complex pediatric orthopedic conditions.","author":[{"dropping-particle":"","family":"Trisolino","given":"Giovanni","non-dropping-particle":"","parse-names":false,"suffix":""},{"dropping-particle":"","family":"Menozzi","given":"Grazia Chiara","non-dropping-particle":"","parse-names":false,"suffix":""},{"dropping-particle":"","family":"Depaoli","given":"Alessandro","non-dropping-particle":"","parse-names":false,"suffix":""},{"dropping-particle":"","family":"Schmidt","given":"Olaf Stefan","non-dropping-particle":"","parse-names":false,"suffix":""},{"dropping-particle":"","family":"Ramella","given":"Marco","non-dropping-particle":"","parse-names":false,"suffix":""},{"dropping-particle":"","family":"Viotto","given":"Marianna","non-dropping-particle":"","parse-names":false,"suffix":""},{"dropping-particle":"","family":"Todisco","given":"Marco","non-dropping-particle":"","parse-names":false,"suffix":""},{"dropping-particle":"","family":"Mosca","given":"Massimiliano","non-dropping-particle":"","parse-names":false,"suffix":""},{"dropping-particle":"","family":"Rocca","given":"Gino","non-dropping-particle":"","parse-names":false,"suffix":""}],"container-title":"Journal of Personalized Medicine","id":"ITEM-2","issue":"1","issued":{"date-parts":[["2025"]]},"page":"1-15","title":"In Situ Fixation and Intertrochanteric Osteotomy for Severe Slipped Capital Femoral Epiphysis Following Femoral Neck Fracture: A Case Report with Application of Virtual Surgical Planning and 3D-Printed Patient-Specific Instruments","type":"article-journal","volume":"15"},"uris":["http://www.mendeley.com/documents/?uuid=bfe69d71-bf92-4560-95ca-d66e553f1107"]}],"mendeley":{"formattedCitation":"[129, 130]","plainTextFormattedCitation":"[129, 130]","previouslyFormattedCitation":"[128, 129]"},"properties":{"noteIndex":0},"schema":"https://github.com/citation-style-language/schema/raw/master/csl-citation.json"}</w:instrText>
      </w:r>
      <w:r w:rsidR="00601262" w:rsidRPr="00185BC0">
        <w:rPr>
          <w:sz w:val="28"/>
          <w:szCs w:val="28"/>
          <w:lang w:val="kk-KZ"/>
        </w:rPr>
        <w:fldChar w:fldCharType="separate"/>
      </w:r>
      <w:r w:rsidR="00483103" w:rsidRPr="00185BC0">
        <w:rPr>
          <w:noProof/>
          <w:sz w:val="28"/>
          <w:szCs w:val="28"/>
          <w:lang w:val="kk-KZ"/>
        </w:rPr>
        <w:t>[129, 130]</w:t>
      </w:r>
      <w:r w:rsidR="00601262" w:rsidRPr="00185BC0">
        <w:rPr>
          <w:sz w:val="28"/>
          <w:szCs w:val="28"/>
          <w:lang w:val="kk-KZ"/>
        </w:rPr>
        <w:fldChar w:fldCharType="end"/>
      </w:r>
      <w:r w:rsidR="00387CA6" w:rsidRPr="00185BC0">
        <w:rPr>
          <w:sz w:val="28"/>
          <w:szCs w:val="28"/>
          <w:lang w:val="tr-TR"/>
        </w:rPr>
        <w:t>.</w:t>
      </w:r>
    </w:p>
    <w:p w14:paraId="2C391F8C" w14:textId="77777777" w:rsidR="00421E32" w:rsidRPr="00185BC0" w:rsidRDefault="00421E32" w:rsidP="00421E32">
      <w:pPr>
        <w:ind w:firstLine="720"/>
        <w:jc w:val="both"/>
        <w:rPr>
          <w:sz w:val="28"/>
          <w:szCs w:val="28"/>
          <w:lang w:val="tr-TR"/>
        </w:rPr>
      </w:pPr>
      <w:r w:rsidRPr="00185BC0">
        <w:rPr>
          <w:sz w:val="28"/>
          <w:szCs w:val="28"/>
          <w:lang w:val="tr-TR"/>
        </w:rPr>
        <w:t>В совокупности показано, что при максимальном напряжении 76 МПа (при пределе текучести 900–1100 МПа), смещениях 0,08 мм (против 0,1451 мм у головки протеза) и коэффициенте запаса прочности 3,63 конструкция демонстрирует высокую несущую способность и стабильность; при этом относительная уязвимость костной ткани (коэффициент 1,24) требует учёта в клинической тактике, но не нивелирует преимущества системы.</w:t>
      </w:r>
    </w:p>
    <w:p w14:paraId="6398DD74" w14:textId="40A2D2E7" w:rsidR="00387CA6" w:rsidRPr="00185BC0" w:rsidRDefault="00421E32" w:rsidP="00421E32">
      <w:pPr>
        <w:ind w:firstLine="720"/>
        <w:jc w:val="both"/>
        <w:rPr>
          <w:sz w:val="28"/>
          <w:szCs w:val="28"/>
        </w:rPr>
      </w:pPr>
      <w:r w:rsidRPr="00185BC0">
        <w:rPr>
          <w:sz w:val="28"/>
          <w:szCs w:val="28"/>
          <w:lang w:val="tr-TR"/>
        </w:rPr>
        <w:t>В рамках работы разработан поэтапный алгоритм предоперационного планирования укорачивающей остеотомии бедренной кости при Crowe IV, включающий оценку укорочения, смещения головки бедра, расчёт объёма резекции, выбор уровня остеотомии и планирование фиксации с возможностью корректирующей деротации проксимального фрагмента. Применение данного алгоритма позволяет стандартизировать предоперационную подготовку, снизить риск ошибок при расчёте объёма резекции, минимизировать вероятность повреждения нервно-сосудистых структур и обеспечить надёжную стабилизацию костных фрагментов, создавая оптимальные условия для консолидации и восстановления длины конечности.</w:t>
      </w:r>
    </w:p>
    <w:p w14:paraId="70F67346" w14:textId="271FBA06" w:rsidR="001A53C0" w:rsidRPr="00185BC0" w:rsidRDefault="001A53C0" w:rsidP="001A53C0">
      <w:pPr>
        <w:ind w:firstLine="720"/>
        <w:jc w:val="both"/>
        <w:rPr>
          <w:sz w:val="28"/>
          <w:szCs w:val="28"/>
        </w:rPr>
      </w:pPr>
      <w:r w:rsidRPr="00185BC0">
        <w:rPr>
          <w:sz w:val="28"/>
          <w:szCs w:val="28"/>
        </w:rPr>
        <w:t xml:space="preserve">Для оценки клинической эффективности различных методов остеосинтеза зоны остеотомии у пациентов с диспластическим коксартрозом IV типа по классификации </w:t>
      </w:r>
      <w:proofErr w:type="spellStart"/>
      <w:r w:rsidRPr="00185BC0">
        <w:rPr>
          <w:sz w:val="28"/>
          <w:szCs w:val="28"/>
        </w:rPr>
        <w:t>Crowe</w:t>
      </w:r>
      <w:proofErr w:type="spellEnd"/>
      <w:r w:rsidRPr="00185BC0">
        <w:rPr>
          <w:sz w:val="28"/>
          <w:szCs w:val="28"/>
        </w:rPr>
        <w:t xml:space="preserve"> был проведён сравнительный анализ двух клинически сопоставимых групп (n = 60). Средний возраст обследованных составил 41,52 ± 11,43 года (диапазон 19–60 лет), что соответствует преимущественно молодой и средней возрастной категории. В выборке доминировали женщины </w:t>
      </w:r>
      <w:r w:rsidR="00DA5A93" w:rsidRPr="00185BC0">
        <w:rPr>
          <w:sz w:val="28"/>
          <w:szCs w:val="28"/>
        </w:rPr>
        <w:t>–</w:t>
      </w:r>
      <w:r w:rsidRPr="00185BC0">
        <w:rPr>
          <w:sz w:val="28"/>
          <w:szCs w:val="28"/>
        </w:rPr>
        <w:t xml:space="preserve"> 83,3% (n = </w:t>
      </w:r>
      <w:r w:rsidRPr="00185BC0">
        <w:rPr>
          <w:sz w:val="28"/>
          <w:szCs w:val="28"/>
        </w:rPr>
        <w:lastRenderedPageBreak/>
        <w:t>50), тогда как мужчины составляли 16,7% (n = 10).</w:t>
      </w:r>
    </w:p>
    <w:p w14:paraId="5C477EC6" w14:textId="25293C79" w:rsidR="001A53C0" w:rsidRPr="00185BC0" w:rsidRDefault="001A53C0" w:rsidP="001A53C0">
      <w:pPr>
        <w:ind w:firstLine="720"/>
        <w:jc w:val="both"/>
        <w:rPr>
          <w:sz w:val="28"/>
          <w:szCs w:val="28"/>
        </w:rPr>
      </w:pPr>
      <w:r w:rsidRPr="00185BC0">
        <w:rPr>
          <w:sz w:val="28"/>
          <w:szCs w:val="28"/>
        </w:rPr>
        <w:t xml:space="preserve">По стороне поражения чаще выявлялась левосторонняя локализация </w:t>
      </w:r>
      <w:r w:rsidR="00DA5A93" w:rsidRPr="00185BC0">
        <w:rPr>
          <w:sz w:val="28"/>
          <w:szCs w:val="28"/>
        </w:rPr>
        <w:t>–</w:t>
      </w:r>
      <w:r w:rsidRPr="00185BC0">
        <w:rPr>
          <w:sz w:val="28"/>
          <w:szCs w:val="28"/>
        </w:rPr>
        <w:t xml:space="preserve"> 61,7% (n = 37) против 38,3% (n = 23) для правосторонней. Большинство пациентов имели односторонний характер патологии: левосторонний </w:t>
      </w:r>
      <w:r w:rsidR="00DA5A93" w:rsidRPr="00185BC0">
        <w:rPr>
          <w:sz w:val="28"/>
          <w:szCs w:val="28"/>
        </w:rPr>
        <w:t>–</w:t>
      </w:r>
      <w:r w:rsidRPr="00185BC0">
        <w:rPr>
          <w:sz w:val="28"/>
          <w:szCs w:val="28"/>
        </w:rPr>
        <w:t xml:space="preserve"> у 43,3% (n = 26) и правосторонний </w:t>
      </w:r>
      <w:r w:rsidR="00DA5A93" w:rsidRPr="00185BC0">
        <w:rPr>
          <w:sz w:val="28"/>
          <w:szCs w:val="28"/>
        </w:rPr>
        <w:t>–</w:t>
      </w:r>
      <w:r w:rsidRPr="00185BC0">
        <w:rPr>
          <w:sz w:val="28"/>
          <w:szCs w:val="28"/>
        </w:rPr>
        <w:t xml:space="preserve"> у 45,0% (n = 27); двусторонняя дисплазия встречалась значительно реже </w:t>
      </w:r>
      <w:r w:rsidR="00DA5A93" w:rsidRPr="00185BC0">
        <w:rPr>
          <w:sz w:val="28"/>
          <w:szCs w:val="28"/>
        </w:rPr>
        <w:t>–</w:t>
      </w:r>
      <w:r w:rsidRPr="00185BC0">
        <w:rPr>
          <w:sz w:val="28"/>
          <w:szCs w:val="28"/>
        </w:rPr>
        <w:t xml:space="preserve"> у 11,7% (n = 7). Таким образом, клинический портрет выборки характеризуется преобладанием женщин с односторонним поражением, преимущественно левосторонним.</w:t>
      </w:r>
    </w:p>
    <w:p w14:paraId="0C64FDFC" w14:textId="4D02D821" w:rsidR="001A53C0" w:rsidRPr="00185BC0" w:rsidRDefault="001A53C0" w:rsidP="001A53C0">
      <w:pPr>
        <w:ind w:firstLine="720"/>
        <w:jc w:val="both"/>
        <w:rPr>
          <w:sz w:val="28"/>
          <w:szCs w:val="28"/>
        </w:rPr>
      </w:pPr>
      <w:r w:rsidRPr="00185BC0">
        <w:rPr>
          <w:sz w:val="28"/>
          <w:szCs w:val="28"/>
        </w:rPr>
        <w:t xml:space="preserve">Антропометрические показатели пациентов находились в пределах сравнимых значений: средний рост </w:t>
      </w:r>
      <w:r w:rsidR="00DA5A93" w:rsidRPr="00185BC0">
        <w:rPr>
          <w:sz w:val="28"/>
          <w:szCs w:val="28"/>
        </w:rPr>
        <w:t>–</w:t>
      </w:r>
      <w:r w:rsidRPr="00185BC0">
        <w:rPr>
          <w:sz w:val="28"/>
          <w:szCs w:val="28"/>
        </w:rPr>
        <w:t xml:space="preserve"> 160,95 ± 8,32 см (140–178 см), масса тела </w:t>
      </w:r>
      <w:r w:rsidR="00DA5A93" w:rsidRPr="00185BC0">
        <w:rPr>
          <w:sz w:val="28"/>
          <w:szCs w:val="28"/>
        </w:rPr>
        <w:t>–</w:t>
      </w:r>
      <w:r w:rsidRPr="00185BC0">
        <w:rPr>
          <w:sz w:val="28"/>
          <w:szCs w:val="28"/>
        </w:rPr>
        <w:t xml:space="preserve"> 68,33 ± 10,29 кг (42–90 кг), индекс массы тела </w:t>
      </w:r>
      <w:r w:rsidR="00DA5A93" w:rsidRPr="00185BC0">
        <w:rPr>
          <w:sz w:val="28"/>
          <w:szCs w:val="28"/>
        </w:rPr>
        <w:t>–</w:t>
      </w:r>
      <w:r w:rsidRPr="00185BC0">
        <w:rPr>
          <w:sz w:val="28"/>
          <w:szCs w:val="28"/>
        </w:rPr>
        <w:t xml:space="preserve"> 26,41 ± 3,88 кг/м² (18,70–34,48 кг/м²), что соответствует нормальным и умеренно избыточным категориям. Медиана длительности госпитализации составила 14,0 суток (Q1–Q3: 13,0–17,0; </w:t>
      </w:r>
      <w:proofErr w:type="spellStart"/>
      <w:r w:rsidRPr="00185BC0">
        <w:rPr>
          <w:sz w:val="28"/>
          <w:szCs w:val="28"/>
        </w:rPr>
        <w:t>min</w:t>
      </w:r>
      <w:proofErr w:type="spellEnd"/>
      <w:r w:rsidRPr="00185BC0">
        <w:rPr>
          <w:sz w:val="28"/>
          <w:szCs w:val="28"/>
        </w:rPr>
        <w:t>–</w:t>
      </w:r>
      <w:proofErr w:type="spellStart"/>
      <w:r w:rsidRPr="00185BC0">
        <w:rPr>
          <w:sz w:val="28"/>
          <w:szCs w:val="28"/>
        </w:rPr>
        <w:t>max</w:t>
      </w:r>
      <w:proofErr w:type="spellEnd"/>
      <w:r w:rsidRPr="00185BC0">
        <w:rPr>
          <w:sz w:val="28"/>
          <w:szCs w:val="28"/>
        </w:rPr>
        <w:t>: 9–23).</w:t>
      </w:r>
    </w:p>
    <w:p w14:paraId="089EE6A8" w14:textId="4EB23F97" w:rsidR="001A53C0" w:rsidRPr="00185BC0" w:rsidRDefault="001A53C0" w:rsidP="001A53C0">
      <w:pPr>
        <w:ind w:firstLine="720"/>
        <w:jc w:val="both"/>
        <w:rPr>
          <w:sz w:val="28"/>
          <w:szCs w:val="28"/>
        </w:rPr>
      </w:pPr>
      <w:r w:rsidRPr="00185BC0">
        <w:rPr>
          <w:sz w:val="28"/>
          <w:szCs w:val="28"/>
        </w:rPr>
        <w:t xml:space="preserve">Основную группу (n = 30) составили пациенты, у которых фиксация зоны поперечной </w:t>
      </w:r>
      <w:proofErr w:type="spellStart"/>
      <w:r w:rsidRPr="00185BC0">
        <w:rPr>
          <w:sz w:val="28"/>
          <w:szCs w:val="28"/>
        </w:rPr>
        <w:t>подвертельной</w:t>
      </w:r>
      <w:proofErr w:type="spellEnd"/>
      <w:r w:rsidRPr="00185BC0">
        <w:rPr>
          <w:sz w:val="28"/>
          <w:szCs w:val="28"/>
        </w:rPr>
        <w:t xml:space="preserve"> остеотомии выполнялась с использованием разработанной </w:t>
      </w:r>
      <w:proofErr w:type="spellStart"/>
      <w:r w:rsidRPr="00185BC0">
        <w:rPr>
          <w:sz w:val="28"/>
          <w:szCs w:val="28"/>
        </w:rPr>
        <w:t>деротационной</w:t>
      </w:r>
      <w:proofErr w:type="spellEnd"/>
      <w:r w:rsidRPr="00185BC0">
        <w:rPr>
          <w:sz w:val="28"/>
          <w:szCs w:val="28"/>
        </w:rPr>
        <w:t xml:space="preserve"> пластины. В контрольную группу (n = 30) вошли пациенты, у которых применялась традиционная фиксирующая пластина. Средний возраст пациентов основной группы составил 39,23 ± 11,6 года, а контрольной </w:t>
      </w:r>
      <w:r w:rsidR="00DA5A93" w:rsidRPr="00185BC0">
        <w:rPr>
          <w:sz w:val="28"/>
          <w:szCs w:val="28"/>
        </w:rPr>
        <w:t>–</w:t>
      </w:r>
      <w:r w:rsidRPr="00185BC0">
        <w:rPr>
          <w:sz w:val="28"/>
          <w:szCs w:val="28"/>
        </w:rPr>
        <w:t xml:space="preserve"> 43,80 ± 11,0 года. В обеих группах отмечалось преобладание женщин: 80,0% (n = 24) в основной и 86,7% (n = 26) в контрольной группе.</w:t>
      </w:r>
    </w:p>
    <w:p w14:paraId="484F8BE6" w14:textId="581E051D" w:rsidR="00387CA6" w:rsidRPr="00185BC0" w:rsidRDefault="001A53C0" w:rsidP="001A53C0">
      <w:pPr>
        <w:ind w:firstLine="720"/>
        <w:jc w:val="both"/>
        <w:rPr>
          <w:sz w:val="28"/>
          <w:szCs w:val="28"/>
        </w:rPr>
      </w:pPr>
      <w:r w:rsidRPr="00185BC0">
        <w:rPr>
          <w:sz w:val="28"/>
          <w:szCs w:val="28"/>
        </w:rPr>
        <w:t>Антропометрические показатели в группах статистически значимо не различались. Средний рост составил 161,5 ± 7,88 см в основной и 160,4 ± 8,83 см в контрольной группе (p = 0,613). Масса тела также была сопоставимой: 67,90 ± 9,06 кг против 68,77 ± 11,53 кг (p = 0,747). Индекс массы тела не имел статистически значимых различий: 26,07 ± 3,66 кг/м² в основной и 26,75 ± 4,13 кг/м² в контрольной группе (p = 0,502). Длительность госпитализации была одинаковой: медиана 14,0 суток [13,0; 17,0] в основной и 14,0 суток [13,0; 16,0] в контрольной группе (p = 0,834).</w:t>
      </w:r>
    </w:p>
    <w:p w14:paraId="692A2C88" w14:textId="77777777" w:rsidR="001A53C0" w:rsidRPr="00185BC0" w:rsidRDefault="001A53C0" w:rsidP="001A53C0">
      <w:pPr>
        <w:ind w:firstLine="720"/>
        <w:jc w:val="both"/>
        <w:rPr>
          <w:sz w:val="28"/>
          <w:szCs w:val="28"/>
        </w:rPr>
      </w:pPr>
      <w:r w:rsidRPr="00185BC0">
        <w:rPr>
          <w:sz w:val="28"/>
          <w:szCs w:val="28"/>
        </w:rPr>
        <w:t>Все пациенты основной группы включались в исследование в плановом порядке по заранее определённым критериям, данные контрольной группы были получены ретроспективно с соблюдением принципов сопоставимости. На момент включения пациенты обеих групп не имели системных воспалительных заболеваний, декомпенсированных соматических состояний или другой патологии, способной повлиять на объём и тактику оперативного вмешательства.</w:t>
      </w:r>
    </w:p>
    <w:p w14:paraId="6FD642C9" w14:textId="77777777" w:rsidR="001A53C0" w:rsidRPr="00185BC0" w:rsidRDefault="001A53C0" w:rsidP="001A53C0">
      <w:pPr>
        <w:ind w:firstLine="720"/>
        <w:jc w:val="both"/>
        <w:rPr>
          <w:sz w:val="28"/>
          <w:szCs w:val="28"/>
        </w:rPr>
      </w:pPr>
      <w:r w:rsidRPr="00185BC0">
        <w:rPr>
          <w:sz w:val="28"/>
          <w:szCs w:val="28"/>
        </w:rPr>
        <w:t>Клинико-демографический анализ подтвердил отсутствие статистически значимых различий между группами по возрасту, полу, росту, массе тела, ИМТ и длительности госпитализации (</w:t>
      </w:r>
      <w:proofErr w:type="gramStart"/>
      <w:r w:rsidRPr="00185BC0">
        <w:rPr>
          <w:sz w:val="28"/>
          <w:szCs w:val="28"/>
        </w:rPr>
        <w:t>p &gt;</w:t>
      </w:r>
      <w:proofErr w:type="gramEnd"/>
      <w:r w:rsidRPr="00185BC0">
        <w:rPr>
          <w:sz w:val="28"/>
          <w:szCs w:val="28"/>
        </w:rPr>
        <w:t xml:space="preserve"> 0,05), что обеспечивает корректность последующего сравнительного анализа методов фиксации остеотомии. У всех пациентов в анамнезе отмечалась врождённая дисплазия тазобедренного сустава с прогрессированием до тяжёлого коксартроза.</w:t>
      </w:r>
    </w:p>
    <w:p w14:paraId="51F45A41" w14:textId="472381DF" w:rsidR="00387CA6" w:rsidRPr="00185BC0" w:rsidRDefault="001A53C0" w:rsidP="001A53C0">
      <w:pPr>
        <w:ind w:firstLine="720"/>
        <w:jc w:val="both"/>
        <w:rPr>
          <w:sz w:val="28"/>
          <w:szCs w:val="28"/>
        </w:rPr>
      </w:pPr>
      <w:r w:rsidRPr="00185BC0">
        <w:rPr>
          <w:sz w:val="28"/>
          <w:szCs w:val="28"/>
        </w:rPr>
        <w:t xml:space="preserve">Распределение локализации патологии также оказалось сопоставимым: в основной группе правосторонняя дисплазия выявлена у 50,0% (n = 15), левосторонняя </w:t>
      </w:r>
      <w:r w:rsidR="00DA5A93" w:rsidRPr="00185BC0">
        <w:rPr>
          <w:sz w:val="28"/>
          <w:szCs w:val="28"/>
        </w:rPr>
        <w:t>–</w:t>
      </w:r>
      <w:r w:rsidRPr="00185BC0">
        <w:rPr>
          <w:sz w:val="28"/>
          <w:szCs w:val="28"/>
        </w:rPr>
        <w:t xml:space="preserve"> у 43,3% (n = 13), двусторонняя </w:t>
      </w:r>
      <w:r w:rsidR="00DA5A93" w:rsidRPr="00185BC0">
        <w:rPr>
          <w:sz w:val="28"/>
          <w:szCs w:val="28"/>
        </w:rPr>
        <w:t>–</w:t>
      </w:r>
      <w:r w:rsidRPr="00185BC0">
        <w:rPr>
          <w:sz w:val="28"/>
          <w:szCs w:val="28"/>
        </w:rPr>
        <w:t xml:space="preserve"> у 6,7% (n = 2); в контрольной </w:t>
      </w:r>
      <w:r w:rsidR="00DA5A93" w:rsidRPr="00185BC0">
        <w:rPr>
          <w:sz w:val="28"/>
          <w:szCs w:val="28"/>
        </w:rPr>
        <w:lastRenderedPageBreak/>
        <w:t>–</w:t>
      </w:r>
      <w:r w:rsidRPr="00185BC0">
        <w:rPr>
          <w:sz w:val="28"/>
          <w:szCs w:val="28"/>
        </w:rPr>
        <w:t xml:space="preserve"> соответственно 40,0% (n = 12), 43,3% (n = 13) и 16,7% (n = 5) (p = 0,445). Медиана анатомического укорочения конечности составила 4,0 см в обеих группах (p = 0,611).</w:t>
      </w:r>
    </w:p>
    <w:p w14:paraId="4B981358" w14:textId="45CFD263" w:rsidR="001A53C0" w:rsidRPr="00185BC0" w:rsidRDefault="001A53C0" w:rsidP="001A53C0">
      <w:pPr>
        <w:ind w:firstLine="720"/>
        <w:jc w:val="both"/>
        <w:rPr>
          <w:sz w:val="28"/>
          <w:szCs w:val="28"/>
        </w:rPr>
      </w:pPr>
      <w:r w:rsidRPr="00185BC0">
        <w:rPr>
          <w:sz w:val="28"/>
          <w:szCs w:val="28"/>
        </w:rPr>
        <w:t xml:space="preserve">По данным обзорной рентгенографии у всех пациентов с диспластическим коксартрозом IV типа по </w:t>
      </w:r>
      <w:proofErr w:type="spellStart"/>
      <w:r w:rsidRPr="00185BC0">
        <w:rPr>
          <w:sz w:val="28"/>
          <w:szCs w:val="28"/>
        </w:rPr>
        <w:t>Crowe</w:t>
      </w:r>
      <w:proofErr w:type="spellEnd"/>
      <w:r w:rsidRPr="00185BC0">
        <w:rPr>
          <w:sz w:val="28"/>
          <w:szCs w:val="28"/>
        </w:rPr>
        <w:t xml:space="preserve"> отмечалось выраженное краниальное смещение головок бедренных костей с формированием </w:t>
      </w:r>
      <w:proofErr w:type="spellStart"/>
      <w:r w:rsidRPr="00185BC0">
        <w:rPr>
          <w:sz w:val="28"/>
          <w:szCs w:val="28"/>
        </w:rPr>
        <w:t>неоартрозов</w:t>
      </w:r>
      <w:proofErr w:type="spellEnd"/>
      <w:r w:rsidRPr="00185BC0">
        <w:rPr>
          <w:sz w:val="28"/>
          <w:szCs w:val="28"/>
        </w:rPr>
        <w:t xml:space="preserve"> на крыле подвздошной кости. Истинные вертлужные впадины характеризовались гипоплазией, уменьшением глубины и </w:t>
      </w:r>
      <w:proofErr w:type="spellStart"/>
      <w:r w:rsidRPr="00185BC0">
        <w:rPr>
          <w:sz w:val="28"/>
          <w:szCs w:val="28"/>
        </w:rPr>
        <w:t>наклонённостью</w:t>
      </w:r>
      <w:proofErr w:type="spellEnd"/>
      <w:r w:rsidRPr="00185BC0">
        <w:rPr>
          <w:sz w:val="28"/>
          <w:szCs w:val="28"/>
        </w:rPr>
        <w:t xml:space="preserve"> крыши, что сопровождалось недостаточным латеральным покрытием головки бедра и наличием вторичных дегенеративных изменений (</w:t>
      </w:r>
      <w:proofErr w:type="spellStart"/>
      <w:r w:rsidRPr="00185BC0">
        <w:rPr>
          <w:sz w:val="28"/>
          <w:szCs w:val="28"/>
        </w:rPr>
        <w:t>субхондральный</w:t>
      </w:r>
      <w:proofErr w:type="spellEnd"/>
      <w:r w:rsidRPr="00185BC0">
        <w:rPr>
          <w:sz w:val="28"/>
          <w:szCs w:val="28"/>
        </w:rPr>
        <w:t xml:space="preserve"> склероз, остеофиты, кистозная перестройка).</w:t>
      </w:r>
      <w:r w:rsidR="00002582" w:rsidRPr="00185BC0">
        <w:rPr>
          <w:sz w:val="28"/>
          <w:szCs w:val="28"/>
        </w:rPr>
        <w:t xml:space="preserve"> </w:t>
      </w:r>
      <w:r w:rsidRPr="00185BC0">
        <w:rPr>
          <w:sz w:val="28"/>
          <w:szCs w:val="28"/>
        </w:rPr>
        <w:t xml:space="preserve">Количественный анализ смещения головки бедренной кости подтвердил тяжёлую степень вывиха: при правостороннем поражении </w:t>
      </w:r>
      <w:r w:rsidR="00DA5A93" w:rsidRPr="00185BC0">
        <w:rPr>
          <w:sz w:val="28"/>
          <w:szCs w:val="28"/>
        </w:rPr>
        <w:t>–</w:t>
      </w:r>
      <w:r w:rsidRPr="00185BC0">
        <w:rPr>
          <w:sz w:val="28"/>
          <w:szCs w:val="28"/>
        </w:rPr>
        <w:t xml:space="preserve"> 7,25 ± 2,14 мм (3,3–9,79 мм), при левостороннем </w:t>
      </w:r>
      <w:r w:rsidR="00DA5A93" w:rsidRPr="00185BC0">
        <w:rPr>
          <w:sz w:val="28"/>
          <w:szCs w:val="28"/>
        </w:rPr>
        <w:t>–</w:t>
      </w:r>
      <w:r w:rsidRPr="00185BC0">
        <w:rPr>
          <w:sz w:val="28"/>
          <w:szCs w:val="28"/>
        </w:rPr>
        <w:t xml:space="preserve"> 6,59 ± 1,93 мм (4,18–10,6 мм); у больных с двусторонней формой </w:t>
      </w:r>
      <w:r w:rsidR="00DA5A93" w:rsidRPr="00185BC0">
        <w:rPr>
          <w:sz w:val="28"/>
          <w:szCs w:val="28"/>
        </w:rPr>
        <w:t>–</w:t>
      </w:r>
      <w:r w:rsidRPr="00185BC0">
        <w:rPr>
          <w:sz w:val="28"/>
          <w:szCs w:val="28"/>
        </w:rPr>
        <w:t xml:space="preserve"> 5,86 ± 2,30 мм (справа) и 6,6 ± 2,96 мм (слева). Эти данные служат объективным обоснованием необходимости выполнения укорачивающей </w:t>
      </w:r>
      <w:proofErr w:type="spellStart"/>
      <w:r w:rsidRPr="00185BC0">
        <w:rPr>
          <w:sz w:val="28"/>
          <w:szCs w:val="28"/>
        </w:rPr>
        <w:t>подвертельной</w:t>
      </w:r>
      <w:proofErr w:type="spellEnd"/>
      <w:r w:rsidRPr="00185BC0">
        <w:rPr>
          <w:sz w:val="28"/>
          <w:szCs w:val="28"/>
        </w:rPr>
        <w:t xml:space="preserve"> остеотомии для безопасной анатомической репозиции.</w:t>
      </w:r>
    </w:p>
    <w:p w14:paraId="2A7FD63B" w14:textId="284AE49F" w:rsidR="00387CA6" w:rsidRPr="00185BC0" w:rsidRDefault="001A53C0" w:rsidP="001A53C0">
      <w:pPr>
        <w:ind w:firstLine="720"/>
        <w:jc w:val="both"/>
        <w:rPr>
          <w:sz w:val="28"/>
          <w:szCs w:val="28"/>
        </w:rPr>
      </w:pPr>
      <w:r w:rsidRPr="00185BC0">
        <w:rPr>
          <w:sz w:val="28"/>
          <w:szCs w:val="28"/>
        </w:rPr>
        <w:t xml:space="preserve">Компьютерная томография выявила типичные изменения при </w:t>
      </w:r>
      <w:proofErr w:type="spellStart"/>
      <w:r w:rsidRPr="00185BC0">
        <w:rPr>
          <w:sz w:val="28"/>
          <w:szCs w:val="28"/>
        </w:rPr>
        <w:t>Crowe</w:t>
      </w:r>
      <w:proofErr w:type="spellEnd"/>
      <w:r w:rsidRPr="00185BC0">
        <w:rPr>
          <w:sz w:val="28"/>
          <w:szCs w:val="28"/>
        </w:rPr>
        <w:t xml:space="preserve"> IV: гипоплазию и деформацию вертлужной впадины, проксимальное смещение головки бедренной кости, значительное сужение костномозгового канала и избыточную </w:t>
      </w:r>
      <w:proofErr w:type="spellStart"/>
      <w:r w:rsidRPr="00185BC0">
        <w:rPr>
          <w:sz w:val="28"/>
          <w:szCs w:val="28"/>
        </w:rPr>
        <w:t>антеторсию</w:t>
      </w:r>
      <w:proofErr w:type="spellEnd"/>
      <w:r w:rsidRPr="00185BC0">
        <w:rPr>
          <w:sz w:val="28"/>
          <w:szCs w:val="28"/>
        </w:rPr>
        <w:t xml:space="preserve"> проксимального отдела бедра, а также диспластические изменения тазовых костей и умеренную асимметрию тазового кольца.</w:t>
      </w:r>
    </w:p>
    <w:p w14:paraId="13D7FF64" w14:textId="6871188D" w:rsidR="00387CA6" w:rsidRPr="00185BC0" w:rsidRDefault="00002582" w:rsidP="00002582">
      <w:pPr>
        <w:ind w:firstLine="720"/>
        <w:jc w:val="both"/>
        <w:rPr>
          <w:sz w:val="28"/>
          <w:szCs w:val="28"/>
        </w:rPr>
      </w:pPr>
      <w:proofErr w:type="spellStart"/>
      <w:r w:rsidRPr="00185BC0">
        <w:rPr>
          <w:sz w:val="28"/>
          <w:szCs w:val="28"/>
        </w:rPr>
        <w:t>Телерентгенография</w:t>
      </w:r>
      <w:proofErr w:type="spellEnd"/>
      <w:r w:rsidRPr="00185BC0">
        <w:rPr>
          <w:sz w:val="28"/>
          <w:szCs w:val="28"/>
        </w:rPr>
        <w:t xml:space="preserve"> позволила количественно оценить длину сегментов нижних конечностей и степень анатомического укорочения. </w:t>
      </w:r>
      <w:proofErr w:type="spellStart"/>
      <w:r w:rsidRPr="00185BC0">
        <w:rPr>
          <w:sz w:val="28"/>
          <w:szCs w:val="28"/>
        </w:rPr>
        <w:t>Телерентгенография</w:t>
      </w:r>
      <w:proofErr w:type="spellEnd"/>
      <w:r w:rsidRPr="00185BC0">
        <w:rPr>
          <w:sz w:val="28"/>
          <w:szCs w:val="28"/>
        </w:rPr>
        <w:t xml:space="preserve"> позволила количественно оценить длину сегментов нижних конечностей и степень анатомического укорочения. У правой конечности длина бедренной кости уменьшилась с 40,37 ± 2,98 см до 38,43 ± 3,78 см (p </w:t>
      </w:r>
      <w:proofErr w:type="gramStart"/>
      <w:r w:rsidRPr="00185BC0">
        <w:rPr>
          <w:sz w:val="28"/>
          <w:szCs w:val="28"/>
        </w:rPr>
        <w:t>&lt; 0,001</w:t>
      </w:r>
      <w:proofErr w:type="gramEnd"/>
      <w:r w:rsidRPr="00185BC0">
        <w:rPr>
          <w:sz w:val="28"/>
          <w:szCs w:val="28"/>
        </w:rPr>
        <w:t xml:space="preserve">), тогда как длина большеберцовой кости оставалась неизменной (35,01 ± 2,52 см). Суммарная длина сегментов увеличилась с 69,95 ± 5,12 см до 73,44 ± 5,90 см (p </w:t>
      </w:r>
      <w:proofErr w:type="gramStart"/>
      <w:r w:rsidRPr="00185BC0">
        <w:rPr>
          <w:sz w:val="28"/>
          <w:szCs w:val="28"/>
        </w:rPr>
        <w:t>&lt; 0,001</w:t>
      </w:r>
      <w:proofErr w:type="gramEnd"/>
      <w:r w:rsidRPr="00185BC0">
        <w:rPr>
          <w:sz w:val="28"/>
          <w:szCs w:val="28"/>
        </w:rPr>
        <w:t xml:space="preserve">), общая длина конечности </w:t>
      </w:r>
      <w:r w:rsidR="00DA5A93" w:rsidRPr="00185BC0">
        <w:rPr>
          <w:sz w:val="28"/>
          <w:szCs w:val="28"/>
        </w:rPr>
        <w:t>–</w:t>
      </w:r>
      <w:r w:rsidRPr="00185BC0">
        <w:rPr>
          <w:sz w:val="28"/>
          <w:szCs w:val="28"/>
        </w:rPr>
        <w:t xml:space="preserve"> с 78,53 ± 5,00 см до 79,28 ± 4,69 см (p &lt; 0,001). Для левой конечности также отмечалось уменьшение длины бедренной кости (39,31 ± 3,41 см → 36,96 ± 2,52 см; p </w:t>
      </w:r>
      <w:proofErr w:type="gramStart"/>
      <w:r w:rsidRPr="00185BC0">
        <w:rPr>
          <w:sz w:val="28"/>
          <w:szCs w:val="28"/>
        </w:rPr>
        <w:t>&lt; 0,001</w:t>
      </w:r>
      <w:proofErr w:type="gramEnd"/>
      <w:r w:rsidRPr="00185BC0">
        <w:rPr>
          <w:sz w:val="28"/>
          <w:szCs w:val="28"/>
        </w:rPr>
        <w:t xml:space="preserve">) при отсутствии значимых изменений длины большеберцовой кости (34,94 ± 2,65 см → 34,96 ± 2,64 см; p = 0,395). Суммарная длина сегментов составила 72,24 ± 4,88 см (p </w:t>
      </w:r>
      <w:proofErr w:type="gramStart"/>
      <w:r w:rsidRPr="00185BC0">
        <w:rPr>
          <w:sz w:val="28"/>
          <w:szCs w:val="28"/>
        </w:rPr>
        <w:t>&lt; 0,001</w:t>
      </w:r>
      <w:proofErr w:type="gramEnd"/>
      <w:r w:rsidRPr="00185BC0">
        <w:rPr>
          <w:sz w:val="28"/>
          <w:szCs w:val="28"/>
        </w:rPr>
        <w:t>), общая длина конечности увеличилась с 77,07 ± 4,72 см до 79,11 ± 4,97 см (p &lt; 0,001). После оперативного вмешательства различий между правой и левой конечностями по длине сегментов и общей длине не выявлено (</w:t>
      </w:r>
      <w:proofErr w:type="gramStart"/>
      <w:r w:rsidRPr="00185BC0">
        <w:rPr>
          <w:sz w:val="28"/>
          <w:szCs w:val="28"/>
        </w:rPr>
        <w:t>p &gt;</w:t>
      </w:r>
      <w:proofErr w:type="gramEnd"/>
      <w:r w:rsidRPr="00185BC0">
        <w:rPr>
          <w:sz w:val="28"/>
          <w:szCs w:val="28"/>
        </w:rPr>
        <w:t xml:space="preserve"> 0,05), что свидетельствует о восстановлении анатомической симметрии и подтверждает эффективность выполненной коррекции.</w:t>
      </w:r>
    </w:p>
    <w:p w14:paraId="606D4889" w14:textId="77777777" w:rsidR="00387CA6" w:rsidRPr="00185BC0" w:rsidRDefault="00387CA6" w:rsidP="00387CA6">
      <w:pPr>
        <w:ind w:firstLine="720"/>
        <w:jc w:val="both"/>
        <w:rPr>
          <w:sz w:val="28"/>
          <w:szCs w:val="28"/>
        </w:rPr>
      </w:pPr>
      <w:r w:rsidRPr="00185BC0">
        <w:rPr>
          <w:sz w:val="28"/>
          <w:szCs w:val="28"/>
        </w:rPr>
        <w:t xml:space="preserve">В ходе анализа </w:t>
      </w:r>
      <w:proofErr w:type="spellStart"/>
      <w:r w:rsidRPr="00185BC0">
        <w:rPr>
          <w:sz w:val="28"/>
          <w:szCs w:val="28"/>
        </w:rPr>
        <w:t>интраоперационных</w:t>
      </w:r>
      <w:proofErr w:type="spellEnd"/>
      <w:r w:rsidRPr="00185BC0">
        <w:rPr>
          <w:sz w:val="28"/>
          <w:szCs w:val="28"/>
        </w:rPr>
        <w:t xml:space="preserve"> параметров были выявлены особенности, подтверждающие преимущества применения новой методики фиксации. В совокупной выборке пациентов вмешательства чаще выполнялись на левом тазобедренном суставе (61,7%), однако различия между основной и контрольной группами по стороне операции статистической значимости не имели (p = 0,791), что свидетельствовало о сопоставимости групп. Во всех </w:t>
      </w:r>
      <w:r w:rsidRPr="00185BC0">
        <w:rPr>
          <w:sz w:val="28"/>
          <w:szCs w:val="28"/>
        </w:rPr>
        <w:lastRenderedPageBreak/>
        <w:t>случаях использовался единый хирургический доступ по Хардингу, обеспечивший стандартизацию техники и корректность сравнения результатов.</w:t>
      </w:r>
    </w:p>
    <w:p w14:paraId="0BCFFB99" w14:textId="0910DDC0" w:rsidR="00387CA6" w:rsidRPr="00185BC0" w:rsidRDefault="00002582" w:rsidP="00002582">
      <w:pPr>
        <w:ind w:firstLine="720"/>
        <w:jc w:val="both"/>
        <w:rPr>
          <w:sz w:val="28"/>
          <w:szCs w:val="28"/>
        </w:rPr>
      </w:pPr>
      <w:r w:rsidRPr="00185BC0">
        <w:rPr>
          <w:sz w:val="28"/>
          <w:szCs w:val="28"/>
        </w:rPr>
        <w:t>Продолжительность операции была статистически значимо</w:t>
      </w:r>
      <w:r w:rsidR="0092206E" w:rsidRPr="00185BC0">
        <w:rPr>
          <w:sz w:val="28"/>
          <w:szCs w:val="28"/>
          <w:lang w:val="kk-KZ"/>
        </w:rPr>
        <w:t>:</w:t>
      </w:r>
      <w:r w:rsidRPr="00185BC0">
        <w:rPr>
          <w:sz w:val="28"/>
          <w:szCs w:val="28"/>
        </w:rPr>
        <w:t xml:space="preserve"> меньше в основной группе </w:t>
      </w:r>
      <w:r w:rsidR="00DA5A93" w:rsidRPr="00185BC0">
        <w:rPr>
          <w:sz w:val="28"/>
          <w:szCs w:val="28"/>
        </w:rPr>
        <w:t>–</w:t>
      </w:r>
      <w:r w:rsidRPr="00185BC0">
        <w:rPr>
          <w:sz w:val="28"/>
          <w:szCs w:val="28"/>
        </w:rPr>
        <w:t xml:space="preserve"> 100,0 мин против 115,0 мин в контрольной (p = 0,028), что свидетельствует о большей технической эффективности вмешательства. Объём </w:t>
      </w:r>
      <w:proofErr w:type="spellStart"/>
      <w:r w:rsidRPr="00185BC0">
        <w:rPr>
          <w:sz w:val="28"/>
          <w:szCs w:val="28"/>
        </w:rPr>
        <w:t>интраоперационной</w:t>
      </w:r>
      <w:proofErr w:type="spellEnd"/>
      <w:r w:rsidRPr="00185BC0">
        <w:rPr>
          <w:sz w:val="28"/>
          <w:szCs w:val="28"/>
        </w:rPr>
        <w:t xml:space="preserve"> кровопотери также был ниже при использовании новой методики </w:t>
      </w:r>
      <w:r w:rsidR="00DA5A93" w:rsidRPr="00185BC0">
        <w:rPr>
          <w:sz w:val="28"/>
          <w:szCs w:val="28"/>
        </w:rPr>
        <w:t>–</w:t>
      </w:r>
      <w:r w:rsidRPr="00185BC0">
        <w:rPr>
          <w:sz w:val="28"/>
          <w:szCs w:val="28"/>
        </w:rPr>
        <w:t xml:space="preserve"> 500,0 мл против 550,0 мл (p = 0,003), что отражает меньшую </w:t>
      </w:r>
      <w:proofErr w:type="spellStart"/>
      <w:r w:rsidRPr="00185BC0">
        <w:rPr>
          <w:sz w:val="28"/>
          <w:szCs w:val="28"/>
        </w:rPr>
        <w:t>травматичность</w:t>
      </w:r>
      <w:proofErr w:type="spellEnd"/>
      <w:r w:rsidRPr="00185BC0">
        <w:rPr>
          <w:sz w:val="28"/>
          <w:szCs w:val="28"/>
        </w:rPr>
        <w:t xml:space="preserve"> доступа. Длина кожного разреза оказалась достоверно короче </w:t>
      </w:r>
      <w:r w:rsidR="00DA5A93" w:rsidRPr="00185BC0">
        <w:rPr>
          <w:sz w:val="28"/>
          <w:szCs w:val="28"/>
        </w:rPr>
        <w:t>–</w:t>
      </w:r>
      <w:r w:rsidRPr="00185BC0">
        <w:rPr>
          <w:sz w:val="28"/>
          <w:szCs w:val="28"/>
        </w:rPr>
        <w:t xml:space="preserve"> 16,0 см по сравнению с 21,0 см (p </w:t>
      </w:r>
      <w:proofErr w:type="gramStart"/>
      <w:r w:rsidRPr="00185BC0">
        <w:rPr>
          <w:sz w:val="28"/>
          <w:szCs w:val="28"/>
        </w:rPr>
        <w:t>&lt; 0,001</w:t>
      </w:r>
      <w:proofErr w:type="gramEnd"/>
      <w:r w:rsidRPr="00185BC0">
        <w:rPr>
          <w:sz w:val="28"/>
          <w:szCs w:val="28"/>
        </w:rPr>
        <w:t>), подтверждая менее инвазивный характер операции. Длина остеотомии в основной группе была несколько больше (4,0 см против 3,75 см; p = 0,013), что обусловлено особенностями анатомической адаптации и предоперационного планирования. Послеоперационное укорочение конечности не превышало 1,0 см в обеих группах, не имело клинической значимости и подтверждало восстановление анатомической длины.</w:t>
      </w:r>
    </w:p>
    <w:p w14:paraId="42AB1789" w14:textId="6717CB5D" w:rsidR="00387CA6" w:rsidRPr="00185BC0" w:rsidRDefault="001E51ED" w:rsidP="001E51ED">
      <w:pPr>
        <w:ind w:firstLine="720"/>
        <w:jc w:val="both"/>
        <w:rPr>
          <w:sz w:val="28"/>
          <w:szCs w:val="28"/>
        </w:rPr>
      </w:pPr>
      <w:r w:rsidRPr="00185BC0">
        <w:rPr>
          <w:sz w:val="28"/>
          <w:szCs w:val="28"/>
        </w:rPr>
        <w:t xml:space="preserve">Анализ послеоперационного течения и динамики консолидации показал, что применение </w:t>
      </w:r>
      <w:proofErr w:type="spellStart"/>
      <w:r w:rsidRPr="00185BC0">
        <w:rPr>
          <w:sz w:val="28"/>
          <w:szCs w:val="28"/>
        </w:rPr>
        <w:t>деротационной</w:t>
      </w:r>
      <w:proofErr w:type="spellEnd"/>
      <w:r w:rsidRPr="00185BC0">
        <w:rPr>
          <w:sz w:val="28"/>
          <w:szCs w:val="28"/>
        </w:rPr>
        <w:t xml:space="preserve"> пластины с угловой стабильностью обеспечивало значительно более раннее формирование костного регенерата. Уже через 1,5 месяца начальные признаки консолидации определялись у 60,0% пациентов основной группы, тогда как в контрольной </w:t>
      </w:r>
      <w:proofErr w:type="gramStart"/>
      <w:r w:rsidRPr="00185BC0">
        <w:rPr>
          <w:sz w:val="28"/>
          <w:szCs w:val="28"/>
        </w:rPr>
        <w:t xml:space="preserve">группе </w:t>
      </w:r>
      <w:r w:rsidR="00372333" w:rsidRPr="00185BC0">
        <w:rPr>
          <w:sz w:val="28"/>
          <w:szCs w:val="28"/>
          <w:lang w:val="kk-KZ"/>
        </w:rPr>
        <w:t xml:space="preserve"> </w:t>
      </w:r>
      <w:r w:rsidRPr="00185BC0">
        <w:rPr>
          <w:sz w:val="28"/>
          <w:szCs w:val="28"/>
        </w:rPr>
        <w:t>лишь</w:t>
      </w:r>
      <w:proofErr w:type="gramEnd"/>
      <w:r w:rsidRPr="00185BC0">
        <w:rPr>
          <w:sz w:val="28"/>
          <w:szCs w:val="28"/>
        </w:rPr>
        <w:t xml:space="preserve"> у 30,0% (p = 0,020).</w:t>
      </w:r>
      <w:r w:rsidRPr="00185BC0">
        <w:rPr>
          <w:sz w:val="28"/>
          <w:szCs w:val="28"/>
          <w:lang w:val="kk-KZ"/>
        </w:rPr>
        <w:t xml:space="preserve"> </w:t>
      </w:r>
      <w:r w:rsidRPr="00185BC0">
        <w:rPr>
          <w:sz w:val="28"/>
          <w:szCs w:val="28"/>
        </w:rPr>
        <w:t xml:space="preserve">К трём месяцам консолидация выявлялась у всех пациентов основной группы, причём у 50,0% было достигнуто полное сращение остеотомии. В контрольной группе на этом этапе полное сращение отсутствовало, и у 76,7% пациентов сохранялась только слабая консолидация (p </w:t>
      </w:r>
      <w:proofErr w:type="gramStart"/>
      <w:r w:rsidRPr="00185BC0">
        <w:rPr>
          <w:sz w:val="28"/>
          <w:szCs w:val="28"/>
        </w:rPr>
        <w:t>&lt; 0,001</w:t>
      </w:r>
      <w:proofErr w:type="gramEnd"/>
      <w:r w:rsidRPr="00185BC0">
        <w:rPr>
          <w:sz w:val="28"/>
          <w:szCs w:val="28"/>
        </w:rPr>
        <w:t>), что отражает замедленные темпы остеогенеза.</w:t>
      </w:r>
      <w:r w:rsidR="00372333" w:rsidRPr="00185BC0">
        <w:rPr>
          <w:sz w:val="28"/>
          <w:szCs w:val="28"/>
          <w:lang w:val="kk-KZ"/>
        </w:rPr>
        <w:t xml:space="preserve"> </w:t>
      </w:r>
      <w:r w:rsidRPr="00185BC0">
        <w:rPr>
          <w:sz w:val="28"/>
          <w:szCs w:val="28"/>
        </w:rPr>
        <w:t>Через 6 месяцев полное сращение остеотомии достигалось у всех пациентов основной группы (100%), тогда как в контрольной группе аналогичный показатель составлял 80,0%, а у оставшихся 20,0% отмечались признаки недостаточной консолидации (p = 0,024).</w:t>
      </w:r>
      <w:r w:rsidR="00372333" w:rsidRPr="00185BC0">
        <w:rPr>
          <w:sz w:val="28"/>
          <w:szCs w:val="28"/>
          <w:lang w:val="kk-KZ"/>
        </w:rPr>
        <w:t xml:space="preserve"> </w:t>
      </w:r>
      <w:r w:rsidRPr="00185BC0">
        <w:rPr>
          <w:sz w:val="28"/>
          <w:szCs w:val="28"/>
        </w:rPr>
        <w:t>К 12 месяцам различия между группами нивелировались: полное сращение было зафиксировано у 93,3% пациентов в обеих группах (p = 0,492), что указывает на сопоставимые отдалённые результаты при различной скорости раннего восстановления</w:t>
      </w:r>
      <w:r w:rsidR="00002582" w:rsidRPr="00185BC0">
        <w:rPr>
          <w:sz w:val="28"/>
          <w:szCs w:val="28"/>
        </w:rPr>
        <w:t>.</w:t>
      </w:r>
    </w:p>
    <w:p w14:paraId="6D23AAB7" w14:textId="77777777" w:rsidR="009D5FDE" w:rsidRPr="00185BC0" w:rsidRDefault="009D5FDE" w:rsidP="009D5FDE">
      <w:pPr>
        <w:ind w:firstLine="720"/>
        <w:jc w:val="both"/>
        <w:rPr>
          <w:sz w:val="28"/>
          <w:szCs w:val="28"/>
        </w:rPr>
      </w:pPr>
      <w:r w:rsidRPr="00185BC0">
        <w:rPr>
          <w:sz w:val="28"/>
          <w:szCs w:val="28"/>
        </w:rPr>
        <w:t xml:space="preserve">Частота послеоперационных осложнений в основной и контрольной группах составила 3,3% и 10,0% соответственно, при этом статистически значимых различий между группами не выявлено (p = 0,30). В основной группе осложнение носило </w:t>
      </w:r>
      <w:proofErr w:type="spellStart"/>
      <w:r w:rsidRPr="00185BC0">
        <w:rPr>
          <w:sz w:val="28"/>
          <w:szCs w:val="28"/>
        </w:rPr>
        <w:t>интраоперационный</w:t>
      </w:r>
      <w:proofErr w:type="spellEnd"/>
      <w:r w:rsidRPr="00185BC0">
        <w:rPr>
          <w:sz w:val="28"/>
          <w:szCs w:val="28"/>
        </w:rPr>
        <w:t xml:space="preserve"> характер и не оказало влияния на сроки консолидации и функциональные результаты. В контрольной группе осложнения имели более выраженное клиническое значение и включали вывих головки эндопротеза, потребовавший повторного хирургического вмешательства, а также транзиторные </w:t>
      </w:r>
      <w:proofErr w:type="spellStart"/>
      <w:r w:rsidRPr="00185BC0">
        <w:rPr>
          <w:sz w:val="28"/>
          <w:szCs w:val="28"/>
        </w:rPr>
        <w:t>тракционные</w:t>
      </w:r>
      <w:proofErr w:type="spellEnd"/>
      <w:r w:rsidRPr="00185BC0">
        <w:rPr>
          <w:sz w:val="28"/>
          <w:szCs w:val="28"/>
        </w:rPr>
        <w:t xml:space="preserve"> неврологические нарушения, полностью регрессировавшие в течение 6 месяцев, что в совокупности сопровождалось увеличением сроков функционального восстановления.</w:t>
      </w:r>
    </w:p>
    <w:p w14:paraId="797785F9" w14:textId="6B187696" w:rsidR="00210E98" w:rsidRPr="00185BC0" w:rsidRDefault="00210E98" w:rsidP="00210E98">
      <w:pPr>
        <w:ind w:firstLine="720"/>
        <w:jc w:val="both"/>
        <w:rPr>
          <w:sz w:val="28"/>
          <w:szCs w:val="28"/>
        </w:rPr>
      </w:pPr>
      <w:r w:rsidRPr="00185BC0">
        <w:rPr>
          <w:sz w:val="28"/>
          <w:szCs w:val="28"/>
        </w:rPr>
        <w:t xml:space="preserve">Функциональная оценка показала, что до операции группы не различались по HHS (67,5 и 67,0 баллов; p = 0,923), OHS (23,03 и 23,20 баллов; p = 0,821) и </w:t>
      </w:r>
      <w:r w:rsidRPr="00185BC0">
        <w:rPr>
          <w:sz w:val="28"/>
          <w:szCs w:val="28"/>
        </w:rPr>
        <w:lastRenderedPageBreak/>
        <w:t xml:space="preserve">VAS (7,0 и 7,0 баллов; p = 0,937). Уже к моменту выписки в основной группе отмечалось достоверное улучшение по сравнению с контролем: HHS </w:t>
      </w:r>
      <w:r w:rsidR="00DA5A93" w:rsidRPr="00185BC0">
        <w:rPr>
          <w:sz w:val="28"/>
          <w:szCs w:val="28"/>
        </w:rPr>
        <w:t>–</w:t>
      </w:r>
      <w:r w:rsidRPr="00185BC0">
        <w:rPr>
          <w:sz w:val="28"/>
          <w:szCs w:val="28"/>
        </w:rPr>
        <w:t xml:space="preserve"> 79,0 против 72,0 (p </w:t>
      </w:r>
      <w:proofErr w:type="gramStart"/>
      <w:r w:rsidRPr="00185BC0">
        <w:rPr>
          <w:sz w:val="28"/>
          <w:szCs w:val="28"/>
        </w:rPr>
        <w:t>&lt; 0,001</w:t>
      </w:r>
      <w:proofErr w:type="gramEnd"/>
      <w:r w:rsidRPr="00185BC0">
        <w:rPr>
          <w:sz w:val="28"/>
          <w:szCs w:val="28"/>
        </w:rPr>
        <w:t xml:space="preserve">) и OHS </w:t>
      </w:r>
      <w:r w:rsidR="00DA5A93" w:rsidRPr="00185BC0">
        <w:rPr>
          <w:sz w:val="28"/>
          <w:szCs w:val="28"/>
        </w:rPr>
        <w:t>–</w:t>
      </w:r>
      <w:r w:rsidRPr="00185BC0">
        <w:rPr>
          <w:sz w:val="28"/>
          <w:szCs w:val="28"/>
        </w:rPr>
        <w:t xml:space="preserve"> 30,0 против 25,0 баллов (p &lt; 0,001). Преимущество сохранялось на всех сроках наблюдения. Через 12 месяцев показатели достигли: HHS </w:t>
      </w:r>
      <w:r w:rsidR="00DA5A93" w:rsidRPr="00185BC0">
        <w:rPr>
          <w:sz w:val="28"/>
          <w:szCs w:val="28"/>
        </w:rPr>
        <w:t>–</w:t>
      </w:r>
      <w:r w:rsidRPr="00185BC0">
        <w:rPr>
          <w:sz w:val="28"/>
          <w:szCs w:val="28"/>
        </w:rPr>
        <w:t xml:space="preserve"> 90,0 против 85,5 (p </w:t>
      </w:r>
      <w:proofErr w:type="gramStart"/>
      <w:r w:rsidRPr="00185BC0">
        <w:rPr>
          <w:sz w:val="28"/>
          <w:szCs w:val="28"/>
        </w:rPr>
        <w:t>&lt; 0,001</w:t>
      </w:r>
      <w:proofErr w:type="gramEnd"/>
      <w:r w:rsidRPr="00185BC0">
        <w:rPr>
          <w:sz w:val="28"/>
          <w:szCs w:val="28"/>
        </w:rPr>
        <w:t xml:space="preserve">), OHS </w:t>
      </w:r>
      <w:r w:rsidR="00DA5A93" w:rsidRPr="00185BC0">
        <w:rPr>
          <w:sz w:val="28"/>
          <w:szCs w:val="28"/>
        </w:rPr>
        <w:t>–</w:t>
      </w:r>
      <w:r w:rsidRPr="00185BC0">
        <w:rPr>
          <w:sz w:val="28"/>
          <w:szCs w:val="28"/>
        </w:rPr>
        <w:t xml:space="preserve"> 40,0 против 34,0 (p &lt; 0,001).</w:t>
      </w:r>
    </w:p>
    <w:p w14:paraId="480B681C" w14:textId="5B7F4588" w:rsidR="00210E98" w:rsidRPr="00185BC0" w:rsidRDefault="0092206E" w:rsidP="00210E98">
      <w:pPr>
        <w:ind w:firstLine="720"/>
        <w:jc w:val="both"/>
        <w:rPr>
          <w:sz w:val="28"/>
          <w:szCs w:val="28"/>
        </w:rPr>
      </w:pPr>
      <w:r w:rsidRPr="00185BC0">
        <w:rPr>
          <w:sz w:val="28"/>
          <w:szCs w:val="28"/>
          <w:lang w:val="kk-KZ"/>
        </w:rPr>
        <w:t>К</w:t>
      </w:r>
      <w:r w:rsidRPr="00185BC0">
        <w:rPr>
          <w:sz w:val="28"/>
          <w:szCs w:val="28"/>
        </w:rPr>
        <w:t xml:space="preserve"> выписке </w:t>
      </w:r>
      <w:r w:rsidRPr="00185BC0">
        <w:rPr>
          <w:sz w:val="28"/>
          <w:szCs w:val="28"/>
          <w:lang w:val="kk-KZ"/>
        </w:rPr>
        <w:t>б</w:t>
      </w:r>
      <w:proofErr w:type="spellStart"/>
      <w:r w:rsidR="00210E98" w:rsidRPr="00185BC0">
        <w:rPr>
          <w:sz w:val="28"/>
          <w:szCs w:val="28"/>
        </w:rPr>
        <w:t>олевой</w:t>
      </w:r>
      <w:proofErr w:type="spellEnd"/>
      <w:r w:rsidR="00210E98" w:rsidRPr="00185BC0">
        <w:rPr>
          <w:sz w:val="28"/>
          <w:szCs w:val="28"/>
        </w:rPr>
        <w:t xml:space="preserve"> синдром по VAS был сопоставим (5,0 в обеих группах), однако уже через 1,5 месяца отмечалось значимое снижение боли в основной группе </w:t>
      </w:r>
      <w:r w:rsidR="00DA5A93" w:rsidRPr="00185BC0">
        <w:rPr>
          <w:sz w:val="28"/>
          <w:szCs w:val="28"/>
        </w:rPr>
        <w:t>–</w:t>
      </w:r>
      <w:r w:rsidR="00210E98" w:rsidRPr="00185BC0">
        <w:rPr>
          <w:sz w:val="28"/>
          <w:szCs w:val="28"/>
        </w:rPr>
        <w:t xml:space="preserve"> 4,0 против 5,0 (p &lt; 0,001); через 12 месяцев </w:t>
      </w:r>
      <w:r w:rsidR="00DA5A93" w:rsidRPr="00185BC0">
        <w:rPr>
          <w:sz w:val="28"/>
          <w:szCs w:val="28"/>
        </w:rPr>
        <w:t>–</w:t>
      </w:r>
      <w:r w:rsidR="00210E98" w:rsidRPr="00185BC0">
        <w:rPr>
          <w:sz w:val="28"/>
          <w:szCs w:val="28"/>
        </w:rPr>
        <w:t xml:space="preserve"> 2,0 против 3,0 баллов (p &lt; 0,001).</w:t>
      </w:r>
    </w:p>
    <w:p w14:paraId="3905E7CC" w14:textId="3B336CBC" w:rsidR="00387CA6" w:rsidRPr="00185BC0" w:rsidRDefault="00210E98" w:rsidP="00387CA6">
      <w:pPr>
        <w:ind w:firstLine="720"/>
        <w:jc w:val="both"/>
        <w:rPr>
          <w:sz w:val="28"/>
          <w:szCs w:val="28"/>
        </w:rPr>
      </w:pPr>
      <w:r w:rsidRPr="00185BC0">
        <w:rPr>
          <w:sz w:val="28"/>
          <w:szCs w:val="28"/>
        </w:rPr>
        <w:t xml:space="preserve">Применение </w:t>
      </w:r>
      <w:proofErr w:type="spellStart"/>
      <w:r w:rsidRPr="00185BC0">
        <w:rPr>
          <w:sz w:val="28"/>
          <w:szCs w:val="28"/>
        </w:rPr>
        <w:t>деротационной</w:t>
      </w:r>
      <w:proofErr w:type="spellEnd"/>
      <w:r w:rsidRPr="00185BC0">
        <w:rPr>
          <w:sz w:val="28"/>
          <w:szCs w:val="28"/>
        </w:rPr>
        <w:t xml:space="preserve"> пластины с угловой стабильностью при укорачивающей </w:t>
      </w:r>
      <w:proofErr w:type="spellStart"/>
      <w:r w:rsidRPr="00185BC0">
        <w:rPr>
          <w:sz w:val="28"/>
          <w:szCs w:val="28"/>
        </w:rPr>
        <w:t>подвертельной</w:t>
      </w:r>
      <w:proofErr w:type="spellEnd"/>
      <w:r w:rsidRPr="00185BC0">
        <w:rPr>
          <w:sz w:val="28"/>
          <w:szCs w:val="28"/>
        </w:rPr>
        <w:t xml:space="preserve"> остеотомии у пациентов с дисплазией </w:t>
      </w:r>
      <w:proofErr w:type="spellStart"/>
      <w:r w:rsidRPr="00185BC0">
        <w:rPr>
          <w:sz w:val="28"/>
          <w:szCs w:val="28"/>
        </w:rPr>
        <w:t>Crowe</w:t>
      </w:r>
      <w:proofErr w:type="spellEnd"/>
      <w:r w:rsidRPr="00185BC0">
        <w:rPr>
          <w:sz w:val="28"/>
          <w:szCs w:val="28"/>
        </w:rPr>
        <w:t xml:space="preserve"> IV обеспечило сокращение продолжительности операции, уменьшение </w:t>
      </w:r>
      <w:proofErr w:type="spellStart"/>
      <w:r w:rsidRPr="00185BC0">
        <w:rPr>
          <w:sz w:val="28"/>
          <w:szCs w:val="28"/>
        </w:rPr>
        <w:t>интраоперационной</w:t>
      </w:r>
      <w:proofErr w:type="spellEnd"/>
      <w:r w:rsidRPr="00185BC0">
        <w:rPr>
          <w:sz w:val="28"/>
          <w:szCs w:val="28"/>
        </w:rPr>
        <w:t xml:space="preserve"> кровопотери и более точное позиционирование компонентов эндопротеза. Методика способствовала ускоренной консолидации остеотомии и характеризовалась низкой частотой осложнений. Функциональные результаты по шкалам HHS, OHS и VAS были значительно лучше по сравнению с традиционной фиксацией, что отражает более эффективное восстановление функции тазобедренного сустава и снижение болевого синдрома.</w:t>
      </w:r>
    </w:p>
    <w:p w14:paraId="3617EBFB" w14:textId="48BEE910" w:rsidR="00387CA6" w:rsidRPr="00185BC0" w:rsidRDefault="00B44FE0" w:rsidP="00387CA6">
      <w:pPr>
        <w:ind w:firstLine="720"/>
        <w:jc w:val="both"/>
        <w:rPr>
          <w:b/>
          <w:bCs/>
          <w:sz w:val="28"/>
          <w:szCs w:val="28"/>
          <w:lang w:val="kk-KZ"/>
        </w:rPr>
      </w:pPr>
      <w:r w:rsidRPr="00185BC0">
        <w:rPr>
          <w:sz w:val="28"/>
          <w:szCs w:val="28"/>
          <w:lang w:val="kk-KZ"/>
        </w:rPr>
        <w:t xml:space="preserve">На основании полученных данных в ходе диссертационного исследования можно сделать следующие </w:t>
      </w:r>
      <w:r w:rsidRPr="00185BC0">
        <w:rPr>
          <w:b/>
          <w:bCs/>
          <w:sz w:val="28"/>
          <w:szCs w:val="28"/>
          <w:lang w:val="kk-KZ"/>
        </w:rPr>
        <w:t>выводы:</w:t>
      </w:r>
    </w:p>
    <w:p w14:paraId="5EFFE8D9" w14:textId="00FD35C6" w:rsidR="00B44FE0" w:rsidRPr="00185BC0" w:rsidRDefault="00193CB4" w:rsidP="00B44FE0">
      <w:pPr>
        <w:pStyle w:val="a6"/>
        <w:numPr>
          <w:ilvl w:val="0"/>
          <w:numId w:val="22"/>
        </w:numPr>
        <w:ind w:left="0" w:firstLine="567"/>
        <w:jc w:val="both"/>
        <w:rPr>
          <w:sz w:val="28"/>
          <w:szCs w:val="28"/>
          <w:lang w:val="kk-KZ"/>
        </w:rPr>
      </w:pPr>
      <w:r w:rsidRPr="00185BC0">
        <w:rPr>
          <w:sz w:val="28"/>
          <w:szCs w:val="28"/>
        </w:rPr>
        <w:t xml:space="preserve">Разработанный метод фиксации зоны остеотомии с применением отечественной </w:t>
      </w:r>
      <w:proofErr w:type="spellStart"/>
      <w:r w:rsidRPr="00185BC0">
        <w:rPr>
          <w:sz w:val="28"/>
          <w:szCs w:val="28"/>
        </w:rPr>
        <w:t>деротационной</w:t>
      </w:r>
      <w:proofErr w:type="spellEnd"/>
      <w:r w:rsidRPr="00185BC0">
        <w:rPr>
          <w:sz w:val="28"/>
          <w:szCs w:val="28"/>
        </w:rPr>
        <w:t xml:space="preserve"> пластины при хирургическом лечении диспластического коксартроза IV типа по классификации </w:t>
      </w:r>
      <w:proofErr w:type="spellStart"/>
      <w:r w:rsidRPr="00185BC0">
        <w:rPr>
          <w:sz w:val="28"/>
          <w:szCs w:val="28"/>
        </w:rPr>
        <w:t>Crowe</w:t>
      </w:r>
      <w:proofErr w:type="spellEnd"/>
      <w:r w:rsidRPr="00185BC0">
        <w:rPr>
          <w:sz w:val="28"/>
          <w:szCs w:val="28"/>
        </w:rPr>
        <w:t xml:space="preserve"> обладает статической биомеханической прочностью и жёсткостью. Максимальные напряжения в конструкции (76 МПа) существенно ниже предела текучести титанового сплава, а минимальный коэффициент запаса прочности (3,63) обеспечивает устойчивость к физиологическим и пиковым нагрузкам. Незначительные перемещения пластины (до 0,08 мм) свидетельствуют о высокой стабилизирующей способности конструкции и потенциально низком риске нестабильности в зоне остеотомии</w:t>
      </w:r>
      <w:r w:rsidR="00B44FE0" w:rsidRPr="00185BC0">
        <w:rPr>
          <w:sz w:val="28"/>
          <w:szCs w:val="28"/>
          <w:lang w:val="kk-KZ"/>
        </w:rPr>
        <w:t>.</w:t>
      </w:r>
    </w:p>
    <w:p w14:paraId="0550B066" w14:textId="1E6645E0" w:rsidR="00B44FE0" w:rsidRPr="00185BC0" w:rsidRDefault="00193CB4" w:rsidP="00B44FE0">
      <w:pPr>
        <w:pStyle w:val="a6"/>
        <w:numPr>
          <w:ilvl w:val="0"/>
          <w:numId w:val="22"/>
        </w:numPr>
        <w:ind w:left="0" w:firstLine="567"/>
        <w:jc w:val="both"/>
        <w:rPr>
          <w:sz w:val="28"/>
          <w:szCs w:val="28"/>
          <w:lang w:val="kk-KZ"/>
        </w:rPr>
      </w:pPr>
      <w:r w:rsidRPr="00185BC0">
        <w:rPr>
          <w:sz w:val="28"/>
          <w:szCs w:val="28"/>
          <w:lang w:val="kk-KZ"/>
        </w:rPr>
        <w:t>Разработанный и научно обоснованный алгоритм предоперационного планирования, включающий математический расчёт объёма укорачивающей подвертельной остеотомии бедренной кости при диспластическом коксартрозе IV типа по классификации Crowe, обеспечивает точное определение величины необходимой коррекции</w:t>
      </w:r>
      <w:r w:rsidR="00B44FE0" w:rsidRPr="00185BC0">
        <w:rPr>
          <w:sz w:val="28"/>
          <w:szCs w:val="28"/>
          <w:lang w:val="kk-KZ"/>
        </w:rPr>
        <w:t>.</w:t>
      </w:r>
    </w:p>
    <w:p w14:paraId="1E956BE2" w14:textId="2D24DA6C" w:rsidR="00B44FE0" w:rsidRPr="00185BC0" w:rsidRDefault="00193CB4" w:rsidP="00B44FE0">
      <w:pPr>
        <w:pStyle w:val="a6"/>
        <w:numPr>
          <w:ilvl w:val="0"/>
          <w:numId w:val="22"/>
        </w:numPr>
        <w:ind w:left="0" w:firstLine="567"/>
        <w:jc w:val="both"/>
        <w:rPr>
          <w:sz w:val="28"/>
          <w:szCs w:val="28"/>
          <w:lang w:val="kk-KZ"/>
        </w:rPr>
      </w:pPr>
      <w:r w:rsidRPr="00185BC0">
        <w:rPr>
          <w:sz w:val="28"/>
          <w:szCs w:val="28"/>
          <w:lang w:val="kk-KZ"/>
        </w:rPr>
        <w:t>Сравнительный клинико-функциональный анализ показал, что применение метода фиксации зоны остеотомии разработанной деротационной пластиной сокращает продолжительность операции до 101,2 ± 19,7 минуты по сравнению с 116,5 ± 28,0 минуты  при применении традиционной пластины (p = 0,028), снижает объём интраоперационной кровопотери до 425 ± 152 мл против 637 ± 400,2 мл (p = 0,003), при уменьшении длины кожного разреза до 16,6 ± 1,0 см по сравнению с 21,6 ± 2,3 см. Кроме того, отмечено достоверное улучшение функциональных результатов по шкалам HHS, OHS и VAS через 1,5, 3, 6 и 12 месяцев после операции (p &lt; 0,001</w:t>
      </w:r>
      <w:r w:rsidR="00B44FE0" w:rsidRPr="00185BC0">
        <w:rPr>
          <w:sz w:val="28"/>
          <w:szCs w:val="28"/>
          <w:lang w:val="kk-KZ"/>
        </w:rPr>
        <w:t>).</w:t>
      </w:r>
    </w:p>
    <w:p w14:paraId="46079F35" w14:textId="0F032120" w:rsidR="00B44FE0" w:rsidRPr="00185BC0" w:rsidRDefault="00193CB4" w:rsidP="00B44FE0">
      <w:pPr>
        <w:pStyle w:val="a6"/>
        <w:numPr>
          <w:ilvl w:val="0"/>
          <w:numId w:val="22"/>
        </w:numPr>
        <w:ind w:left="0" w:firstLine="567"/>
        <w:jc w:val="both"/>
        <w:rPr>
          <w:sz w:val="28"/>
          <w:szCs w:val="28"/>
          <w:lang w:val="kk-KZ"/>
        </w:rPr>
      </w:pPr>
      <w:r w:rsidRPr="00185BC0">
        <w:rPr>
          <w:sz w:val="28"/>
          <w:szCs w:val="28"/>
        </w:rPr>
        <w:lastRenderedPageBreak/>
        <w:t xml:space="preserve">Рентгенографическая оценка консолидации зоны укорачивающей </w:t>
      </w:r>
      <w:proofErr w:type="spellStart"/>
      <w:r w:rsidRPr="00185BC0">
        <w:rPr>
          <w:sz w:val="28"/>
          <w:szCs w:val="28"/>
        </w:rPr>
        <w:t>подвертельной</w:t>
      </w:r>
      <w:proofErr w:type="spellEnd"/>
      <w:r w:rsidRPr="00185BC0">
        <w:rPr>
          <w:sz w:val="28"/>
          <w:szCs w:val="28"/>
        </w:rPr>
        <w:t xml:space="preserve"> остеотомии показала, что выраженность признаков костного сращения была выше в группе с применением разработанной </w:t>
      </w:r>
      <w:proofErr w:type="spellStart"/>
      <w:r w:rsidRPr="00185BC0">
        <w:rPr>
          <w:sz w:val="28"/>
          <w:szCs w:val="28"/>
        </w:rPr>
        <w:t>деротационной</w:t>
      </w:r>
      <w:proofErr w:type="spellEnd"/>
      <w:r w:rsidRPr="00185BC0">
        <w:rPr>
          <w:sz w:val="28"/>
          <w:szCs w:val="28"/>
        </w:rPr>
        <w:t xml:space="preserve"> пластины, чем в контрольной группе: через 1,5 месяца </w:t>
      </w:r>
      <w:r w:rsidR="00F34EF9" w:rsidRPr="00185BC0">
        <w:rPr>
          <w:sz w:val="28"/>
          <w:szCs w:val="28"/>
        </w:rPr>
        <w:t>–</w:t>
      </w:r>
      <w:r w:rsidRPr="00185BC0">
        <w:rPr>
          <w:sz w:val="28"/>
          <w:szCs w:val="28"/>
        </w:rPr>
        <w:t xml:space="preserve"> в 1,7 раза (1,13 ± 0,37 и 0,67 ± 0,47; p = 0,001), через 3 месяца </w:t>
      </w:r>
      <w:r w:rsidR="00F34EF9" w:rsidRPr="00185BC0">
        <w:rPr>
          <w:sz w:val="28"/>
          <w:szCs w:val="28"/>
        </w:rPr>
        <w:t>–</w:t>
      </w:r>
      <w:r w:rsidRPr="00185BC0">
        <w:rPr>
          <w:sz w:val="28"/>
          <w:szCs w:val="28"/>
        </w:rPr>
        <w:t xml:space="preserve"> в 1,5 раза (1,47 ± 0,47 и 0,97 ± 0,40; p &lt; 0,001). К 6 месяцам наблюдения в основной группе была достигнута практически полная консолидация зоны остеотомии (2,00 ± 0,00), в контрольной группе данный показатель составил 1,80 ± 0,33 (p = 0,05</w:t>
      </w:r>
      <w:r w:rsidR="00B44FE0" w:rsidRPr="00185BC0">
        <w:rPr>
          <w:sz w:val="28"/>
          <w:szCs w:val="28"/>
        </w:rPr>
        <w:t>)</w:t>
      </w:r>
      <w:r w:rsidR="00B44FE0" w:rsidRPr="00185BC0">
        <w:rPr>
          <w:sz w:val="28"/>
          <w:szCs w:val="28"/>
          <w:lang w:val="kk-KZ"/>
        </w:rPr>
        <w:t>.</w:t>
      </w:r>
    </w:p>
    <w:p w14:paraId="4EC4CED4" w14:textId="77777777" w:rsidR="00387CA6" w:rsidRPr="00185BC0" w:rsidRDefault="00387CA6" w:rsidP="00387CA6">
      <w:pPr>
        <w:ind w:firstLine="720"/>
        <w:jc w:val="both"/>
        <w:rPr>
          <w:b/>
          <w:bCs/>
          <w:sz w:val="28"/>
          <w:szCs w:val="28"/>
          <w:lang w:val="kk-KZ"/>
        </w:rPr>
      </w:pPr>
    </w:p>
    <w:p w14:paraId="29DF2A3F" w14:textId="716475DF" w:rsidR="00387CA6" w:rsidRPr="00185BC0" w:rsidRDefault="00387CA6" w:rsidP="00387CA6">
      <w:pPr>
        <w:jc w:val="both"/>
        <w:rPr>
          <w:sz w:val="28"/>
          <w:szCs w:val="28"/>
        </w:rPr>
      </w:pPr>
    </w:p>
    <w:p w14:paraId="360AD4B0" w14:textId="588E3456" w:rsidR="00387CA6" w:rsidRPr="00185BC0" w:rsidRDefault="00387CA6" w:rsidP="00387CA6">
      <w:pPr>
        <w:jc w:val="both"/>
        <w:rPr>
          <w:sz w:val="28"/>
          <w:szCs w:val="28"/>
        </w:rPr>
      </w:pPr>
    </w:p>
    <w:p w14:paraId="627A9D42" w14:textId="14EFDAE6" w:rsidR="00387CA6" w:rsidRPr="00185BC0" w:rsidRDefault="00387CA6" w:rsidP="00387CA6">
      <w:pPr>
        <w:jc w:val="both"/>
        <w:rPr>
          <w:sz w:val="28"/>
          <w:szCs w:val="28"/>
        </w:rPr>
      </w:pPr>
    </w:p>
    <w:p w14:paraId="50AD6EF0" w14:textId="2885CEAC" w:rsidR="00387CA6" w:rsidRPr="00185BC0" w:rsidRDefault="00387CA6" w:rsidP="00387CA6">
      <w:pPr>
        <w:jc w:val="both"/>
        <w:rPr>
          <w:sz w:val="28"/>
          <w:szCs w:val="28"/>
        </w:rPr>
      </w:pPr>
    </w:p>
    <w:p w14:paraId="30565C06" w14:textId="7C152D37" w:rsidR="00387CA6" w:rsidRPr="00185BC0" w:rsidRDefault="00387CA6" w:rsidP="00387CA6">
      <w:pPr>
        <w:jc w:val="both"/>
        <w:rPr>
          <w:sz w:val="28"/>
          <w:szCs w:val="28"/>
        </w:rPr>
      </w:pPr>
    </w:p>
    <w:p w14:paraId="53748B6B" w14:textId="39156C33" w:rsidR="00387CA6" w:rsidRPr="00185BC0" w:rsidRDefault="00387CA6" w:rsidP="00387CA6">
      <w:pPr>
        <w:jc w:val="both"/>
        <w:rPr>
          <w:sz w:val="28"/>
          <w:szCs w:val="28"/>
        </w:rPr>
      </w:pPr>
    </w:p>
    <w:p w14:paraId="05E4C2B0" w14:textId="340D8B77" w:rsidR="00387CA6" w:rsidRPr="00185BC0" w:rsidRDefault="00387CA6" w:rsidP="00387CA6">
      <w:pPr>
        <w:jc w:val="both"/>
        <w:rPr>
          <w:sz w:val="28"/>
          <w:szCs w:val="28"/>
        </w:rPr>
      </w:pPr>
    </w:p>
    <w:p w14:paraId="06AC308C" w14:textId="16CF15F2" w:rsidR="00387CA6" w:rsidRPr="00185BC0" w:rsidRDefault="00387CA6" w:rsidP="00387CA6">
      <w:pPr>
        <w:jc w:val="both"/>
        <w:rPr>
          <w:sz w:val="28"/>
          <w:szCs w:val="28"/>
        </w:rPr>
      </w:pPr>
    </w:p>
    <w:p w14:paraId="2189A967" w14:textId="393488A5" w:rsidR="00387CA6" w:rsidRPr="00185BC0" w:rsidRDefault="00387CA6" w:rsidP="00387CA6">
      <w:pPr>
        <w:jc w:val="both"/>
        <w:rPr>
          <w:sz w:val="28"/>
          <w:szCs w:val="28"/>
        </w:rPr>
      </w:pPr>
    </w:p>
    <w:p w14:paraId="2F6AEC92" w14:textId="34027395" w:rsidR="00387CA6" w:rsidRPr="00185BC0" w:rsidRDefault="00387CA6" w:rsidP="00387CA6">
      <w:pPr>
        <w:jc w:val="both"/>
        <w:rPr>
          <w:sz w:val="28"/>
          <w:szCs w:val="28"/>
        </w:rPr>
      </w:pPr>
    </w:p>
    <w:p w14:paraId="5D18ED19" w14:textId="204CCD59" w:rsidR="00387CA6" w:rsidRPr="00185BC0" w:rsidRDefault="00387CA6" w:rsidP="00387CA6">
      <w:pPr>
        <w:jc w:val="both"/>
        <w:rPr>
          <w:sz w:val="28"/>
          <w:szCs w:val="28"/>
        </w:rPr>
      </w:pPr>
    </w:p>
    <w:p w14:paraId="3D6E8D13" w14:textId="5526DF27" w:rsidR="00387CA6" w:rsidRPr="00185BC0" w:rsidRDefault="00387CA6" w:rsidP="00387CA6">
      <w:pPr>
        <w:jc w:val="both"/>
        <w:rPr>
          <w:sz w:val="28"/>
          <w:szCs w:val="28"/>
        </w:rPr>
      </w:pPr>
    </w:p>
    <w:p w14:paraId="4F4BBF6C" w14:textId="08CAA34D" w:rsidR="00387CA6" w:rsidRPr="00185BC0" w:rsidRDefault="00387CA6" w:rsidP="00387CA6">
      <w:pPr>
        <w:jc w:val="both"/>
        <w:rPr>
          <w:sz w:val="28"/>
          <w:szCs w:val="28"/>
        </w:rPr>
      </w:pPr>
    </w:p>
    <w:p w14:paraId="60E7872E" w14:textId="2D39D11F" w:rsidR="00B44FE0" w:rsidRPr="00185BC0" w:rsidRDefault="00B44FE0" w:rsidP="00387CA6">
      <w:pPr>
        <w:jc w:val="both"/>
        <w:rPr>
          <w:sz w:val="28"/>
          <w:szCs w:val="28"/>
        </w:rPr>
      </w:pPr>
    </w:p>
    <w:p w14:paraId="1E184AD6" w14:textId="24FBAC8A" w:rsidR="00B44FE0" w:rsidRPr="00185BC0" w:rsidRDefault="00B44FE0" w:rsidP="00387CA6">
      <w:pPr>
        <w:jc w:val="both"/>
        <w:rPr>
          <w:sz w:val="28"/>
          <w:szCs w:val="28"/>
        </w:rPr>
      </w:pPr>
    </w:p>
    <w:p w14:paraId="6616F7D5" w14:textId="1A2E8E15" w:rsidR="00B44FE0" w:rsidRPr="00185BC0" w:rsidRDefault="00B44FE0" w:rsidP="00387CA6">
      <w:pPr>
        <w:jc w:val="both"/>
        <w:rPr>
          <w:sz w:val="28"/>
          <w:szCs w:val="28"/>
        </w:rPr>
      </w:pPr>
    </w:p>
    <w:p w14:paraId="070D7E18" w14:textId="2BAB169E" w:rsidR="00B44FE0" w:rsidRPr="00185BC0" w:rsidRDefault="00B44FE0" w:rsidP="00387CA6">
      <w:pPr>
        <w:jc w:val="both"/>
        <w:rPr>
          <w:sz w:val="28"/>
          <w:szCs w:val="28"/>
        </w:rPr>
      </w:pPr>
    </w:p>
    <w:p w14:paraId="5D8F7234" w14:textId="631D27AE" w:rsidR="00B44FE0" w:rsidRPr="00185BC0" w:rsidRDefault="00B44FE0" w:rsidP="00387CA6">
      <w:pPr>
        <w:jc w:val="both"/>
        <w:rPr>
          <w:sz w:val="28"/>
          <w:szCs w:val="28"/>
        </w:rPr>
      </w:pPr>
    </w:p>
    <w:p w14:paraId="7088228A" w14:textId="31A1EA4A" w:rsidR="00B44FE0" w:rsidRPr="00185BC0" w:rsidRDefault="00B44FE0" w:rsidP="00387CA6">
      <w:pPr>
        <w:jc w:val="both"/>
        <w:rPr>
          <w:sz w:val="28"/>
          <w:szCs w:val="28"/>
        </w:rPr>
      </w:pPr>
    </w:p>
    <w:p w14:paraId="2BA5F0ED" w14:textId="181877FC" w:rsidR="00B44FE0" w:rsidRPr="00185BC0" w:rsidRDefault="00B44FE0" w:rsidP="00387CA6">
      <w:pPr>
        <w:jc w:val="both"/>
        <w:rPr>
          <w:sz w:val="28"/>
          <w:szCs w:val="28"/>
        </w:rPr>
      </w:pPr>
    </w:p>
    <w:p w14:paraId="7DBFC7C0" w14:textId="415EFC59" w:rsidR="00B44FE0" w:rsidRPr="00185BC0" w:rsidRDefault="00B44FE0" w:rsidP="00387CA6">
      <w:pPr>
        <w:jc w:val="both"/>
        <w:rPr>
          <w:sz w:val="28"/>
          <w:szCs w:val="28"/>
        </w:rPr>
      </w:pPr>
    </w:p>
    <w:p w14:paraId="7403B5E0" w14:textId="0608C93B" w:rsidR="00B44FE0" w:rsidRPr="00185BC0" w:rsidRDefault="00B44FE0" w:rsidP="00387CA6">
      <w:pPr>
        <w:jc w:val="both"/>
        <w:rPr>
          <w:sz w:val="28"/>
          <w:szCs w:val="28"/>
        </w:rPr>
      </w:pPr>
    </w:p>
    <w:p w14:paraId="1A1C8725" w14:textId="53795E72" w:rsidR="00F34EF9" w:rsidRPr="00185BC0" w:rsidRDefault="00F34EF9" w:rsidP="00387CA6">
      <w:pPr>
        <w:jc w:val="both"/>
        <w:rPr>
          <w:sz w:val="28"/>
          <w:szCs w:val="28"/>
        </w:rPr>
      </w:pPr>
    </w:p>
    <w:p w14:paraId="72292A9B" w14:textId="30546B6E" w:rsidR="00F34EF9" w:rsidRPr="00185BC0" w:rsidRDefault="00F34EF9" w:rsidP="00387CA6">
      <w:pPr>
        <w:jc w:val="both"/>
        <w:rPr>
          <w:sz w:val="28"/>
          <w:szCs w:val="28"/>
        </w:rPr>
      </w:pPr>
    </w:p>
    <w:p w14:paraId="31AA1CD3" w14:textId="66209787" w:rsidR="00F34EF9" w:rsidRPr="00185BC0" w:rsidRDefault="00F34EF9" w:rsidP="00387CA6">
      <w:pPr>
        <w:jc w:val="both"/>
        <w:rPr>
          <w:sz w:val="28"/>
          <w:szCs w:val="28"/>
        </w:rPr>
      </w:pPr>
    </w:p>
    <w:p w14:paraId="0B61FDD2" w14:textId="49532AB8" w:rsidR="00F34EF9" w:rsidRPr="00185BC0" w:rsidRDefault="00F34EF9" w:rsidP="00387CA6">
      <w:pPr>
        <w:jc w:val="both"/>
        <w:rPr>
          <w:sz w:val="28"/>
          <w:szCs w:val="28"/>
        </w:rPr>
      </w:pPr>
    </w:p>
    <w:p w14:paraId="169AAEFC" w14:textId="4737C0BB" w:rsidR="00F34EF9" w:rsidRPr="00185BC0" w:rsidRDefault="00F34EF9" w:rsidP="00387CA6">
      <w:pPr>
        <w:jc w:val="both"/>
        <w:rPr>
          <w:sz w:val="28"/>
          <w:szCs w:val="28"/>
        </w:rPr>
      </w:pPr>
    </w:p>
    <w:p w14:paraId="40E98ED7" w14:textId="5B199DD4" w:rsidR="00F34EF9" w:rsidRPr="00185BC0" w:rsidRDefault="00F34EF9" w:rsidP="00387CA6">
      <w:pPr>
        <w:jc w:val="both"/>
        <w:rPr>
          <w:sz w:val="28"/>
          <w:szCs w:val="28"/>
        </w:rPr>
      </w:pPr>
    </w:p>
    <w:p w14:paraId="00C8B20D" w14:textId="2E633CA5" w:rsidR="00F34EF9" w:rsidRPr="00185BC0" w:rsidRDefault="00F34EF9" w:rsidP="00387CA6">
      <w:pPr>
        <w:jc w:val="both"/>
        <w:rPr>
          <w:sz w:val="28"/>
          <w:szCs w:val="28"/>
        </w:rPr>
      </w:pPr>
    </w:p>
    <w:p w14:paraId="301A47F5" w14:textId="7B4741F4" w:rsidR="00F34EF9" w:rsidRPr="00185BC0" w:rsidRDefault="00F34EF9" w:rsidP="00387CA6">
      <w:pPr>
        <w:jc w:val="both"/>
        <w:rPr>
          <w:sz w:val="28"/>
          <w:szCs w:val="28"/>
        </w:rPr>
      </w:pPr>
    </w:p>
    <w:p w14:paraId="77BA1BD2" w14:textId="77777777" w:rsidR="00F34EF9" w:rsidRPr="00185BC0" w:rsidRDefault="00F34EF9" w:rsidP="00387CA6">
      <w:pPr>
        <w:jc w:val="both"/>
        <w:rPr>
          <w:sz w:val="28"/>
          <w:szCs w:val="28"/>
        </w:rPr>
      </w:pPr>
    </w:p>
    <w:p w14:paraId="0662CA4F" w14:textId="78AE6FDE" w:rsidR="00B44FE0" w:rsidRPr="00185BC0" w:rsidRDefault="00B44FE0" w:rsidP="00387CA6">
      <w:pPr>
        <w:jc w:val="both"/>
        <w:rPr>
          <w:sz w:val="28"/>
          <w:szCs w:val="28"/>
        </w:rPr>
      </w:pPr>
    </w:p>
    <w:p w14:paraId="5706A1F7" w14:textId="3480668F" w:rsidR="00024A35" w:rsidRPr="00185BC0" w:rsidRDefault="00024A35" w:rsidP="00387CA6">
      <w:pPr>
        <w:jc w:val="both"/>
        <w:rPr>
          <w:sz w:val="28"/>
          <w:szCs w:val="28"/>
        </w:rPr>
      </w:pPr>
    </w:p>
    <w:p w14:paraId="3CEB5005" w14:textId="77777777" w:rsidR="00024A35" w:rsidRPr="00185BC0" w:rsidRDefault="00024A35" w:rsidP="00387CA6">
      <w:pPr>
        <w:jc w:val="both"/>
        <w:rPr>
          <w:sz w:val="28"/>
          <w:szCs w:val="28"/>
        </w:rPr>
      </w:pPr>
    </w:p>
    <w:p w14:paraId="4059A555" w14:textId="77777777" w:rsidR="009D5FDE" w:rsidRPr="00185BC0" w:rsidRDefault="009D5FDE" w:rsidP="00387CA6">
      <w:pPr>
        <w:jc w:val="both"/>
        <w:rPr>
          <w:sz w:val="28"/>
          <w:szCs w:val="28"/>
        </w:rPr>
      </w:pPr>
    </w:p>
    <w:p w14:paraId="42235563" w14:textId="608F9812" w:rsidR="00B44FE0" w:rsidRPr="00185BC0" w:rsidRDefault="00B44FE0" w:rsidP="00387CA6">
      <w:pPr>
        <w:jc w:val="both"/>
        <w:rPr>
          <w:sz w:val="28"/>
          <w:szCs w:val="28"/>
        </w:rPr>
      </w:pPr>
    </w:p>
    <w:p w14:paraId="51FE876E" w14:textId="06F437BB" w:rsidR="00387CA6" w:rsidRPr="00185BC0" w:rsidRDefault="00AF6282" w:rsidP="00387CA6">
      <w:pPr>
        <w:pStyle w:val="1"/>
        <w:rPr>
          <w:lang w:val="kk-KZ"/>
        </w:rPr>
      </w:pPr>
      <w:bookmarkStart w:id="45" w:name="_Toc217561944"/>
      <w:bookmarkStart w:id="46" w:name="_Hlk216856879"/>
      <w:r w:rsidRPr="00185BC0">
        <w:lastRenderedPageBreak/>
        <w:t>С</w:t>
      </w:r>
      <w:r w:rsidR="00387CA6" w:rsidRPr="00185BC0">
        <w:rPr>
          <w:lang w:val="kk-KZ"/>
        </w:rPr>
        <w:t>ПИСОК ИСПОЛЬЗОВАННЫХ ИСТОЧНИКОВ</w:t>
      </w:r>
      <w:bookmarkEnd w:id="45"/>
    </w:p>
    <w:p w14:paraId="1227756F" w14:textId="1D36CDD5" w:rsidR="00605C7C" w:rsidRPr="00247FDC" w:rsidRDefault="0006636A" w:rsidP="00247FDC">
      <w:pPr>
        <w:pStyle w:val="a6"/>
        <w:numPr>
          <w:ilvl w:val="0"/>
          <w:numId w:val="32"/>
        </w:numPr>
        <w:adjustRightInd w:val="0"/>
        <w:ind w:left="0" w:firstLine="567"/>
        <w:jc w:val="both"/>
        <w:rPr>
          <w:noProof/>
          <w:sz w:val="28"/>
          <w:szCs w:val="24"/>
        </w:rPr>
      </w:pPr>
      <w:r w:rsidRPr="00247FDC">
        <w:rPr>
          <w:sz w:val="28"/>
          <w:szCs w:val="28"/>
          <w:lang w:val="en-US"/>
        </w:rPr>
        <w:fldChar w:fldCharType="begin" w:fldLock="1"/>
      </w:r>
      <w:r w:rsidRPr="00247FDC">
        <w:rPr>
          <w:sz w:val="28"/>
          <w:szCs w:val="28"/>
          <w:lang w:val="en-US"/>
        </w:rPr>
        <w:instrText>ADDIN</w:instrText>
      </w:r>
      <w:r w:rsidRPr="00247FDC">
        <w:rPr>
          <w:sz w:val="28"/>
          <w:szCs w:val="28"/>
        </w:rPr>
        <w:instrText xml:space="preserve"> </w:instrText>
      </w:r>
      <w:r w:rsidRPr="00247FDC">
        <w:rPr>
          <w:sz w:val="28"/>
          <w:szCs w:val="28"/>
          <w:lang w:val="en-US"/>
        </w:rPr>
        <w:instrText>Mendeley</w:instrText>
      </w:r>
      <w:r w:rsidRPr="00247FDC">
        <w:rPr>
          <w:sz w:val="28"/>
          <w:szCs w:val="28"/>
        </w:rPr>
        <w:instrText xml:space="preserve"> </w:instrText>
      </w:r>
      <w:r w:rsidRPr="00247FDC">
        <w:rPr>
          <w:sz w:val="28"/>
          <w:szCs w:val="28"/>
          <w:lang w:val="en-US"/>
        </w:rPr>
        <w:instrText>Bibliography</w:instrText>
      </w:r>
      <w:r w:rsidRPr="00247FDC">
        <w:rPr>
          <w:sz w:val="28"/>
          <w:szCs w:val="28"/>
        </w:rPr>
        <w:instrText xml:space="preserve"> </w:instrText>
      </w:r>
      <w:r w:rsidRPr="00247FDC">
        <w:rPr>
          <w:sz w:val="28"/>
          <w:szCs w:val="28"/>
          <w:lang w:val="en-US"/>
        </w:rPr>
        <w:instrText>CSL</w:instrText>
      </w:r>
      <w:r w:rsidRPr="00247FDC">
        <w:rPr>
          <w:sz w:val="28"/>
          <w:szCs w:val="28"/>
        </w:rPr>
        <w:instrText>_</w:instrText>
      </w:r>
      <w:r w:rsidRPr="00247FDC">
        <w:rPr>
          <w:sz w:val="28"/>
          <w:szCs w:val="28"/>
          <w:lang w:val="en-US"/>
        </w:rPr>
        <w:instrText>BIBLIOGRAPHY</w:instrText>
      </w:r>
      <w:r w:rsidRPr="00247FDC">
        <w:rPr>
          <w:sz w:val="28"/>
          <w:szCs w:val="28"/>
        </w:rPr>
        <w:instrText xml:space="preserve"> </w:instrText>
      </w:r>
      <w:r w:rsidRPr="00247FDC">
        <w:rPr>
          <w:sz w:val="28"/>
          <w:szCs w:val="28"/>
          <w:lang w:val="en-US"/>
        </w:rPr>
        <w:fldChar w:fldCharType="separate"/>
      </w:r>
      <w:r w:rsidR="00605C7C" w:rsidRPr="00247FDC">
        <w:rPr>
          <w:noProof/>
          <w:sz w:val="28"/>
          <w:szCs w:val="24"/>
        </w:rPr>
        <w:t>Ахтямов И. Хирургическое лечение дисплазии тазобедренного сустава / И.Ф. Ахтямов, О. Соколовский. – Казань, 2008. – 371 с.</w:t>
      </w:r>
    </w:p>
    <w:p w14:paraId="0ED0D4EE" w14:textId="719045BB" w:rsidR="00605C7C" w:rsidRPr="00247FDC" w:rsidRDefault="00605C7C" w:rsidP="00247FDC">
      <w:pPr>
        <w:pStyle w:val="a6"/>
        <w:numPr>
          <w:ilvl w:val="0"/>
          <w:numId w:val="32"/>
        </w:numPr>
        <w:adjustRightInd w:val="0"/>
        <w:ind w:left="0" w:firstLine="567"/>
        <w:jc w:val="both"/>
        <w:rPr>
          <w:noProof/>
          <w:sz w:val="28"/>
          <w:szCs w:val="24"/>
        </w:rPr>
      </w:pPr>
      <w:r w:rsidRPr="00247FDC">
        <w:rPr>
          <w:noProof/>
          <w:sz w:val="28"/>
          <w:szCs w:val="24"/>
        </w:rPr>
        <w:t>Ашимов К.Д., Байдалин Т.Т., Октяброва Д.Г., Калелов Ж.А., Садыков А.А. Опыт тотального эндопротезирования тазобедренного сустава при Coxa Vara у молодого пациента после реконструктивных операций // Traumatology and Orthopaedics of Kazakhstan. – 2021. – Т. 2, № 57. – С. 46–50. DOI: https://doi.org/10.52889/1684-9280-2021-2-57-46-50.</w:t>
      </w:r>
    </w:p>
    <w:p w14:paraId="7C856B60" w14:textId="33969F3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Liu Z. Yang, Zhang J., Wu S. Tao, et al. Direct Anterior Approach in Crowe Type III-IV Developmental Dysplasia of the Hip: Surgical Technique and 2 years Follow-up from Southwest China // Orthop Surg. 2020. – Vol.12(4). – DOI: https://doi.org/10.1111/os.12713.</w:t>
      </w:r>
    </w:p>
    <w:p w14:paraId="25753591" w14:textId="4733201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Liu T., Wang S., Huang G., Wang W. Treatment of Crowe IV developmental dysplasia of the hip with cementless total hip arthroplasty and shortening subtrochanteric osteotomy // J Int Med Res. – 2019. – Vol. 47(7). – DOI: https://doi.org/10.1177/0300060519853383.</w:t>
      </w:r>
    </w:p>
    <w:p w14:paraId="1C94C08A" w14:textId="40A1613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Esmaeili S., Ghaseminejad-Raeini A., Ghane G., et al. Total Hip Arthroplasty in Patients Who Have Crowe Type IV Developmental Dysplasia of the Hip: A Systematic Review // J Arthroplasty. – 2024. – Vol. 39(10). – DOI: https://doi.org/10.1016/j.arth.2024.05.031.</w:t>
      </w:r>
    </w:p>
    <w:p w14:paraId="11AB1ED7" w14:textId="3F3C6F3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Erdem Y., Bek D., Atbasi Z., et al. Total hip arthroplasty with rectangular stems and subtrochanteric transverse shortening osteotomy in Crowe type IV hips: a retrospective study // Arthroplast Today. – 2019. – Vol. 5. –https://doi.org/10.1016/j.artd.2019.03.002.</w:t>
      </w:r>
    </w:p>
    <w:p w14:paraId="6CCAD420" w14:textId="0424D06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Shi X Tong, Li C Feng, Han Y, et al. Total Hip Arthroplasty for Crowe Type IV Hip Dysplasia: Surgical Techniques and Postoperative Complications // Orthopaedic Surgery. – 2019. – Vol. 11. – DOI: https://doi.org/10.1111/os.12576.</w:t>
      </w:r>
    </w:p>
    <w:p w14:paraId="3C38CE67" w14:textId="4129DE8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Yu X., Zhang D.-F., Chen X.-J., et al. Functional Outcome of Crowe IV Congenital Dysplasia of the Hip Managed by Total Hip Arthroplasty with Subtrochanteric Osteotomy // J Med Imaging Heal Informatics. – 2018. – Vol. 8. –DOI: https://doi.org/10.1166/jmihi.2018.2301.</w:t>
      </w:r>
    </w:p>
    <w:p w14:paraId="6A532C24" w14:textId="77906894"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Pan Y., Chen Y.. Greater trochanteric osteotomy and subtrochanteric osteotomy in primary/revision total hip arthroplasty // Front Surg. – 2023. – Vol.10. – February:1-7. – DOI: https://doi.org/10.3389/fsurg.2023.1103689.</w:t>
      </w:r>
    </w:p>
    <w:p w14:paraId="13D16268" w14:textId="4A632B9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Greber E.M., Pelt C.E., Gililland J.M., et al. Challenges in Total Hip Arthroplasty in the Setting of Developmental Dysplasia of the Hip // J Arthroplasty. – 2017. – Vol. 32(9). – DOI: https://doi.org/10.1016/j.arth.2017.02.024.</w:t>
      </w:r>
    </w:p>
    <w:p w14:paraId="62B8F6E3" w14:textId="4B54B9BE"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Roth A., Goralski S., Layher F., et al. Challenges of primary hip arthroplasty with high hip dislocation // Orthopade. – 2019. – Vol. 48. – DOI: https://doi.org/10.1007/s00132-019-03694-w.</w:t>
      </w:r>
    </w:p>
    <w:p w14:paraId="6CE44AC3" w14:textId="078433E4"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Wang D., Li D.H., Li Q., et al. Subtrochanteric shortening osteotomy during cementless total hip arthroplasty in young patients with severe developmental dysplasia of the hip // BMC Musculoskelet Disord. – 2017. – Vol. 18. – DOI: https://doi.org/10.1186/s12891-017-1857-x.</w:t>
      </w:r>
    </w:p>
    <w:p w14:paraId="0D15150D" w14:textId="595A37A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Gong S., Xu W., Wang R., et al. The causes and management of nonunion </w:t>
      </w:r>
      <w:r w:rsidRPr="00247FDC">
        <w:rPr>
          <w:noProof/>
          <w:sz w:val="28"/>
          <w:szCs w:val="24"/>
          <w:lang w:val="en-US"/>
        </w:rPr>
        <w:lastRenderedPageBreak/>
        <w:t>of femoral subtrochanteric shortening osteotomy in a THA patient: A case report // BMC Musculoskelet Disord. – 2019. – Vol. 20. – DOI: https://doi.org/10.1186/s12891-019-2612-2.</w:t>
      </w:r>
    </w:p>
    <w:p w14:paraId="7CD55116" w14:textId="7380C90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Ueoka K., Kabata T., Kajino Y., et al. Patient-reported outcomes following primary total hip arthroplasty in Crowe type III or IV developmental dysplasia are comparable to those in Crowe type I: A case-control study of 96 hips with intermediate-term follow-up // BMC Musculoskelet Disord. – 2020. – Vol.21. – DOI: https://doi.org/10.1186/s12891-020-03371-6.</w:t>
      </w:r>
    </w:p>
    <w:p w14:paraId="1E94B021" w14:textId="432C9DBD"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Muratli K.S., Karatosun V., Uzun B., Celik S. Subtrochanteric Shortening in Total Hip Arthroplasty: Biomechanical Comparison of Four Techniques // J Arthroplasty. – 2014. – Vol. 29. – DOI: https://doi.org/10.1016/j.arth.2013.09.004.</w:t>
      </w:r>
    </w:p>
    <w:p w14:paraId="4935B4A2" w14:textId="27146DD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Togrul E., Özkan C., Kalaci A., Gülşen M. A new technique of subtrochanteric shortening in total hip replacement for crowe type 3 to 4 dysplasia of the hip // J Arthroplasty. – 2010. – Vol. 25. – DOI: https://doi.org/10.1016/j.arth.2009.02.023.</w:t>
      </w:r>
    </w:p>
    <w:p w14:paraId="2C5F921B" w14:textId="06F8F729"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Berton C., Puskas G.J., Christofilopoulos P., et al. Comparison of the outcome following the fixation of osteotomies or fractures associated with total hip replacement using cables or wires: The results at five years // J Bone Jt Surg -Ser B. – 2012. – Vol. 94B(11). – DOI: https://doi.org/10.1302/0301-620X.94B11.29687.</w:t>
      </w:r>
    </w:p>
    <w:p w14:paraId="6974D4D2" w14:textId="1164A1E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Çaglar Ö., Özdemir E., Tokgözoglu A.M., Atilla B. Use of proximal humerus plates for the fixation of the subtrochanteric femoral shortening osteotomy during total hip arthroplasty for Crowe type IV developmental dysplasia of the hip patients // Jt Dis Relat Surg. – 2020. – Vol.31. – DOI: https://doi.org/10.5606/EHC.2020.73078.</w:t>
      </w:r>
    </w:p>
    <w:p w14:paraId="42157346" w14:textId="02F0046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Liu Y., Ma M., Yang M., et al. A comparative study of three different fixation methods after subtrochanteric shortening osteotomy in total hip arthroplasty for Crowe type Ⅳ developmental dysplasia of the hip // Zhongguo Xiu Fu Chong Jian Wai Ke Za Zhi. – 2021. – Vol. 35. – DOI: https://doi.org/10.7507/1002-1892.202107121.</w:t>
      </w:r>
    </w:p>
    <w:p w14:paraId="4BF42F5A" w14:textId="2826E73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Escribano García C., Bachiller Carnicero L., Marín Urueña S.I., et al. </w:t>
      </w:r>
      <w:r w:rsidRPr="00247D37">
        <w:rPr>
          <w:noProof/>
          <w:sz w:val="28"/>
          <w:szCs w:val="24"/>
          <w:lang w:val="en-US"/>
        </w:rPr>
        <w:t xml:space="preserve">Developmental dysplasia of the hip: Beyond the screening. </w:t>
      </w:r>
      <w:r w:rsidRPr="00247FDC">
        <w:rPr>
          <w:noProof/>
          <w:sz w:val="28"/>
          <w:szCs w:val="24"/>
          <w:lang w:val="en-US"/>
        </w:rPr>
        <w:t>Physical exam is our pending subject // An Pediatría (English Ed.). – 2021. – Vol. 95(4). – DOI: https://doi.org/10.1016/j.anpede.2020.07.024.</w:t>
      </w:r>
    </w:p>
    <w:p w14:paraId="71C97140" w14:textId="08A6C1A4"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Erdoğan F., Can A.. The effect of previous pelvic or proximal femoral osteotomy on the outcomes of total hip arthroplasty in patients with dysplastic coxarthrosis // Acta Orthop Traumatol Turc. – 2020. – Vol. 54(1). – DOI: https://doi.org/10.5152/J.AOTT.2020.01.7.</w:t>
      </w:r>
    </w:p>
    <w:p w14:paraId="580A911F" w14:textId="550DB8E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Guclu B., Koken M.. Does THA Affect Sexual Dysfunction in Female Patients With DDH? // J Arthroplasty. – 2020. – Vol. 35. – DOI: https://doi.org/10.1016/j.arth.2020.01.049.</w:t>
      </w:r>
    </w:p>
    <w:p w14:paraId="286E2941" w14:textId="43FF6F6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Norlén S., Faergemann C.. Developmental dysplasia of the hip in infants referred for a combined pediatric orthopedic and radiologic examination. A prospective cohort study // J Orthop. – 2022. – Vol. 32. – DOI: https://doi.org/10.1016/j.jor.2022.05.014.</w:t>
      </w:r>
    </w:p>
    <w:p w14:paraId="25317809" w14:textId="22EB1F9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Vasilcova V., Alharthi M., Alamri N., et al. Developmental Dysplasia of </w:t>
      </w:r>
      <w:r w:rsidRPr="00247FDC">
        <w:rPr>
          <w:noProof/>
          <w:sz w:val="28"/>
          <w:szCs w:val="24"/>
          <w:lang w:val="en-US"/>
        </w:rPr>
        <w:lastRenderedPageBreak/>
        <w:t>the Hip: Prevalence and Correlation with Other Diagnoses in Physiotherapy Practice –A 5-Year Retrospective Review // Children. – 2022. – Vol. 9. – DOI: https://doi.org/10.3390/children9020247.</w:t>
      </w:r>
    </w:p>
    <w:p w14:paraId="75D6A771" w14:textId="04A5CEE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Gala L., Clohisy J.C., Beaulé P.E. Hip Dysplasia in the Young Adult // J Bone Jt Surg. – 2016. – Vol. 98(1). – DOI: https://doi.org/10.2106/jbjs.o.00109.</w:t>
      </w:r>
    </w:p>
    <w:p w14:paraId="46E28067" w14:textId="788F942D"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Bicanic G., Barbaric K., Bohacek I., et al. Current concept in dysplastic hip arthroplasty: Techniques for acetabular and femoral reconstruction // World J Orthop. – 2014. – Vol. 5. – DOI: https://doi.org/10.5312/wjo.v5.i4.412</w:t>
      </w:r>
    </w:p>
    <w:p w14:paraId="7A64CE0D" w14:textId="4BA8A95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Naito M., Nakamura Y. Curved periacetabular osteotomy for the treatment of dysplastic hips // Clin Orthop Surg. – 2014. – Vol. 6. – DOI: https://doi.org/10.4055/cios.2014.6.2.127.</w:t>
      </w:r>
    </w:p>
    <w:p w14:paraId="0841B260" w14:textId="18A30AAF"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Goiano E. de O., Akkari M., Pupin J.P., Santili C. The epidemiology of developmental dysplasia of the hip in males // Acta Ortop Bras. – 2020. – Vol. 28. –DOI: https://doi.org/10.1590/1413-785220202801215936.</w:t>
      </w:r>
    </w:p>
    <w:p w14:paraId="5B64C4D8" w14:textId="4092A47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Vafaee A.R., Baghdadi T., Baghdadi A., Jamnani R.K. DDH epidemiology revisited: Do we need new strategies? // Arch Bone Jt Surg. – 2017. – Vol. 5. – DOI: https://doi.org/10.22038/abjs.2017.20925.1562.</w:t>
      </w:r>
    </w:p>
    <w:p w14:paraId="43E0869C" w14:textId="43C4A5E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Wenger D.R., Bomar J.D. Historical Aspects of DDH // Indian J Orthop. –2020. – Vol. 55. – DOI: https://doi.org/10.1007/s43465-021-00470-x.</w:t>
      </w:r>
    </w:p>
    <w:p w14:paraId="1798D6FB" w14:textId="36EBC6E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Woodacre T., Ball T., Cox P. Epidemiology of developmental dysplasia of the hip within the UK: refining the risk factors // J Child Orthop. – 2016. – Vol. 10. – DOI: https://doi.org/10.1007/s11832-016-0798-5. </w:t>
      </w:r>
    </w:p>
    <w:p w14:paraId="5D7C1986" w14:textId="6CD6661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Chen W., Ma Y., Ma H., Nie M. Total hip arthroplasty for Crowe type IV developmental dysplasia of the hip combined with intertrochanteric fracture: a case report and literature review // BMC Surg. – 2020. – Vol. 20. – DOI: https://doi.org/10.1186/s12893-020-00941-2.</w:t>
      </w:r>
    </w:p>
    <w:p w14:paraId="7CEC0850" w14:textId="6585E509"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Report from SPA (Single Point of Access. ERSB.) // https://reports.eisz.kz/Account/Login.aspx.</w:t>
      </w:r>
    </w:p>
    <w:p w14:paraId="0607CEB7" w14:textId="6CEBF6D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Baghdadi T., Nejadhosseinian M., Shirkoohi R., et al. DNA hypermethylation of GDF5 in developmental dysplasia of the hip (DDH) // Mol Genet Genomic Med. – 2019. – Vol. 7. – DOI: https://doi.org/10.1002/mgg3.887.</w:t>
      </w:r>
    </w:p>
    <w:p w14:paraId="7491FA73" w14:textId="49F0EE3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Gumus E, Temiz E, Demircan T, Sarikaya B, Yuksekdag O, Bozkurt C, et al. The Link between miR-96 Levels and the Developmental Dysplasia of the Hip // Gazi Med J. – 2022. – Vol. 33. – DOI: https://doi.org/10.12996/gmj.2022.58.</w:t>
      </w:r>
    </w:p>
    <w:p w14:paraId="1F4201EB" w14:textId="6760A019"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Shi D., Dai J., Zhu P., et al. Association of the D repeat polymorphism in the ASPN gene with developmental dysplasia of the hip: A case-control study in Han Chinese // Arthritis Res Ther. – 2011.  – Vol. 13. – DOI: https://doi.org/10.1186/ar3252.</w:t>
      </w:r>
    </w:p>
    <w:p w14:paraId="42505CD4" w14:textId="0C69677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Yan W., Zheng L., Xu X., et al. Heterozygous LRP1 deficiency causes developmental dysplasia of the hip by impairing triradiate chondrocytes differentiation due to inhibition of autophagy // Proc Natl Acad Sci U S A. – 2022. – Vol. 119(37). – DOI: https://doi.org/10.1073/pnas.2203557119.</w:t>
      </w:r>
    </w:p>
    <w:p w14:paraId="2005FD4B" w14:textId="2018125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Vafaeian B., Zonoobi D., Mabee M., et al. Finite element analysis of mechanical behavior of human dysplastic hip joints: a systematic review // Osteoarthritis and Cartilage. – 2017. – Vol. 25. – DOI: </w:t>
      </w:r>
      <w:r w:rsidRPr="00247FDC">
        <w:rPr>
          <w:noProof/>
          <w:sz w:val="28"/>
          <w:szCs w:val="24"/>
          <w:lang w:val="en-US"/>
        </w:rPr>
        <w:lastRenderedPageBreak/>
        <w:t>https://doi.org/10.1016/j.joca.2016.10.023.</w:t>
      </w:r>
    </w:p>
    <w:p w14:paraId="20D2FCA4" w14:textId="02807E2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Harsanyi S., Zamborsky R., Kokavec M., Danisovic L. Genetics of developmental dysplasia of the hip // European Journal of Medical Genetics. – 2020. – Vol. 63(9). – DOI: https://doi.org/10.1016/j.ejmg.2020.103990.</w:t>
      </w:r>
    </w:p>
    <w:p w14:paraId="5932E39D" w14:textId="7198BEFE"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Ding Z. Chuan, Zeng W. Nan, Mou P., et al. Risk of Dislocation After Total Hip Arthroplasty in Patients with Crowe Type IV Developmental Dysplasia of the Hip // Orthop Surg. – 2020. – Vol. 12. – https://doi.org/10.1111/os.12665.</w:t>
      </w:r>
    </w:p>
    <w:p w14:paraId="1052D52E" w14:textId="66C7E05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Barr L.V., Rehm A. Should all twins and multiple births undergo ultrasound examination for developmental dysplasia of the hip?: A retrospective study of 990 multiple births // J Bone Jt Surg. – 2013. – Vol. 95-B(1). – DOI: https://doi.org/10.1302/0301-620X.95B1.29927.</w:t>
      </w:r>
    </w:p>
    <w:p w14:paraId="54C902B4" w14:textId="0DCB01E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Zhao L., Ma Q., Feng X., et al. Screening for developmental dysplasia of the hip in infants in tibet identifies increased prevalence associated with altitude // Med Sci Monit. – 2019. – Vol. 25. – DOI: https://doi.org/10.12659/MSM.916456.</w:t>
      </w:r>
    </w:p>
    <w:p w14:paraId="3E7987AF" w14:textId="56E23F2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Verbruggen S.W., Kainz B., Shelmerdine S.C., et al. Altered biomechanical stimulation of the developing hip joint in presence of hip dysplasia risk factors // J Biomech. – 2018. – Vol. 78(10). – DOI:  https://doi.org/10.1016/j.jbiomech.2018.07.016.</w:t>
      </w:r>
    </w:p>
    <w:p w14:paraId="57572BAD" w14:textId="5361FC0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Oh E.J., Min J.J., Kwon S.S., et al. Breech Presentation in Twins as a Risk Factor for Developmental Dysplasia of the Hip // J Pediatr Orthop. – 2022. – Vol. 42. – DOI: https://doi.org/10.1097/BPO.0000000000001982.</w:t>
      </w:r>
    </w:p>
    <w:p w14:paraId="4633634A" w14:textId="74DCEB7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Tirta M., Rahbek O., Kold S., Husum H.-C. Risk Factors for Developmental Dysplasia of the Hip Before 3 Months of Age: A Meta-Analysis // JAMA Netw open. – 2025. – Vol.8(1). – P.:e2456153. – DOI: https://doi.org/10.1001/jamanetworkopen.2024.56153.</w:t>
      </w:r>
    </w:p>
    <w:p w14:paraId="3C74E6C0" w14:textId="5F02E9F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Trauma O., Rel S.. Is There a Difference in Femur Length Between Neglected Developmental Dysplasia of The Hip (DDH) And Contralateral Normal Hip-Femur Length?: A Radiographic Study // Int J Orthop Res. – 2022. – Vol. 5. –P.:2-4. – DOI: https://doi.org/10.33140/ijor.05.02.02.</w:t>
      </w:r>
    </w:p>
    <w:p w14:paraId="6BC5178F" w14:textId="33378A9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Jawad M.U., Scully S.P. In brief: Crowe’s classification: Arthroplasty in developmental dysplasia of the hip // Clinical Orthopaedics and Related Research. –2011. – Vol. 496(1). – DOI: https://doi.org/10.1007/s11999-010-1316-6.</w:t>
      </w:r>
    </w:p>
    <w:p w14:paraId="0325B18E" w14:textId="7B3C256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Wang C., Ouyang Y., Liu H., et al. Surgery simulation teaching based on real reconstruction aid versus traditional surgical live teaching in the acquisition of an adult total hip arthroplasty surgical technique for developmental dysplasia of the hip: A randomized comparative study // BMC Med Educ. – 2020. – Vol. 20. – DOI: https://doi.org/10.1186/s12909-020-02135-z.</w:t>
      </w:r>
    </w:p>
    <w:p w14:paraId="58193794" w14:textId="19FA711E"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Cristea S., Gavrila M., Groseanu F. Femoral Approach for Total Hip Arthroplasty ( THA ) // High Dislocated Hips, Comparison of Two Surgical Techniques. – 2025. – Vol. 10.  – DOI: https://doi.org/10.29011/2575-9760.011325.</w:t>
      </w:r>
    </w:p>
    <w:p w14:paraId="5A75FBF0" w14:textId="06C9B87C"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Brunner A., Ulmar B., Reichel H., Decking R. The Eftekhar and Kerboul classifications in assessment of developmental dysplasia of the hip in adult patients. Measurement of inter–and intraobserver reliability // HSS J. – 2008. – Vol. 4. – DOI: https://doi.org/10.1007/s11420-007-9066-z.</w:t>
      </w:r>
    </w:p>
    <w:p w14:paraId="7B4F087D" w14:textId="53D23D2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Zhu J., Fernando N.D. Classifications in brief: The hartofilakidis </w:t>
      </w:r>
      <w:r w:rsidRPr="00247FDC">
        <w:rPr>
          <w:noProof/>
          <w:sz w:val="28"/>
          <w:szCs w:val="24"/>
          <w:lang w:val="en-US"/>
        </w:rPr>
        <w:lastRenderedPageBreak/>
        <w:t>classification of developmental dysplasia of the hip // Clin Orthop Relat Res. – 2020. – Vol. 478(1). – DOI: https://doi.org/10.1097/CORR.0000000000000802.</w:t>
      </w:r>
    </w:p>
    <w:p w14:paraId="2205AF9A" w14:textId="6FC39999"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Sofu H., Kockara N., Gursu S., et al. Transverse Subtrochanteric Shortening Osteotomy During Cementless Total Hip Arthroplasty in Crowe Type-III or IV Developmental Dysplasia // J Arthroplasty. – 2015. – Vol. 30. – DOI: https://doi.org/10.1016/j.arth.2015.01.045.</w:t>
      </w:r>
    </w:p>
    <w:p w14:paraId="4F2E7B17" w14:textId="10EC98D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Zhu J., Shen C., Chen X., et al. Total hip arthroplasty with a non-modular conical stem and transverse subtrochanteric osteotomy in treatment of high dislocated hips // J Arthroplasty. – 2015. – Vol. 30. – DOI: https://doi.org/10.1016/j.arth.2014.11.002.</w:t>
      </w:r>
    </w:p>
    <w:p w14:paraId="4534FA85" w14:textId="01DC64F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 H., Xu J., Qu X., et al. Comparison of Total Hip Arthroplasty With and Without Femoral Shortening Osteotomy for Unilateral Mild to Moderate High Hip Dislocation // J Arthroplasty. – 2017. – Vol. 32. – DOI: https://doi.org/10.1016/j.arth.2016.08.021.</w:t>
      </w:r>
    </w:p>
    <w:p w14:paraId="1C7BA001" w14:textId="4297309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rPr>
        <w:t>Бекназаров</w:t>
      </w:r>
      <w:r w:rsidRPr="00247FDC">
        <w:rPr>
          <w:noProof/>
          <w:sz w:val="28"/>
          <w:szCs w:val="24"/>
          <w:lang w:val="en-US"/>
        </w:rPr>
        <w:t xml:space="preserve"> </w:t>
      </w:r>
      <w:r w:rsidRPr="00247FDC">
        <w:rPr>
          <w:noProof/>
          <w:sz w:val="28"/>
          <w:szCs w:val="24"/>
        </w:rPr>
        <w:t>А</w:t>
      </w:r>
      <w:r w:rsidRPr="00247FDC">
        <w:rPr>
          <w:noProof/>
          <w:sz w:val="28"/>
          <w:szCs w:val="24"/>
          <w:lang w:val="en-US"/>
        </w:rPr>
        <w:t>.</w:t>
      </w:r>
      <w:r w:rsidRPr="00247FDC">
        <w:rPr>
          <w:noProof/>
          <w:sz w:val="28"/>
          <w:szCs w:val="24"/>
        </w:rPr>
        <w:t>И</w:t>
      </w:r>
      <w:r w:rsidRPr="00247FDC">
        <w:rPr>
          <w:noProof/>
          <w:sz w:val="28"/>
          <w:szCs w:val="24"/>
          <w:lang w:val="en-US"/>
        </w:rPr>
        <w:t xml:space="preserve">., </w:t>
      </w:r>
      <w:r w:rsidRPr="00247FDC">
        <w:rPr>
          <w:noProof/>
          <w:sz w:val="28"/>
          <w:szCs w:val="24"/>
        </w:rPr>
        <w:t>Ашимов</w:t>
      </w:r>
      <w:r w:rsidRPr="00247FDC">
        <w:rPr>
          <w:noProof/>
          <w:sz w:val="28"/>
          <w:szCs w:val="24"/>
          <w:lang w:val="en-US"/>
        </w:rPr>
        <w:t xml:space="preserve"> </w:t>
      </w:r>
      <w:r w:rsidRPr="00247FDC">
        <w:rPr>
          <w:noProof/>
          <w:sz w:val="28"/>
          <w:szCs w:val="24"/>
        </w:rPr>
        <w:t>К</w:t>
      </w:r>
      <w:r w:rsidRPr="00247FDC">
        <w:rPr>
          <w:noProof/>
          <w:sz w:val="28"/>
          <w:szCs w:val="24"/>
          <w:lang w:val="en-US"/>
        </w:rPr>
        <w:t>.</w:t>
      </w:r>
      <w:r w:rsidRPr="00247FDC">
        <w:rPr>
          <w:noProof/>
          <w:sz w:val="28"/>
          <w:szCs w:val="24"/>
        </w:rPr>
        <w:t>Д</w:t>
      </w:r>
      <w:r w:rsidRPr="00247FDC">
        <w:rPr>
          <w:noProof/>
          <w:sz w:val="28"/>
          <w:szCs w:val="24"/>
          <w:lang w:val="en-US"/>
        </w:rPr>
        <w:t xml:space="preserve">., </w:t>
      </w:r>
      <w:r w:rsidRPr="00247FDC">
        <w:rPr>
          <w:noProof/>
          <w:sz w:val="28"/>
          <w:szCs w:val="24"/>
        </w:rPr>
        <w:t>Берк</w:t>
      </w:r>
      <w:r w:rsidRPr="00247FDC">
        <w:rPr>
          <w:noProof/>
          <w:sz w:val="28"/>
          <w:szCs w:val="24"/>
          <w:lang w:val="en-US"/>
        </w:rPr>
        <w:t xml:space="preserve"> </w:t>
      </w:r>
      <w:r w:rsidRPr="00247FDC">
        <w:rPr>
          <w:noProof/>
          <w:sz w:val="28"/>
          <w:szCs w:val="24"/>
        </w:rPr>
        <w:t>Гючлю</w:t>
      </w:r>
      <w:r w:rsidRPr="00247FDC">
        <w:rPr>
          <w:noProof/>
          <w:sz w:val="28"/>
          <w:szCs w:val="24"/>
          <w:lang w:val="en-US"/>
        </w:rPr>
        <w:t xml:space="preserve">, </w:t>
      </w:r>
      <w:r w:rsidRPr="00247FDC">
        <w:rPr>
          <w:noProof/>
          <w:sz w:val="28"/>
          <w:szCs w:val="24"/>
        </w:rPr>
        <w:t>Октяброва</w:t>
      </w:r>
      <w:r w:rsidRPr="00247FDC">
        <w:rPr>
          <w:noProof/>
          <w:sz w:val="28"/>
          <w:szCs w:val="24"/>
          <w:lang w:val="en-US"/>
        </w:rPr>
        <w:t xml:space="preserve"> </w:t>
      </w:r>
      <w:r w:rsidRPr="00247FDC">
        <w:rPr>
          <w:noProof/>
          <w:sz w:val="28"/>
          <w:szCs w:val="24"/>
        </w:rPr>
        <w:t>Д</w:t>
      </w:r>
      <w:r w:rsidRPr="00247FDC">
        <w:rPr>
          <w:noProof/>
          <w:sz w:val="28"/>
          <w:szCs w:val="24"/>
          <w:lang w:val="en-US"/>
        </w:rPr>
        <w:t>.</w:t>
      </w:r>
      <w:r w:rsidRPr="00247FDC">
        <w:rPr>
          <w:noProof/>
          <w:sz w:val="28"/>
          <w:szCs w:val="24"/>
        </w:rPr>
        <w:t>Г</w:t>
      </w:r>
      <w:r w:rsidRPr="00247FDC">
        <w:rPr>
          <w:noProof/>
          <w:sz w:val="28"/>
          <w:szCs w:val="24"/>
          <w:lang w:val="en-US"/>
        </w:rPr>
        <w:t xml:space="preserve">., </w:t>
      </w:r>
      <w:r w:rsidRPr="00247FDC">
        <w:rPr>
          <w:noProof/>
          <w:sz w:val="28"/>
          <w:szCs w:val="24"/>
        </w:rPr>
        <w:t>Байдалин</w:t>
      </w:r>
      <w:r w:rsidRPr="00247FDC">
        <w:rPr>
          <w:noProof/>
          <w:sz w:val="28"/>
          <w:szCs w:val="24"/>
          <w:lang w:val="en-US"/>
        </w:rPr>
        <w:t xml:space="preserve"> </w:t>
      </w:r>
      <w:r w:rsidRPr="00247FDC">
        <w:rPr>
          <w:noProof/>
          <w:sz w:val="28"/>
          <w:szCs w:val="24"/>
        </w:rPr>
        <w:t>Т</w:t>
      </w:r>
      <w:r w:rsidRPr="00247FDC">
        <w:rPr>
          <w:noProof/>
          <w:sz w:val="28"/>
          <w:szCs w:val="24"/>
          <w:lang w:val="en-US"/>
        </w:rPr>
        <w:t>.</w:t>
      </w:r>
      <w:r w:rsidRPr="00247FDC">
        <w:rPr>
          <w:noProof/>
          <w:sz w:val="28"/>
          <w:szCs w:val="24"/>
        </w:rPr>
        <w:t>Т</w:t>
      </w:r>
      <w:r w:rsidRPr="00247FDC">
        <w:rPr>
          <w:noProof/>
          <w:sz w:val="28"/>
          <w:szCs w:val="24"/>
          <w:lang w:val="en-US"/>
        </w:rPr>
        <w:t xml:space="preserve">., </w:t>
      </w:r>
      <w:r w:rsidRPr="00247FDC">
        <w:rPr>
          <w:noProof/>
          <w:sz w:val="28"/>
          <w:szCs w:val="24"/>
        </w:rPr>
        <w:t>Сулейменов</w:t>
      </w:r>
      <w:r w:rsidRPr="00247FDC">
        <w:rPr>
          <w:noProof/>
          <w:sz w:val="28"/>
          <w:szCs w:val="24"/>
          <w:lang w:val="en-US"/>
        </w:rPr>
        <w:t xml:space="preserve"> </w:t>
      </w:r>
      <w:r w:rsidRPr="00247FDC">
        <w:rPr>
          <w:noProof/>
          <w:sz w:val="28"/>
          <w:szCs w:val="24"/>
        </w:rPr>
        <w:t>Б</w:t>
      </w:r>
      <w:r w:rsidRPr="00247FDC">
        <w:rPr>
          <w:noProof/>
          <w:sz w:val="28"/>
          <w:szCs w:val="24"/>
          <w:lang w:val="en-US"/>
        </w:rPr>
        <w:t>.</w:t>
      </w:r>
      <w:r w:rsidRPr="00247FDC">
        <w:rPr>
          <w:noProof/>
          <w:sz w:val="28"/>
          <w:szCs w:val="24"/>
        </w:rPr>
        <w:t>Т</w:t>
      </w:r>
      <w:r w:rsidRPr="00247FDC">
        <w:rPr>
          <w:noProof/>
          <w:sz w:val="28"/>
          <w:szCs w:val="24"/>
          <w:lang w:val="en-US"/>
        </w:rPr>
        <w:t xml:space="preserve">., </w:t>
      </w:r>
      <w:r w:rsidRPr="00247FDC">
        <w:rPr>
          <w:noProof/>
          <w:sz w:val="28"/>
          <w:szCs w:val="24"/>
        </w:rPr>
        <w:t>Агабеков</w:t>
      </w:r>
      <w:r w:rsidRPr="00247FDC">
        <w:rPr>
          <w:noProof/>
          <w:sz w:val="28"/>
          <w:szCs w:val="24"/>
          <w:lang w:val="en-US"/>
        </w:rPr>
        <w:t xml:space="preserve"> </w:t>
      </w:r>
      <w:r w:rsidRPr="00247FDC">
        <w:rPr>
          <w:noProof/>
          <w:sz w:val="28"/>
          <w:szCs w:val="24"/>
        </w:rPr>
        <w:t>Е</w:t>
      </w:r>
      <w:r w:rsidRPr="00247FDC">
        <w:rPr>
          <w:noProof/>
          <w:sz w:val="28"/>
          <w:szCs w:val="24"/>
          <w:lang w:val="en-US"/>
        </w:rPr>
        <w:t>.</w:t>
      </w:r>
      <w:r w:rsidRPr="00247FDC">
        <w:rPr>
          <w:noProof/>
          <w:sz w:val="28"/>
          <w:szCs w:val="24"/>
        </w:rPr>
        <w:t>К</w:t>
      </w:r>
      <w:r w:rsidRPr="00247FDC">
        <w:rPr>
          <w:noProof/>
          <w:sz w:val="28"/>
          <w:szCs w:val="24"/>
          <w:lang w:val="en-US"/>
        </w:rPr>
        <w:t xml:space="preserve">. </w:t>
      </w:r>
      <w:r w:rsidRPr="00247FDC">
        <w:rPr>
          <w:noProof/>
          <w:sz w:val="28"/>
          <w:szCs w:val="24"/>
        </w:rPr>
        <w:t>Несращение</w:t>
      </w:r>
      <w:r w:rsidRPr="00247FDC">
        <w:rPr>
          <w:noProof/>
          <w:sz w:val="28"/>
          <w:szCs w:val="24"/>
          <w:lang w:val="en-US"/>
        </w:rPr>
        <w:t xml:space="preserve"> </w:t>
      </w:r>
      <w:r w:rsidRPr="00247FDC">
        <w:rPr>
          <w:noProof/>
          <w:sz w:val="28"/>
          <w:szCs w:val="24"/>
        </w:rPr>
        <w:t>места</w:t>
      </w:r>
      <w:r w:rsidRPr="00247FDC">
        <w:rPr>
          <w:noProof/>
          <w:sz w:val="28"/>
          <w:szCs w:val="24"/>
          <w:lang w:val="en-US"/>
        </w:rPr>
        <w:t xml:space="preserve"> </w:t>
      </w:r>
      <w:r w:rsidRPr="00247FDC">
        <w:rPr>
          <w:noProof/>
          <w:sz w:val="28"/>
          <w:szCs w:val="24"/>
        </w:rPr>
        <w:t>остеотомии</w:t>
      </w:r>
      <w:r w:rsidRPr="00247FDC">
        <w:rPr>
          <w:noProof/>
          <w:sz w:val="28"/>
          <w:szCs w:val="24"/>
          <w:lang w:val="en-US"/>
        </w:rPr>
        <w:t xml:space="preserve"> </w:t>
      </w:r>
      <w:r w:rsidRPr="00247FDC">
        <w:rPr>
          <w:noProof/>
          <w:sz w:val="28"/>
          <w:szCs w:val="24"/>
        </w:rPr>
        <w:t>при</w:t>
      </w:r>
      <w:r w:rsidRPr="00247FDC">
        <w:rPr>
          <w:noProof/>
          <w:sz w:val="28"/>
          <w:szCs w:val="24"/>
          <w:lang w:val="en-US"/>
        </w:rPr>
        <w:t xml:space="preserve"> </w:t>
      </w:r>
      <w:r w:rsidRPr="00247FDC">
        <w:rPr>
          <w:noProof/>
          <w:sz w:val="28"/>
          <w:szCs w:val="24"/>
        </w:rPr>
        <w:t>поперечной</w:t>
      </w:r>
      <w:r w:rsidRPr="00247FDC">
        <w:rPr>
          <w:noProof/>
          <w:sz w:val="28"/>
          <w:szCs w:val="24"/>
          <w:lang w:val="en-US"/>
        </w:rPr>
        <w:t xml:space="preserve"> </w:t>
      </w:r>
      <w:r w:rsidRPr="00247FDC">
        <w:rPr>
          <w:noProof/>
          <w:sz w:val="28"/>
          <w:szCs w:val="24"/>
        </w:rPr>
        <w:t>укорачивающей</w:t>
      </w:r>
      <w:r w:rsidRPr="00247FDC">
        <w:rPr>
          <w:noProof/>
          <w:sz w:val="28"/>
          <w:szCs w:val="24"/>
          <w:lang w:val="en-US"/>
        </w:rPr>
        <w:t xml:space="preserve"> </w:t>
      </w:r>
      <w:r w:rsidRPr="00247FDC">
        <w:rPr>
          <w:noProof/>
          <w:sz w:val="28"/>
          <w:szCs w:val="24"/>
        </w:rPr>
        <w:t>остеотомии</w:t>
      </w:r>
      <w:r w:rsidRPr="00247FDC">
        <w:rPr>
          <w:noProof/>
          <w:sz w:val="28"/>
          <w:szCs w:val="24"/>
          <w:lang w:val="en-US"/>
        </w:rPr>
        <w:t xml:space="preserve"> </w:t>
      </w:r>
      <w:r w:rsidRPr="00247FDC">
        <w:rPr>
          <w:noProof/>
          <w:sz w:val="28"/>
          <w:szCs w:val="24"/>
        </w:rPr>
        <w:t>бедренной</w:t>
      </w:r>
      <w:r w:rsidRPr="00247FDC">
        <w:rPr>
          <w:noProof/>
          <w:sz w:val="28"/>
          <w:szCs w:val="24"/>
          <w:lang w:val="en-US"/>
        </w:rPr>
        <w:t xml:space="preserve"> </w:t>
      </w:r>
      <w:r w:rsidRPr="00247FDC">
        <w:rPr>
          <w:noProof/>
          <w:sz w:val="28"/>
          <w:szCs w:val="24"/>
        </w:rPr>
        <w:t>кости</w:t>
      </w:r>
      <w:r w:rsidRPr="00247FDC">
        <w:rPr>
          <w:noProof/>
          <w:sz w:val="28"/>
          <w:szCs w:val="24"/>
          <w:lang w:val="en-US"/>
        </w:rPr>
        <w:t xml:space="preserve"> </w:t>
      </w:r>
      <w:r w:rsidRPr="00247FDC">
        <w:rPr>
          <w:noProof/>
          <w:sz w:val="28"/>
          <w:szCs w:val="24"/>
        </w:rPr>
        <w:t>в</w:t>
      </w:r>
      <w:r w:rsidRPr="00247FDC">
        <w:rPr>
          <w:noProof/>
          <w:sz w:val="28"/>
          <w:szCs w:val="24"/>
          <w:lang w:val="en-US"/>
        </w:rPr>
        <w:t xml:space="preserve"> </w:t>
      </w:r>
      <w:r w:rsidRPr="00247FDC">
        <w:rPr>
          <w:noProof/>
          <w:sz w:val="28"/>
          <w:szCs w:val="24"/>
        </w:rPr>
        <w:t>сочетании</w:t>
      </w:r>
      <w:r w:rsidRPr="00247FDC">
        <w:rPr>
          <w:noProof/>
          <w:sz w:val="28"/>
          <w:szCs w:val="24"/>
          <w:lang w:val="en-US"/>
        </w:rPr>
        <w:t xml:space="preserve"> </w:t>
      </w:r>
      <w:r w:rsidRPr="00247FDC">
        <w:rPr>
          <w:noProof/>
          <w:sz w:val="28"/>
          <w:szCs w:val="24"/>
        </w:rPr>
        <w:t>с</w:t>
      </w:r>
      <w:r w:rsidRPr="00247FDC">
        <w:rPr>
          <w:noProof/>
          <w:sz w:val="28"/>
          <w:szCs w:val="24"/>
          <w:lang w:val="en-US"/>
        </w:rPr>
        <w:t xml:space="preserve"> </w:t>
      </w:r>
      <w:r w:rsidRPr="00247FDC">
        <w:rPr>
          <w:noProof/>
          <w:sz w:val="28"/>
          <w:szCs w:val="24"/>
        </w:rPr>
        <w:t>ТЭТС</w:t>
      </w:r>
      <w:r w:rsidRPr="00247FDC">
        <w:rPr>
          <w:noProof/>
          <w:sz w:val="28"/>
          <w:szCs w:val="24"/>
          <w:lang w:val="en-US"/>
        </w:rPr>
        <w:t xml:space="preserve">: </w:t>
      </w:r>
      <w:r w:rsidRPr="00247FDC">
        <w:rPr>
          <w:noProof/>
          <w:sz w:val="28"/>
          <w:szCs w:val="24"/>
        </w:rPr>
        <w:t>клинический</w:t>
      </w:r>
      <w:r w:rsidRPr="00247FDC">
        <w:rPr>
          <w:noProof/>
          <w:sz w:val="28"/>
          <w:szCs w:val="24"/>
          <w:lang w:val="en-US"/>
        </w:rPr>
        <w:t xml:space="preserve"> </w:t>
      </w:r>
      <w:r w:rsidRPr="00247FDC">
        <w:rPr>
          <w:noProof/>
          <w:sz w:val="28"/>
          <w:szCs w:val="24"/>
        </w:rPr>
        <w:t>случай</w:t>
      </w:r>
      <w:r w:rsidRPr="00247FDC">
        <w:rPr>
          <w:noProof/>
          <w:sz w:val="28"/>
          <w:szCs w:val="24"/>
          <w:lang w:val="en-US"/>
        </w:rPr>
        <w:t xml:space="preserve"> // Astana Medicinalyk Zhurnaly. – 2024. – </w:t>
      </w:r>
      <w:r w:rsidRPr="00247FDC">
        <w:rPr>
          <w:noProof/>
          <w:sz w:val="28"/>
          <w:szCs w:val="24"/>
        </w:rPr>
        <w:t>Т</w:t>
      </w:r>
      <w:r w:rsidRPr="00247FDC">
        <w:rPr>
          <w:noProof/>
          <w:sz w:val="28"/>
          <w:szCs w:val="24"/>
          <w:lang w:val="en-US"/>
        </w:rPr>
        <w:t xml:space="preserve">. 3, № 122. – </w:t>
      </w:r>
      <w:r w:rsidRPr="00247FDC">
        <w:rPr>
          <w:noProof/>
          <w:sz w:val="28"/>
          <w:szCs w:val="24"/>
        </w:rPr>
        <w:t>С</w:t>
      </w:r>
      <w:r w:rsidRPr="00247FDC">
        <w:rPr>
          <w:noProof/>
          <w:sz w:val="28"/>
          <w:szCs w:val="24"/>
          <w:lang w:val="en-US"/>
        </w:rPr>
        <w:t>. 51–56. DOI: 10.54500/2790-1203-2024-3-122-51-56</w:t>
      </w:r>
    </w:p>
    <w:p w14:paraId="4DB5F81D" w14:textId="5255060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Barros-Prieto E., Noboa-Freile E., Peñaherrera-Carrillo C., et al. Total hip arthroplasty with shelf acetabuloplasty in dysplastic coxarthrosis, mean follow-up of 7 years // Rev Esp Cir Ortop Traumatol. – 2023. – Vol.68(3). – https://doi.org/10.1016/j.recot.2023.05.012.</w:t>
      </w:r>
    </w:p>
    <w:p w14:paraId="58FC61C0" w14:textId="237931F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Kiliçoǧlu Ö.I., Türker M., Akgül T., Yazicioǧlu Ö. Cementless Total Hip Arthroplasty With Modified Oblique Femoral Shortening Osteotomy in Crowe Type IV Congenital Hip Dislocation // J Arthroplasty. – 2013. – Vol. 28. – DOI: https://doi.org/10.1016/j.arth.2012.06.014.</w:t>
      </w:r>
    </w:p>
    <w:p w14:paraId="653EEE32" w14:textId="234B9A8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Oe K., Iida H., Nakamura T., et al. Subtrochanteric shortening osteotomy combined with cemented total hip arthroplasty for Crowe group IV hips // Arch Orthop Trauma Surg. – 2013. – Vol.133. – DOI: https://doi.org/10.1007/s00402-013-1869-4.</w:t>
      </w:r>
    </w:p>
    <w:p w14:paraId="3A44E023" w14:textId="47B7BD0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Puliero B., Blakeney W.G. Beaulieu Y., et al. Distal femoral shortening osteotomy for treatment of sciatic nerve palsy after total hip arthroplasty –a report of 3 cases // Acta Orthop. – 2018. – Vol.89. – DOI: https://doi.org/10.1080/17453674.2018.1520679.</w:t>
      </w:r>
    </w:p>
    <w:p w14:paraId="7F576EBC" w14:textId="29CC7F9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Chughtai M., Khlopas A., Gwam C.U., et al. Nerve Decompression Surgery After Total Hip Arthroplasty: What Are the Outcomes? // J Arthroplasty. – 2017. –Vol.32. – DOI: https://doi.org/10.1016/j.arth.2016.10.032.</w:t>
      </w:r>
    </w:p>
    <w:p w14:paraId="58402233" w14:textId="53AAB2F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Dhaliwal A.S., Akhtar M., Razick D.I., et al. Current Surgical Techniques in the Treatment of Adult Developmental Dysplasia of the Hip // Journal of Personalized Medicine. – 2023. – Vol.13. – DOI: https://doi.org/10.3390/jpm13060942.</w:t>
      </w:r>
    </w:p>
    <w:p w14:paraId="2F6CDAC4" w14:textId="1F67DE6E"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Caylak R., Ors C., Togrul E. Minimum 10-Year Results of Cementless Ceramic-On-Ceramic Total Hip Arthroplasty Performed With Transverse Subtrochanteric Osteotomy in Crowe Type IV Hips // J Arthroplasty. – 2021. – Vol. 36. –DOI: https://doi.org/10.1016/j.arth.2021.05.035.</w:t>
      </w:r>
    </w:p>
    <w:p w14:paraId="7E115BAE" w14:textId="300504E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lastRenderedPageBreak/>
        <w:t>De Fine M., Romagnoli M., Zaffagnini S., Pignatti G. Sciatic nerve palsy following total hip replacement: Are patients personal characteristics more important than limb lengthening? A systematic review // BioMed Research International. – 2017. – DOI: https://doi.org/10.1155/2017/8361071.</w:t>
      </w:r>
    </w:p>
    <w:p w14:paraId="7AF7112D" w14:textId="0BE325E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Rogers B.A., Garbedian S., Kuchinad R.A., et al. Total hip arthroplasty for adult hip dysplasia // Journal of Bone and Joint Surgery. – 2012. – Vol. 94. – DOI: https://doi.org/10.2106/JBJS.K.00779.</w:t>
      </w:r>
    </w:p>
    <w:p w14:paraId="735AEBFF" w14:textId="137C14A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Alp N.B., Akdağ G., Erdoğan F. Long-term results of total hip arthroplasty in developmental dysplasia of hip patients // Jt Dis Relat Surg. – 2020. – Vol. 31. –DOI: https://doi.org/10.5606/EHC.2020.74412.</w:t>
      </w:r>
    </w:p>
    <w:p w14:paraId="021C9133" w14:textId="7A2DCF9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Castañeda P., Moscona L., Masrouha K. The effect of femoral shortening in the treatment of developmental dysplasia of the hip after walking age // J Child Orthop. – 2019. – Vol. 13. – DOI: https://doi.org/10.1302/1863-2548.13.190029.</w:t>
      </w:r>
    </w:p>
    <w:p w14:paraId="1CFAF2DF" w14:textId="053FEBF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Holinka J., Pfeiffer M., Hofstaetter J.G., et al. Total hip replacement in congenital high hip dislocation following iliofemoral monotube distraction // Int Orthop. – 2011. – Vol. 35. – DOI: https://doi.org/10.1007/s00264-010-1001-0.</w:t>
      </w:r>
    </w:p>
    <w:p w14:paraId="62442855" w14:textId="43EA664B"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 L., Yu M., Yang C., Gu G. Total hip arthroplasty (S-ROM stem) and subtrochanteric osteotomy for Crowe type IV developmental dysplasia of the hip // Indian J Orthop. – 2016. – Vol.50. – DOI: https://doi.org/10.4103/0019-5413.177575.</w:t>
      </w:r>
    </w:p>
    <w:p w14:paraId="6BCC351E" w14:textId="6830F3A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Abdel M.P., Stryker L.S., Trousdale R.T., et al. Uncemented acetabular components with femoral head autograft for acetabular reconstruction in developmental dysplasia of the hip: A concise follow-up report at a mean of twenty years // J Bone Jt Surg-Am Vol. – 2014. – Vol.96. – DOI: https://doi.org/10.2106/JBJS.N.00061.</w:t>
      </w:r>
    </w:p>
    <w:p w14:paraId="141EC3DA" w14:textId="671CA26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Bohaček I., Plečko M., Duvančić T., et al. Current knowledge on the genetic background of developmental dysplasia of the hip and the histomorphological status of the cartilage // Croatian Medical Journal. – 2020. – Vol.61. – DOI: https://doi.org/10.3325/cmj.2020.61.260.</w:t>
      </w:r>
    </w:p>
    <w:p w14:paraId="7B4C30B9" w14:textId="4616606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Akiyama H., Kawanabe K., Yamamoto K., et al. Cemented total hip arthroplasty with subtrochanteric femoral shortening transverse osteotomy for severely dislocated hips: Outcome with a 3–to 10-year follow-up period // J Orthop Sci. – 2011. –  Vol.16. – DOI: https://doi.org/10.1007/s00776-011-0049-z</w:t>
      </w:r>
    </w:p>
    <w:p w14:paraId="34F621B1" w14:textId="1922B5B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Atlihan D., Yildirim C., Muratoglu O.G., et al. An oblique osteotomy is better for subtrochanteric shortening in total hip arthroplasty for high hip dislocation: a mechanical comparison of four techniques // HIP Int. – 2022. – Vol. 32. – DOI: https://doi.org/10.1177/1120700020957990. </w:t>
      </w:r>
    </w:p>
    <w:p w14:paraId="61776023" w14:textId="11F332E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Yıldız F., Kılıçoğlu Ö., Dikmen G., et al. Biomechanical comparison of oblique and step-cut osteotomies used in total hip arthroplasty with femoral shortening // J Orthop Sci. – 2016. – Vol.21. – DOI: https://doi.org/10.1016/j.jos.2016.04.015.</w:t>
      </w:r>
    </w:p>
    <w:p w14:paraId="3BAFFA94" w14:textId="50ABB303" w:rsidR="00605C7C" w:rsidRPr="00247FDC" w:rsidRDefault="00605C7C" w:rsidP="00247FDC">
      <w:pPr>
        <w:pStyle w:val="a6"/>
        <w:numPr>
          <w:ilvl w:val="0"/>
          <w:numId w:val="32"/>
        </w:numPr>
        <w:adjustRightInd w:val="0"/>
        <w:ind w:left="0" w:firstLine="567"/>
        <w:jc w:val="both"/>
        <w:rPr>
          <w:noProof/>
          <w:sz w:val="28"/>
          <w:szCs w:val="24"/>
        </w:rPr>
      </w:pPr>
      <w:r w:rsidRPr="00247FDC">
        <w:rPr>
          <w:noProof/>
          <w:sz w:val="28"/>
          <w:szCs w:val="24"/>
        </w:rPr>
        <w:t xml:space="preserve">Методика фиксации зоны подвертельной укорачивающей остеотомии при тотальном эндопротезировании тазобедренного сустава отечественными пластинами: методические рекомендации / К.Д. Ашимов, А.А. Белокобылов, Ж.К. Рамазанов, Т.Т. Байдалин, Б.Т. Сулейменов, А.И. Бекназаров, Д.Г. Октяброва. – Астана: РГП на ПХВ «Национальный научный центр травматологии и ортопедии имени академика Н.Д. Батпенова» МЗ РК, 2025. – 38 </w:t>
      </w:r>
      <w:r w:rsidRPr="00247FDC">
        <w:rPr>
          <w:noProof/>
          <w:sz w:val="28"/>
          <w:szCs w:val="24"/>
        </w:rPr>
        <w:lastRenderedPageBreak/>
        <w:t>с. – ISBN 978-601-82252-2-2.</w:t>
      </w:r>
    </w:p>
    <w:p w14:paraId="692CCDC4" w14:textId="1226AE4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La Camera F., Loppini M., Della Rocca A., et al. Total Hip Arthroplasty With a Monoblock Conical Stem in Dysplastic Hips: A 20-Year Follow-Up Study // J Arthroplasty. – 2020. – Vol. 35. – DOI: https://doi.org/10.1016/j.arth.2020.05.069.</w:t>
      </w:r>
    </w:p>
    <w:p w14:paraId="76DEB569" w14:textId="071F362D"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Huang Z.Y., Liu H., Li M., et al. Optimal location of subtrochanteric osteotomy in total hip arthroplasty for crowe type IV developmental dysplasia of hip // BMC Musculoskelet Disord. – 2020. – Vol.21. – DOI: https://doi.org/10.1186/s12891-020-03248-8.</w:t>
      </w:r>
    </w:p>
    <w:p w14:paraId="58E27BD9" w14:textId="75EE287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Ollivier M., Abdel M.P., Krych A.J., et al. Long-Term Results of Total Hip Arthroplasty With Shortening Subtrochanteric Osteotomy in Crowe IV Developmental Dysplasia // J Arthroplasty. – 2016. – Vol. 31. – P.:1756–60. – DOI: https://doi.org/10.1016/j.arth.2016.01.049.</w:t>
      </w:r>
    </w:p>
    <w:p w14:paraId="03B613AB" w14:textId="4113B07C"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Zagra L., Bianchi L., Mondini A., Ceroni R.G. Oblique femoral shortening osteotomy in total hip arthroplasty for high dislocation in patients with hip dysplasia // Int Orthop. – 2015. – Vol. 39. – DOI: https://doi.org/10.1007/s00264-015-2865-9.</w:t>
      </w:r>
    </w:p>
    <w:p w14:paraId="7B1D46CF" w14:textId="04F5576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Dallari D., Pignatti G., Stagni C., et al. Total hip arthroplasty with shortening osteotomy in congenital major hip dislocation sequelae // Orthopedics. – 2011. – Vol. 34. –DOI: https://doi.org/10.3928/01477447-20110627-14. </w:t>
      </w:r>
    </w:p>
    <w:p w14:paraId="2D325C2D" w14:textId="77DBC1E9"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 L., Yu M., Ma R., et al. Initial stability of subtrochanteric oblique osteotomy in uncemented total hip arthroplasty: A preliminary finite element study // Med Sci Monit. – 2015. – Vol. 21. – DOI: https://doi.org/10.12659/MSM.893717.</w:t>
      </w:r>
    </w:p>
    <w:p w14:paraId="0006F043" w14:textId="5BA11EE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Ozden V.E., Dikmen G., Beksac B., Tozun I.R. Total hip arthroplasty with step-cut subtrochanteric femoral shortening osteotomy in high riding hip dislocated patients with previous femoral osteotomy // J Orthop Sci. – 2017. – Vol. 22. – DOI: https://doi.org/10.1016/j.jos.2017.01.017.</w:t>
      </w:r>
    </w:p>
    <w:p w14:paraId="253BD983" w14:textId="07DE859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Tözün İ.R., Akgül T., Şensoy V., Kılıçoğlu Ö.İ. The results of monoblock stem with step-cut femoral shortening osteotomy for developmentally dislocated hips // HIP Int. – 2016. – Vol.26. – DOI: https://doi.org/10.5301/hipint.5000338.</w:t>
      </w:r>
    </w:p>
    <w:p w14:paraId="04143FA6" w14:textId="722B881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Akıncı O., Turgut A. Long-Term Results of Total Hip Arthroplasty with Step-Cut Osteotomy in Crowe Type IV Dysplastic Hips // Indian J Orthop. – 2022. – Vol. 56. – DOI: https://doi.org/10.1007/s43465-021-00567-3.</w:t>
      </w:r>
    </w:p>
    <w:p w14:paraId="17DA883E" w14:textId="545B48CB"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Atilla B. Reconstruction of neglected developmental dysplasia by total hip arthroplasty with subtrochanteric shortening osteotomy // EFORT Open Rev. – 2016. – Vol.1. – DOI: https://doi.org/10.1302/2058-5241.1.000026.</w:t>
      </w:r>
    </w:p>
    <w:p w14:paraId="35A96A32" w14:textId="675547A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 X., Lu Y., Sun J., et al. Treatment of Crowe Type-IV Hip Dysplasia Using Cementless Total Hip Arthroplasty and Double Chevron Subtrochanteric Shortening Osteotomy: A 5–to 10-Year Follow-Up Study // J Arthroplasty. – 2017. – Vol. 32. –DOI: https://doi.org/10.1016/j.arth.2016.07.050.</w:t>
      </w:r>
    </w:p>
    <w:p w14:paraId="3F5BD86E" w14:textId="1849B12E"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Sonohata M., Tajima T., Kitajima M., et al. Total hip arthroplasty combined with double-chevron subtrochanteric osteotomy // J Orthop Sci. – 2012. – Vol. 17. – P.: 382-9. – DOI: https://doi.org/10.1007/s00776-012-0240-x.</w:t>
      </w:r>
    </w:p>
    <w:p w14:paraId="418ACCC0" w14:textId="65A2B121"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Sonohata M., Kitajima M., Kawano S., et al. Total hip arthroplasty with femoral subtrochanteric osteotomy after Schanz osteotomy // J Orthop Sci. – 2016. – Vol. 21. – DOI: https://doi.org/10.1016/j.jos.2016.02.012.</w:t>
      </w:r>
    </w:p>
    <w:p w14:paraId="04DDC4F6" w14:textId="5EE5A56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lastRenderedPageBreak/>
        <w:t>Li X., Sun J., Lin X., et al. Cementless total hip arthroplasty with a double chevron subtrochanteric shortening osteotomy in patients with crowe type-iv hip dysplasia // Acta Orthop Belg. – 2013. – Vol. 79.</w:t>
      </w:r>
    </w:p>
    <w:p w14:paraId="4AD9B15C" w14:textId="41DB1E1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 C., Zhang C., Zhang M., Ding Y. Comparison of transverse and modified subtrochanteric femoral shortening osteotomy in total hip arthroplasty for developmental dysplasia of hip: A meta-analysis // BMC Musculoskelet Disord. –2014. – Vol. 15. – DOI: https://doi.org/10.1186/1471-2474-15-331</w:t>
      </w:r>
    </w:p>
    <w:p w14:paraId="1C7605C5" w14:textId="750119B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Wang D., Li L.L., Wang H.Y., et al. Long-Term Results of Cementless Total Hip Arthroplasty With Subtrochanteric Shortening Osteotomy in Crowe Type IV Developmental Dysplasia // J Arthroplasty. – 2017. – Vol.32. – DOI: https://doi.org/10.1016/j.arth.2016.11.005</w:t>
      </w:r>
    </w:p>
    <w:p w14:paraId="76C806E4" w14:textId="2D04A57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Yazar E.A., Karakus O., Saygi B. The Effect of Graft Positions on the Stability of Total Hip Arthroplasty with Different Types of Subtrochanteric Shortening // Rev Bras Ortop. – 2019. – Vol. 54. – DOI: https://doi.org/10.1055/s-0039-1694022</w:t>
      </w:r>
    </w:p>
    <w:p w14:paraId="72BD5F19" w14:textId="5667E06F"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Altay M., Demirkale İ., Çatma M.F., et al. Results of crowe Type IV developmental dysplasia of hip treated by subtrochantric osteotomy and total hip arthroplasty // Indian J Orthop. – 2018. – Vol.52. – DOI: https://doi.org/10.4103/ortho.IJOrtho_445_16.</w:t>
      </w:r>
    </w:p>
    <w:p w14:paraId="65F62F1A" w14:textId="4EBF307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Liu Y., Zhang S., Li C., et al. Fixation by Autogenous Cortical Plate Technique on Sites of Subtrochanteric Shortening Osteotomy Contributes to Early Bone Union in Total Hip Arthroplasty for Crowe Type IV Developmental Dysplasia of the Hip // Ther Clin Risk Manag. – 2022. – Vol.18. – DOI: https://doi.org/10.2147/TCRM.S381885.</w:t>
      </w:r>
    </w:p>
    <w:p w14:paraId="3079DD60" w14:textId="5B0B2E0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Biçici V., Bingöl İ., Sazak T. Mid-term results of total hip arthroplasty with subtrochanteric Z-osteotomy in crowe type 3-4 developmental hip dysplasia // Turkish J Med Sci. – 2021. – Vol. 51. – DOI: https://doi.org/10.3906/sag-2102-217.</w:t>
      </w:r>
    </w:p>
    <w:p w14:paraId="4E2E790D" w14:textId="3C5E64B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Kawai T., Goto K., Kuroda Y., Matsuda S. Total Hip Arthroplasty Combined With Subtrochanteric Transverse Shortening Osteotomy: Factors Associated With Delayed Union at the Osteotomy Site // J Am Acad Orthop Surg Glob Res Rev. – 2020. – Vol. 4. – DOI: https://doi.org/10.5435/JAAOSGlobal-D-20-00056.</w:t>
      </w:r>
    </w:p>
    <w:p w14:paraId="67E6C502" w14:textId="7E2A38A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Anastasopoulos P.P., Lepetsos P., Baxevanos N., et al. Shortening Osteotomies for Total Hip Replacement in High Congenital Dislocation of the Hip // SURGERIES. – 2019. – Vol.1. – DOI: https://doi.org/10.35702/surg.10001.</w:t>
      </w:r>
    </w:p>
    <w:p w14:paraId="1B20BD0A" w14:textId="4BD4B56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Zhao E., Liu Z., Ding Z., et al. A propensity score-matched analysis between patients with high hip dislocation after childhood pyogenic infection and Crowe IV developmental dysplasia of the hip in total hip arthroplasty with subtrochanteric shortening osteotomy // J Orthop Surg Res. – 2020. – Vol.15. – DOI: https://doi.org/10.1186/s13018-020-01947-5.</w:t>
      </w:r>
    </w:p>
    <w:p w14:paraId="5200DDE8" w14:textId="263081C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Bulent Baz A., Senol V., Akalin S., et al. Treatment of high hip dislocation with a cementless stem combined with a shortening osteotomy // Arch Orthop Trauma Surg. – 2012. – Vol.132. – DOI: https://doi.org/10.1007/s00402-012-1560-1.</w:t>
      </w:r>
    </w:p>
    <w:p w14:paraId="064DECBE" w14:textId="23BE93A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rPr>
        <w:t xml:space="preserve">А.с. 34631. Комплексная база данных пациентов с диспластическим коксартрозом / Байдалин Т.Т., Ашимов К.Д., Бекназаров А.Н., Естай Д.Ж., Октяброва Д.Г.; опубл. </w:t>
      </w:r>
      <w:r w:rsidRPr="00247FDC">
        <w:rPr>
          <w:noProof/>
          <w:sz w:val="28"/>
          <w:szCs w:val="24"/>
          <w:lang w:val="en-US"/>
        </w:rPr>
        <w:t>13.04.2023</w:t>
      </w:r>
    </w:p>
    <w:p w14:paraId="767FF83B" w14:textId="6D65261E"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Oktyabrova D., Ashimov K., Guclu B., Abilmazhinov M., Gorbunov B., </w:t>
      </w:r>
      <w:r w:rsidRPr="00247FDC">
        <w:rPr>
          <w:noProof/>
          <w:sz w:val="28"/>
          <w:szCs w:val="24"/>
          <w:lang w:val="en-US"/>
        </w:rPr>
        <w:lastRenderedPageBreak/>
        <w:t xml:space="preserve">Zhanatay R., et al. Mathematical Modeling and Biomechanical Analysis of a Derotation Plate for Treating Complex Hip Dysplasia // Appl Sci. –2025. –Vol. 15. –P.:1–18.  https://doi.org/10.3390/app15062991. </w:t>
      </w:r>
    </w:p>
    <w:p w14:paraId="2662ED04" w14:textId="2D2147EC"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Mugnai R., Tarallo L., Capra F., Catani F. Biomechanical comparison between stainless steel, titanium and carbon-fiber reinforced polyetheretherketone volar locking plates for distal radius fractures // Orthop Traumatol Surg Res. –2018. – Vol. 104(6). – DOI: https://doi.org/10.1016/j.otsr.2018.05.002.</w:t>
      </w:r>
    </w:p>
    <w:p w14:paraId="3C2B766A" w14:textId="2B7BB68E" w:rsidR="00605C7C" w:rsidRPr="00247FDC" w:rsidRDefault="00605C7C" w:rsidP="00247FDC">
      <w:pPr>
        <w:pStyle w:val="a6"/>
        <w:numPr>
          <w:ilvl w:val="0"/>
          <w:numId w:val="32"/>
        </w:numPr>
        <w:adjustRightInd w:val="0"/>
        <w:ind w:left="0" w:firstLine="567"/>
        <w:jc w:val="both"/>
        <w:rPr>
          <w:noProof/>
          <w:sz w:val="28"/>
          <w:szCs w:val="24"/>
        </w:rPr>
      </w:pPr>
      <w:r w:rsidRPr="00247FDC">
        <w:rPr>
          <w:noProof/>
          <w:sz w:val="28"/>
          <w:szCs w:val="24"/>
        </w:rPr>
        <w:t>Пат. 163085 RU. Пластина для межвертельных переломов и остеотомий бедренной кости: полезная модель / Воронкевич И.А., Несинов А.А.; заявл. 3.11.2015; опубл. 10.07.2016, Бюл. №19. – 4 с. –DOI/URL: https://patents.google.com/patent/RU163085U1/ru</w:t>
      </w:r>
    </w:p>
    <w:p w14:paraId="6A6A90AE" w14:textId="2753804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rPr>
        <w:t xml:space="preserve">Пат.  8955 РК. Деротационная пластина с угловой стабильностью для фиксации зоны подвертельной остеотомии при диспластическом коксартрозе / Ашимов К.Д., Сулейменов Б.Т., Бекназаров А.И., Агабеков Е.К., Октяброва Д.Г.; опубл. </w:t>
      </w:r>
      <w:r w:rsidRPr="00247FDC">
        <w:rPr>
          <w:noProof/>
          <w:sz w:val="28"/>
          <w:szCs w:val="24"/>
          <w:lang w:val="en-US"/>
        </w:rPr>
        <w:t xml:space="preserve">29.03.2024; </w:t>
      </w:r>
      <w:r w:rsidRPr="00247FDC">
        <w:rPr>
          <w:noProof/>
          <w:sz w:val="28"/>
          <w:szCs w:val="24"/>
        </w:rPr>
        <w:t>Бюл</w:t>
      </w:r>
      <w:r w:rsidRPr="00247FDC">
        <w:rPr>
          <w:noProof/>
          <w:sz w:val="28"/>
          <w:szCs w:val="24"/>
          <w:lang w:val="en-US"/>
        </w:rPr>
        <w:t>. 13.</w:t>
      </w:r>
    </w:p>
    <w:p w14:paraId="153D4AB1" w14:textId="6BBF147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Matsushita T., Mori A., Watanabe S., et al. Analysis of bone union after medial closing wedge distal femoral osteotomy using a new radiographic scoring system // Arch Orthop Trauma Surg. – 2022. – Vol. 142. – P.:2303-12. – DOI: https://doi.org/10.1007/s00402-022-04495-1</w:t>
      </w:r>
    </w:p>
    <w:p w14:paraId="6B6715DB" w14:textId="358E46B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Oktyabrova D., Ashimov K., Guclu B., Abilmazhinov M., Suleimenov B., Baidalin T., Beknazarov A., Agabekov E. Total hip arthroplasty with subtrochanteric shortening osteotomy using derotational plate: a clinical case // Traumatology and Orthopaedics of Kazakhstan. – Astana, 2024. – Vol. 4, No. 75. – P. 51-57. –DOI: 10.52889/1684-9280-2024-4-75-51-57.</w:t>
      </w:r>
    </w:p>
    <w:p w14:paraId="6CBE5D2E" w14:textId="5B9E14BB" w:rsidR="00605C7C" w:rsidRPr="00247FDC" w:rsidRDefault="00605C7C" w:rsidP="00247FDC">
      <w:pPr>
        <w:pStyle w:val="a6"/>
        <w:numPr>
          <w:ilvl w:val="0"/>
          <w:numId w:val="32"/>
        </w:numPr>
        <w:adjustRightInd w:val="0"/>
        <w:ind w:left="0" w:firstLine="567"/>
        <w:jc w:val="both"/>
        <w:rPr>
          <w:noProof/>
          <w:sz w:val="28"/>
          <w:szCs w:val="24"/>
        </w:rPr>
      </w:pPr>
      <w:r w:rsidRPr="00247FDC">
        <w:rPr>
          <w:noProof/>
          <w:sz w:val="28"/>
          <w:szCs w:val="24"/>
        </w:rPr>
        <w:t>А.с.  65522. Математическое моделирование деротационной пластины при эндопротезировании диспластического коксартроза IV типа по Crowe / Октяброва Д.Г., Ашимов К.Д., Б.Н. Горбунов, Абильмажинов М.Т., Байдалин Т.Т., Сулейменов Б.Т., Бекназаров А.И., Агабеков Е.К.; опубл. 18.12.2025.</w:t>
      </w:r>
    </w:p>
    <w:p w14:paraId="5E0999D5" w14:textId="0071D73D"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rPr>
        <w:t xml:space="preserve">А.с.  63260. Алгоритм предоперационного планирования укорочающей остеотомии бедренной кости при тотальном эндопротезировании тазобедренного сустава у пациентов с дисплазией Crowe IV / Ашимов К.Д., Октяброва Д.Г., Сулейменов Б.Т., Агабеков Е.К., Рамазанов Ж.К., Абильмажинов М.Т., Байдалин Т.Т., Бекназаров А.И., Естай Д.Ж.; опубл. </w:t>
      </w:r>
      <w:r w:rsidRPr="00247FDC">
        <w:rPr>
          <w:noProof/>
          <w:sz w:val="28"/>
          <w:szCs w:val="24"/>
          <w:lang w:val="en-US"/>
        </w:rPr>
        <w:t>22.10.2025</w:t>
      </w:r>
    </w:p>
    <w:p w14:paraId="315F5E6A" w14:textId="5E4D85A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Ranawat C.S., Rao R.R., Rodriguez J.A., Bhende H.S. Correction of limb-length inequality during total hip arthroplasty // J Arthroplasty. – 2001. – Vol.16. –DOI: https://doi.org/10.1054/arth.2001.24442.</w:t>
      </w:r>
    </w:p>
    <w:p w14:paraId="32B5E0C6" w14:textId="04BD9E7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Ramazanov Zh., Ashimov K., Oktyabrova D., Guclu B., Iskakov Y., Baidalin T., Suleimenov B., Yestay D., Beknazarov A. Early Functional and Radiographic Outcomes of Stable Fixation with a Derotational Plate in Subtrochanteric Osteotomy for Crowe IV Developmental Dysplasia of the Hip // Orthopedic Reviews. – 2025. – Vol. 17. doi:10.52965/001c.150316.</w:t>
      </w:r>
    </w:p>
    <w:p w14:paraId="067CE4B9" w14:textId="7D7BCFAC"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Chen M., Gittings D.J., Yang S., Liu X. Total Hip Arthroplasty for Crowe Type IV Developmental Dysplasia of the Hip Using a Titanium Mesh Cup and </w:t>
      </w:r>
      <w:r w:rsidRPr="00247FDC">
        <w:rPr>
          <w:noProof/>
          <w:sz w:val="28"/>
          <w:szCs w:val="24"/>
          <w:lang w:val="en-US"/>
        </w:rPr>
        <w:lastRenderedPageBreak/>
        <w:t>Subtrochanteric Femoral Osteotomy // Iowa Orthop J. – 2018. – Vol. 38.</w:t>
      </w:r>
    </w:p>
    <w:p w14:paraId="005F4A0E" w14:textId="34250C8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 Lee O.S., Raheman F., Jaiswal P. The accuracy of digital templating in the preoperative planning of total knee arthroplasties: A systematic review and meta-analysis // Knee. – 2024. – Vol.47. – P.:139-150. – DOI: https://doi.org/10.1016/j.knee.2024.01.006.</w:t>
      </w:r>
    </w:p>
    <w:p w14:paraId="62A89B14" w14:textId="2A901FD6"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Qian H., Wang X., Wang P., et al. Total Hip Arthroplasty in Patients with Crowe III/IV Developmental Dysplasia of the Hip: Acetabular Morphology and Reconstruction Techniques // Orthopaedic Surgery. – 2023. – Vol.15. – DOI: https://doi.org/10.1111/os.13733.</w:t>
      </w:r>
    </w:p>
    <w:p w14:paraId="79523D9B" w14:textId="3B7CF4BB"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Rasi A.M., Kazemian G., Khak M., Zarei R. Shortening subtrochanteric osteotomy and cup placement at true acetabulum in total hip arthroplasty of Crowe III–IV developmental dysplasia: results of midterm follow-up // Eur J Orthop Surg Traumatol. – 2018. – Vol. 28. – DOI: https://doi.org/10.1007/s00590-017-2076-8.</w:t>
      </w:r>
    </w:p>
    <w:p w14:paraId="63126EC0" w14:textId="4C50255C"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Ukaj S., Krasniqi S., Ukaj D., et al. Total hip arthroplasty for crowe type IV developmental dysplasia of the hip using a dual mobility acetabular cup // Sci Rep. – 2025. – Vol.15. – P.:7982. – DOI: https://doi.org/10.1038/s41598-024-81716-0.</w:t>
      </w:r>
    </w:p>
    <w:p w14:paraId="552F96F0" w14:textId="6DE30E08"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Yang Y., Liao W., Yi W., et al. Three-dimensional morphological study of the proximal femur in Crowe type IV developmental dysplasia of the hip // J Orthop Surg Res. – 2021. – Vol.16. – DOI: https://doi.org/10.1186/s13018-021-02789-5.</w:t>
      </w:r>
    </w:p>
    <w:p w14:paraId="1DBE5134" w14:textId="62F1E7A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Faldini C., Tassinari L., Pederiva D., et al. Direct Anterior Approach in Total Hip Arthroplasty for Severe Crowe IV Dysplasia: Retrospective Clinical and Radiological Study // Med. – 2024. – Vol.60. – DOI: https://doi.org/10.3390/medicina60010114.</w:t>
      </w:r>
    </w:p>
    <w:p w14:paraId="293DED77" w14:textId="4778E32F"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Yoon P.W., Kim J. Il., Kim D.O., et al. Cementless total hip arthroplasty for patients with crowe type III or IV developmental dysplasia of the hip: Two-stage total hip arthroplasty following skeletal traction after soft tissue release for irreducible hips // Clin Orthop Surg. – 2013. – Vol.5. – DOI: https://doi.org/10.4055/cios.2013.5.3.167.</w:t>
      </w:r>
    </w:p>
    <w:p w14:paraId="47CBC333" w14:textId="1F10DA6B"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Higuchi Y., Hasegawa Y., Ishiguro N. Leg lengthening of more than 5 cm is a risk factor for sciatic nerve injury after total hip arthroplasty for adult hip dislocation // Nagoya J Med Sci. – 2015. – Vol. 77.</w:t>
      </w:r>
    </w:p>
    <w:p w14:paraId="6F0C549D" w14:textId="33BFBC5F"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Macheras G.A., Lepetsos P., Anastasopoulos P.P., Galanakos S.P. The necessity to restore the anatomic hip centre in congenital hip disease // Ann Transl Med. – 2016. – Vol. 4. – DOI: https://doi.org/10.21037/atm.2016.11.49.</w:t>
      </w:r>
    </w:p>
    <w:p w14:paraId="47170A1D" w14:textId="0B98EF53"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Rollo G., Solarino G., Vicenti G., et al.  Subtrochanteric femoral shortening osteotomy combined with cementless total hip replacement for Crowe type IV developmental dysplasia: a retrospective study // J Orthop Traumatol. – 2017. – Vol. 18. – DOI: https://doi.org/10.1007/s10195-017-0466-7.</w:t>
      </w:r>
    </w:p>
    <w:p w14:paraId="59EBD6C5" w14:textId="66F7CD8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Zeng W.N., Liu J.L., Wang F.Y., et al. Total hip arthroplasty for patients with Crowe type IV developmental dysplasia of the hip: Ten years results // Int J Surg. – 2017. – Vol. 42. – DOI: https://doi.org/10.1016/j.ijsu.2017.04.029.</w:t>
      </w:r>
    </w:p>
    <w:p w14:paraId="479B3469" w14:textId="3766C0A0"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 xml:space="preserve">Davulcu C.D., Ozsahin M.K., Kayaalp M.E., et al. Rectangular femoral stems can successfully accommodate the medullary canal in patients with severe hip dysplasia operated on with total hip arthroplasty and a shortening osteotomy: A morphometric study // Acta Orthop Belg. – 2024. – Vol. 90. – P.:581-7. – DOI: </w:t>
      </w:r>
      <w:r w:rsidRPr="00247FDC">
        <w:rPr>
          <w:noProof/>
          <w:sz w:val="28"/>
          <w:szCs w:val="24"/>
          <w:lang w:val="en-US"/>
        </w:rPr>
        <w:lastRenderedPageBreak/>
        <w:t>https://doi.org/10.52628/90.4.13095.</w:t>
      </w:r>
    </w:p>
    <w:p w14:paraId="283668C0" w14:textId="1A7C20A5"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Van Stralen R.A., Colo E., Rutz E., et al.  Long-Term Results After Salter Innominate Osteotomy for the Treatment of Developmental Dysplasia of the Hip –Only 8% Rate of Total Hip Arthroplasty at a Median Follow-Up of 22 Years // Children. – 2024. – Vol. 11. – DOI: https://doi.org/10.3390/children11121525.</w:t>
      </w:r>
    </w:p>
    <w:p w14:paraId="4A5D67F7" w14:textId="348B3BF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Atalar H., Baymurat A.C., Kaya İ., T et al. Total hip arthroplasty in patients with coxarthrosis due to developmental dysplasia of the hip: Is fixation of the subtrochanteric osteotomy necessary? // Jt Dis Relat Surg. – 2023. – Vol. 34. – DOI: https://doi.org/10.52312/jdrs.2023.1091.</w:t>
      </w:r>
    </w:p>
    <w:p w14:paraId="7C6A3CE1" w14:textId="38B56D7B"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Presedo A., Rutz E., Howard J.J., et al.  The Etiology of Neuromuscular Hip Dysplasia and Implications for Management: A Narrative Review // Children.  – 2024. – Vol. 11. – DOI: https://doi.org/10.3390/children11070844.</w:t>
      </w:r>
    </w:p>
    <w:p w14:paraId="12AE6EE4" w14:textId="75A9BCB7"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Incze-Bartha Z., Incze-Bartha S., Simon-Szabó Z., et al. Finite Element Analysis of Various Osteotomies Used in the Treatment of Developmental Hip Dysplasia in Children // J Pers Med. – 2024. – Vol.14. – DOI: https://doi.org/10.3390/jpm14020189.</w:t>
      </w:r>
    </w:p>
    <w:p w14:paraId="48E0CAB6" w14:textId="050BFA42"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Jeong B.C., Goh T.S., Lee C., et al.  Identification of screw spacing on pediatric hip locking plate in proximal femoral osteotomy // Phys Eng Sci Med. –2023. – Vol. 46. – P.:1101-14. – DOI: https://doi.org/10.1007/s13246-023-01277-w.</w:t>
      </w:r>
    </w:p>
    <w:p w14:paraId="72CD968F" w14:textId="4F8523CC"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Masson J.B., Foissey C., Bertani A., et al. Transverse subtrochanteric shortening osteotomy with double tension-band fixation during THA for Crowe III-IV developmental dysplasia: 12-year outcomes // Orthop Traumatol Surg Res.  –2023. – Vol. 109. – DOI: https://doi.org/10.1016/j.otsr.2023.103684.</w:t>
      </w:r>
    </w:p>
    <w:p w14:paraId="5415E21C" w14:textId="1994E83A" w:rsidR="00605C7C" w:rsidRPr="00247FDC" w:rsidRDefault="00605C7C" w:rsidP="00247FDC">
      <w:pPr>
        <w:pStyle w:val="a6"/>
        <w:numPr>
          <w:ilvl w:val="0"/>
          <w:numId w:val="32"/>
        </w:numPr>
        <w:adjustRightInd w:val="0"/>
        <w:ind w:left="0" w:firstLine="567"/>
        <w:jc w:val="both"/>
        <w:rPr>
          <w:noProof/>
          <w:sz w:val="28"/>
          <w:szCs w:val="24"/>
          <w:lang w:val="en-US"/>
        </w:rPr>
      </w:pPr>
      <w:r w:rsidRPr="00247FDC">
        <w:rPr>
          <w:noProof/>
          <w:sz w:val="28"/>
          <w:szCs w:val="24"/>
          <w:lang w:val="en-US"/>
        </w:rPr>
        <w:t>Bini F., Pica A., Marinozzi A., Marinozzi F. Prediction of stress and strain patterns from load rearrangement in human osteoarthritic femur head: Finite element study with the integration of muscular forces and friction contact // Lecture Notes in Computational Vision and Biomechanics. – 2019. – P.:49-64. – DOI: https://doi.org/10.1007/978-3-030-23073-9_4.</w:t>
      </w:r>
    </w:p>
    <w:p w14:paraId="5EF44D66" w14:textId="7529D631" w:rsidR="00483103" w:rsidRPr="00247FDC" w:rsidRDefault="00605C7C" w:rsidP="00247FDC">
      <w:pPr>
        <w:pStyle w:val="a6"/>
        <w:numPr>
          <w:ilvl w:val="0"/>
          <w:numId w:val="32"/>
        </w:numPr>
        <w:adjustRightInd w:val="0"/>
        <w:ind w:left="0" w:firstLine="567"/>
        <w:jc w:val="both"/>
        <w:rPr>
          <w:noProof/>
          <w:sz w:val="28"/>
          <w:lang w:val="kk-KZ"/>
        </w:rPr>
      </w:pPr>
      <w:r w:rsidRPr="00247FDC">
        <w:rPr>
          <w:noProof/>
          <w:sz w:val="28"/>
          <w:szCs w:val="24"/>
          <w:lang w:val="en-US"/>
        </w:rPr>
        <w:t>Trisolino G., Menozzi G.C., Depaoli A., et al. In Situ Fixation and Intertrochanteric Osteotomy for Severe Slipped Capital Femoral Epiphysis Following Femoral Neck Fracture: A Case Report with Application of Virtual Surgical Planning and 3D-Printed Patient-Specific Instruments // J Pers Med. – 2025. – Vol. 15. – P.:1-15. – DOI: https://doi.org/10.3390/jpm15010013</w:t>
      </w:r>
      <w:r w:rsidR="001802EB" w:rsidRPr="00247FDC">
        <w:rPr>
          <w:noProof/>
          <w:sz w:val="28"/>
          <w:szCs w:val="28"/>
          <w:lang w:val="kk-KZ"/>
        </w:rPr>
        <w:t>.</w:t>
      </w:r>
    </w:p>
    <w:p w14:paraId="0EF637D6" w14:textId="0DC67831" w:rsidR="00605C7C" w:rsidRDefault="0006636A" w:rsidP="00247FDC">
      <w:pPr>
        <w:pStyle w:val="a6"/>
        <w:ind w:left="0" w:firstLine="567"/>
        <w:jc w:val="both"/>
        <w:rPr>
          <w:sz w:val="28"/>
          <w:szCs w:val="28"/>
          <w:lang w:val="en-US"/>
        </w:rPr>
      </w:pPr>
      <w:r w:rsidRPr="00185BC0">
        <w:rPr>
          <w:sz w:val="28"/>
          <w:szCs w:val="28"/>
          <w:lang w:val="en-US"/>
        </w:rPr>
        <w:fldChar w:fldCharType="end"/>
      </w:r>
      <w:bookmarkEnd w:id="46"/>
    </w:p>
    <w:p w14:paraId="11FDB88F" w14:textId="56833A63" w:rsidR="00247FDC" w:rsidRDefault="00247FDC" w:rsidP="00247FDC">
      <w:pPr>
        <w:pStyle w:val="a6"/>
        <w:ind w:left="0" w:firstLine="567"/>
        <w:jc w:val="both"/>
        <w:rPr>
          <w:sz w:val="28"/>
          <w:szCs w:val="28"/>
          <w:lang w:val="en-US"/>
        </w:rPr>
      </w:pPr>
    </w:p>
    <w:p w14:paraId="0363D211" w14:textId="277E9172" w:rsidR="00AE5E4D" w:rsidRDefault="00AE5E4D" w:rsidP="00247FDC">
      <w:pPr>
        <w:pStyle w:val="a6"/>
        <w:ind w:left="0" w:firstLine="567"/>
        <w:jc w:val="both"/>
        <w:rPr>
          <w:sz w:val="28"/>
          <w:szCs w:val="28"/>
          <w:lang w:val="en-US"/>
        </w:rPr>
      </w:pPr>
    </w:p>
    <w:p w14:paraId="3D9E8FE4" w14:textId="29BC5F6A" w:rsidR="00AE5E4D" w:rsidRDefault="00AE5E4D" w:rsidP="00247FDC">
      <w:pPr>
        <w:pStyle w:val="a6"/>
        <w:ind w:left="0" w:firstLine="567"/>
        <w:jc w:val="both"/>
        <w:rPr>
          <w:sz w:val="28"/>
          <w:szCs w:val="28"/>
          <w:lang w:val="en-US"/>
        </w:rPr>
      </w:pPr>
    </w:p>
    <w:p w14:paraId="3AA536E1" w14:textId="0290996E" w:rsidR="00AE5E4D" w:rsidRDefault="00AE5E4D" w:rsidP="00247FDC">
      <w:pPr>
        <w:pStyle w:val="a6"/>
        <w:ind w:left="0" w:firstLine="567"/>
        <w:jc w:val="both"/>
        <w:rPr>
          <w:sz w:val="28"/>
          <w:szCs w:val="28"/>
          <w:lang w:val="en-US"/>
        </w:rPr>
      </w:pPr>
    </w:p>
    <w:p w14:paraId="005AC4AA" w14:textId="7711C411" w:rsidR="00AE5E4D" w:rsidRDefault="00AE5E4D" w:rsidP="00247FDC">
      <w:pPr>
        <w:pStyle w:val="a6"/>
        <w:ind w:left="0" w:firstLine="567"/>
        <w:jc w:val="both"/>
        <w:rPr>
          <w:sz w:val="28"/>
          <w:szCs w:val="28"/>
          <w:lang w:val="en-US"/>
        </w:rPr>
      </w:pPr>
    </w:p>
    <w:p w14:paraId="7F9BBEF3" w14:textId="5FCFB183" w:rsidR="00AE5E4D" w:rsidRDefault="00AE5E4D" w:rsidP="00247FDC">
      <w:pPr>
        <w:pStyle w:val="a6"/>
        <w:ind w:left="0" w:firstLine="567"/>
        <w:jc w:val="both"/>
        <w:rPr>
          <w:sz w:val="28"/>
          <w:szCs w:val="28"/>
          <w:lang w:val="en-US"/>
        </w:rPr>
      </w:pPr>
    </w:p>
    <w:p w14:paraId="3DD9D2C5" w14:textId="51D151BB" w:rsidR="00AE5E4D" w:rsidRDefault="00AE5E4D" w:rsidP="00247FDC">
      <w:pPr>
        <w:pStyle w:val="a6"/>
        <w:ind w:left="0" w:firstLine="567"/>
        <w:jc w:val="both"/>
        <w:rPr>
          <w:sz w:val="28"/>
          <w:szCs w:val="28"/>
          <w:lang w:val="en-US"/>
        </w:rPr>
      </w:pPr>
    </w:p>
    <w:p w14:paraId="66394B6C" w14:textId="6D1AC7D1" w:rsidR="00AE5E4D" w:rsidRDefault="00AE5E4D" w:rsidP="00247FDC">
      <w:pPr>
        <w:pStyle w:val="a6"/>
        <w:ind w:left="0" w:firstLine="567"/>
        <w:jc w:val="both"/>
        <w:rPr>
          <w:sz w:val="28"/>
          <w:szCs w:val="28"/>
          <w:lang w:val="en-US"/>
        </w:rPr>
      </w:pPr>
    </w:p>
    <w:p w14:paraId="377081B5" w14:textId="2B80D4ED" w:rsidR="00AE5E4D" w:rsidRDefault="00AE5E4D" w:rsidP="00247FDC">
      <w:pPr>
        <w:pStyle w:val="a6"/>
        <w:ind w:left="0" w:firstLine="567"/>
        <w:jc w:val="both"/>
        <w:rPr>
          <w:sz w:val="28"/>
          <w:szCs w:val="28"/>
          <w:lang w:val="en-US"/>
        </w:rPr>
      </w:pPr>
    </w:p>
    <w:p w14:paraId="087544CB" w14:textId="2AD5C66A" w:rsidR="00AE5E4D" w:rsidRDefault="00AE5E4D" w:rsidP="00247FDC">
      <w:pPr>
        <w:pStyle w:val="a6"/>
        <w:ind w:left="0" w:firstLine="567"/>
        <w:jc w:val="both"/>
        <w:rPr>
          <w:sz w:val="28"/>
          <w:szCs w:val="28"/>
          <w:lang w:val="en-US"/>
        </w:rPr>
      </w:pPr>
    </w:p>
    <w:p w14:paraId="66299118" w14:textId="77777777" w:rsidR="00AE5E4D" w:rsidRPr="00605C7C" w:rsidRDefault="00AE5E4D" w:rsidP="00247FDC">
      <w:pPr>
        <w:pStyle w:val="a6"/>
        <w:ind w:left="0" w:firstLine="567"/>
        <w:jc w:val="both"/>
        <w:rPr>
          <w:sz w:val="28"/>
          <w:szCs w:val="28"/>
          <w:lang w:val="en-US"/>
        </w:rPr>
      </w:pPr>
    </w:p>
    <w:p w14:paraId="0F823B3A" w14:textId="77777777" w:rsidR="00DA3F49" w:rsidRPr="00185BC0" w:rsidRDefault="00DA3F49" w:rsidP="00DA3F49">
      <w:pPr>
        <w:pStyle w:val="1"/>
        <w:jc w:val="center"/>
      </w:pPr>
      <w:bookmarkStart w:id="47" w:name="_Toc217561945"/>
      <w:r w:rsidRPr="00185BC0">
        <w:lastRenderedPageBreak/>
        <w:t>ПРИЛОЖЕНИЕ А</w:t>
      </w:r>
      <w:bookmarkEnd w:id="47"/>
    </w:p>
    <w:p w14:paraId="38A9C17C" w14:textId="1226E887" w:rsidR="00DA3F49" w:rsidRPr="00185BC0" w:rsidRDefault="00DA3F49" w:rsidP="00DA3F49">
      <w:pPr>
        <w:jc w:val="center"/>
        <w:rPr>
          <w:b/>
          <w:bCs/>
          <w:sz w:val="28"/>
          <w:szCs w:val="28"/>
        </w:rPr>
      </w:pPr>
      <w:r w:rsidRPr="00185BC0">
        <w:rPr>
          <w:b/>
          <w:bCs/>
          <w:sz w:val="28"/>
          <w:szCs w:val="28"/>
        </w:rPr>
        <w:t>Патент на полезную модель</w:t>
      </w:r>
    </w:p>
    <w:p w14:paraId="701230DE" w14:textId="77777777" w:rsidR="00DA3F49" w:rsidRPr="00185BC0" w:rsidRDefault="00DA3F49" w:rsidP="00D850F6">
      <w:pPr>
        <w:jc w:val="both"/>
        <w:rPr>
          <w:b/>
          <w:bCs/>
          <w:lang w:val="kk-KZ"/>
        </w:rPr>
      </w:pPr>
    </w:p>
    <w:p w14:paraId="4F431D5F" w14:textId="77777777" w:rsidR="00387CA6" w:rsidRPr="00185BC0" w:rsidRDefault="00387CA6" w:rsidP="00387CA6">
      <w:pPr>
        <w:contextualSpacing/>
        <w:rPr>
          <w:b/>
          <w:bCs/>
          <w:sz w:val="28"/>
          <w:szCs w:val="28"/>
        </w:rPr>
      </w:pPr>
      <w:r w:rsidRPr="00185BC0">
        <w:rPr>
          <w:b/>
          <w:bCs/>
          <w:noProof/>
          <w:sz w:val="28"/>
          <w:szCs w:val="28"/>
        </w:rPr>
        <w:drawing>
          <wp:inline distT="0" distB="0" distL="0" distR="0" wp14:anchorId="0FF301D5" wp14:editId="7899FEA0">
            <wp:extent cx="5971058" cy="8481060"/>
            <wp:effectExtent l="0" t="0" r="0" b="0"/>
            <wp:docPr id="1507999148" name="Рисунок 1507999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75833" cy="8487842"/>
                    </a:xfrm>
                    <a:prstGeom prst="rect">
                      <a:avLst/>
                    </a:prstGeom>
                  </pic:spPr>
                </pic:pic>
              </a:graphicData>
            </a:graphic>
          </wp:inline>
        </w:drawing>
      </w:r>
    </w:p>
    <w:p w14:paraId="66BA158F" w14:textId="77777777" w:rsidR="00387CA6" w:rsidRPr="00185BC0" w:rsidRDefault="00387CA6" w:rsidP="00387CA6">
      <w:pPr>
        <w:pStyle w:val="1"/>
        <w:jc w:val="center"/>
        <w:rPr>
          <w:lang w:val="kk-KZ"/>
        </w:rPr>
      </w:pPr>
      <w:bookmarkStart w:id="48" w:name="_Toc217561946"/>
      <w:r w:rsidRPr="00185BC0">
        <w:rPr>
          <w:lang w:val="kk-KZ"/>
        </w:rPr>
        <w:lastRenderedPageBreak/>
        <w:t>ПРИЛОЖЕНИЕ Б</w:t>
      </w:r>
      <w:bookmarkEnd w:id="48"/>
    </w:p>
    <w:p w14:paraId="0BDA0B09" w14:textId="32CCB7D8" w:rsidR="00387CA6" w:rsidRPr="00185BC0" w:rsidRDefault="00387CA6" w:rsidP="00387CA6">
      <w:pPr>
        <w:contextualSpacing/>
        <w:jc w:val="center"/>
        <w:rPr>
          <w:b/>
          <w:bCs/>
          <w:sz w:val="28"/>
          <w:szCs w:val="28"/>
          <w:lang w:val="kk-KZ"/>
        </w:rPr>
      </w:pPr>
      <w:r w:rsidRPr="00185BC0">
        <w:rPr>
          <w:b/>
          <w:bCs/>
          <w:sz w:val="28"/>
          <w:szCs w:val="28"/>
          <w:lang w:val="kk-KZ"/>
        </w:rPr>
        <w:t xml:space="preserve">      Свидетельство</w:t>
      </w:r>
    </w:p>
    <w:p w14:paraId="46E603F4" w14:textId="77777777" w:rsidR="00387CA6" w:rsidRPr="00185BC0" w:rsidRDefault="00387CA6" w:rsidP="00387CA6">
      <w:pPr>
        <w:contextualSpacing/>
        <w:jc w:val="center"/>
        <w:rPr>
          <w:b/>
          <w:bCs/>
          <w:sz w:val="28"/>
          <w:szCs w:val="28"/>
          <w:lang w:val="kk-KZ"/>
        </w:rPr>
      </w:pPr>
    </w:p>
    <w:p w14:paraId="01327D83" w14:textId="72B59E2D" w:rsidR="00387CA6" w:rsidRPr="00185BC0" w:rsidRDefault="00387CA6" w:rsidP="00387CA6">
      <w:pPr>
        <w:contextualSpacing/>
        <w:rPr>
          <w:b/>
          <w:bCs/>
          <w:sz w:val="28"/>
          <w:szCs w:val="28"/>
          <w:lang w:val="kk-KZ"/>
        </w:rPr>
      </w:pPr>
      <w:r w:rsidRPr="00185BC0">
        <w:rPr>
          <w:b/>
          <w:bCs/>
          <w:noProof/>
          <w:sz w:val="28"/>
          <w:szCs w:val="28"/>
          <w:lang w:val="kk-KZ"/>
        </w:rPr>
        <w:drawing>
          <wp:inline distT="0" distB="0" distL="0" distR="0" wp14:anchorId="46CA2D72" wp14:editId="553E48DA">
            <wp:extent cx="5875020" cy="8194746"/>
            <wp:effectExtent l="0" t="0" r="0" b="0"/>
            <wp:docPr id="1507999150" name="Рисунок 150799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75292" cy="8195125"/>
                    </a:xfrm>
                    <a:prstGeom prst="rect">
                      <a:avLst/>
                    </a:prstGeom>
                    <a:noFill/>
                  </pic:spPr>
                </pic:pic>
              </a:graphicData>
            </a:graphic>
          </wp:inline>
        </w:drawing>
      </w:r>
    </w:p>
    <w:p w14:paraId="3C8213D7" w14:textId="2D4D4587" w:rsidR="00387CA6" w:rsidRPr="00185BC0" w:rsidRDefault="00387CA6" w:rsidP="00387CA6">
      <w:pPr>
        <w:contextualSpacing/>
        <w:rPr>
          <w:b/>
          <w:bCs/>
          <w:sz w:val="28"/>
          <w:szCs w:val="28"/>
          <w:lang w:val="kk-KZ"/>
        </w:rPr>
      </w:pPr>
    </w:p>
    <w:p w14:paraId="08710F68" w14:textId="7B40B52B" w:rsidR="00387CA6" w:rsidRPr="00185BC0" w:rsidRDefault="00387CA6" w:rsidP="00387CA6">
      <w:pPr>
        <w:contextualSpacing/>
        <w:rPr>
          <w:b/>
          <w:bCs/>
          <w:sz w:val="28"/>
          <w:szCs w:val="28"/>
          <w:lang w:val="en-US"/>
        </w:rPr>
      </w:pPr>
      <w:r w:rsidRPr="00185BC0">
        <w:rPr>
          <w:b/>
          <w:bCs/>
          <w:noProof/>
          <w:sz w:val="28"/>
          <w:szCs w:val="28"/>
          <w:lang w:val="en-US"/>
        </w:rPr>
        <w:lastRenderedPageBreak/>
        <w:drawing>
          <wp:inline distT="0" distB="0" distL="0" distR="0" wp14:anchorId="043FD25C" wp14:editId="4DFC3407">
            <wp:extent cx="5939790" cy="8405495"/>
            <wp:effectExtent l="0" t="0" r="381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39790" cy="8405495"/>
                    </a:xfrm>
                    <a:prstGeom prst="rect">
                      <a:avLst/>
                    </a:prstGeom>
                  </pic:spPr>
                </pic:pic>
              </a:graphicData>
            </a:graphic>
          </wp:inline>
        </w:drawing>
      </w:r>
    </w:p>
    <w:p w14:paraId="7C733EE2" w14:textId="6C406580" w:rsidR="00075D52" w:rsidRPr="00185BC0" w:rsidRDefault="00075D52" w:rsidP="00387CA6">
      <w:pPr>
        <w:contextualSpacing/>
        <w:rPr>
          <w:b/>
          <w:bCs/>
          <w:sz w:val="28"/>
          <w:szCs w:val="28"/>
          <w:lang w:val="en-US"/>
        </w:rPr>
      </w:pPr>
    </w:p>
    <w:p w14:paraId="7D82D403" w14:textId="1F0C6251" w:rsidR="00075D52" w:rsidRPr="00185BC0" w:rsidRDefault="00075D52" w:rsidP="00387CA6">
      <w:pPr>
        <w:contextualSpacing/>
        <w:rPr>
          <w:b/>
          <w:bCs/>
          <w:sz w:val="28"/>
          <w:szCs w:val="28"/>
          <w:lang w:val="en-US"/>
        </w:rPr>
      </w:pPr>
    </w:p>
    <w:p w14:paraId="39246E34" w14:textId="6E6B46E2" w:rsidR="00075D52" w:rsidRPr="00185BC0" w:rsidRDefault="00075D52" w:rsidP="00387CA6">
      <w:pPr>
        <w:contextualSpacing/>
        <w:rPr>
          <w:b/>
          <w:bCs/>
          <w:sz w:val="28"/>
          <w:szCs w:val="28"/>
          <w:lang w:val="en-US"/>
        </w:rPr>
      </w:pPr>
      <w:r w:rsidRPr="00185BC0">
        <w:rPr>
          <w:b/>
          <w:bCs/>
          <w:noProof/>
          <w:sz w:val="28"/>
          <w:szCs w:val="28"/>
          <w:lang w:val="en-US"/>
        </w:rPr>
        <w:lastRenderedPageBreak/>
        <w:drawing>
          <wp:inline distT="0" distB="0" distL="0" distR="0" wp14:anchorId="2336DC5B" wp14:editId="1B5030C2">
            <wp:extent cx="5939790" cy="8382000"/>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39790" cy="8382000"/>
                    </a:xfrm>
                    <a:prstGeom prst="rect">
                      <a:avLst/>
                    </a:prstGeom>
                  </pic:spPr>
                </pic:pic>
              </a:graphicData>
            </a:graphic>
          </wp:inline>
        </w:drawing>
      </w:r>
    </w:p>
    <w:p w14:paraId="248B4616" w14:textId="5C5B28C0" w:rsidR="00075D52" w:rsidRPr="00185BC0" w:rsidRDefault="00075D52" w:rsidP="00387CA6">
      <w:pPr>
        <w:contextualSpacing/>
        <w:rPr>
          <w:b/>
          <w:bCs/>
          <w:sz w:val="28"/>
          <w:szCs w:val="28"/>
          <w:lang w:val="en-US"/>
        </w:rPr>
      </w:pPr>
    </w:p>
    <w:p w14:paraId="30372FFB" w14:textId="77777777" w:rsidR="00075D52" w:rsidRPr="00185BC0" w:rsidRDefault="00075D52" w:rsidP="00387CA6">
      <w:pPr>
        <w:contextualSpacing/>
        <w:rPr>
          <w:b/>
          <w:bCs/>
          <w:sz w:val="28"/>
          <w:szCs w:val="28"/>
          <w:lang w:val="en-US"/>
        </w:rPr>
      </w:pPr>
    </w:p>
    <w:p w14:paraId="0905C437" w14:textId="77777777" w:rsidR="00387CA6" w:rsidRPr="00185BC0" w:rsidRDefault="00387CA6" w:rsidP="00387CA6">
      <w:pPr>
        <w:contextualSpacing/>
        <w:rPr>
          <w:b/>
          <w:bCs/>
          <w:sz w:val="28"/>
          <w:szCs w:val="28"/>
          <w:lang w:val="kk-KZ"/>
        </w:rPr>
      </w:pPr>
    </w:p>
    <w:p w14:paraId="3C56FA61" w14:textId="77777777" w:rsidR="00266E7A" w:rsidRPr="00185BC0" w:rsidRDefault="00387CA6" w:rsidP="00387CA6">
      <w:pPr>
        <w:ind w:left="720"/>
        <w:contextualSpacing/>
        <w:rPr>
          <w:b/>
          <w:bCs/>
          <w:sz w:val="28"/>
          <w:szCs w:val="28"/>
          <w:lang w:val="kk-KZ"/>
        </w:rPr>
      </w:pPr>
      <w:r w:rsidRPr="00185BC0">
        <w:rPr>
          <w:b/>
          <w:bCs/>
          <w:sz w:val="28"/>
          <w:szCs w:val="28"/>
          <w:lang w:val="kk-KZ"/>
        </w:rPr>
        <w:t xml:space="preserve">                                        </w:t>
      </w:r>
    </w:p>
    <w:p w14:paraId="1EE64BC2" w14:textId="0E3FB031" w:rsidR="00387CA6" w:rsidRPr="00185BC0" w:rsidRDefault="00387CA6" w:rsidP="00266E7A">
      <w:pPr>
        <w:pStyle w:val="1"/>
        <w:jc w:val="center"/>
        <w:rPr>
          <w:lang w:val="kk-KZ"/>
        </w:rPr>
      </w:pPr>
      <w:bookmarkStart w:id="49" w:name="_Toc217561947"/>
      <w:r w:rsidRPr="00185BC0">
        <w:rPr>
          <w:lang w:val="kk-KZ"/>
        </w:rPr>
        <w:lastRenderedPageBreak/>
        <w:t>ПРИЛОЖЕНИЕ В</w:t>
      </w:r>
      <w:bookmarkEnd w:id="49"/>
    </w:p>
    <w:p w14:paraId="03F526C0" w14:textId="77777777" w:rsidR="00387CA6" w:rsidRPr="00185BC0" w:rsidRDefault="00387CA6" w:rsidP="00387CA6">
      <w:pPr>
        <w:contextualSpacing/>
        <w:jc w:val="center"/>
        <w:rPr>
          <w:b/>
          <w:bCs/>
          <w:sz w:val="28"/>
          <w:szCs w:val="28"/>
          <w:lang w:val="kk-KZ"/>
        </w:rPr>
      </w:pPr>
      <w:r w:rsidRPr="00185BC0">
        <w:rPr>
          <w:b/>
          <w:bCs/>
          <w:sz w:val="28"/>
          <w:szCs w:val="28"/>
          <w:lang w:val="kk-KZ"/>
        </w:rPr>
        <w:t>Акт внедрения</w:t>
      </w:r>
    </w:p>
    <w:p w14:paraId="6EDC3BFC" w14:textId="77777777" w:rsidR="00387CA6" w:rsidRPr="00185BC0" w:rsidRDefault="00387CA6" w:rsidP="00387CA6">
      <w:pPr>
        <w:contextualSpacing/>
        <w:rPr>
          <w:b/>
          <w:bCs/>
          <w:sz w:val="28"/>
          <w:szCs w:val="28"/>
          <w:lang w:val="kk-KZ"/>
        </w:rPr>
      </w:pPr>
    </w:p>
    <w:p w14:paraId="11F62125" w14:textId="77777777" w:rsidR="00387CA6" w:rsidRPr="00185BC0" w:rsidRDefault="00387CA6" w:rsidP="00387CA6">
      <w:pPr>
        <w:contextualSpacing/>
        <w:rPr>
          <w:b/>
          <w:bCs/>
          <w:sz w:val="28"/>
          <w:szCs w:val="28"/>
          <w:lang w:val="kk-KZ"/>
        </w:rPr>
      </w:pPr>
    </w:p>
    <w:p w14:paraId="2A623FD1" w14:textId="77777777" w:rsidR="00387CA6" w:rsidRPr="00185BC0" w:rsidRDefault="00387CA6" w:rsidP="00387CA6">
      <w:pPr>
        <w:contextualSpacing/>
        <w:rPr>
          <w:b/>
          <w:bCs/>
          <w:sz w:val="28"/>
          <w:szCs w:val="28"/>
          <w:lang w:val="kk-KZ"/>
        </w:rPr>
      </w:pPr>
      <w:r w:rsidRPr="00185BC0">
        <w:rPr>
          <w:b/>
          <w:bCs/>
          <w:noProof/>
          <w:sz w:val="28"/>
          <w:szCs w:val="28"/>
          <w:lang w:val="kk-KZ"/>
        </w:rPr>
        <w:drawing>
          <wp:inline distT="0" distB="0" distL="0" distR="0" wp14:anchorId="517DB640" wp14:editId="5EC59408">
            <wp:extent cx="5753681" cy="768044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t="6260"/>
                    <a:stretch/>
                  </pic:blipFill>
                  <pic:spPr bwMode="auto">
                    <a:xfrm>
                      <a:off x="0" y="0"/>
                      <a:ext cx="5759248" cy="7687881"/>
                    </a:xfrm>
                    <a:prstGeom prst="rect">
                      <a:avLst/>
                    </a:prstGeom>
                    <a:ln>
                      <a:noFill/>
                    </a:ln>
                    <a:extLst>
                      <a:ext uri="{53640926-AAD7-44D8-BBD7-CCE9431645EC}">
                        <a14:shadowObscured xmlns:a14="http://schemas.microsoft.com/office/drawing/2010/main"/>
                      </a:ext>
                    </a:extLst>
                  </pic:spPr>
                </pic:pic>
              </a:graphicData>
            </a:graphic>
          </wp:inline>
        </w:drawing>
      </w:r>
    </w:p>
    <w:p w14:paraId="1636F152" w14:textId="77777777" w:rsidR="00387CA6" w:rsidRPr="00185BC0" w:rsidRDefault="00387CA6" w:rsidP="00387CA6">
      <w:pPr>
        <w:contextualSpacing/>
        <w:rPr>
          <w:b/>
          <w:bCs/>
          <w:sz w:val="28"/>
          <w:szCs w:val="28"/>
          <w:lang w:val="kk-KZ"/>
        </w:rPr>
      </w:pPr>
    </w:p>
    <w:p w14:paraId="54D499B3" w14:textId="6FD02604" w:rsidR="00387CA6" w:rsidRPr="00185BC0" w:rsidRDefault="00387CA6" w:rsidP="00387CA6">
      <w:pPr>
        <w:contextualSpacing/>
        <w:rPr>
          <w:b/>
          <w:bCs/>
          <w:sz w:val="28"/>
          <w:szCs w:val="28"/>
          <w:lang w:val="kk-KZ"/>
        </w:rPr>
      </w:pPr>
    </w:p>
    <w:p w14:paraId="1F4F4BEF" w14:textId="77777777" w:rsidR="00266E7A" w:rsidRPr="00185BC0" w:rsidRDefault="00266E7A" w:rsidP="00387CA6">
      <w:pPr>
        <w:contextualSpacing/>
        <w:rPr>
          <w:b/>
          <w:bCs/>
          <w:sz w:val="28"/>
          <w:szCs w:val="28"/>
          <w:lang w:val="kk-KZ"/>
        </w:rPr>
      </w:pPr>
    </w:p>
    <w:p w14:paraId="7B1949BB" w14:textId="627E2971" w:rsidR="00387CA6" w:rsidRPr="00185BC0" w:rsidRDefault="00387CA6" w:rsidP="00266E7A">
      <w:pPr>
        <w:pStyle w:val="1"/>
        <w:jc w:val="center"/>
        <w:rPr>
          <w:lang w:val="kk-KZ"/>
        </w:rPr>
      </w:pPr>
      <w:bookmarkStart w:id="50" w:name="_Toc217561948"/>
      <w:r w:rsidRPr="00185BC0">
        <w:rPr>
          <w:lang w:val="kk-KZ"/>
        </w:rPr>
        <w:lastRenderedPageBreak/>
        <w:t>ПРИЛОЖЕНИЕ Г</w:t>
      </w:r>
      <w:bookmarkEnd w:id="50"/>
    </w:p>
    <w:p w14:paraId="142E85BE" w14:textId="77777777" w:rsidR="00387CA6" w:rsidRPr="00185BC0" w:rsidRDefault="00387CA6" w:rsidP="00387CA6">
      <w:pPr>
        <w:contextualSpacing/>
        <w:jc w:val="center"/>
        <w:rPr>
          <w:b/>
          <w:bCs/>
          <w:sz w:val="28"/>
          <w:szCs w:val="28"/>
          <w:lang w:val="kk-KZ"/>
        </w:rPr>
      </w:pPr>
      <w:r w:rsidRPr="00185BC0">
        <w:rPr>
          <w:b/>
          <w:bCs/>
          <w:sz w:val="28"/>
          <w:szCs w:val="28"/>
          <w:lang w:val="kk-KZ"/>
        </w:rPr>
        <w:t>Протокол локального этического комитета</w:t>
      </w:r>
    </w:p>
    <w:p w14:paraId="57CD98C6" w14:textId="77777777" w:rsidR="00387CA6" w:rsidRPr="00185BC0" w:rsidRDefault="00387CA6" w:rsidP="00387CA6">
      <w:pPr>
        <w:contextualSpacing/>
        <w:rPr>
          <w:b/>
          <w:bCs/>
          <w:noProof/>
          <w:sz w:val="28"/>
          <w:szCs w:val="28"/>
          <w:lang w:val="kk-KZ"/>
        </w:rPr>
      </w:pPr>
    </w:p>
    <w:p w14:paraId="056ABA1A" w14:textId="360ABCF2" w:rsidR="00387CA6" w:rsidRPr="00185BC0" w:rsidRDefault="00551BD8" w:rsidP="00387CA6">
      <w:pPr>
        <w:contextualSpacing/>
        <w:rPr>
          <w:b/>
          <w:bCs/>
          <w:noProof/>
          <w:sz w:val="28"/>
          <w:szCs w:val="28"/>
          <w:lang w:val="kk-KZ"/>
        </w:rPr>
      </w:pPr>
      <w:r w:rsidRPr="00185BC0">
        <w:rPr>
          <w:b/>
          <w:bCs/>
          <w:noProof/>
          <w:sz w:val="28"/>
          <w:szCs w:val="28"/>
          <w:lang w:val="kk-KZ"/>
        </w:rPr>
        <w:drawing>
          <wp:inline distT="0" distB="0" distL="0" distR="0" wp14:anchorId="54FF6E9F" wp14:editId="27DCFB40">
            <wp:extent cx="5939790" cy="8431530"/>
            <wp:effectExtent l="0" t="0" r="381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39790" cy="8431530"/>
                    </a:xfrm>
                    <a:prstGeom prst="rect">
                      <a:avLst/>
                    </a:prstGeom>
                  </pic:spPr>
                </pic:pic>
              </a:graphicData>
            </a:graphic>
          </wp:inline>
        </w:drawing>
      </w:r>
    </w:p>
    <w:p w14:paraId="6A722693" w14:textId="77777777" w:rsidR="00387CA6" w:rsidRPr="00185BC0" w:rsidRDefault="00387CA6" w:rsidP="00387CA6">
      <w:pPr>
        <w:contextualSpacing/>
        <w:rPr>
          <w:b/>
          <w:bCs/>
          <w:noProof/>
          <w:sz w:val="28"/>
          <w:szCs w:val="28"/>
          <w:lang w:val="kk-KZ"/>
        </w:rPr>
      </w:pPr>
    </w:p>
    <w:p w14:paraId="383EB8E8" w14:textId="77777777" w:rsidR="00387CA6" w:rsidRPr="00185BC0" w:rsidRDefault="00387CA6" w:rsidP="00266E7A">
      <w:pPr>
        <w:pStyle w:val="1"/>
        <w:jc w:val="center"/>
        <w:rPr>
          <w:lang w:val="kk-KZ"/>
        </w:rPr>
      </w:pPr>
      <w:bookmarkStart w:id="51" w:name="_Toc217561949"/>
      <w:r w:rsidRPr="00185BC0">
        <w:rPr>
          <w:lang w:val="kk-KZ"/>
        </w:rPr>
        <w:t>ПРИЛОЖЕНИЕ Д</w:t>
      </w:r>
      <w:bookmarkEnd w:id="51"/>
    </w:p>
    <w:p w14:paraId="59487E83" w14:textId="77777777" w:rsidR="00387CA6" w:rsidRPr="00185BC0" w:rsidRDefault="00387CA6" w:rsidP="00387CA6">
      <w:pPr>
        <w:contextualSpacing/>
        <w:jc w:val="center"/>
        <w:rPr>
          <w:b/>
          <w:bCs/>
          <w:sz w:val="28"/>
          <w:szCs w:val="28"/>
          <w:lang w:val="kk-KZ"/>
        </w:rPr>
      </w:pPr>
      <w:r w:rsidRPr="00185BC0">
        <w:rPr>
          <w:b/>
          <w:bCs/>
          <w:sz w:val="28"/>
          <w:szCs w:val="28"/>
          <w:lang w:val="kk-KZ"/>
        </w:rPr>
        <w:t>Протокол локального этического комитета</w:t>
      </w:r>
    </w:p>
    <w:p w14:paraId="4D2A4673" w14:textId="77777777" w:rsidR="00387CA6" w:rsidRPr="00185BC0" w:rsidRDefault="00387CA6" w:rsidP="00387CA6">
      <w:pPr>
        <w:contextualSpacing/>
        <w:rPr>
          <w:b/>
          <w:bCs/>
          <w:noProof/>
          <w:sz w:val="28"/>
          <w:szCs w:val="28"/>
          <w:lang w:val="kk-KZ"/>
        </w:rPr>
      </w:pPr>
    </w:p>
    <w:p w14:paraId="69DD81F7" w14:textId="40403BC4" w:rsidR="00387CA6" w:rsidRPr="00185BC0" w:rsidRDefault="00387CA6" w:rsidP="00F643F6">
      <w:pPr>
        <w:contextualSpacing/>
        <w:rPr>
          <w:b/>
          <w:bCs/>
          <w:sz w:val="28"/>
          <w:szCs w:val="28"/>
          <w:lang w:val="kk-KZ"/>
        </w:rPr>
      </w:pPr>
    </w:p>
    <w:p w14:paraId="7F9F7BE6" w14:textId="434FFC65" w:rsidR="00042A27" w:rsidRDefault="008E405C" w:rsidP="001E63E5">
      <w:pPr>
        <w:ind w:left="284"/>
        <w:contextualSpacing/>
        <w:rPr>
          <w:b/>
          <w:bCs/>
          <w:sz w:val="28"/>
          <w:szCs w:val="28"/>
          <w:lang w:val="kk-KZ"/>
        </w:rPr>
      </w:pPr>
      <w:r w:rsidRPr="008E405C">
        <w:rPr>
          <w:b/>
          <w:bCs/>
          <w:noProof/>
          <w:sz w:val="28"/>
          <w:szCs w:val="28"/>
          <w:lang w:val="kk-KZ"/>
        </w:rPr>
        <w:drawing>
          <wp:inline distT="0" distB="0" distL="0" distR="0" wp14:anchorId="6E929929" wp14:editId="4E47EDF9">
            <wp:extent cx="5435959" cy="783132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35959" cy="7831323"/>
                    </a:xfrm>
                    <a:prstGeom prst="rect">
                      <a:avLst/>
                    </a:prstGeom>
                  </pic:spPr>
                </pic:pic>
              </a:graphicData>
            </a:graphic>
          </wp:inline>
        </w:drawing>
      </w:r>
    </w:p>
    <w:p w14:paraId="68F5B28A" w14:textId="34CF3E90" w:rsidR="00F643F6" w:rsidRDefault="00F643F6" w:rsidP="001E63E5">
      <w:pPr>
        <w:ind w:left="284"/>
        <w:contextualSpacing/>
        <w:rPr>
          <w:b/>
          <w:bCs/>
          <w:sz w:val="28"/>
          <w:szCs w:val="28"/>
          <w:lang w:val="kk-KZ"/>
        </w:rPr>
      </w:pPr>
    </w:p>
    <w:p w14:paraId="0D9FD968" w14:textId="48641C02" w:rsidR="00F643F6" w:rsidRDefault="00F643F6" w:rsidP="001E63E5">
      <w:pPr>
        <w:ind w:left="284"/>
        <w:contextualSpacing/>
        <w:rPr>
          <w:b/>
          <w:bCs/>
          <w:sz w:val="28"/>
          <w:szCs w:val="28"/>
          <w:lang w:val="kk-KZ"/>
        </w:rPr>
      </w:pPr>
    </w:p>
    <w:p w14:paraId="10FF594E" w14:textId="77777777" w:rsidR="00387CA6" w:rsidRPr="00185BC0" w:rsidRDefault="00387CA6" w:rsidP="00266E7A">
      <w:pPr>
        <w:pStyle w:val="1"/>
        <w:jc w:val="center"/>
        <w:rPr>
          <w:lang w:val="kk-KZ"/>
        </w:rPr>
      </w:pPr>
      <w:bookmarkStart w:id="52" w:name="_Toc217561950"/>
      <w:r w:rsidRPr="00185BC0">
        <w:t xml:space="preserve">ПРИЛОЖЕНИЕ </w:t>
      </w:r>
      <w:r w:rsidRPr="00185BC0">
        <w:rPr>
          <w:lang w:val="kk-KZ"/>
        </w:rPr>
        <w:t>Е</w:t>
      </w:r>
      <w:bookmarkEnd w:id="52"/>
    </w:p>
    <w:p w14:paraId="2F11B272" w14:textId="77777777" w:rsidR="00387CA6" w:rsidRPr="00185BC0" w:rsidRDefault="00387CA6" w:rsidP="00387CA6">
      <w:pPr>
        <w:contextualSpacing/>
        <w:jc w:val="center"/>
        <w:rPr>
          <w:b/>
          <w:bCs/>
          <w:sz w:val="28"/>
          <w:szCs w:val="28"/>
        </w:rPr>
      </w:pPr>
      <w:r w:rsidRPr="00185BC0">
        <w:rPr>
          <w:b/>
          <w:bCs/>
          <w:sz w:val="28"/>
          <w:szCs w:val="28"/>
        </w:rPr>
        <w:t>Информированное согласие на участие в клиническом исследовании</w:t>
      </w:r>
    </w:p>
    <w:p w14:paraId="54F7803A" w14:textId="77777777" w:rsidR="00387CA6" w:rsidRPr="00185BC0" w:rsidRDefault="00387CA6" w:rsidP="00387CA6">
      <w:pPr>
        <w:contextualSpacing/>
        <w:jc w:val="center"/>
        <w:rPr>
          <w:b/>
          <w:bCs/>
          <w:sz w:val="28"/>
          <w:szCs w:val="28"/>
        </w:rPr>
      </w:pPr>
      <w:r w:rsidRPr="00185BC0">
        <w:rPr>
          <w:b/>
          <w:bCs/>
          <w:noProof/>
          <w:sz w:val="28"/>
          <w:szCs w:val="28"/>
        </w:rPr>
        <w:drawing>
          <wp:inline distT="0" distB="0" distL="0" distR="0" wp14:anchorId="7255911F" wp14:editId="57AD3BAF">
            <wp:extent cx="5921615" cy="6377417"/>
            <wp:effectExtent l="0" t="0" r="317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29321" cy="6385716"/>
                    </a:xfrm>
                    <a:prstGeom prst="rect">
                      <a:avLst/>
                    </a:prstGeom>
                  </pic:spPr>
                </pic:pic>
              </a:graphicData>
            </a:graphic>
          </wp:inline>
        </w:drawing>
      </w:r>
    </w:p>
    <w:p w14:paraId="35FF0F7B" w14:textId="77777777" w:rsidR="00387CA6" w:rsidRPr="00185BC0" w:rsidRDefault="00387CA6" w:rsidP="00387CA6">
      <w:pPr>
        <w:contextualSpacing/>
        <w:jc w:val="center"/>
        <w:rPr>
          <w:b/>
          <w:bCs/>
          <w:sz w:val="28"/>
          <w:szCs w:val="28"/>
        </w:rPr>
      </w:pPr>
    </w:p>
    <w:p w14:paraId="1501B66E" w14:textId="77777777" w:rsidR="00387CA6" w:rsidRPr="00185BC0" w:rsidRDefault="00387CA6" w:rsidP="00387CA6">
      <w:pPr>
        <w:contextualSpacing/>
        <w:jc w:val="center"/>
        <w:rPr>
          <w:b/>
          <w:bCs/>
          <w:sz w:val="28"/>
          <w:szCs w:val="28"/>
        </w:rPr>
      </w:pPr>
    </w:p>
    <w:p w14:paraId="7DC05E24" w14:textId="77777777" w:rsidR="00387CA6" w:rsidRPr="00185BC0" w:rsidRDefault="00387CA6" w:rsidP="00387CA6">
      <w:pPr>
        <w:contextualSpacing/>
        <w:jc w:val="center"/>
        <w:rPr>
          <w:b/>
          <w:bCs/>
          <w:sz w:val="28"/>
          <w:szCs w:val="28"/>
        </w:rPr>
      </w:pPr>
    </w:p>
    <w:p w14:paraId="57E89685" w14:textId="77777777" w:rsidR="00387CA6" w:rsidRPr="00185BC0" w:rsidRDefault="00387CA6" w:rsidP="00387CA6">
      <w:pPr>
        <w:contextualSpacing/>
        <w:jc w:val="center"/>
        <w:rPr>
          <w:b/>
          <w:bCs/>
          <w:sz w:val="28"/>
          <w:szCs w:val="28"/>
        </w:rPr>
      </w:pPr>
    </w:p>
    <w:p w14:paraId="10E34782" w14:textId="77777777" w:rsidR="00387CA6" w:rsidRPr="00185BC0" w:rsidRDefault="00387CA6" w:rsidP="00387CA6">
      <w:pPr>
        <w:contextualSpacing/>
        <w:jc w:val="center"/>
        <w:rPr>
          <w:b/>
          <w:bCs/>
          <w:sz w:val="28"/>
          <w:szCs w:val="28"/>
        </w:rPr>
      </w:pPr>
    </w:p>
    <w:p w14:paraId="7A3AFBDF" w14:textId="77777777" w:rsidR="00387CA6" w:rsidRPr="00185BC0" w:rsidRDefault="00387CA6" w:rsidP="00387CA6">
      <w:pPr>
        <w:contextualSpacing/>
        <w:jc w:val="center"/>
        <w:rPr>
          <w:b/>
          <w:bCs/>
          <w:sz w:val="28"/>
          <w:szCs w:val="28"/>
        </w:rPr>
      </w:pPr>
    </w:p>
    <w:p w14:paraId="43DD9C50" w14:textId="77777777" w:rsidR="00387CA6" w:rsidRPr="00185BC0" w:rsidRDefault="00387CA6" w:rsidP="00387CA6">
      <w:pPr>
        <w:contextualSpacing/>
        <w:jc w:val="center"/>
        <w:rPr>
          <w:b/>
          <w:bCs/>
          <w:sz w:val="28"/>
          <w:szCs w:val="28"/>
        </w:rPr>
      </w:pPr>
    </w:p>
    <w:p w14:paraId="27C27E1C" w14:textId="77777777" w:rsidR="00387CA6" w:rsidRPr="00185BC0" w:rsidRDefault="00387CA6" w:rsidP="00387CA6">
      <w:pPr>
        <w:contextualSpacing/>
        <w:jc w:val="center"/>
        <w:rPr>
          <w:b/>
          <w:bCs/>
          <w:sz w:val="28"/>
          <w:szCs w:val="28"/>
        </w:rPr>
      </w:pPr>
    </w:p>
    <w:p w14:paraId="6B6CB1DD" w14:textId="77777777" w:rsidR="00387CA6" w:rsidRPr="00185BC0" w:rsidRDefault="00387CA6" w:rsidP="00387CA6">
      <w:pPr>
        <w:contextualSpacing/>
        <w:jc w:val="center"/>
        <w:rPr>
          <w:b/>
          <w:bCs/>
          <w:sz w:val="28"/>
          <w:szCs w:val="28"/>
        </w:rPr>
      </w:pPr>
    </w:p>
    <w:p w14:paraId="43F0663E" w14:textId="77777777" w:rsidR="00387CA6" w:rsidRPr="00185BC0" w:rsidRDefault="00387CA6" w:rsidP="00387CA6">
      <w:pPr>
        <w:contextualSpacing/>
        <w:jc w:val="center"/>
        <w:rPr>
          <w:b/>
          <w:bCs/>
          <w:sz w:val="28"/>
          <w:szCs w:val="28"/>
        </w:rPr>
      </w:pPr>
    </w:p>
    <w:p w14:paraId="28F9268B" w14:textId="45B235A4" w:rsidR="00387CA6" w:rsidRPr="00185BC0" w:rsidRDefault="00387CA6" w:rsidP="00266E7A">
      <w:pPr>
        <w:pStyle w:val="1"/>
        <w:jc w:val="center"/>
        <w:rPr>
          <w:lang w:val="kk-KZ"/>
        </w:rPr>
      </w:pPr>
      <w:bookmarkStart w:id="53" w:name="_Toc217561951"/>
      <w:r w:rsidRPr="00185BC0">
        <w:lastRenderedPageBreak/>
        <w:t xml:space="preserve">ПРИЛОЖЕНИЕ </w:t>
      </w:r>
      <w:r w:rsidR="00F34EF9" w:rsidRPr="00185BC0">
        <w:rPr>
          <w:lang w:val="kk-KZ"/>
        </w:rPr>
        <w:t>Ж</w:t>
      </w:r>
      <w:bookmarkEnd w:id="53"/>
    </w:p>
    <w:p w14:paraId="794878BC" w14:textId="220F30F6" w:rsidR="00387CA6" w:rsidRPr="00185BC0" w:rsidRDefault="00387CA6" w:rsidP="00387CA6">
      <w:pPr>
        <w:contextualSpacing/>
        <w:jc w:val="center"/>
        <w:rPr>
          <w:b/>
          <w:bCs/>
          <w:sz w:val="28"/>
          <w:szCs w:val="28"/>
          <w:lang w:val="kk-KZ"/>
        </w:rPr>
      </w:pPr>
      <w:r w:rsidRPr="00185BC0">
        <w:rPr>
          <w:b/>
          <w:bCs/>
          <w:sz w:val="28"/>
          <w:szCs w:val="28"/>
          <w:lang w:val="kk-KZ"/>
        </w:rPr>
        <w:t>Опубликованн</w:t>
      </w:r>
      <w:r w:rsidR="00154A40">
        <w:rPr>
          <w:b/>
          <w:bCs/>
          <w:sz w:val="28"/>
          <w:szCs w:val="28"/>
          <w:lang w:val="kk-KZ"/>
        </w:rPr>
        <w:t>ые</w:t>
      </w:r>
      <w:r w:rsidRPr="00185BC0">
        <w:rPr>
          <w:b/>
          <w:bCs/>
          <w:sz w:val="28"/>
          <w:szCs w:val="28"/>
          <w:lang w:val="kk-KZ"/>
        </w:rPr>
        <w:t xml:space="preserve"> стать</w:t>
      </w:r>
      <w:r w:rsidR="00154A40">
        <w:rPr>
          <w:b/>
          <w:bCs/>
          <w:sz w:val="28"/>
          <w:szCs w:val="28"/>
          <w:lang w:val="kk-KZ"/>
        </w:rPr>
        <w:t>и</w:t>
      </w:r>
    </w:p>
    <w:p w14:paraId="6C4CC71F" w14:textId="77777777" w:rsidR="00387CA6" w:rsidRPr="00185BC0" w:rsidRDefault="00387CA6" w:rsidP="00387CA6">
      <w:pPr>
        <w:contextualSpacing/>
        <w:jc w:val="center"/>
        <w:rPr>
          <w:b/>
          <w:bCs/>
          <w:sz w:val="28"/>
          <w:szCs w:val="28"/>
          <w:lang w:val="kk-KZ"/>
        </w:rPr>
      </w:pPr>
    </w:p>
    <w:p w14:paraId="587FCFCB" w14:textId="77777777" w:rsidR="00387CA6" w:rsidRPr="00185BC0" w:rsidRDefault="00387CA6" w:rsidP="00387CA6">
      <w:pPr>
        <w:contextualSpacing/>
        <w:jc w:val="center"/>
        <w:rPr>
          <w:b/>
          <w:bCs/>
          <w:sz w:val="28"/>
          <w:szCs w:val="28"/>
        </w:rPr>
      </w:pPr>
    </w:p>
    <w:p w14:paraId="3A538F5D" w14:textId="77777777" w:rsidR="00387CA6" w:rsidRPr="00185BC0" w:rsidRDefault="00387CA6" w:rsidP="00387CA6">
      <w:pPr>
        <w:contextualSpacing/>
        <w:jc w:val="center"/>
        <w:rPr>
          <w:b/>
          <w:bCs/>
          <w:sz w:val="28"/>
          <w:szCs w:val="28"/>
          <w:lang w:val="kk-KZ"/>
        </w:rPr>
      </w:pPr>
      <w:r w:rsidRPr="00185BC0">
        <w:rPr>
          <w:b/>
          <w:bCs/>
          <w:noProof/>
          <w:sz w:val="28"/>
          <w:szCs w:val="28"/>
          <w:lang w:val="kk-KZ"/>
        </w:rPr>
        <w:drawing>
          <wp:inline distT="0" distB="0" distL="0" distR="0" wp14:anchorId="2BD7984B" wp14:editId="08FA486C">
            <wp:extent cx="5706271" cy="8002117"/>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06271" cy="8002117"/>
                    </a:xfrm>
                    <a:prstGeom prst="rect">
                      <a:avLst/>
                    </a:prstGeom>
                  </pic:spPr>
                </pic:pic>
              </a:graphicData>
            </a:graphic>
          </wp:inline>
        </w:drawing>
      </w:r>
    </w:p>
    <w:p w14:paraId="32AFBCDA" w14:textId="64534AB3" w:rsidR="00387CA6" w:rsidRPr="00185BC0" w:rsidRDefault="00387CA6" w:rsidP="00387CA6">
      <w:pPr>
        <w:contextualSpacing/>
        <w:jc w:val="center"/>
        <w:rPr>
          <w:b/>
          <w:bCs/>
          <w:sz w:val="28"/>
          <w:szCs w:val="28"/>
          <w:lang w:val="kk-KZ"/>
        </w:rPr>
      </w:pPr>
    </w:p>
    <w:p w14:paraId="6A659708" w14:textId="6B28F6E4" w:rsidR="006A73B6" w:rsidRPr="00185BC0" w:rsidRDefault="006A73B6" w:rsidP="00387CA6">
      <w:pPr>
        <w:contextualSpacing/>
        <w:jc w:val="center"/>
        <w:rPr>
          <w:b/>
          <w:bCs/>
          <w:sz w:val="28"/>
          <w:szCs w:val="28"/>
          <w:lang w:val="kk-KZ"/>
        </w:rPr>
      </w:pPr>
      <w:r w:rsidRPr="00185BC0">
        <w:rPr>
          <w:b/>
          <w:bCs/>
          <w:noProof/>
          <w:sz w:val="28"/>
          <w:szCs w:val="28"/>
          <w:lang w:val="kk-KZ"/>
        </w:rPr>
        <w:lastRenderedPageBreak/>
        <w:drawing>
          <wp:inline distT="0" distB="0" distL="0" distR="0" wp14:anchorId="1D9483A3" wp14:editId="14CA23DE">
            <wp:extent cx="6120130" cy="8719185"/>
            <wp:effectExtent l="0" t="0" r="0"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8719185"/>
                    </a:xfrm>
                    <a:prstGeom prst="rect">
                      <a:avLst/>
                    </a:prstGeom>
                  </pic:spPr>
                </pic:pic>
              </a:graphicData>
            </a:graphic>
          </wp:inline>
        </w:drawing>
      </w:r>
    </w:p>
    <w:p w14:paraId="2E94336E" w14:textId="77777777" w:rsidR="00387CA6" w:rsidRPr="00185BC0" w:rsidRDefault="00387CA6" w:rsidP="00387CA6">
      <w:pPr>
        <w:contextualSpacing/>
        <w:rPr>
          <w:b/>
          <w:bCs/>
          <w:sz w:val="28"/>
          <w:szCs w:val="28"/>
          <w:lang w:val="kk-KZ"/>
        </w:rPr>
      </w:pPr>
      <w:r w:rsidRPr="00185BC0">
        <w:rPr>
          <w:b/>
          <w:bCs/>
          <w:noProof/>
          <w:sz w:val="28"/>
          <w:szCs w:val="28"/>
          <w:lang w:val="kk-KZ"/>
        </w:rPr>
        <w:lastRenderedPageBreak/>
        <w:drawing>
          <wp:inline distT="0" distB="0" distL="0" distR="0" wp14:anchorId="04B8FC2E" wp14:editId="47AF12E1">
            <wp:extent cx="5939790" cy="7237095"/>
            <wp:effectExtent l="0" t="0" r="381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39790" cy="7237095"/>
                    </a:xfrm>
                    <a:prstGeom prst="rect">
                      <a:avLst/>
                    </a:prstGeom>
                  </pic:spPr>
                </pic:pic>
              </a:graphicData>
            </a:graphic>
          </wp:inline>
        </w:drawing>
      </w:r>
    </w:p>
    <w:p w14:paraId="0685DDDA" w14:textId="77777777" w:rsidR="00387CA6" w:rsidRPr="00185BC0" w:rsidRDefault="00387CA6" w:rsidP="00387CA6">
      <w:pPr>
        <w:contextualSpacing/>
        <w:rPr>
          <w:b/>
          <w:bCs/>
          <w:sz w:val="28"/>
          <w:szCs w:val="28"/>
          <w:lang w:val="kk-KZ"/>
        </w:rPr>
      </w:pPr>
    </w:p>
    <w:p w14:paraId="589CB455" w14:textId="77777777" w:rsidR="00387CA6" w:rsidRPr="00185BC0" w:rsidRDefault="00387CA6" w:rsidP="00387CA6">
      <w:pPr>
        <w:contextualSpacing/>
        <w:rPr>
          <w:b/>
          <w:bCs/>
          <w:sz w:val="28"/>
          <w:szCs w:val="28"/>
          <w:lang w:val="kk-KZ"/>
        </w:rPr>
      </w:pPr>
    </w:p>
    <w:p w14:paraId="0EBF0D4E" w14:textId="77777777" w:rsidR="00387CA6" w:rsidRPr="00185BC0" w:rsidRDefault="00387CA6" w:rsidP="00387CA6">
      <w:pPr>
        <w:contextualSpacing/>
        <w:rPr>
          <w:b/>
          <w:bCs/>
          <w:sz w:val="28"/>
          <w:szCs w:val="28"/>
          <w:lang w:val="kk-KZ"/>
        </w:rPr>
      </w:pPr>
    </w:p>
    <w:p w14:paraId="526E1671" w14:textId="77777777" w:rsidR="00387CA6" w:rsidRPr="00185BC0" w:rsidRDefault="00387CA6" w:rsidP="00387CA6">
      <w:pPr>
        <w:contextualSpacing/>
        <w:rPr>
          <w:b/>
          <w:bCs/>
          <w:sz w:val="28"/>
          <w:szCs w:val="28"/>
          <w:lang w:val="kk-KZ"/>
        </w:rPr>
      </w:pPr>
    </w:p>
    <w:p w14:paraId="645FD43A" w14:textId="77777777" w:rsidR="00387CA6" w:rsidRPr="00185BC0" w:rsidRDefault="00387CA6" w:rsidP="00387CA6">
      <w:pPr>
        <w:contextualSpacing/>
        <w:rPr>
          <w:b/>
          <w:bCs/>
          <w:sz w:val="28"/>
          <w:szCs w:val="28"/>
          <w:lang w:val="kk-KZ"/>
        </w:rPr>
      </w:pPr>
    </w:p>
    <w:p w14:paraId="4B5D937B" w14:textId="77777777" w:rsidR="00387CA6" w:rsidRPr="00185BC0" w:rsidRDefault="00387CA6" w:rsidP="00387CA6">
      <w:pPr>
        <w:contextualSpacing/>
        <w:rPr>
          <w:b/>
          <w:bCs/>
          <w:sz w:val="28"/>
          <w:szCs w:val="28"/>
          <w:lang w:val="kk-KZ"/>
        </w:rPr>
      </w:pPr>
    </w:p>
    <w:p w14:paraId="0A290B6F" w14:textId="77777777" w:rsidR="00387CA6" w:rsidRPr="00185BC0" w:rsidRDefault="00387CA6" w:rsidP="00387CA6">
      <w:pPr>
        <w:contextualSpacing/>
        <w:rPr>
          <w:b/>
          <w:bCs/>
          <w:sz w:val="28"/>
          <w:szCs w:val="28"/>
          <w:lang w:val="kk-KZ"/>
        </w:rPr>
      </w:pPr>
    </w:p>
    <w:p w14:paraId="63A85001" w14:textId="72164485" w:rsidR="00387CA6" w:rsidRPr="00185BC0" w:rsidRDefault="00387CA6" w:rsidP="00387CA6">
      <w:pPr>
        <w:contextualSpacing/>
        <w:rPr>
          <w:b/>
          <w:bCs/>
          <w:sz w:val="28"/>
          <w:szCs w:val="28"/>
          <w:lang w:val="kk-KZ"/>
        </w:rPr>
      </w:pPr>
      <w:r w:rsidRPr="00185BC0">
        <w:rPr>
          <w:b/>
          <w:bCs/>
          <w:noProof/>
          <w:sz w:val="28"/>
          <w:szCs w:val="28"/>
          <w:lang w:val="kk-KZ"/>
        </w:rPr>
        <w:lastRenderedPageBreak/>
        <w:drawing>
          <wp:inline distT="0" distB="0" distL="0" distR="0" wp14:anchorId="227414FC" wp14:editId="5A55D9D1">
            <wp:extent cx="5677692" cy="8049748"/>
            <wp:effectExtent l="0" t="0" r="0"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677692" cy="8049748"/>
                    </a:xfrm>
                    <a:prstGeom prst="rect">
                      <a:avLst/>
                    </a:prstGeom>
                  </pic:spPr>
                </pic:pic>
              </a:graphicData>
            </a:graphic>
          </wp:inline>
        </w:drawing>
      </w:r>
    </w:p>
    <w:p w14:paraId="5B4F98A0" w14:textId="179F2B23" w:rsidR="006A73B6" w:rsidRPr="00185BC0" w:rsidRDefault="006A73B6" w:rsidP="00387CA6">
      <w:pPr>
        <w:contextualSpacing/>
        <w:rPr>
          <w:b/>
          <w:bCs/>
          <w:sz w:val="28"/>
          <w:szCs w:val="28"/>
          <w:lang w:val="kk-KZ"/>
        </w:rPr>
      </w:pPr>
    </w:p>
    <w:p w14:paraId="50469E9A" w14:textId="403F5F53" w:rsidR="006A73B6" w:rsidRPr="00185BC0" w:rsidRDefault="006A73B6" w:rsidP="00387CA6">
      <w:pPr>
        <w:contextualSpacing/>
        <w:rPr>
          <w:b/>
          <w:bCs/>
          <w:sz w:val="28"/>
          <w:szCs w:val="28"/>
          <w:lang w:val="kk-KZ"/>
        </w:rPr>
      </w:pPr>
    </w:p>
    <w:p w14:paraId="5A38C3C6" w14:textId="77777777" w:rsidR="006A73B6" w:rsidRPr="00185BC0" w:rsidRDefault="006A73B6" w:rsidP="00387CA6">
      <w:pPr>
        <w:contextualSpacing/>
        <w:rPr>
          <w:b/>
          <w:bCs/>
          <w:sz w:val="28"/>
          <w:szCs w:val="28"/>
          <w:lang w:val="kk-KZ"/>
        </w:rPr>
      </w:pPr>
    </w:p>
    <w:p w14:paraId="4B12166C" w14:textId="411F239F" w:rsidR="00387CA6" w:rsidRPr="00185BC0" w:rsidRDefault="00387CA6" w:rsidP="00387CA6">
      <w:pPr>
        <w:contextualSpacing/>
        <w:rPr>
          <w:b/>
          <w:bCs/>
          <w:sz w:val="28"/>
          <w:szCs w:val="28"/>
          <w:lang w:val="kk-KZ"/>
        </w:rPr>
      </w:pPr>
    </w:p>
    <w:p w14:paraId="62A661AD" w14:textId="77777777" w:rsidR="006A73B6" w:rsidRPr="00185BC0" w:rsidRDefault="006A73B6" w:rsidP="00387CA6">
      <w:pPr>
        <w:contextualSpacing/>
        <w:rPr>
          <w:b/>
          <w:bCs/>
          <w:sz w:val="28"/>
          <w:szCs w:val="28"/>
          <w:lang w:val="kk-KZ"/>
        </w:rPr>
      </w:pPr>
    </w:p>
    <w:p w14:paraId="7B5F82B4" w14:textId="66EB1A0D" w:rsidR="00DA3F49" w:rsidRPr="00185BC0" w:rsidRDefault="00DA3F49" w:rsidP="00DA3F49">
      <w:pPr>
        <w:pStyle w:val="1"/>
        <w:jc w:val="center"/>
        <w:rPr>
          <w:lang w:val="kk-KZ"/>
        </w:rPr>
      </w:pPr>
      <w:bookmarkStart w:id="54" w:name="_Toc217561952"/>
      <w:r w:rsidRPr="00185BC0">
        <w:lastRenderedPageBreak/>
        <w:t xml:space="preserve">ПРИЛОЖЕНИЕ </w:t>
      </w:r>
      <w:r w:rsidR="006A73B6" w:rsidRPr="00185BC0">
        <w:rPr>
          <w:lang w:val="kk-KZ"/>
        </w:rPr>
        <w:t>И</w:t>
      </w:r>
      <w:bookmarkEnd w:id="54"/>
    </w:p>
    <w:p w14:paraId="5ECD177C" w14:textId="6A4DBCC0" w:rsidR="00DA3F49" w:rsidRPr="00185BC0" w:rsidRDefault="00DA3F49" w:rsidP="00DA3F49">
      <w:pPr>
        <w:jc w:val="center"/>
        <w:rPr>
          <w:b/>
          <w:bCs/>
          <w:sz w:val="28"/>
          <w:szCs w:val="28"/>
          <w:lang w:val="kk-KZ"/>
        </w:rPr>
      </w:pPr>
      <w:r w:rsidRPr="00185BC0">
        <w:rPr>
          <w:b/>
          <w:bCs/>
          <w:sz w:val="28"/>
          <w:szCs w:val="28"/>
          <w:lang w:val="kk-KZ"/>
        </w:rPr>
        <w:t>С</w:t>
      </w:r>
      <w:proofErr w:type="spellStart"/>
      <w:r w:rsidRPr="00185BC0">
        <w:rPr>
          <w:b/>
          <w:bCs/>
          <w:sz w:val="28"/>
          <w:szCs w:val="28"/>
        </w:rPr>
        <w:t>ертификат</w:t>
      </w:r>
      <w:proofErr w:type="spellEnd"/>
      <w:r w:rsidRPr="00185BC0">
        <w:rPr>
          <w:b/>
          <w:bCs/>
          <w:sz w:val="28"/>
          <w:szCs w:val="28"/>
        </w:rPr>
        <w:t xml:space="preserve"> качества титановой продукции</w:t>
      </w:r>
    </w:p>
    <w:p w14:paraId="13EB321D" w14:textId="77777777" w:rsidR="00220331" w:rsidRPr="00185BC0" w:rsidRDefault="00220331" w:rsidP="00DA3F49">
      <w:pPr>
        <w:jc w:val="center"/>
        <w:rPr>
          <w:lang w:val="kk-KZ"/>
        </w:rPr>
      </w:pPr>
    </w:p>
    <w:p w14:paraId="40EE43F3" w14:textId="77777777" w:rsidR="00220331" w:rsidRPr="00185BC0" w:rsidRDefault="00220331" w:rsidP="00220331">
      <w:pPr>
        <w:rPr>
          <w:b/>
          <w:bCs/>
          <w:lang w:val="kk-KZ"/>
        </w:rPr>
      </w:pPr>
    </w:p>
    <w:p w14:paraId="0FB18AB6" w14:textId="77777777" w:rsidR="00220331" w:rsidRPr="00185BC0" w:rsidRDefault="00220331" w:rsidP="00220331">
      <w:pPr>
        <w:rPr>
          <w:b/>
          <w:bCs/>
          <w:lang w:val="kk-KZ"/>
        </w:rPr>
      </w:pPr>
    </w:p>
    <w:p w14:paraId="6F9B5B44" w14:textId="663FB73D" w:rsidR="00220331" w:rsidRPr="00220331" w:rsidRDefault="00DA3F49" w:rsidP="00220331">
      <w:pPr>
        <w:rPr>
          <w:b/>
          <w:bCs/>
          <w:lang w:val="kk-KZ"/>
        </w:rPr>
      </w:pPr>
      <w:r w:rsidRPr="00185BC0">
        <w:rPr>
          <w:b/>
          <w:bCs/>
          <w:noProof/>
          <w:lang w:val="kk-KZ"/>
        </w:rPr>
        <w:drawing>
          <wp:inline distT="0" distB="0" distL="0" distR="0" wp14:anchorId="35657999" wp14:editId="60E1D2A6">
            <wp:extent cx="5939790" cy="4328160"/>
            <wp:effectExtent l="0" t="0" r="381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39790" cy="4328160"/>
                    </a:xfrm>
                    <a:prstGeom prst="rect">
                      <a:avLst/>
                    </a:prstGeom>
                  </pic:spPr>
                </pic:pic>
              </a:graphicData>
            </a:graphic>
          </wp:inline>
        </w:drawing>
      </w:r>
    </w:p>
    <w:p w14:paraId="341B1229" w14:textId="77777777" w:rsidR="00220331" w:rsidRPr="00220331" w:rsidRDefault="00220331" w:rsidP="00220331">
      <w:pPr>
        <w:rPr>
          <w:lang w:val="kk-KZ"/>
        </w:rPr>
      </w:pPr>
    </w:p>
    <w:p w14:paraId="548544D1" w14:textId="77777777" w:rsidR="00BB1D05" w:rsidRPr="00BB1D05" w:rsidRDefault="00BB1D05" w:rsidP="00220331">
      <w:pPr>
        <w:rPr>
          <w:lang w:val="kk-KZ"/>
        </w:rPr>
      </w:pPr>
    </w:p>
    <w:p w14:paraId="17ADF379" w14:textId="77777777" w:rsidR="00BB1D05" w:rsidRPr="00BB1D05" w:rsidRDefault="00BB1D05" w:rsidP="00220331">
      <w:pPr>
        <w:rPr>
          <w:lang w:val="kk-KZ"/>
        </w:rPr>
      </w:pPr>
    </w:p>
    <w:p w14:paraId="076231DE" w14:textId="77777777" w:rsidR="00BB1D05" w:rsidRPr="00BB1D05" w:rsidRDefault="00BB1D05" w:rsidP="00220331">
      <w:pPr>
        <w:rPr>
          <w:lang w:val="kk-KZ"/>
        </w:rPr>
      </w:pPr>
    </w:p>
    <w:p w14:paraId="5D1FBB02" w14:textId="77777777" w:rsidR="00BB1D05" w:rsidRPr="00BB1D05" w:rsidRDefault="00BB1D05" w:rsidP="00220331">
      <w:pPr>
        <w:rPr>
          <w:lang w:val="kk-KZ"/>
        </w:rPr>
      </w:pPr>
    </w:p>
    <w:p w14:paraId="25561FC2" w14:textId="77777777" w:rsidR="00BB1D05" w:rsidRPr="00BB1D05" w:rsidRDefault="00BB1D05" w:rsidP="00220331">
      <w:pPr>
        <w:rPr>
          <w:lang w:val="kk-KZ"/>
        </w:rPr>
      </w:pPr>
    </w:p>
    <w:p w14:paraId="740D1BC2" w14:textId="77777777" w:rsidR="00BB1D05" w:rsidRPr="00BB1D05" w:rsidRDefault="00BB1D05" w:rsidP="00220331">
      <w:pPr>
        <w:rPr>
          <w:lang w:val="kk-KZ"/>
        </w:rPr>
      </w:pPr>
    </w:p>
    <w:p w14:paraId="35EEC9DA" w14:textId="77777777" w:rsidR="00BB1D05" w:rsidRPr="00BB1D05" w:rsidRDefault="00BB1D05" w:rsidP="00220331">
      <w:pPr>
        <w:rPr>
          <w:lang w:val="kk-KZ"/>
        </w:rPr>
      </w:pPr>
    </w:p>
    <w:p w14:paraId="24C28B16" w14:textId="77777777" w:rsidR="00BB1D05" w:rsidRPr="00BB1D05" w:rsidRDefault="00BB1D05" w:rsidP="00220331">
      <w:pPr>
        <w:rPr>
          <w:lang w:val="kk-KZ"/>
        </w:rPr>
      </w:pPr>
    </w:p>
    <w:p w14:paraId="565E8B21" w14:textId="77777777" w:rsidR="00BB1D05" w:rsidRPr="00BB1D05" w:rsidRDefault="00BB1D05" w:rsidP="00220331">
      <w:pPr>
        <w:rPr>
          <w:lang w:val="kk-KZ"/>
        </w:rPr>
      </w:pPr>
    </w:p>
    <w:p w14:paraId="040C5D6A" w14:textId="77777777" w:rsidR="00BB1D05" w:rsidRPr="00BB1D05" w:rsidRDefault="00BB1D05" w:rsidP="00220331">
      <w:pPr>
        <w:rPr>
          <w:lang w:val="kk-KZ"/>
        </w:rPr>
      </w:pPr>
    </w:p>
    <w:p w14:paraId="6968589D" w14:textId="77777777" w:rsidR="00BB1D05" w:rsidRPr="00BB1D05" w:rsidRDefault="00BB1D05" w:rsidP="00220331">
      <w:pPr>
        <w:rPr>
          <w:lang w:val="kk-KZ"/>
        </w:rPr>
      </w:pPr>
    </w:p>
    <w:p w14:paraId="631C6636" w14:textId="77777777" w:rsidR="00BB1D05" w:rsidRPr="00BB1D05" w:rsidRDefault="00BB1D05" w:rsidP="00220331">
      <w:pPr>
        <w:rPr>
          <w:lang w:val="kk-KZ"/>
        </w:rPr>
      </w:pPr>
    </w:p>
    <w:p w14:paraId="538A0407" w14:textId="77777777" w:rsidR="00BB1D05" w:rsidRPr="00BB1D05" w:rsidRDefault="00BB1D05" w:rsidP="00220331">
      <w:pPr>
        <w:rPr>
          <w:lang w:val="kk-KZ"/>
        </w:rPr>
      </w:pPr>
    </w:p>
    <w:p w14:paraId="70C95549" w14:textId="77777777" w:rsidR="00BB1D05" w:rsidRPr="00BB1D05" w:rsidRDefault="00BB1D05" w:rsidP="00220331">
      <w:pPr>
        <w:rPr>
          <w:lang w:val="kk-KZ"/>
        </w:rPr>
      </w:pPr>
    </w:p>
    <w:p w14:paraId="76D9BC11" w14:textId="77777777" w:rsidR="00BB1D05" w:rsidRPr="00BB1D05" w:rsidRDefault="00BB1D05" w:rsidP="00220331">
      <w:pPr>
        <w:rPr>
          <w:lang w:val="kk-KZ"/>
        </w:rPr>
      </w:pPr>
    </w:p>
    <w:p w14:paraId="0F3F018C" w14:textId="77777777" w:rsidR="00BB1D05" w:rsidRPr="00BB1D05" w:rsidRDefault="00BB1D05" w:rsidP="00220331">
      <w:pPr>
        <w:rPr>
          <w:lang w:val="kk-KZ"/>
        </w:rPr>
      </w:pPr>
    </w:p>
    <w:p w14:paraId="7F2B0543" w14:textId="77777777" w:rsidR="00BB1D05" w:rsidRPr="00BB1D05" w:rsidRDefault="00BB1D05" w:rsidP="00220331">
      <w:pPr>
        <w:rPr>
          <w:lang w:val="kk-KZ"/>
        </w:rPr>
      </w:pPr>
    </w:p>
    <w:p w14:paraId="3075DE64" w14:textId="77777777" w:rsidR="00BB1D05" w:rsidRPr="00BB1D05" w:rsidRDefault="00BB1D05" w:rsidP="00220331">
      <w:pPr>
        <w:rPr>
          <w:lang w:val="kk-KZ"/>
        </w:rPr>
      </w:pPr>
    </w:p>
    <w:p w14:paraId="5D361AE1" w14:textId="7FB21807" w:rsidR="00881B68" w:rsidRPr="00BB1D05" w:rsidRDefault="00881B68" w:rsidP="00220331"/>
    <w:p w14:paraId="6E50D321" w14:textId="2DC08C4E" w:rsidR="00881B68" w:rsidRPr="00BB1D05" w:rsidRDefault="00881B68" w:rsidP="00220331"/>
    <w:p w14:paraId="4ED354CB" w14:textId="1C68BC07" w:rsidR="00881B68" w:rsidRPr="00BB1D05" w:rsidRDefault="00881B68" w:rsidP="00220331"/>
    <w:p w14:paraId="79020892" w14:textId="77777777" w:rsidR="00881B68" w:rsidRPr="00BB1D05" w:rsidRDefault="00881B68" w:rsidP="00220331"/>
    <w:sectPr w:rsidR="00881B68" w:rsidRPr="00BB1D05" w:rsidSect="00175DA5">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06F57" w14:textId="77777777" w:rsidR="00FE4509" w:rsidRDefault="00FE4509" w:rsidP="001A35B5">
      <w:r>
        <w:separator/>
      </w:r>
    </w:p>
  </w:endnote>
  <w:endnote w:type="continuationSeparator" w:id="0">
    <w:p w14:paraId="0DB38D4F" w14:textId="77777777" w:rsidR="00FE4509" w:rsidRDefault="00FE4509" w:rsidP="001A3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284505"/>
      <w:docPartObj>
        <w:docPartGallery w:val="Page Numbers (Bottom of Page)"/>
        <w:docPartUnique/>
      </w:docPartObj>
    </w:sdtPr>
    <w:sdtEndPr/>
    <w:sdtContent>
      <w:p w14:paraId="39FE30A3" w14:textId="7F4A66BB" w:rsidR="001A35B5" w:rsidRDefault="001A35B5">
        <w:pPr>
          <w:pStyle w:val="af2"/>
          <w:jc w:val="center"/>
        </w:pPr>
        <w:r>
          <w:fldChar w:fldCharType="begin"/>
        </w:r>
        <w:r>
          <w:instrText>PAGE   \* MERGEFORMAT</w:instrText>
        </w:r>
        <w:r>
          <w:fldChar w:fldCharType="separate"/>
        </w:r>
        <w:r>
          <w:t>2</w:t>
        </w:r>
        <w:r>
          <w:fldChar w:fldCharType="end"/>
        </w:r>
      </w:p>
    </w:sdtContent>
  </w:sdt>
  <w:p w14:paraId="743E58F1" w14:textId="77777777" w:rsidR="001A35B5" w:rsidRDefault="001A35B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25269" w14:textId="77777777" w:rsidR="00FE4509" w:rsidRDefault="00FE4509" w:rsidP="001A35B5">
      <w:r>
        <w:separator/>
      </w:r>
    </w:p>
  </w:footnote>
  <w:footnote w:type="continuationSeparator" w:id="0">
    <w:p w14:paraId="5B9F8A32" w14:textId="77777777" w:rsidR="00FE4509" w:rsidRDefault="00FE4509" w:rsidP="001A3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A27"/>
    <w:multiLevelType w:val="hybridMultilevel"/>
    <w:tmpl w:val="EB6413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8B7734F"/>
    <w:multiLevelType w:val="hybridMultilevel"/>
    <w:tmpl w:val="A6E89A86"/>
    <w:lvl w:ilvl="0" w:tplc="2430C4F0">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3313B9"/>
    <w:multiLevelType w:val="hybridMultilevel"/>
    <w:tmpl w:val="15303B44"/>
    <w:lvl w:ilvl="0" w:tplc="0F8CD3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9C2017B"/>
    <w:multiLevelType w:val="hybridMultilevel"/>
    <w:tmpl w:val="D5441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0280B"/>
    <w:multiLevelType w:val="hybridMultilevel"/>
    <w:tmpl w:val="D6FC1CE6"/>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5" w15:restartNumberingAfterBreak="0">
    <w:nsid w:val="0DD71752"/>
    <w:multiLevelType w:val="hybridMultilevel"/>
    <w:tmpl w:val="A4E0D8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8CE553E"/>
    <w:multiLevelType w:val="multilevel"/>
    <w:tmpl w:val="5FA0F7AC"/>
    <w:lvl w:ilvl="0">
      <w:start w:val="1"/>
      <w:numFmt w:val="decimal"/>
      <w:lvlText w:val="%1."/>
      <w:lvlJc w:val="left"/>
      <w:pPr>
        <w:ind w:left="2004" w:hanging="870"/>
      </w:pPr>
      <w:rPr>
        <w:rFonts w:hint="default"/>
      </w:rPr>
    </w:lvl>
    <w:lvl w:ilvl="1">
      <w:start w:val="1"/>
      <w:numFmt w:val="decimal"/>
      <w:isLgl/>
      <w:lvlText w:val="%1.%2"/>
      <w:lvlJc w:val="left"/>
      <w:pPr>
        <w:ind w:left="1509" w:hanging="37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7" w15:restartNumberingAfterBreak="0">
    <w:nsid w:val="1A6B2147"/>
    <w:multiLevelType w:val="hybridMultilevel"/>
    <w:tmpl w:val="31585F6C"/>
    <w:lvl w:ilvl="0" w:tplc="2174C4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B787356"/>
    <w:multiLevelType w:val="hybridMultilevel"/>
    <w:tmpl w:val="F784236C"/>
    <w:lvl w:ilvl="0" w:tplc="39980B20">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6967A45"/>
    <w:multiLevelType w:val="hybridMultilevel"/>
    <w:tmpl w:val="5CB023D8"/>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0" w15:restartNumberingAfterBreak="0">
    <w:nsid w:val="2A193913"/>
    <w:multiLevelType w:val="multilevel"/>
    <w:tmpl w:val="5A9C8F4C"/>
    <w:lvl w:ilvl="0">
      <w:start w:val="1"/>
      <w:numFmt w:val="decimal"/>
      <w:lvlText w:val="%1."/>
      <w:lvlJc w:val="left"/>
      <w:pPr>
        <w:ind w:left="1287" w:hanging="360"/>
      </w:pPr>
    </w:lvl>
    <w:lvl w:ilvl="1">
      <w:start w:val="2"/>
      <w:numFmt w:val="decimal"/>
      <w:isLgl/>
      <w:lvlText w:val="%1.%2"/>
      <w:lvlJc w:val="left"/>
      <w:pPr>
        <w:ind w:left="1500"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286" w:hanging="720"/>
      </w:pPr>
      <w:rPr>
        <w:rFonts w:hint="default"/>
      </w:rPr>
    </w:lvl>
    <w:lvl w:ilvl="4">
      <w:start w:val="1"/>
      <w:numFmt w:val="decimal"/>
      <w:isLgl/>
      <w:lvlText w:val="%1.%2.%3.%4.%5"/>
      <w:lvlJc w:val="left"/>
      <w:pPr>
        <w:ind w:left="2859" w:hanging="1080"/>
      </w:pPr>
      <w:rPr>
        <w:rFonts w:hint="default"/>
      </w:rPr>
    </w:lvl>
    <w:lvl w:ilvl="5">
      <w:start w:val="1"/>
      <w:numFmt w:val="decimal"/>
      <w:isLgl/>
      <w:lvlText w:val="%1.%2.%3.%4.%5.%6"/>
      <w:lvlJc w:val="left"/>
      <w:pPr>
        <w:ind w:left="3072" w:hanging="1080"/>
      </w:pPr>
      <w:rPr>
        <w:rFonts w:hint="default"/>
      </w:rPr>
    </w:lvl>
    <w:lvl w:ilvl="6">
      <w:start w:val="1"/>
      <w:numFmt w:val="decimal"/>
      <w:isLgl/>
      <w:lvlText w:val="%1.%2.%3.%4.%5.%6.%7"/>
      <w:lvlJc w:val="left"/>
      <w:pPr>
        <w:ind w:left="3645" w:hanging="1440"/>
      </w:pPr>
      <w:rPr>
        <w:rFonts w:hint="default"/>
      </w:rPr>
    </w:lvl>
    <w:lvl w:ilvl="7">
      <w:start w:val="1"/>
      <w:numFmt w:val="decimal"/>
      <w:isLgl/>
      <w:lvlText w:val="%1.%2.%3.%4.%5.%6.%7.%8"/>
      <w:lvlJc w:val="left"/>
      <w:pPr>
        <w:ind w:left="3858" w:hanging="1440"/>
      </w:pPr>
      <w:rPr>
        <w:rFonts w:hint="default"/>
      </w:rPr>
    </w:lvl>
    <w:lvl w:ilvl="8">
      <w:start w:val="1"/>
      <w:numFmt w:val="decimal"/>
      <w:isLgl/>
      <w:lvlText w:val="%1.%2.%3.%4.%5.%6.%7.%8.%9"/>
      <w:lvlJc w:val="left"/>
      <w:pPr>
        <w:ind w:left="4431" w:hanging="1800"/>
      </w:pPr>
      <w:rPr>
        <w:rFonts w:hint="default"/>
      </w:rPr>
    </w:lvl>
  </w:abstractNum>
  <w:abstractNum w:abstractNumId="11" w15:restartNumberingAfterBreak="0">
    <w:nsid w:val="2C311E4C"/>
    <w:multiLevelType w:val="multilevel"/>
    <w:tmpl w:val="E008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DB6DE1"/>
    <w:multiLevelType w:val="hybridMultilevel"/>
    <w:tmpl w:val="35240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9F0835"/>
    <w:multiLevelType w:val="hybridMultilevel"/>
    <w:tmpl w:val="0CC09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721D3"/>
    <w:multiLevelType w:val="hybridMultilevel"/>
    <w:tmpl w:val="9C7CA8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EB7941"/>
    <w:multiLevelType w:val="hybridMultilevel"/>
    <w:tmpl w:val="0E4263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D831C36"/>
    <w:multiLevelType w:val="hybridMultilevel"/>
    <w:tmpl w:val="83025D54"/>
    <w:lvl w:ilvl="0" w:tplc="2B20A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DDA238E"/>
    <w:multiLevelType w:val="hybridMultilevel"/>
    <w:tmpl w:val="9466AC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734536"/>
    <w:multiLevelType w:val="hybridMultilevel"/>
    <w:tmpl w:val="B7ACE4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70237BD"/>
    <w:multiLevelType w:val="multilevel"/>
    <w:tmpl w:val="EBC226BE"/>
    <w:lvl w:ilvl="0">
      <w:start w:val="1"/>
      <w:numFmt w:val="decimal"/>
      <w:lvlText w:val="%1."/>
      <w:lvlJc w:val="left"/>
      <w:pPr>
        <w:ind w:left="927"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0" w15:restartNumberingAfterBreak="0">
    <w:nsid w:val="5A286EF2"/>
    <w:multiLevelType w:val="multilevel"/>
    <w:tmpl w:val="F6BC3834"/>
    <w:lvl w:ilvl="0">
      <w:start w:val="1"/>
      <w:numFmt w:val="decimal"/>
      <w:lvlText w:val="%1"/>
      <w:lvlJc w:val="left"/>
      <w:pPr>
        <w:ind w:left="1444" w:hanging="765"/>
      </w:pPr>
      <w:rPr>
        <w:rFonts w:hint="default"/>
      </w:rPr>
    </w:lvl>
    <w:lvl w:ilvl="1">
      <w:start w:val="2"/>
      <w:numFmt w:val="decimal"/>
      <w:isLgl/>
      <w:lvlText w:val="%1.%2."/>
      <w:lvlJc w:val="left"/>
      <w:pPr>
        <w:ind w:left="1399" w:hanging="720"/>
      </w:pPr>
      <w:rPr>
        <w:rFonts w:hint="default"/>
      </w:rPr>
    </w:lvl>
    <w:lvl w:ilvl="2">
      <w:start w:val="2"/>
      <w:numFmt w:val="decimal"/>
      <w:isLgl/>
      <w:lvlText w:val="%1.%2.%3."/>
      <w:lvlJc w:val="left"/>
      <w:pPr>
        <w:ind w:left="1399" w:hanging="720"/>
      </w:pPr>
      <w:rPr>
        <w:rFonts w:hint="default"/>
      </w:rPr>
    </w:lvl>
    <w:lvl w:ilvl="3">
      <w:start w:val="1"/>
      <w:numFmt w:val="decimal"/>
      <w:isLgl/>
      <w:lvlText w:val="%1.%2.%3.%4."/>
      <w:lvlJc w:val="left"/>
      <w:pPr>
        <w:ind w:left="1759" w:hanging="1080"/>
      </w:pPr>
      <w:rPr>
        <w:rFonts w:hint="default"/>
      </w:rPr>
    </w:lvl>
    <w:lvl w:ilvl="4">
      <w:start w:val="1"/>
      <w:numFmt w:val="decimal"/>
      <w:isLgl/>
      <w:lvlText w:val="%1.%2.%3.%4.%5."/>
      <w:lvlJc w:val="left"/>
      <w:pPr>
        <w:ind w:left="1759" w:hanging="1080"/>
      </w:pPr>
      <w:rPr>
        <w:rFonts w:hint="default"/>
      </w:rPr>
    </w:lvl>
    <w:lvl w:ilvl="5">
      <w:start w:val="1"/>
      <w:numFmt w:val="decimal"/>
      <w:isLgl/>
      <w:lvlText w:val="%1.%2.%3.%4.%5.%6."/>
      <w:lvlJc w:val="left"/>
      <w:pPr>
        <w:ind w:left="2119" w:hanging="1440"/>
      </w:pPr>
      <w:rPr>
        <w:rFonts w:hint="default"/>
      </w:rPr>
    </w:lvl>
    <w:lvl w:ilvl="6">
      <w:start w:val="1"/>
      <w:numFmt w:val="decimal"/>
      <w:isLgl/>
      <w:lvlText w:val="%1.%2.%3.%4.%5.%6.%7."/>
      <w:lvlJc w:val="left"/>
      <w:pPr>
        <w:ind w:left="2479" w:hanging="1800"/>
      </w:pPr>
      <w:rPr>
        <w:rFonts w:hint="default"/>
      </w:rPr>
    </w:lvl>
    <w:lvl w:ilvl="7">
      <w:start w:val="1"/>
      <w:numFmt w:val="decimal"/>
      <w:isLgl/>
      <w:lvlText w:val="%1.%2.%3.%4.%5.%6.%7.%8."/>
      <w:lvlJc w:val="left"/>
      <w:pPr>
        <w:ind w:left="2479" w:hanging="1800"/>
      </w:pPr>
      <w:rPr>
        <w:rFonts w:hint="default"/>
      </w:rPr>
    </w:lvl>
    <w:lvl w:ilvl="8">
      <w:start w:val="1"/>
      <w:numFmt w:val="decimal"/>
      <w:isLgl/>
      <w:lvlText w:val="%1.%2.%3.%4.%5.%6.%7.%8.%9."/>
      <w:lvlJc w:val="left"/>
      <w:pPr>
        <w:ind w:left="2839" w:hanging="2160"/>
      </w:pPr>
      <w:rPr>
        <w:rFonts w:hint="default"/>
      </w:rPr>
    </w:lvl>
  </w:abstractNum>
  <w:abstractNum w:abstractNumId="21" w15:restartNumberingAfterBreak="0">
    <w:nsid w:val="5FD420BA"/>
    <w:multiLevelType w:val="hybridMultilevel"/>
    <w:tmpl w:val="F916742E"/>
    <w:lvl w:ilvl="0" w:tplc="7B5029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38C2AE4"/>
    <w:multiLevelType w:val="hybridMultilevel"/>
    <w:tmpl w:val="730E62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83506D1"/>
    <w:multiLevelType w:val="hybridMultilevel"/>
    <w:tmpl w:val="4EE4D05A"/>
    <w:lvl w:ilvl="0" w:tplc="04190001">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9D568A4"/>
    <w:multiLevelType w:val="hybridMultilevel"/>
    <w:tmpl w:val="72A469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317507"/>
    <w:multiLevelType w:val="multilevel"/>
    <w:tmpl w:val="DC66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040820"/>
    <w:multiLevelType w:val="hybridMultilevel"/>
    <w:tmpl w:val="07A21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9B97DFD"/>
    <w:multiLevelType w:val="multilevel"/>
    <w:tmpl w:val="8F78514A"/>
    <w:lvl w:ilvl="0">
      <w:start w:val="1"/>
      <w:numFmt w:val="decimal"/>
      <w:lvlText w:val="%1."/>
      <w:lvlJc w:val="left"/>
      <w:pPr>
        <w:ind w:left="1437" w:hanging="87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8" w15:restartNumberingAfterBreak="0">
    <w:nsid w:val="7A014D11"/>
    <w:multiLevelType w:val="hybridMultilevel"/>
    <w:tmpl w:val="10FC10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AFE3825"/>
    <w:multiLevelType w:val="hybridMultilevel"/>
    <w:tmpl w:val="438821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C284F40"/>
    <w:multiLevelType w:val="hybridMultilevel"/>
    <w:tmpl w:val="45CAC7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C2E331F"/>
    <w:multiLevelType w:val="hybridMultilevel"/>
    <w:tmpl w:val="D3E80E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6"/>
  </w:num>
  <w:num w:numId="2">
    <w:abstractNumId w:val="19"/>
  </w:num>
  <w:num w:numId="3">
    <w:abstractNumId w:val="23"/>
  </w:num>
  <w:num w:numId="4">
    <w:abstractNumId w:val="18"/>
  </w:num>
  <w:num w:numId="5">
    <w:abstractNumId w:val="26"/>
  </w:num>
  <w:num w:numId="6">
    <w:abstractNumId w:val="15"/>
  </w:num>
  <w:num w:numId="7">
    <w:abstractNumId w:val="9"/>
  </w:num>
  <w:num w:numId="8">
    <w:abstractNumId w:val="10"/>
  </w:num>
  <w:num w:numId="9">
    <w:abstractNumId w:val="4"/>
  </w:num>
  <w:num w:numId="10">
    <w:abstractNumId w:val="29"/>
  </w:num>
  <w:num w:numId="11">
    <w:abstractNumId w:val="28"/>
  </w:num>
  <w:num w:numId="12">
    <w:abstractNumId w:val="27"/>
  </w:num>
  <w:num w:numId="13">
    <w:abstractNumId w:val="6"/>
  </w:num>
  <w:num w:numId="14">
    <w:abstractNumId w:val="1"/>
  </w:num>
  <w:num w:numId="15">
    <w:abstractNumId w:val="24"/>
  </w:num>
  <w:num w:numId="16">
    <w:abstractNumId w:val="20"/>
  </w:num>
  <w:num w:numId="17">
    <w:abstractNumId w:val="8"/>
  </w:num>
  <w:num w:numId="18">
    <w:abstractNumId w:val="2"/>
  </w:num>
  <w:num w:numId="19">
    <w:abstractNumId w:val="22"/>
  </w:num>
  <w:num w:numId="20">
    <w:abstractNumId w:val="5"/>
  </w:num>
  <w:num w:numId="21">
    <w:abstractNumId w:val="13"/>
  </w:num>
  <w:num w:numId="22">
    <w:abstractNumId w:val="7"/>
  </w:num>
  <w:num w:numId="23">
    <w:abstractNumId w:val="21"/>
  </w:num>
  <w:num w:numId="24">
    <w:abstractNumId w:val="25"/>
  </w:num>
  <w:num w:numId="25">
    <w:abstractNumId w:val="11"/>
  </w:num>
  <w:num w:numId="26">
    <w:abstractNumId w:val="3"/>
  </w:num>
  <w:num w:numId="27">
    <w:abstractNumId w:val="0"/>
  </w:num>
  <w:num w:numId="28">
    <w:abstractNumId w:val="17"/>
  </w:num>
  <w:num w:numId="29">
    <w:abstractNumId w:val="30"/>
  </w:num>
  <w:num w:numId="30">
    <w:abstractNumId w:val="14"/>
  </w:num>
  <w:num w:numId="31">
    <w:abstractNumId w:val="12"/>
  </w:num>
  <w:num w:numId="32">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A49"/>
    <w:rsid w:val="00000084"/>
    <w:rsid w:val="00000405"/>
    <w:rsid w:val="00000774"/>
    <w:rsid w:val="00002582"/>
    <w:rsid w:val="00003907"/>
    <w:rsid w:val="00003D9C"/>
    <w:rsid w:val="00004E14"/>
    <w:rsid w:val="00006234"/>
    <w:rsid w:val="00006B37"/>
    <w:rsid w:val="00007C41"/>
    <w:rsid w:val="000107C5"/>
    <w:rsid w:val="00010D3B"/>
    <w:rsid w:val="00013428"/>
    <w:rsid w:val="00015415"/>
    <w:rsid w:val="00016BBF"/>
    <w:rsid w:val="00020359"/>
    <w:rsid w:val="00022D63"/>
    <w:rsid w:val="00024A35"/>
    <w:rsid w:val="00027FA0"/>
    <w:rsid w:val="0003085B"/>
    <w:rsid w:val="00031033"/>
    <w:rsid w:val="00031334"/>
    <w:rsid w:val="00032025"/>
    <w:rsid w:val="00032165"/>
    <w:rsid w:val="000353F2"/>
    <w:rsid w:val="00036111"/>
    <w:rsid w:val="00037324"/>
    <w:rsid w:val="00042234"/>
    <w:rsid w:val="000424F5"/>
    <w:rsid w:val="00042A27"/>
    <w:rsid w:val="000431C1"/>
    <w:rsid w:val="00043F69"/>
    <w:rsid w:val="0004420C"/>
    <w:rsid w:val="0004432E"/>
    <w:rsid w:val="00050266"/>
    <w:rsid w:val="0005198D"/>
    <w:rsid w:val="000560F0"/>
    <w:rsid w:val="000572BB"/>
    <w:rsid w:val="00062AC0"/>
    <w:rsid w:val="0006392A"/>
    <w:rsid w:val="00065DEF"/>
    <w:rsid w:val="0006636A"/>
    <w:rsid w:val="00066ACA"/>
    <w:rsid w:val="0006711E"/>
    <w:rsid w:val="000672C8"/>
    <w:rsid w:val="00071640"/>
    <w:rsid w:val="00072181"/>
    <w:rsid w:val="000722F1"/>
    <w:rsid w:val="0007230F"/>
    <w:rsid w:val="000729AB"/>
    <w:rsid w:val="000731A2"/>
    <w:rsid w:val="00074A66"/>
    <w:rsid w:val="00075324"/>
    <w:rsid w:val="00075810"/>
    <w:rsid w:val="00075D52"/>
    <w:rsid w:val="000809D7"/>
    <w:rsid w:val="00081C21"/>
    <w:rsid w:val="00082812"/>
    <w:rsid w:val="00082E68"/>
    <w:rsid w:val="000852DD"/>
    <w:rsid w:val="0008698A"/>
    <w:rsid w:val="00087B07"/>
    <w:rsid w:val="0009022D"/>
    <w:rsid w:val="00091137"/>
    <w:rsid w:val="000916F3"/>
    <w:rsid w:val="00092A00"/>
    <w:rsid w:val="00093C1C"/>
    <w:rsid w:val="00094016"/>
    <w:rsid w:val="00094F7A"/>
    <w:rsid w:val="0009505C"/>
    <w:rsid w:val="0009684B"/>
    <w:rsid w:val="000A00AB"/>
    <w:rsid w:val="000A213C"/>
    <w:rsid w:val="000A273E"/>
    <w:rsid w:val="000A6BF1"/>
    <w:rsid w:val="000B3829"/>
    <w:rsid w:val="000B3FF7"/>
    <w:rsid w:val="000B606C"/>
    <w:rsid w:val="000B6838"/>
    <w:rsid w:val="000C18B1"/>
    <w:rsid w:val="000C1F18"/>
    <w:rsid w:val="000C3370"/>
    <w:rsid w:val="000C3C35"/>
    <w:rsid w:val="000D083A"/>
    <w:rsid w:val="000D1253"/>
    <w:rsid w:val="000D14E8"/>
    <w:rsid w:val="000D4159"/>
    <w:rsid w:val="000D4CB3"/>
    <w:rsid w:val="000D655C"/>
    <w:rsid w:val="000D71D3"/>
    <w:rsid w:val="000E0BE4"/>
    <w:rsid w:val="000E110D"/>
    <w:rsid w:val="000E2637"/>
    <w:rsid w:val="000E2679"/>
    <w:rsid w:val="000E2A31"/>
    <w:rsid w:val="000E2FB4"/>
    <w:rsid w:val="000F09DF"/>
    <w:rsid w:val="000F1918"/>
    <w:rsid w:val="000F1D89"/>
    <w:rsid w:val="000F2B1F"/>
    <w:rsid w:val="00103E75"/>
    <w:rsid w:val="00104603"/>
    <w:rsid w:val="001047DC"/>
    <w:rsid w:val="00104A49"/>
    <w:rsid w:val="00104B67"/>
    <w:rsid w:val="0010526E"/>
    <w:rsid w:val="00106737"/>
    <w:rsid w:val="001119C4"/>
    <w:rsid w:val="00112717"/>
    <w:rsid w:val="0011390B"/>
    <w:rsid w:val="00114B5C"/>
    <w:rsid w:val="001156FD"/>
    <w:rsid w:val="001170C1"/>
    <w:rsid w:val="00120B51"/>
    <w:rsid w:val="001219ED"/>
    <w:rsid w:val="001239E4"/>
    <w:rsid w:val="0012481B"/>
    <w:rsid w:val="00124D51"/>
    <w:rsid w:val="00124ED3"/>
    <w:rsid w:val="00125A1E"/>
    <w:rsid w:val="0012664C"/>
    <w:rsid w:val="001267C3"/>
    <w:rsid w:val="0013301C"/>
    <w:rsid w:val="001345F8"/>
    <w:rsid w:val="00134AB3"/>
    <w:rsid w:val="00135306"/>
    <w:rsid w:val="00135D7C"/>
    <w:rsid w:val="00137276"/>
    <w:rsid w:val="00140CC7"/>
    <w:rsid w:val="00143EBC"/>
    <w:rsid w:val="001459E1"/>
    <w:rsid w:val="00146F0B"/>
    <w:rsid w:val="00147BC6"/>
    <w:rsid w:val="00147D82"/>
    <w:rsid w:val="0015282A"/>
    <w:rsid w:val="00153523"/>
    <w:rsid w:val="00154626"/>
    <w:rsid w:val="00154A40"/>
    <w:rsid w:val="001574F8"/>
    <w:rsid w:val="001611FA"/>
    <w:rsid w:val="001656BC"/>
    <w:rsid w:val="00167413"/>
    <w:rsid w:val="00167A54"/>
    <w:rsid w:val="0017170D"/>
    <w:rsid w:val="00171C53"/>
    <w:rsid w:val="00172DAD"/>
    <w:rsid w:val="0017346E"/>
    <w:rsid w:val="00174131"/>
    <w:rsid w:val="0017597E"/>
    <w:rsid w:val="00175DA5"/>
    <w:rsid w:val="00175E11"/>
    <w:rsid w:val="0017713B"/>
    <w:rsid w:val="001802EB"/>
    <w:rsid w:val="00180715"/>
    <w:rsid w:val="00181A7F"/>
    <w:rsid w:val="00181E28"/>
    <w:rsid w:val="0018310F"/>
    <w:rsid w:val="001842D6"/>
    <w:rsid w:val="00184427"/>
    <w:rsid w:val="00184453"/>
    <w:rsid w:val="00185BC0"/>
    <w:rsid w:val="00185DCD"/>
    <w:rsid w:val="00187978"/>
    <w:rsid w:val="00187EE0"/>
    <w:rsid w:val="001906E5"/>
    <w:rsid w:val="001916AC"/>
    <w:rsid w:val="001922F6"/>
    <w:rsid w:val="00193CB4"/>
    <w:rsid w:val="00194D7B"/>
    <w:rsid w:val="0019625A"/>
    <w:rsid w:val="00196594"/>
    <w:rsid w:val="001A212B"/>
    <w:rsid w:val="001A2E02"/>
    <w:rsid w:val="001A35B5"/>
    <w:rsid w:val="001A3A6A"/>
    <w:rsid w:val="001A53C0"/>
    <w:rsid w:val="001A5484"/>
    <w:rsid w:val="001A5BA0"/>
    <w:rsid w:val="001A6F07"/>
    <w:rsid w:val="001B0163"/>
    <w:rsid w:val="001B1E46"/>
    <w:rsid w:val="001B2D61"/>
    <w:rsid w:val="001C0F4B"/>
    <w:rsid w:val="001C1EF7"/>
    <w:rsid w:val="001C2725"/>
    <w:rsid w:val="001C275C"/>
    <w:rsid w:val="001C3DE8"/>
    <w:rsid w:val="001C5781"/>
    <w:rsid w:val="001C6931"/>
    <w:rsid w:val="001C70D3"/>
    <w:rsid w:val="001D06F8"/>
    <w:rsid w:val="001D29A3"/>
    <w:rsid w:val="001D2D80"/>
    <w:rsid w:val="001D3753"/>
    <w:rsid w:val="001D4BC2"/>
    <w:rsid w:val="001D77B7"/>
    <w:rsid w:val="001E172C"/>
    <w:rsid w:val="001E348E"/>
    <w:rsid w:val="001E4EF7"/>
    <w:rsid w:val="001E514F"/>
    <w:rsid w:val="001E51ED"/>
    <w:rsid w:val="001E52C3"/>
    <w:rsid w:val="001E63E5"/>
    <w:rsid w:val="001E69B9"/>
    <w:rsid w:val="001F0FD7"/>
    <w:rsid w:val="001F192B"/>
    <w:rsid w:val="001F2067"/>
    <w:rsid w:val="001F2F48"/>
    <w:rsid w:val="001F4557"/>
    <w:rsid w:val="001F4A69"/>
    <w:rsid w:val="001F6C23"/>
    <w:rsid w:val="001F7DE9"/>
    <w:rsid w:val="002004B1"/>
    <w:rsid w:val="002016A0"/>
    <w:rsid w:val="00201B7B"/>
    <w:rsid w:val="00201DF1"/>
    <w:rsid w:val="002060BF"/>
    <w:rsid w:val="00206305"/>
    <w:rsid w:val="00207E88"/>
    <w:rsid w:val="00210E98"/>
    <w:rsid w:val="002121A5"/>
    <w:rsid w:val="00214B01"/>
    <w:rsid w:val="002157B6"/>
    <w:rsid w:val="002160D4"/>
    <w:rsid w:val="00217E71"/>
    <w:rsid w:val="00220331"/>
    <w:rsid w:val="00221BED"/>
    <w:rsid w:val="002250AD"/>
    <w:rsid w:val="00226C30"/>
    <w:rsid w:val="00227796"/>
    <w:rsid w:val="00231F7E"/>
    <w:rsid w:val="00232A56"/>
    <w:rsid w:val="002353D5"/>
    <w:rsid w:val="00235CD2"/>
    <w:rsid w:val="00235FDF"/>
    <w:rsid w:val="00236992"/>
    <w:rsid w:val="002376DA"/>
    <w:rsid w:val="0024089E"/>
    <w:rsid w:val="00244D1A"/>
    <w:rsid w:val="00245754"/>
    <w:rsid w:val="00247341"/>
    <w:rsid w:val="00247D37"/>
    <w:rsid w:val="00247E80"/>
    <w:rsid w:val="00247FDC"/>
    <w:rsid w:val="002518E4"/>
    <w:rsid w:val="00253927"/>
    <w:rsid w:val="00256557"/>
    <w:rsid w:val="00261511"/>
    <w:rsid w:val="00261C6D"/>
    <w:rsid w:val="00262CF9"/>
    <w:rsid w:val="00263FBC"/>
    <w:rsid w:val="00264430"/>
    <w:rsid w:val="00265E1D"/>
    <w:rsid w:val="00266E7A"/>
    <w:rsid w:val="002673D1"/>
    <w:rsid w:val="002708F1"/>
    <w:rsid w:val="00271DB9"/>
    <w:rsid w:val="002741D7"/>
    <w:rsid w:val="0027477C"/>
    <w:rsid w:val="002750A1"/>
    <w:rsid w:val="0027580E"/>
    <w:rsid w:val="00275E46"/>
    <w:rsid w:val="00276FDD"/>
    <w:rsid w:val="0027781D"/>
    <w:rsid w:val="0027787A"/>
    <w:rsid w:val="0028451F"/>
    <w:rsid w:val="00284CAE"/>
    <w:rsid w:val="0028648E"/>
    <w:rsid w:val="0029046D"/>
    <w:rsid w:val="00291487"/>
    <w:rsid w:val="0029228E"/>
    <w:rsid w:val="002928BC"/>
    <w:rsid w:val="00294BC5"/>
    <w:rsid w:val="00295684"/>
    <w:rsid w:val="00295D20"/>
    <w:rsid w:val="002A0A27"/>
    <w:rsid w:val="002A16D3"/>
    <w:rsid w:val="002A2179"/>
    <w:rsid w:val="002A261C"/>
    <w:rsid w:val="002A297A"/>
    <w:rsid w:val="002A3685"/>
    <w:rsid w:val="002A4234"/>
    <w:rsid w:val="002A4B35"/>
    <w:rsid w:val="002A6471"/>
    <w:rsid w:val="002A6BF1"/>
    <w:rsid w:val="002B19BF"/>
    <w:rsid w:val="002B267D"/>
    <w:rsid w:val="002B28F1"/>
    <w:rsid w:val="002B33EA"/>
    <w:rsid w:val="002B5487"/>
    <w:rsid w:val="002C1A5B"/>
    <w:rsid w:val="002C2901"/>
    <w:rsid w:val="002C2F6E"/>
    <w:rsid w:val="002C3923"/>
    <w:rsid w:val="002C4B37"/>
    <w:rsid w:val="002C4E37"/>
    <w:rsid w:val="002C4ED6"/>
    <w:rsid w:val="002C7B1F"/>
    <w:rsid w:val="002C7D40"/>
    <w:rsid w:val="002D1F0C"/>
    <w:rsid w:val="002D260C"/>
    <w:rsid w:val="002D2B79"/>
    <w:rsid w:val="002D4095"/>
    <w:rsid w:val="002D45F8"/>
    <w:rsid w:val="002E0266"/>
    <w:rsid w:val="002E2493"/>
    <w:rsid w:val="002E2648"/>
    <w:rsid w:val="002E3D46"/>
    <w:rsid w:val="002E42F1"/>
    <w:rsid w:val="002E5345"/>
    <w:rsid w:val="002E64C6"/>
    <w:rsid w:val="002E7BEC"/>
    <w:rsid w:val="002F04FD"/>
    <w:rsid w:val="002F3B9F"/>
    <w:rsid w:val="002F401C"/>
    <w:rsid w:val="002F5076"/>
    <w:rsid w:val="002F6393"/>
    <w:rsid w:val="003007DF"/>
    <w:rsid w:val="00302720"/>
    <w:rsid w:val="0030281F"/>
    <w:rsid w:val="00303461"/>
    <w:rsid w:val="00303A1E"/>
    <w:rsid w:val="00305DCF"/>
    <w:rsid w:val="0030769A"/>
    <w:rsid w:val="00311472"/>
    <w:rsid w:val="00311C12"/>
    <w:rsid w:val="003125F4"/>
    <w:rsid w:val="00312F9F"/>
    <w:rsid w:val="00313FD1"/>
    <w:rsid w:val="00316A0F"/>
    <w:rsid w:val="003179F2"/>
    <w:rsid w:val="003200AA"/>
    <w:rsid w:val="003213B9"/>
    <w:rsid w:val="00321574"/>
    <w:rsid w:val="00322127"/>
    <w:rsid w:val="0032447E"/>
    <w:rsid w:val="00325470"/>
    <w:rsid w:val="00325C17"/>
    <w:rsid w:val="003266EC"/>
    <w:rsid w:val="00327F27"/>
    <w:rsid w:val="00331B75"/>
    <w:rsid w:val="00331E2B"/>
    <w:rsid w:val="00333B77"/>
    <w:rsid w:val="0033402B"/>
    <w:rsid w:val="00337CEB"/>
    <w:rsid w:val="00340EE5"/>
    <w:rsid w:val="00342705"/>
    <w:rsid w:val="00343823"/>
    <w:rsid w:val="00345A1E"/>
    <w:rsid w:val="00347C37"/>
    <w:rsid w:val="00354972"/>
    <w:rsid w:val="00354B8E"/>
    <w:rsid w:val="00356760"/>
    <w:rsid w:val="00356D97"/>
    <w:rsid w:val="00357230"/>
    <w:rsid w:val="00357D53"/>
    <w:rsid w:val="0036096E"/>
    <w:rsid w:val="003609E1"/>
    <w:rsid w:val="00362F75"/>
    <w:rsid w:val="00363185"/>
    <w:rsid w:val="003641A1"/>
    <w:rsid w:val="00366579"/>
    <w:rsid w:val="00370B75"/>
    <w:rsid w:val="0037104B"/>
    <w:rsid w:val="00371B3B"/>
    <w:rsid w:val="00372333"/>
    <w:rsid w:val="0037298D"/>
    <w:rsid w:val="003731AA"/>
    <w:rsid w:val="00380AD9"/>
    <w:rsid w:val="00380EF9"/>
    <w:rsid w:val="00381F97"/>
    <w:rsid w:val="003832EC"/>
    <w:rsid w:val="00386077"/>
    <w:rsid w:val="003861B7"/>
    <w:rsid w:val="003874DB"/>
    <w:rsid w:val="00387CA6"/>
    <w:rsid w:val="003904E5"/>
    <w:rsid w:val="00393E92"/>
    <w:rsid w:val="00396647"/>
    <w:rsid w:val="00396760"/>
    <w:rsid w:val="00397616"/>
    <w:rsid w:val="00397859"/>
    <w:rsid w:val="003A0147"/>
    <w:rsid w:val="003A150E"/>
    <w:rsid w:val="003A1ED5"/>
    <w:rsid w:val="003A2E3F"/>
    <w:rsid w:val="003A3BBF"/>
    <w:rsid w:val="003A3DB1"/>
    <w:rsid w:val="003A450A"/>
    <w:rsid w:val="003A6793"/>
    <w:rsid w:val="003A72DA"/>
    <w:rsid w:val="003B0927"/>
    <w:rsid w:val="003B0A83"/>
    <w:rsid w:val="003B29E3"/>
    <w:rsid w:val="003B6676"/>
    <w:rsid w:val="003B7004"/>
    <w:rsid w:val="003B7422"/>
    <w:rsid w:val="003B7A12"/>
    <w:rsid w:val="003B7A4F"/>
    <w:rsid w:val="003B7C6D"/>
    <w:rsid w:val="003C03E6"/>
    <w:rsid w:val="003C0456"/>
    <w:rsid w:val="003C1259"/>
    <w:rsid w:val="003C2204"/>
    <w:rsid w:val="003C4AEE"/>
    <w:rsid w:val="003C5AA1"/>
    <w:rsid w:val="003C68B0"/>
    <w:rsid w:val="003C6C33"/>
    <w:rsid w:val="003C74C0"/>
    <w:rsid w:val="003C7904"/>
    <w:rsid w:val="003C7E61"/>
    <w:rsid w:val="003D0BEA"/>
    <w:rsid w:val="003D0CF0"/>
    <w:rsid w:val="003D1966"/>
    <w:rsid w:val="003D1B94"/>
    <w:rsid w:val="003D1C24"/>
    <w:rsid w:val="003D232F"/>
    <w:rsid w:val="003D39EA"/>
    <w:rsid w:val="003D4107"/>
    <w:rsid w:val="003D7BA7"/>
    <w:rsid w:val="003E03B1"/>
    <w:rsid w:val="003E1719"/>
    <w:rsid w:val="003E38D8"/>
    <w:rsid w:val="003E4BD0"/>
    <w:rsid w:val="003E5373"/>
    <w:rsid w:val="003E7825"/>
    <w:rsid w:val="003F0E6D"/>
    <w:rsid w:val="003F2C88"/>
    <w:rsid w:val="003F4D12"/>
    <w:rsid w:val="003F65C9"/>
    <w:rsid w:val="004016F5"/>
    <w:rsid w:val="004032DE"/>
    <w:rsid w:val="00403AF1"/>
    <w:rsid w:val="00403BB4"/>
    <w:rsid w:val="00403DC4"/>
    <w:rsid w:val="004053E8"/>
    <w:rsid w:val="0040589E"/>
    <w:rsid w:val="004058C9"/>
    <w:rsid w:val="0040631B"/>
    <w:rsid w:val="00406A86"/>
    <w:rsid w:val="0040768D"/>
    <w:rsid w:val="00410CB9"/>
    <w:rsid w:val="004151FC"/>
    <w:rsid w:val="004154D7"/>
    <w:rsid w:val="004164DE"/>
    <w:rsid w:val="004175F8"/>
    <w:rsid w:val="00417DA2"/>
    <w:rsid w:val="00420F33"/>
    <w:rsid w:val="00421E32"/>
    <w:rsid w:val="00421E45"/>
    <w:rsid w:val="004227C4"/>
    <w:rsid w:val="00424AB6"/>
    <w:rsid w:val="004257AF"/>
    <w:rsid w:val="00426100"/>
    <w:rsid w:val="00426487"/>
    <w:rsid w:val="004275D1"/>
    <w:rsid w:val="00427EEC"/>
    <w:rsid w:val="0043105F"/>
    <w:rsid w:val="0043237F"/>
    <w:rsid w:val="0043499E"/>
    <w:rsid w:val="00441F09"/>
    <w:rsid w:val="004436EA"/>
    <w:rsid w:val="00443833"/>
    <w:rsid w:val="00445635"/>
    <w:rsid w:val="00446ACC"/>
    <w:rsid w:val="00446C69"/>
    <w:rsid w:val="00447EA3"/>
    <w:rsid w:val="004511E1"/>
    <w:rsid w:val="004523C3"/>
    <w:rsid w:val="00453398"/>
    <w:rsid w:val="004565E7"/>
    <w:rsid w:val="00461138"/>
    <w:rsid w:val="00461AA7"/>
    <w:rsid w:val="00461AB2"/>
    <w:rsid w:val="00462203"/>
    <w:rsid w:val="004629E4"/>
    <w:rsid w:val="004644AE"/>
    <w:rsid w:val="0046573B"/>
    <w:rsid w:val="00466E09"/>
    <w:rsid w:val="00470FDB"/>
    <w:rsid w:val="004714D7"/>
    <w:rsid w:val="00472FB7"/>
    <w:rsid w:val="004767E1"/>
    <w:rsid w:val="00480FCB"/>
    <w:rsid w:val="00482664"/>
    <w:rsid w:val="00483103"/>
    <w:rsid w:val="00483458"/>
    <w:rsid w:val="004839C0"/>
    <w:rsid w:val="0048430F"/>
    <w:rsid w:val="004854A3"/>
    <w:rsid w:val="0048615D"/>
    <w:rsid w:val="00486378"/>
    <w:rsid w:val="0048757C"/>
    <w:rsid w:val="00495A8E"/>
    <w:rsid w:val="004960A5"/>
    <w:rsid w:val="00496E4B"/>
    <w:rsid w:val="004A1042"/>
    <w:rsid w:val="004A105D"/>
    <w:rsid w:val="004A21EB"/>
    <w:rsid w:val="004A2E7D"/>
    <w:rsid w:val="004A78E7"/>
    <w:rsid w:val="004B042B"/>
    <w:rsid w:val="004B34FD"/>
    <w:rsid w:val="004B5036"/>
    <w:rsid w:val="004B51BB"/>
    <w:rsid w:val="004B64D4"/>
    <w:rsid w:val="004B6643"/>
    <w:rsid w:val="004B7065"/>
    <w:rsid w:val="004B738C"/>
    <w:rsid w:val="004C0253"/>
    <w:rsid w:val="004C055D"/>
    <w:rsid w:val="004C073C"/>
    <w:rsid w:val="004C4AC7"/>
    <w:rsid w:val="004C60B9"/>
    <w:rsid w:val="004C62B7"/>
    <w:rsid w:val="004C7B73"/>
    <w:rsid w:val="004D2420"/>
    <w:rsid w:val="004D2515"/>
    <w:rsid w:val="004D2A20"/>
    <w:rsid w:val="004D325A"/>
    <w:rsid w:val="004E107E"/>
    <w:rsid w:val="004E28C9"/>
    <w:rsid w:val="004E3905"/>
    <w:rsid w:val="004F2E0D"/>
    <w:rsid w:val="004F3B85"/>
    <w:rsid w:val="004F613E"/>
    <w:rsid w:val="004F691C"/>
    <w:rsid w:val="004F7535"/>
    <w:rsid w:val="00501448"/>
    <w:rsid w:val="005056B6"/>
    <w:rsid w:val="00505972"/>
    <w:rsid w:val="00506397"/>
    <w:rsid w:val="005066C4"/>
    <w:rsid w:val="00507658"/>
    <w:rsid w:val="0051083A"/>
    <w:rsid w:val="005110D3"/>
    <w:rsid w:val="00511770"/>
    <w:rsid w:val="00515D83"/>
    <w:rsid w:val="00516C93"/>
    <w:rsid w:val="005206BD"/>
    <w:rsid w:val="00521DFB"/>
    <w:rsid w:val="005220DD"/>
    <w:rsid w:val="0052386E"/>
    <w:rsid w:val="00526E95"/>
    <w:rsid w:val="00527C06"/>
    <w:rsid w:val="00530806"/>
    <w:rsid w:val="00531842"/>
    <w:rsid w:val="005330BB"/>
    <w:rsid w:val="00534397"/>
    <w:rsid w:val="0053651C"/>
    <w:rsid w:val="00537167"/>
    <w:rsid w:val="00537B75"/>
    <w:rsid w:val="00540DE6"/>
    <w:rsid w:val="0054263E"/>
    <w:rsid w:val="00542E28"/>
    <w:rsid w:val="00542F14"/>
    <w:rsid w:val="005445DD"/>
    <w:rsid w:val="005448A0"/>
    <w:rsid w:val="00545B22"/>
    <w:rsid w:val="00545E4C"/>
    <w:rsid w:val="005478D6"/>
    <w:rsid w:val="00550C91"/>
    <w:rsid w:val="0055149F"/>
    <w:rsid w:val="00551802"/>
    <w:rsid w:val="00551BD8"/>
    <w:rsid w:val="005530D9"/>
    <w:rsid w:val="00554B19"/>
    <w:rsid w:val="00556325"/>
    <w:rsid w:val="00556BA8"/>
    <w:rsid w:val="0055705C"/>
    <w:rsid w:val="0055729A"/>
    <w:rsid w:val="00557613"/>
    <w:rsid w:val="005576A7"/>
    <w:rsid w:val="00557B3C"/>
    <w:rsid w:val="00561C34"/>
    <w:rsid w:val="0056203D"/>
    <w:rsid w:val="00562371"/>
    <w:rsid w:val="00562B96"/>
    <w:rsid w:val="00563C6A"/>
    <w:rsid w:val="00564BD2"/>
    <w:rsid w:val="00565F52"/>
    <w:rsid w:val="00566051"/>
    <w:rsid w:val="0057058C"/>
    <w:rsid w:val="00573291"/>
    <w:rsid w:val="00573E15"/>
    <w:rsid w:val="0057422A"/>
    <w:rsid w:val="0057433A"/>
    <w:rsid w:val="00574807"/>
    <w:rsid w:val="0057554E"/>
    <w:rsid w:val="005803FA"/>
    <w:rsid w:val="00582980"/>
    <w:rsid w:val="00585676"/>
    <w:rsid w:val="00586D9D"/>
    <w:rsid w:val="00587901"/>
    <w:rsid w:val="00587D49"/>
    <w:rsid w:val="00590927"/>
    <w:rsid w:val="00593921"/>
    <w:rsid w:val="005958AB"/>
    <w:rsid w:val="00596FC6"/>
    <w:rsid w:val="00597085"/>
    <w:rsid w:val="005A06CA"/>
    <w:rsid w:val="005A2617"/>
    <w:rsid w:val="005A486E"/>
    <w:rsid w:val="005A76C2"/>
    <w:rsid w:val="005A76C6"/>
    <w:rsid w:val="005B1689"/>
    <w:rsid w:val="005B3573"/>
    <w:rsid w:val="005B59AA"/>
    <w:rsid w:val="005B6661"/>
    <w:rsid w:val="005C0C17"/>
    <w:rsid w:val="005C0C44"/>
    <w:rsid w:val="005C1A2B"/>
    <w:rsid w:val="005C3088"/>
    <w:rsid w:val="005C43F5"/>
    <w:rsid w:val="005C61E9"/>
    <w:rsid w:val="005C779A"/>
    <w:rsid w:val="005D0636"/>
    <w:rsid w:val="005D247C"/>
    <w:rsid w:val="005D40EC"/>
    <w:rsid w:val="005D53FB"/>
    <w:rsid w:val="005D5B96"/>
    <w:rsid w:val="005D678C"/>
    <w:rsid w:val="005D725A"/>
    <w:rsid w:val="005D7511"/>
    <w:rsid w:val="005E016F"/>
    <w:rsid w:val="005E21D3"/>
    <w:rsid w:val="005E354F"/>
    <w:rsid w:val="005E3806"/>
    <w:rsid w:val="005E38BC"/>
    <w:rsid w:val="005E3C2D"/>
    <w:rsid w:val="005E74B7"/>
    <w:rsid w:val="005E7C4E"/>
    <w:rsid w:val="005F0407"/>
    <w:rsid w:val="005F2A20"/>
    <w:rsid w:val="005F39FC"/>
    <w:rsid w:val="005F50B3"/>
    <w:rsid w:val="005F55D5"/>
    <w:rsid w:val="005F5ACC"/>
    <w:rsid w:val="005F75B9"/>
    <w:rsid w:val="005F766F"/>
    <w:rsid w:val="00601262"/>
    <w:rsid w:val="006019B8"/>
    <w:rsid w:val="00601D42"/>
    <w:rsid w:val="00603791"/>
    <w:rsid w:val="00605C7C"/>
    <w:rsid w:val="00606062"/>
    <w:rsid w:val="006102A3"/>
    <w:rsid w:val="00610507"/>
    <w:rsid w:val="00612BAD"/>
    <w:rsid w:val="006137BA"/>
    <w:rsid w:val="00613A77"/>
    <w:rsid w:val="00615EDD"/>
    <w:rsid w:val="00617447"/>
    <w:rsid w:val="006209C9"/>
    <w:rsid w:val="006217AD"/>
    <w:rsid w:val="00621FF2"/>
    <w:rsid w:val="0062234B"/>
    <w:rsid w:val="006225DF"/>
    <w:rsid w:val="00622944"/>
    <w:rsid w:val="0062418D"/>
    <w:rsid w:val="006269CE"/>
    <w:rsid w:val="00633E95"/>
    <w:rsid w:val="00635B25"/>
    <w:rsid w:val="006362F7"/>
    <w:rsid w:val="00636712"/>
    <w:rsid w:val="0064085D"/>
    <w:rsid w:val="0064423C"/>
    <w:rsid w:val="00650548"/>
    <w:rsid w:val="00651416"/>
    <w:rsid w:val="0065237D"/>
    <w:rsid w:val="006549E4"/>
    <w:rsid w:val="00654A28"/>
    <w:rsid w:val="00654B8E"/>
    <w:rsid w:val="00654F6F"/>
    <w:rsid w:val="00656971"/>
    <w:rsid w:val="00660416"/>
    <w:rsid w:val="00661081"/>
    <w:rsid w:val="00661DB5"/>
    <w:rsid w:val="00663A3F"/>
    <w:rsid w:val="0066729A"/>
    <w:rsid w:val="006713D0"/>
    <w:rsid w:val="00671823"/>
    <w:rsid w:val="00672527"/>
    <w:rsid w:val="00673D00"/>
    <w:rsid w:val="00673DB5"/>
    <w:rsid w:val="00675309"/>
    <w:rsid w:val="00675911"/>
    <w:rsid w:val="006807A5"/>
    <w:rsid w:val="00680A99"/>
    <w:rsid w:val="00681582"/>
    <w:rsid w:val="00681C45"/>
    <w:rsid w:val="0068399D"/>
    <w:rsid w:val="00683EDB"/>
    <w:rsid w:val="0068405B"/>
    <w:rsid w:val="0069288D"/>
    <w:rsid w:val="00693881"/>
    <w:rsid w:val="006938AC"/>
    <w:rsid w:val="00694BBD"/>
    <w:rsid w:val="006A0106"/>
    <w:rsid w:val="006A0EEF"/>
    <w:rsid w:val="006A1430"/>
    <w:rsid w:val="006A4AFF"/>
    <w:rsid w:val="006A4C81"/>
    <w:rsid w:val="006A6843"/>
    <w:rsid w:val="006A6B58"/>
    <w:rsid w:val="006A73B6"/>
    <w:rsid w:val="006A7975"/>
    <w:rsid w:val="006A7B3D"/>
    <w:rsid w:val="006B01E9"/>
    <w:rsid w:val="006B06A9"/>
    <w:rsid w:val="006B1BD8"/>
    <w:rsid w:val="006B5B96"/>
    <w:rsid w:val="006B6053"/>
    <w:rsid w:val="006B64F4"/>
    <w:rsid w:val="006B6FF2"/>
    <w:rsid w:val="006C0520"/>
    <w:rsid w:val="006C0AAF"/>
    <w:rsid w:val="006C114B"/>
    <w:rsid w:val="006C12E3"/>
    <w:rsid w:val="006C4251"/>
    <w:rsid w:val="006C5182"/>
    <w:rsid w:val="006C682F"/>
    <w:rsid w:val="006C7F79"/>
    <w:rsid w:val="006D0AE8"/>
    <w:rsid w:val="006D17FD"/>
    <w:rsid w:val="006D2981"/>
    <w:rsid w:val="006D2FD8"/>
    <w:rsid w:val="006D6941"/>
    <w:rsid w:val="006E13F9"/>
    <w:rsid w:val="006E4BF7"/>
    <w:rsid w:val="006E5170"/>
    <w:rsid w:val="006E5D3C"/>
    <w:rsid w:val="006E5E20"/>
    <w:rsid w:val="006E61A4"/>
    <w:rsid w:val="006E673B"/>
    <w:rsid w:val="006F0329"/>
    <w:rsid w:val="006F0705"/>
    <w:rsid w:val="006F0F8B"/>
    <w:rsid w:val="006F1027"/>
    <w:rsid w:val="006F223C"/>
    <w:rsid w:val="006F235D"/>
    <w:rsid w:val="006F23FB"/>
    <w:rsid w:val="006F2C54"/>
    <w:rsid w:val="006F5B2A"/>
    <w:rsid w:val="006F672E"/>
    <w:rsid w:val="006F694E"/>
    <w:rsid w:val="00702A49"/>
    <w:rsid w:val="00702DB0"/>
    <w:rsid w:val="007030BC"/>
    <w:rsid w:val="0070350C"/>
    <w:rsid w:val="00704901"/>
    <w:rsid w:val="00710519"/>
    <w:rsid w:val="00710FC6"/>
    <w:rsid w:val="00712044"/>
    <w:rsid w:val="0071277E"/>
    <w:rsid w:val="00712ADB"/>
    <w:rsid w:val="00713167"/>
    <w:rsid w:val="00713D3D"/>
    <w:rsid w:val="00715369"/>
    <w:rsid w:val="00717724"/>
    <w:rsid w:val="007209FD"/>
    <w:rsid w:val="007212BA"/>
    <w:rsid w:val="00721B49"/>
    <w:rsid w:val="00722D1E"/>
    <w:rsid w:val="00725E88"/>
    <w:rsid w:val="007272F6"/>
    <w:rsid w:val="007306FE"/>
    <w:rsid w:val="00731CC3"/>
    <w:rsid w:val="007321B3"/>
    <w:rsid w:val="0073245A"/>
    <w:rsid w:val="00733A9A"/>
    <w:rsid w:val="00734BA0"/>
    <w:rsid w:val="00735439"/>
    <w:rsid w:val="007361A9"/>
    <w:rsid w:val="00736E86"/>
    <w:rsid w:val="00736E87"/>
    <w:rsid w:val="00737AE5"/>
    <w:rsid w:val="00742532"/>
    <w:rsid w:val="00742B3C"/>
    <w:rsid w:val="007512EC"/>
    <w:rsid w:val="0075185A"/>
    <w:rsid w:val="00755580"/>
    <w:rsid w:val="007558F0"/>
    <w:rsid w:val="0075604C"/>
    <w:rsid w:val="00757C37"/>
    <w:rsid w:val="00760844"/>
    <w:rsid w:val="007623FE"/>
    <w:rsid w:val="00766ACF"/>
    <w:rsid w:val="0077045F"/>
    <w:rsid w:val="007705FA"/>
    <w:rsid w:val="00771A4C"/>
    <w:rsid w:val="0077286A"/>
    <w:rsid w:val="00774BA5"/>
    <w:rsid w:val="007757D7"/>
    <w:rsid w:val="007806B6"/>
    <w:rsid w:val="00781E5C"/>
    <w:rsid w:val="00782B21"/>
    <w:rsid w:val="00783FE7"/>
    <w:rsid w:val="00784860"/>
    <w:rsid w:val="00786662"/>
    <w:rsid w:val="00786E4D"/>
    <w:rsid w:val="00787754"/>
    <w:rsid w:val="00787E2E"/>
    <w:rsid w:val="00790062"/>
    <w:rsid w:val="00790487"/>
    <w:rsid w:val="007906E1"/>
    <w:rsid w:val="00790DC9"/>
    <w:rsid w:val="00791F31"/>
    <w:rsid w:val="00793008"/>
    <w:rsid w:val="007932A4"/>
    <w:rsid w:val="0079599F"/>
    <w:rsid w:val="007968A1"/>
    <w:rsid w:val="007A0967"/>
    <w:rsid w:val="007A1046"/>
    <w:rsid w:val="007A2710"/>
    <w:rsid w:val="007A28C8"/>
    <w:rsid w:val="007A35B7"/>
    <w:rsid w:val="007A46C6"/>
    <w:rsid w:val="007A6130"/>
    <w:rsid w:val="007A6228"/>
    <w:rsid w:val="007A68C6"/>
    <w:rsid w:val="007A7DC6"/>
    <w:rsid w:val="007B09B0"/>
    <w:rsid w:val="007B1119"/>
    <w:rsid w:val="007B27BE"/>
    <w:rsid w:val="007B4EB2"/>
    <w:rsid w:val="007B75A4"/>
    <w:rsid w:val="007C0FDF"/>
    <w:rsid w:val="007C1123"/>
    <w:rsid w:val="007C21F4"/>
    <w:rsid w:val="007C4307"/>
    <w:rsid w:val="007C5802"/>
    <w:rsid w:val="007C68FF"/>
    <w:rsid w:val="007C6FEE"/>
    <w:rsid w:val="007D1842"/>
    <w:rsid w:val="007D2475"/>
    <w:rsid w:val="007D44E7"/>
    <w:rsid w:val="007D775E"/>
    <w:rsid w:val="007E073F"/>
    <w:rsid w:val="007E1AB1"/>
    <w:rsid w:val="007E60CC"/>
    <w:rsid w:val="007E668A"/>
    <w:rsid w:val="007E7F82"/>
    <w:rsid w:val="007F0DB8"/>
    <w:rsid w:val="007F1ABD"/>
    <w:rsid w:val="007F21F7"/>
    <w:rsid w:val="007F315D"/>
    <w:rsid w:val="007F3300"/>
    <w:rsid w:val="007F3A91"/>
    <w:rsid w:val="007F52A6"/>
    <w:rsid w:val="007F619B"/>
    <w:rsid w:val="007F75ED"/>
    <w:rsid w:val="00801DB4"/>
    <w:rsid w:val="0080407F"/>
    <w:rsid w:val="00804967"/>
    <w:rsid w:val="008059FE"/>
    <w:rsid w:val="00805DB5"/>
    <w:rsid w:val="00805DD7"/>
    <w:rsid w:val="00806957"/>
    <w:rsid w:val="008113B1"/>
    <w:rsid w:val="00813BDC"/>
    <w:rsid w:val="00814396"/>
    <w:rsid w:val="00814F2A"/>
    <w:rsid w:val="00815AAB"/>
    <w:rsid w:val="00816FF1"/>
    <w:rsid w:val="00817EBB"/>
    <w:rsid w:val="00830553"/>
    <w:rsid w:val="00831EE8"/>
    <w:rsid w:val="00832FC2"/>
    <w:rsid w:val="00834331"/>
    <w:rsid w:val="00841239"/>
    <w:rsid w:val="00843732"/>
    <w:rsid w:val="0084411E"/>
    <w:rsid w:val="008450BF"/>
    <w:rsid w:val="00845C2E"/>
    <w:rsid w:val="00847AE3"/>
    <w:rsid w:val="00850B0D"/>
    <w:rsid w:val="00854E96"/>
    <w:rsid w:val="00855010"/>
    <w:rsid w:val="00856A66"/>
    <w:rsid w:val="008577B2"/>
    <w:rsid w:val="00861786"/>
    <w:rsid w:val="0086318E"/>
    <w:rsid w:val="008637D3"/>
    <w:rsid w:val="0086384E"/>
    <w:rsid w:val="00864547"/>
    <w:rsid w:val="0086498D"/>
    <w:rsid w:val="008666B1"/>
    <w:rsid w:val="00866817"/>
    <w:rsid w:val="00866A3B"/>
    <w:rsid w:val="00870077"/>
    <w:rsid w:val="008717D6"/>
    <w:rsid w:val="00871DB7"/>
    <w:rsid w:val="00872FD3"/>
    <w:rsid w:val="00874B34"/>
    <w:rsid w:val="00874ED7"/>
    <w:rsid w:val="0087556C"/>
    <w:rsid w:val="008761E8"/>
    <w:rsid w:val="008767C4"/>
    <w:rsid w:val="008775BA"/>
    <w:rsid w:val="008779AB"/>
    <w:rsid w:val="00881B68"/>
    <w:rsid w:val="00882A08"/>
    <w:rsid w:val="00882CB5"/>
    <w:rsid w:val="00884473"/>
    <w:rsid w:val="00886257"/>
    <w:rsid w:val="008866B0"/>
    <w:rsid w:val="00887401"/>
    <w:rsid w:val="00890065"/>
    <w:rsid w:val="008907FD"/>
    <w:rsid w:val="008924D7"/>
    <w:rsid w:val="00893694"/>
    <w:rsid w:val="00894688"/>
    <w:rsid w:val="00895269"/>
    <w:rsid w:val="00895A20"/>
    <w:rsid w:val="00896036"/>
    <w:rsid w:val="00897CC2"/>
    <w:rsid w:val="008A27FC"/>
    <w:rsid w:val="008A3C3E"/>
    <w:rsid w:val="008A3C73"/>
    <w:rsid w:val="008A45E3"/>
    <w:rsid w:val="008A583F"/>
    <w:rsid w:val="008A5983"/>
    <w:rsid w:val="008A7C9B"/>
    <w:rsid w:val="008B02E9"/>
    <w:rsid w:val="008B0701"/>
    <w:rsid w:val="008B2834"/>
    <w:rsid w:val="008B32C2"/>
    <w:rsid w:val="008B3D29"/>
    <w:rsid w:val="008B4B66"/>
    <w:rsid w:val="008B6543"/>
    <w:rsid w:val="008B6607"/>
    <w:rsid w:val="008C1893"/>
    <w:rsid w:val="008C2FBF"/>
    <w:rsid w:val="008C33F9"/>
    <w:rsid w:val="008C3FC8"/>
    <w:rsid w:val="008C4ACA"/>
    <w:rsid w:val="008C685C"/>
    <w:rsid w:val="008D05C2"/>
    <w:rsid w:val="008D09C1"/>
    <w:rsid w:val="008D0E58"/>
    <w:rsid w:val="008D2565"/>
    <w:rsid w:val="008D3BEE"/>
    <w:rsid w:val="008D3E5A"/>
    <w:rsid w:val="008D4C4F"/>
    <w:rsid w:val="008D5058"/>
    <w:rsid w:val="008D5792"/>
    <w:rsid w:val="008D6824"/>
    <w:rsid w:val="008E1789"/>
    <w:rsid w:val="008E1C83"/>
    <w:rsid w:val="008E2554"/>
    <w:rsid w:val="008E33F9"/>
    <w:rsid w:val="008E405C"/>
    <w:rsid w:val="008E408F"/>
    <w:rsid w:val="008E4B8F"/>
    <w:rsid w:val="008E6696"/>
    <w:rsid w:val="008E7CD5"/>
    <w:rsid w:val="008E7D8D"/>
    <w:rsid w:val="008F013F"/>
    <w:rsid w:val="008F1753"/>
    <w:rsid w:val="008F372E"/>
    <w:rsid w:val="008F4546"/>
    <w:rsid w:val="008F53A0"/>
    <w:rsid w:val="008F5480"/>
    <w:rsid w:val="008F67B4"/>
    <w:rsid w:val="009050B6"/>
    <w:rsid w:val="00905FC4"/>
    <w:rsid w:val="00907AE6"/>
    <w:rsid w:val="00910A83"/>
    <w:rsid w:val="00913759"/>
    <w:rsid w:val="0091394D"/>
    <w:rsid w:val="00915DC4"/>
    <w:rsid w:val="00915E1C"/>
    <w:rsid w:val="00916159"/>
    <w:rsid w:val="009204B3"/>
    <w:rsid w:val="009218F0"/>
    <w:rsid w:val="0092206E"/>
    <w:rsid w:val="009225AD"/>
    <w:rsid w:val="009254DD"/>
    <w:rsid w:val="0092659C"/>
    <w:rsid w:val="009278BB"/>
    <w:rsid w:val="00931AD3"/>
    <w:rsid w:val="009326CD"/>
    <w:rsid w:val="00932BDA"/>
    <w:rsid w:val="009336D7"/>
    <w:rsid w:val="00933C4C"/>
    <w:rsid w:val="00935C01"/>
    <w:rsid w:val="00940B29"/>
    <w:rsid w:val="00942881"/>
    <w:rsid w:val="0094786B"/>
    <w:rsid w:val="00947B82"/>
    <w:rsid w:val="0095179E"/>
    <w:rsid w:val="00951BAE"/>
    <w:rsid w:val="00952229"/>
    <w:rsid w:val="0095223E"/>
    <w:rsid w:val="00954FAE"/>
    <w:rsid w:val="009556D0"/>
    <w:rsid w:val="00956448"/>
    <w:rsid w:val="00956C1C"/>
    <w:rsid w:val="00962426"/>
    <w:rsid w:val="00962E2A"/>
    <w:rsid w:val="00966AC6"/>
    <w:rsid w:val="00970D09"/>
    <w:rsid w:val="00971FC6"/>
    <w:rsid w:val="00972036"/>
    <w:rsid w:val="009728F6"/>
    <w:rsid w:val="00972B57"/>
    <w:rsid w:val="00973989"/>
    <w:rsid w:val="0097588E"/>
    <w:rsid w:val="00976085"/>
    <w:rsid w:val="009768AE"/>
    <w:rsid w:val="00977E7C"/>
    <w:rsid w:val="00980065"/>
    <w:rsid w:val="0098084F"/>
    <w:rsid w:val="0098120C"/>
    <w:rsid w:val="0098157A"/>
    <w:rsid w:val="00982C9C"/>
    <w:rsid w:val="009859EC"/>
    <w:rsid w:val="00992BCA"/>
    <w:rsid w:val="00994091"/>
    <w:rsid w:val="00995289"/>
    <w:rsid w:val="009953F5"/>
    <w:rsid w:val="009955D1"/>
    <w:rsid w:val="00995641"/>
    <w:rsid w:val="009973E8"/>
    <w:rsid w:val="00997928"/>
    <w:rsid w:val="009A1CC0"/>
    <w:rsid w:val="009A28B9"/>
    <w:rsid w:val="009A31AB"/>
    <w:rsid w:val="009A5283"/>
    <w:rsid w:val="009A7465"/>
    <w:rsid w:val="009B043E"/>
    <w:rsid w:val="009B04F5"/>
    <w:rsid w:val="009B20BD"/>
    <w:rsid w:val="009B3126"/>
    <w:rsid w:val="009B40CA"/>
    <w:rsid w:val="009B4ADA"/>
    <w:rsid w:val="009B6028"/>
    <w:rsid w:val="009B76C8"/>
    <w:rsid w:val="009C0709"/>
    <w:rsid w:val="009C1588"/>
    <w:rsid w:val="009C21B5"/>
    <w:rsid w:val="009C286C"/>
    <w:rsid w:val="009C2C92"/>
    <w:rsid w:val="009C4707"/>
    <w:rsid w:val="009C671C"/>
    <w:rsid w:val="009C7889"/>
    <w:rsid w:val="009D0310"/>
    <w:rsid w:val="009D0A3B"/>
    <w:rsid w:val="009D0B70"/>
    <w:rsid w:val="009D1A41"/>
    <w:rsid w:val="009D2AF8"/>
    <w:rsid w:val="009D2EFB"/>
    <w:rsid w:val="009D36FF"/>
    <w:rsid w:val="009D4351"/>
    <w:rsid w:val="009D52FA"/>
    <w:rsid w:val="009D5FDE"/>
    <w:rsid w:val="009D7FA9"/>
    <w:rsid w:val="009E099F"/>
    <w:rsid w:val="009E3DF2"/>
    <w:rsid w:val="009E5DA7"/>
    <w:rsid w:val="009E5F5D"/>
    <w:rsid w:val="009E74CE"/>
    <w:rsid w:val="009F29DF"/>
    <w:rsid w:val="009F2FD7"/>
    <w:rsid w:val="009F63A4"/>
    <w:rsid w:val="009F679E"/>
    <w:rsid w:val="009F6A14"/>
    <w:rsid w:val="009F7786"/>
    <w:rsid w:val="00A00298"/>
    <w:rsid w:val="00A00B41"/>
    <w:rsid w:val="00A0327A"/>
    <w:rsid w:val="00A070AF"/>
    <w:rsid w:val="00A10F64"/>
    <w:rsid w:val="00A112FF"/>
    <w:rsid w:val="00A11C57"/>
    <w:rsid w:val="00A159BD"/>
    <w:rsid w:val="00A166FC"/>
    <w:rsid w:val="00A178C0"/>
    <w:rsid w:val="00A21D48"/>
    <w:rsid w:val="00A22243"/>
    <w:rsid w:val="00A22974"/>
    <w:rsid w:val="00A233DB"/>
    <w:rsid w:val="00A240F0"/>
    <w:rsid w:val="00A24F1C"/>
    <w:rsid w:val="00A2577C"/>
    <w:rsid w:val="00A31FED"/>
    <w:rsid w:val="00A3214A"/>
    <w:rsid w:val="00A32526"/>
    <w:rsid w:val="00A32DAD"/>
    <w:rsid w:val="00A32F44"/>
    <w:rsid w:val="00A344B2"/>
    <w:rsid w:val="00A35F3A"/>
    <w:rsid w:val="00A36028"/>
    <w:rsid w:val="00A3675E"/>
    <w:rsid w:val="00A36B30"/>
    <w:rsid w:val="00A37317"/>
    <w:rsid w:val="00A37AD2"/>
    <w:rsid w:val="00A403E0"/>
    <w:rsid w:val="00A4191F"/>
    <w:rsid w:val="00A42BDF"/>
    <w:rsid w:val="00A438C6"/>
    <w:rsid w:val="00A447C6"/>
    <w:rsid w:val="00A45D5B"/>
    <w:rsid w:val="00A46424"/>
    <w:rsid w:val="00A5253F"/>
    <w:rsid w:val="00A5618B"/>
    <w:rsid w:val="00A56569"/>
    <w:rsid w:val="00A5689C"/>
    <w:rsid w:val="00A57549"/>
    <w:rsid w:val="00A64602"/>
    <w:rsid w:val="00A64909"/>
    <w:rsid w:val="00A70947"/>
    <w:rsid w:val="00A71BEE"/>
    <w:rsid w:val="00A71C3D"/>
    <w:rsid w:val="00A7500E"/>
    <w:rsid w:val="00A75507"/>
    <w:rsid w:val="00A75CBB"/>
    <w:rsid w:val="00A75E00"/>
    <w:rsid w:val="00A81212"/>
    <w:rsid w:val="00A824E3"/>
    <w:rsid w:val="00A84BA2"/>
    <w:rsid w:val="00A84E4D"/>
    <w:rsid w:val="00A85761"/>
    <w:rsid w:val="00A917C1"/>
    <w:rsid w:val="00A91874"/>
    <w:rsid w:val="00A918AE"/>
    <w:rsid w:val="00A92ED4"/>
    <w:rsid w:val="00A93C61"/>
    <w:rsid w:val="00A94121"/>
    <w:rsid w:val="00A979E4"/>
    <w:rsid w:val="00AA04CA"/>
    <w:rsid w:val="00AA1125"/>
    <w:rsid w:val="00AA1342"/>
    <w:rsid w:val="00AA38A1"/>
    <w:rsid w:val="00AA4760"/>
    <w:rsid w:val="00AA4C44"/>
    <w:rsid w:val="00AA606C"/>
    <w:rsid w:val="00AA6855"/>
    <w:rsid w:val="00AB01DB"/>
    <w:rsid w:val="00AB40F6"/>
    <w:rsid w:val="00AB5544"/>
    <w:rsid w:val="00AB634B"/>
    <w:rsid w:val="00AC0712"/>
    <w:rsid w:val="00AC1B7B"/>
    <w:rsid w:val="00AC262B"/>
    <w:rsid w:val="00AC3D2B"/>
    <w:rsid w:val="00AD0410"/>
    <w:rsid w:val="00AD06B5"/>
    <w:rsid w:val="00AD0D72"/>
    <w:rsid w:val="00AD33EF"/>
    <w:rsid w:val="00AD425F"/>
    <w:rsid w:val="00AD6B97"/>
    <w:rsid w:val="00AE0545"/>
    <w:rsid w:val="00AE0BC6"/>
    <w:rsid w:val="00AE2D4C"/>
    <w:rsid w:val="00AE4CC3"/>
    <w:rsid w:val="00AE5E4D"/>
    <w:rsid w:val="00AF061D"/>
    <w:rsid w:val="00AF1F78"/>
    <w:rsid w:val="00AF2C03"/>
    <w:rsid w:val="00AF2F15"/>
    <w:rsid w:val="00AF3375"/>
    <w:rsid w:val="00AF3E9D"/>
    <w:rsid w:val="00AF6282"/>
    <w:rsid w:val="00AF7497"/>
    <w:rsid w:val="00AF7A9D"/>
    <w:rsid w:val="00B00082"/>
    <w:rsid w:val="00B021C8"/>
    <w:rsid w:val="00B02B57"/>
    <w:rsid w:val="00B05036"/>
    <w:rsid w:val="00B11F00"/>
    <w:rsid w:val="00B13397"/>
    <w:rsid w:val="00B1349C"/>
    <w:rsid w:val="00B1395D"/>
    <w:rsid w:val="00B20E74"/>
    <w:rsid w:val="00B21619"/>
    <w:rsid w:val="00B24130"/>
    <w:rsid w:val="00B2435B"/>
    <w:rsid w:val="00B26111"/>
    <w:rsid w:val="00B2618E"/>
    <w:rsid w:val="00B27443"/>
    <w:rsid w:val="00B30002"/>
    <w:rsid w:val="00B307C7"/>
    <w:rsid w:val="00B37CD9"/>
    <w:rsid w:val="00B4062C"/>
    <w:rsid w:val="00B40BDD"/>
    <w:rsid w:val="00B42ADF"/>
    <w:rsid w:val="00B43E2D"/>
    <w:rsid w:val="00B44FE0"/>
    <w:rsid w:val="00B45FAE"/>
    <w:rsid w:val="00B47735"/>
    <w:rsid w:val="00B47C71"/>
    <w:rsid w:val="00B50675"/>
    <w:rsid w:val="00B50BC5"/>
    <w:rsid w:val="00B530E3"/>
    <w:rsid w:val="00B5677F"/>
    <w:rsid w:val="00B61E6E"/>
    <w:rsid w:val="00B638A8"/>
    <w:rsid w:val="00B645D9"/>
    <w:rsid w:val="00B64B95"/>
    <w:rsid w:val="00B6571D"/>
    <w:rsid w:val="00B67CC6"/>
    <w:rsid w:val="00B70D3D"/>
    <w:rsid w:val="00B72D73"/>
    <w:rsid w:val="00B73A6C"/>
    <w:rsid w:val="00B740F1"/>
    <w:rsid w:val="00B76005"/>
    <w:rsid w:val="00B80E10"/>
    <w:rsid w:val="00B875F2"/>
    <w:rsid w:val="00B90689"/>
    <w:rsid w:val="00B90A8B"/>
    <w:rsid w:val="00B92283"/>
    <w:rsid w:val="00B94FED"/>
    <w:rsid w:val="00B95BD5"/>
    <w:rsid w:val="00B96AE2"/>
    <w:rsid w:val="00BA0F72"/>
    <w:rsid w:val="00BA1BF9"/>
    <w:rsid w:val="00BA29DA"/>
    <w:rsid w:val="00BA4717"/>
    <w:rsid w:val="00BA5A06"/>
    <w:rsid w:val="00BA5AE5"/>
    <w:rsid w:val="00BA623C"/>
    <w:rsid w:val="00BA7687"/>
    <w:rsid w:val="00BA79BC"/>
    <w:rsid w:val="00BA7F32"/>
    <w:rsid w:val="00BB1D05"/>
    <w:rsid w:val="00BB1FB1"/>
    <w:rsid w:val="00BB4F5C"/>
    <w:rsid w:val="00BB5951"/>
    <w:rsid w:val="00BB7DDA"/>
    <w:rsid w:val="00BC231B"/>
    <w:rsid w:val="00BC2C9E"/>
    <w:rsid w:val="00BC65C9"/>
    <w:rsid w:val="00BC6761"/>
    <w:rsid w:val="00BC6B18"/>
    <w:rsid w:val="00BD1034"/>
    <w:rsid w:val="00BD33A7"/>
    <w:rsid w:val="00BD3ED0"/>
    <w:rsid w:val="00BD41A4"/>
    <w:rsid w:val="00BD42D7"/>
    <w:rsid w:val="00BD44CA"/>
    <w:rsid w:val="00BD672B"/>
    <w:rsid w:val="00BD7D25"/>
    <w:rsid w:val="00BE3D92"/>
    <w:rsid w:val="00BE4358"/>
    <w:rsid w:val="00BE44D7"/>
    <w:rsid w:val="00BE4DBD"/>
    <w:rsid w:val="00BE61C7"/>
    <w:rsid w:val="00BE66BE"/>
    <w:rsid w:val="00BF0526"/>
    <w:rsid w:val="00BF2144"/>
    <w:rsid w:val="00BF2857"/>
    <w:rsid w:val="00BF47E2"/>
    <w:rsid w:val="00BF4C21"/>
    <w:rsid w:val="00BF547D"/>
    <w:rsid w:val="00BF5746"/>
    <w:rsid w:val="00BF58DD"/>
    <w:rsid w:val="00BF650F"/>
    <w:rsid w:val="00BF686B"/>
    <w:rsid w:val="00BF7AC2"/>
    <w:rsid w:val="00C0109A"/>
    <w:rsid w:val="00C01119"/>
    <w:rsid w:val="00C0181C"/>
    <w:rsid w:val="00C0376B"/>
    <w:rsid w:val="00C04A47"/>
    <w:rsid w:val="00C05D25"/>
    <w:rsid w:val="00C07366"/>
    <w:rsid w:val="00C14001"/>
    <w:rsid w:val="00C15047"/>
    <w:rsid w:val="00C16A51"/>
    <w:rsid w:val="00C227F1"/>
    <w:rsid w:val="00C22F7A"/>
    <w:rsid w:val="00C2680B"/>
    <w:rsid w:val="00C27536"/>
    <w:rsid w:val="00C31E78"/>
    <w:rsid w:val="00C35BC9"/>
    <w:rsid w:val="00C40730"/>
    <w:rsid w:val="00C408A7"/>
    <w:rsid w:val="00C40A64"/>
    <w:rsid w:val="00C413E2"/>
    <w:rsid w:val="00C42311"/>
    <w:rsid w:val="00C43045"/>
    <w:rsid w:val="00C47D25"/>
    <w:rsid w:val="00C5002B"/>
    <w:rsid w:val="00C502D9"/>
    <w:rsid w:val="00C5198E"/>
    <w:rsid w:val="00C543DD"/>
    <w:rsid w:val="00C567AE"/>
    <w:rsid w:val="00C576A0"/>
    <w:rsid w:val="00C61074"/>
    <w:rsid w:val="00C628EF"/>
    <w:rsid w:val="00C628FA"/>
    <w:rsid w:val="00C638DD"/>
    <w:rsid w:val="00C63F6B"/>
    <w:rsid w:val="00C72E04"/>
    <w:rsid w:val="00C7323B"/>
    <w:rsid w:val="00C73645"/>
    <w:rsid w:val="00C736C5"/>
    <w:rsid w:val="00C73E0D"/>
    <w:rsid w:val="00C73F17"/>
    <w:rsid w:val="00C75B06"/>
    <w:rsid w:val="00C7757A"/>
    <w:rsid w:val="00C779A0"/>
    <w:rsid w:val="00C81224"/>
    <w:rsid w:val="00C82005"/>
    <w:rsid w:val="00C82936"/>
    <w:rsid w:val="00C82F3F"/>
    <w:rsid w:val="00C855B0"/>
    <w:rsid w:val="00C86E06"/>
    <w:rsid w:val="00C874EF"/>
    <w:rsid w:val="00C905BC"/>
    <w:rsid w:val="00C92286"/>
    <w:rsid w:val="00C92F27"/>
    <w:rsid w:val="00C95297"/>
    <w:rsid w:val="00C9553A"/>
    <w:rsid w:val="00C96C19"/>
    <w:rsid w:val="00C97B4C"/>
    <w:rsid w:val="00CA083E"/>
    <w:rsid w:val="00CA10B0"/>
    <w:rsid w:val="00CB0B3B"/>
    <w:rsid w:val="00CB0C4E"/>
    <w:rsid w:val="00CB0EB8"/>
    <w:rsid w:val="00CB257F"/>
    <w:rsid w:val="00CB3575"/>
    <w:rsid w:val="00CB3829"/>
    <w:rsid w:val="00CB4F16"/>
    <w:rsid w:val="00CB65C9"/>
    <w:rsid w:val="00CB74E5"/>
    <w:rsid w:val="00CB7BF5"/>
    <w:rsid w:val="00CC09E1"/>
    <w:rsid w:val="00CC15E2"/>
    <w:rsid w:val="00CC2711"/>
    <w:rsid w:val="00CC51F6"/>
    <w:rsid w:val="00CC5480"/>
    <w:rsid w:val="00CC7389"/>
    <w:rsid w:val="00CD08C1"/>
    <w:rsid w:val="00CD2F87"/>
    <w:rsid w:val="00CD3F96"/>
    <w:rsid w:val="00CE2E0A"/>
    <w:rsid w:val="00CE31F7"/>
    <w:rsid w:val="00CE4722"/>
    <w:rsid w:val="00CE532A"/>
    <w:rsid w:val="00CE565F"/>
    <w:rsid w:val="00CE57DD"/>
    <w:rsid w:val="00CE6988"/>
    <w:rsid w:val="00CF3657"/>
    <w:rsid w:val="00CF3696"/>
    <w:rsid w:val="00CF4448"/>
    <w:rsid w:val="00CF6FB3"/>
    <w:rsid w:val="00D045BB"/>
    <w:rsid w:val="00D05FD0"/>
    <w:rsid w:val="00D10DFA"/>
    <w:rsid w:val="00D10FD5"/>
    <w:rsid w:val="00D1190B"/>
    <w:rsid w:val="00D1233C"/>
    <w:rsid w:val="00D12908"/>
    <w:rsid w:val="00D12B67"/>
    <w:rsid w:val="00D16617"/>
    <w:rsid w:val="00D16B1C"/>
    <w:rsid w:val="00D16D1D"/>
    <w:rsid w:val="00D21462"/>
    <w:rsid w:val="00D21699"/>
    <w:rsid w:val="00D2187E"/>
    <w:rsid w:val="00D232A7"/>
    <w:rsid w:val="00D25D77"/>
    <w:rsid w:val="00D25F58"/>
    <w:rsid w:val="00D26A1D"/>
    <w:rsid w:val="00D30C44"/>
    <w:rsid w:val="00D30DCE"/>
    <w:rsid w:val="00D33016"/>
    <w:rsid w:val="00D33B88"/>
    <w:rsid w:val="00D35C0C"/>
    <w:rsid w:val="00D41EFB"/>
    <w:rsid w:val="00D43E06"/>
    <w:rsid w:val="00D46CFF"/>
    <w:rsid w:val="00D47B5B"/>
    <w:rsid w:val="00D47CC4"/>
    <w:rsid w:val="00D50F82"/>
    <w:rsid w:val="00D52055"/>
    <w:rsid w:val="00D562DC"/>
    <w:rsid w:val="00D60AB0"/>
    <w:rsid w:val="00D60B37"/>
    <w:rsid w:val="00D62524"/>
    <w:rsid w:val="00D62CB5"/>
    <w:rsid w:val="00D6324F"/>
    <w:rsid w:val="00D63993"/>
    <w:rsid w:val="00D6442B"/>
    <w:rsid w:val="00D646C0"/>
    <w:rsid w:val="00D649B5"/>
    <w:rsid w:val="00D64D66"/>
    <w:rsid w:val="00D65931"/>
    <w:rsid w:val="00D66852"/>
    <w:rsid w:val="00D67BA7"/>
    <w:rsid w:val="00D70ACC"/>
    <w:rsid w:val="00D70DF1"/>
    <w:rsid w:val="00D71356"/>
    <w:rsid w:val="00D71C1D"/>
    <w:rsid w:val="00D71FE8"/>
    <w:rsid w:val="00D72256"/>
    <w:rsid w:val="00D7433A"/>
    <w:rsid w:val="00D74B0E"/>
    <w:rsid w:val="00D7592B"/>
    <w:rsid w:val="00D77E81"/>
    <w:rsid w:val="00D800DC"/>
    <w:rsid w:val="00D8058A"/>
    <w:rsid w:val="00D80D8E"/>
    <w:rsid w:val="00D83037"/>
    <w:rsid w:val="00D850F6"/>
    <w:rsid w:val="00D90BB0"/>
    <w:rsid w:val="00D91A58"/>
    <w:rsid w:val="00D91F4B"/>
    <w:rsid w:val="00D920FA"/>
    <w:rsid w:val="00DA0659"/>
    <w:rsid w:val="00DA0C1F"/>
    <w:rsid w:val="00DA0E9F"/>
    <w:rsid w:val="00DA16C0"/>
    <w:rsid w:val="00DA2B7B"/>
    <w:rsid w:val="00DA3F49"/>
    <w:rsid w:val="00DA4AD0"/>
    <w:rsid w:val="00DA596B"/>
    <w:rsid w:val="00DA5A93"/>
    <w:rsid w:val="00DA7943"/>
    <w:rsid w:val="00DB0654"/>
    <w:rsid w:val="00DB29A5"/>
    <w:rsid w:val="00DB406E"/>
    <w:rsid w:val="00DB5EC3"/>
    <w:rsid w:val="00DB723E"/>
    <w:rsid w:val="00DB7478"/>
    <w:rsid w:val="00DC085C"/>
    <w:rsid w:val="00DC0F53"/>
    <w:rsid w:val="00DC1DB0"/>
    <w:rsid w:val="00DC20A8"/>
    <w:rsid w:val="00DC24C1"/>
    <w:rsid w:val="00DC6546"/>
    <w:rsid w:val="00DD1579"/>
    <w:rsid w:val="00DD3C23"/>
    <w:rsid w:val="00DD42CB"/>
    <w:rsid w:val="00DD5978"/>
    <w:rsid w:val="00DD648F"/>
    <w:rsid w:val="00DD732D"/>
    <w:rsid w:val="00DD7AC4"/>
    <w:rsid w:val="00DE295E"/>
    <w:rsid w:val="00DE3B47"/>
    <w:rsid w:val="00DF0B79"/>
    <w:rsid w:val="00DF0BE7"/>
    <w:rsid w:val="00DF156C"/>
    <w:rsid w:val="00DF1A02"/>
    <w:rsid w:val="00DF3985"/>
    <w:rsid w:val="00DF76A2"/>
    <w:rsid w:val="00E00C10"/>
    <w:rsid w:val="00E00FCD"/>
    <w:rsid w:val="00E01246"/>
    <w:rsid w:val="00E045EF"/>
    <w:rsid w:val="00E047B3"/>
    <w:rsid w:val="00E0622F"/>
    <w:rsid w:val="00E06632"/>
    <w:rsid w:val="00E06AD9"/>
    <w:rsid w:val="00E0768A"/>
    <w:rsid w:val="00E12631"/>
    <w:rsid w:val="00E12828"/>
    <w:rsid w:val="00E12BE0"/>
    <w:rsid w:val="00E137B7"/>
    <w:rsid w:val="00E149B5"/>
    <w:rsid w:val="00E164BE"/>
    <w:rsid w:val="00E201EE"/>
    <w:rsid w:val="00E20716"/>
    <w:rsid w:val="00E265F7"/>
    <w:rsid w:val="00E277EC"/>
    <w:rsid w:val="00E27852"/>
    <w:rsid w:val="00E302CD"/>
    <w:rsid w:val="00E30B1C"/>
    <w:rsid w:val="00E314B9"/>
    <w:rsid w:val="00E31881"/>
    <w:rsid w:val="00E318DE"/>
    <w:rsid w:val="00E31B7F"/>
    <w:rsid w:val="00E31D49"/>
    <w:rsid w:val="00E36540"/>
    <w:rsid w:val="00E36C0B"/>
    <w:rsid w:val="00E36C0F"/>
    <w:rsid w:val="00E37612"/>
    <w:rsid w:val="00E377C0"/>
    <w:rsid w:val="00E404E4"/>
    <w:rsid w:val="00E40A4A"/>
    <w:rsid w:val="00E419A5"/>
    <w:rsid w:val="00E42349"/>
    <w:rsid w:val="00E4490E"/>
    <w:rsid w:val="00E44D40"/>
    <w:rsid w:val="00E45527"/>
    <w:rsid w:val="00E4618B"/>
    <w:rsid w:val="00E47085"/>
    <w:rsid w:val="00E47C61"/>
    <w:rsid w:val="00E50306"/>
    <w:rsid w:val="00E51952"/>
    <w:rsid w:val="00E524CA"/>
    <w:rsid w:val="00E54D54"/>
    <w:rsid w:val="00E5571A"/>
    <w:rsid w:val="00E55991"/>
    <w:rsid w:val="00E563D9"/>
    <w:rsid w:val="00E57CA2"/>
    <w:rsid w:val="00E618DB"/>
    <w:rsid w:val="00E63178"/>
    <w:rsid w:val="00E6406D"/>
    <w:rsid w:val="00E659F9"/>
    <w:rsid w:val="00E661AD"/>
    <w:rsid w:val="00E66AAC"/>
    <w:rsid w:val="00E67EF8"/>
    <w:rsid w:val="00E70EF1"/>
    <w:rsid w:val="00E71003"/>
    <w:rsid w:val="00E73751"/>
    <w:rsid w:val="00E73C7C"/>
    <w:rsid w:val="00E7417E"/>
    <w:rsid w:val="00E766C5"/>
    <w:rsid w:val="00E8180E"/>
    <w:rsid w:val="00E82189"/>
    <w:rsid w:val="00E82692"/>
    <w:rsid w:val="00E83D92"/>
    <w:rsid w:val="00E8595A"/>
    <w:rsid w:val="00E86638"/>
    <w:rsid w:val="00E86C4B"/>
    <w:rsid w:val="00E90210"/>
    <w:rsid w:val="00E9130A"/>
    <w:rsid w:val="00E93125"/>
    <w:rsid w:val="00E9567F"/>
    <w:rsid w:val="00E96329"/>
    <w:rsid w:val="00E97D94"/>
    <w:rsid w:val="00EA04D1"/>
    <w:rsid w:val="00EA3DD9"/>
    <w:rsid w:val="00EA4801"/>
    <w:rsid w:val="00EA733A"/>
    <w:rsid w:val="00EB1A14"/>
    <w:rsid w:val="00EB2BCB"/>
    <w:rsid w:val="00EB31CF"/>
    <w:rsid w:val="00EB3A07"/>
    <w:rsid w:val="00EB7413"/>
    <w:rsid w:val="00EC0FDD"/>
    <w:rsid w:val="00EC2C3B"/>
    <w:rsid w:val="00EC44C5"/>
    <w:rsid w:val="00EC44DE"/>
    <w:rsid w:val="00EC5055"/>
    <w:rsid w:val="00EC7013"/>
    <w:rsid w:val="00ED0292"/>
    <w:rsid w:val="00ED14F1"/>
    <w:rsid w:val="00ED2487"/>
    <w:rsid w:val="00EE03C1"/>
    <w:rsid w:val="00EE28F6"/>
    <w:rsid w:val="00EE32CF"/>
    <w:rsid w:val="00EE5382"/>
    <w:rsid w:val="00EE56D3"/>
    <w:rsid w:val="00EE6A43"/>
    <w:rsid w:val="00EF06BE"/>
    <w:rsid w:val="00EF1678"/>
    <w:rsid w:val="00EF187F"/>
    <w:rsid w:val="00EF196D"/>
    <w:rsid w:val="00EF3AEE"/>
    <w:rsid w:val="00EF46F0"/>
    <w:rsid w:val="00EF4875"/>
    <w:rsid w:val="00EF55E7"/>
    <w:rsid w:val="00EF5D1F"/>
    <w:rsid w:val="00EF6E15"/>
    <w:rsid w:val="00EF76D8"/>
    <w:rsid w:val="00F01915"/>
    <w:rsid w:val="00F042B6"/>
    <w:rsid w:val="00F056F4"/>
    <w:rsid w:val="00F05D0E"/>
    <w:rsid w:val="00F06779"/>
    <w:rsid w:val="00F06B5F"/>
    <w:rsid w:val="00F078DE"/>
    <w:rsid w:val="00F07A42"/>
    <w:rsid w:val="00F121D2"/>
    <w:rsid w:val="00F12DC2"/>
    <w:rsid w:val="00F13766"/>
    <w:rsid w:val="00F13AA2"/>
    <w:rsid w:val="00F13BA6"/>
    <w:rsid w:val="00F13DC3"/>
    <w:rsid w:val="00F14046"/>
    <w:rsid w:val="00F140E1"/>
    <w:rsid w:val="00F14E6F"/>
    <w:rsid w:val="00F15927"/>
    <w:rsid w:val="00F262FD"/>
    <w:rsid w:val="00F26B72"/>
    <w:rsid w:val="00F311FF"/>
    <w:rsid w:val="00F328BD"/>
    <w:rsid w:val="00F3366C"/>
    <w:rsid w:val="00F337CB"/>
    <w:rsid w:val="00F33ABB"/>
    <w:rsid w:val="00F3415B"/>
    <w:rsid w:val="00F34EF9"/>
    <w:rsid w:val="00F34F0A"/>
    <w:rsid w:val="00F35683"/>
    <w:rsid w:val="00F35945"/>
    <w:rsid w:val="00F373DD"/>
    <w:rsid w:val="00F37B48"/>
    <w:rsid w:val="00F37BC9"/>
    <w:rsid w:val="00F41D6B"/>
    <w:rsid w:val="00F43718"/>
    <w:rsid w:val="00F4440C"/>
    <w:rsid w:val="00F44CF3"/>
    <w:rsid w:val="00F46C5F"/>
    <w:rsid w:val="00F46D2D"/>
    <w:rsid w:val="00F47600"/>
    <w:rsid w:val="00F47BB2"/>
    <w:rsid w:val="00F520DB"/>
    <w:rsid w:val="00F52985"/>
    <w:rsid w:val="00F53749"/>
    <w:rsid w:val="00F53EE7"/>
    <w:rsid w:val="00F55BD1"/>
    <w:rsid w:val="00F5659B"/>
    <w:rsid w:val="00F569FC"/>
    <w:rsid w:val="00F56F3E"/>
    <w:rsid w:val="00F57825"/>
    <w:rsid w:val="00F62B6A"/>
    <w:rsid w:val="00F643F6"/>
    <w:rsid w:val="00F65504"/>
    <w:rsid w:val="00F659B1"/>
    <w:rsid w:val="00F671F5"/>
    <w:rsid w:val="00F71E5F"/>
    <w:rsid w:val="00F750A8"/>
    <w:rsid w:val="00F77061"/>
    <w:rsid w:val="00F80850"/>
    <w:rsid w:val="00F80F0B"/>
    <w:rsid w:val="00F83F15"/>
    <w:rsid w:val="00F84148"/>
    <w:rsid w:val="00F86D26"/>
    <w:rsid w:val="00F904CE"/>
    <w:rsid w:val="00F937E9"/>
    <w:rsid w:val="00F940B0"/>
    <w:rsid w:val="00F9708E"/>
    <w:rsid w:val="00F97527"/>
    <w:rsid w:val="00FA16F0"/>
    <w:rsid w:val="00FA2844"/>
    <w:rsid w:val="00FA3E77"/>
    <w:rsid w:val="00FA4EC9"/>
    <w:rsid w:val="00FB0544"/>
    <w:rsid w:val="00FB08CE"/>
    <w:rsid w:val="00FB1D97"/>
    <w:rsid w:val="00FB3EAB"/>
    <w:rsid w:val="00FB5215"/>
    <w:rsid w:val="00FB5933"/>
    <w:rsid w:val="00FB6563"/>
    <w:rsid w:val="00FB6717"/>
    <w:rsid w:val="00FB6F44"/>
    <w:rsid w:val="00FC0C63"/>
    <w:rsid w:val="00FC23FD"/>
    <w:rsid w:val="00FC2617"/>
    <w:rsid w:val="00FC3DD3"/>
    <w:rsid w:val="00FC4419"/>
    <w:rsid w:val="00FC76A9"/>
    <w:rsid w:val="00FC7EFD"/>
    <w:rsid w:val="00FD0305"/>
    <w:rsid w:val="00FD0BC8"/>
    <w:rsid w:val="00FD1EFA"/>
    <w:rsid w:val="00FD1FDB"/>
    <w:rsid w:val="00FD3F7B"/>
    <w:rsid w:val="00FD5D6D"/>
    <w:rsid w:val="00FD7EF8"/>
    <w:rsid w:val="00FE0943"/>
    <w:rsid w:val="00FE0AF9"/>
    <w:rsid w:val="00FE18C6"/>
    <w:rsid w:val="00FE2C0B"/>
    <w:rsid w:val="00FE2C29"/>
    <w:rsid w:val="00FE4215"/>
    <w:rsid w:val="00FE4509"/>
    <w:rsid w:val="00FE6ED0"/>
    <w:rsid w:val="00FF0D62"/>
    <w:rsid w:val="00FF7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E1B6F"/>
  <w15:chartTrackingRefBased/>
  <w15:docId w15:val="{20B40249-49F1-431D-88FB-0A87F43B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E21D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7F1ABD"/>
    <w:pPr>
      <w:ind w:left="679"/>
      <w:outlineLvl w:val="0"/>
    </w:pPr>
    <w:rPr>
      <w:b/>
      <w:bCs/>
      <w:sz w:val="28"/>
      <w:szCs w:val="28"/>
    </w:rPr>
  </w:style>
  <w:style w:type="paragraph" w:styleId="2">
    <w:name w:val="heading 2"/>
    <w:basedOn w:val="a"/>
    <w:next w:val="a"/>
    <w:link w:val="20"/>
    <w:uiPriority w:val="9"/>
    <w:unhideWhenUsed/>
    <w:qFormat/>
    <w:rsid w:val="00420F33"/>
    <w:pPr>
      <w:keepNext/>
      <w:keepLines/>
      <w:widowControl/>
      <w:autoSpaceDE/>
      <w:autoSpaceDN/>
      <w:spacing w:before="40" w:line="259"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paragraph" w:styleId="3">
    <w:name w:val="heading 3"/>
    <w:basedOn w:val="a"/>
    <w:next w:val="a"/>
    <w:link w:val="30"/>
    <w:uiPriority w:val="9"/>
    <w:unhideWhenUsed/>
    <w:qFormat/>
    <w:rsid w:val="009C788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8">
    <w:name w:val="heading 8"/>
    <w:basedOn w:val="a"/>
    <w:next w:val="a"/>
    <w:link w:val="80"/>
    <w:uiPriority w:val="9"/>
    <w:semiHidden/>
    <w:unhideWhenUsed/>
    <w:qFormat/>
    <w:rsid w:val="007F1AB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F1ABD"/>
    <w:rPr>
      <w:rFonts w:ascii="Times New Roman" w:eastAsia="Times New Roman" w:hAnsi="Times New Roman" w:cs="Times New Roman"/>
      <w:b/>
      <w:bCs/>
      <w:sz w:val="28"/>
      <w:szCs w:val="28"/>
      <w:lang w:val="ru-RU"/>
    </w:rPr>
  </w:style>
  <w:style w:type="character" w:customStyle="1" w:styleId="80">
    <w:name w:val="Заголовок 8 Знак"/>
    <w:basedOn w:val="a0"/>
    <w:link w:val="8"/>
    <w:uiPriority w:val="9"/>
    <w:semiHidden/>
    <w:rsid w:val="007F1ABD"/>
    <w:rPr>
      <w:rFonts w:asciiTheme="majorHAnsi" w:eastAsiaTheme="majorEastAsia" w:hAnsiTheme="majorHAnsi" w:cstheme="majorBidi"/>
      <w:color w:val="272727" w:themeColor="text1" w:themeTint="D8"/>
      <w:sz w:val="21"/>
      <w:szCs w:val="21"/>
      <w:lang w:val="ru-RU"/>
    </w:rPr>
  </w:style>
  <w:style w:type="paragraph" w:styleId="a3">
    <w:name w:val="Body Text"/>
    <w:basedOn w:val="a"/>
    <w:link w:val="a4"/>
    <w:uiPriority w:val="1"/>
    <w:qFormat/>
    <w:rsid w:val="007F1ABD"/>
    <w:rPr>
      <w:sz w:val="24"/>
      <w:szCs w:val="24"/>
    </w:rPr>
  </w:style>
  <w:style w:type="character" w:customStyle="1" w:styleId="a4">
    <w:name w:val="Основной текст Знак"/>
    <w:basedOn w:val="a0"/>
    <w:link w:val="a3"/>
    <w:uiPriority w:val="1"/>
    <w:rsid w:val="007F1ABD"/>
    <w:rPr>
      <w:rFonts w:ascii="Times New Roman" w:eastAsia="Times New Roman" w:hAnsi="Times New Roman" w:cs="Times New Roman"/>
      <w:sz w:val="24"/>
      <w:szCs w:val="24"/>
      <w:lang w:val="ru-RU"/>
    </w:rPr>
  </w:style>
  <w:style w:type="paragraph" w:styleId="a5">
    <w:name w:val="No Spacing"/>
    <w:uiPriority w:val="1"/>
    <w:qFormat/>
    <w:rsid w:val="007F1ABD"/>
    <w:pPr>
      <w:widowControl w:val="0"/>
      <w:autoSpaceDE w:val="0"/>
      <w:autoSpaceDN w:val="0"/>
      <w:spacing w:after="0" w:line="240" w:lineRule="auto"/>
    </w:pPr>
    <w:rPr>
      <w:rFonts w:ascii="Times New Roman" w:eastAsia="Times New Roman" w:hAnsi="Times New Roman" w:cs="Times New Roman"/>
    </w:rPr>
  </w:style>
  <w:style w:type="paragraph" w:styleId="a6">
    <w:name w:val="List Paragraph"/>
    <w:basedOn w:val="a"/>
    <w:uiPriority w:val="34"/>
    <w:qFormat/>
    <w:rsid w:val="000E0BE4"/>
    <w:pPr>
      <w:ind w:left="720"/>
      <w:contextualSpacing/>
    </w:pPr>
  </w:style>
  <w:style w:type="paragraph" w:styleId="a7">
    <w:name w:val="Balloon Text"/>
    <w:basedOn w:val="a"/>
    <w:link w:val="a8"/>
    <w:uiPriority w:val="99"/>
    <w:semiHidden/>
    <w:unhideWhenUsed/>
    <w:rsid w:val="00713D3D"/>
    <w:pPr>
      <w:widowControl/>
      <w:autoSpaceDE/>
      <w:autoSpaceDN/>
    </w:pPr>
    <w:rPr>
      <w:rFonts w:ascii="Segoe UI" w:eastAsiaTheme="minorHAnsi" w:hAnsi="Segoe UI" w:cs="Segoe UI"/>
      <w:sz w:val="18"/>
      <w:szCs w:val="18"/>
    </w:rPr>
  </w:style>
  <w:style w:type="character" w:customStyle="1" w:styleId="a8">
    <w:name w:val="Текст выноски Знак"/>
    <w:basedOn w:val="a0"/>
    <w:link w:val="a7"/>
    <w:uiPriority w:val="99"/>
    <w:semiHidden/>
    <w:rsid w:val="00713D3D"/>
    <w:rPr>
      <w:rFonts w:ascii="Segoe UI" w:hAnsi="Segoe UI" w:cs="Segoe UI"/>
      <w:sz w:val="18"/>
      <w:szCs w:val="18"/>
      <w:lang w:val="ru-RU"/>
    </w:rPr>
  </w:style>
  <w:style w:type="paragraph" w:styleId="a9">
    <w:name w:val="annotation text"/>
    <w:basedOn w:val="a"/>
    <w:link w:val="aa"/>
    <w:uiPriority w:val="99"/>
    <w:unhideWhenUsed/>
    <w:rsid w:val="00FA16F0"/>
    <w:pPr>
      <w:widowControl/>
      <w:suppressAutoHyphens/>
      <w:autoSpaceDE/>
      <w:autoSpaceDN/>
    </w:pPr>
    <w:rPr>
      <w:sz w:val="20"/>
      <w:szCs w:val="20"/>
      <w:lang w:val="kk-KZ" w:eastAsia="ar-SA"/>
    </w:rPr>
  </w:style>
  <w:style w:type="character" w:customStyle="1" w:styleId="aa">
    <w:name w:val="Текст примечания Знак"/>
    <w:basedOn w:val="a0"/>
    <w:link w:val="a9"/>
    <w:uiPriority w:val="99"/>
    <w:rsid w:val="00FA16F0"/>
    <w:rPr>
      <w:rFonts w:ascii="Times New Roman" w:eastAsia="Times New Roman" w:hAnsi="Times New Roman" w:cs="Times New Roman"/>
      <w:sz w:val="20"/>
      <w:szCs w:val="20"/>
      <w:lang w:val="kk-KZ" w:eastAsia="ar-SA"/>
    </w:rPr>
  </w:style>
  <w:style w:type="character" w:styleId="ab">
    <w:name w:val="Hyperlink"/>
    <w:basedOn w:val="a0"/>
    <w:uiPriority w:val="99"/>
    <w:rsid w:val="00FA16F0"/>
    <w:rPr>
      <w:color w:val="0066CC"/>
      <w:u w:val="single"/>
    </w:rPr>
  </w:style>
  <w:style w:type="character" w:customStyle="1" w:styleId="21">
    <w:name w:val="Основной текст (2)_"/>
    <w:basedOn w:val="a0"/>
    <w:link w:val="22"/>
    <w:rsid w:val="00FA16F0"/>
    <w:rPr>
      <w:rFonts w:ascii="Times New Roman" w:eastAsia="Times New Roman" w:hAnsi="Times New Roman" w:cs="Times New Roman"/>
      <w:sz w:val="28"/>
      <w:szCs w:val="28"/>
      <w:shd w:val="clear" w:color="auto" w:fill="FFFFFF"/>
    </w:rPr>
  </w:style>
  <w:style w:type="character" w:customStyle="1" w:styleId="31">
    <w:name w:val="Основной текст (3)_"/>
    <w:basedOn w:val="a0"/>
    <w:link w:val="32"/>
    <w:rsid w:val="00FA16F0"/>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FA16F0"/>
    <w:rPr>
      <w:rFonts w:ascii="Times New Roman" w:eastAsia="Times New Roman" w:hAnsi="Times New Roman" w:cs="Times New Roman"/>
      <w:shd w:val="clear" w:color="auto" w:fill="FFFFFF"/>
    </w:rPr>
  </w:style>
  <w:style w:type="character" w:customStyle="1" w:styleId="ac">
    <w:name w:val="Подпись к таблице_"/>
    <w:basedOn w:val="a0"/>
    <w:link w:val="ad"/>
    <w:rsid w:val="00FA16F0"/>
    <w:rPr>
      <w:rFonts w:ascii="Times New Roman" w:eastAsia="Times New Roman" w:hAnsi="Times New Roman" w:cs="Times New Roman"/>
      <w:shd w:val="clear" w:color="auto" w:fill="FFFFFF"/>
    </w:rPr>
  </w:style>
  <w:style w:type="character" w:customStyle="1" w:styleId="211pt">
    <w:name w:val="Основной текст (2) + 11 pt"/>
    <w:basedOn w:val="21"/>
    <w:rsid w:val="00FA16F0"/>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2">
    <w:name w:val="Основной текст (2)"/>
    <w:basedOn w:val="a"/>
    <w:link w:val="21"/>
    <w:rsid w:val="00FA16F0"/>
    <w:pPr>
      <w:widowControl/>
      <w:shd w:val="clear" w:color="auto" w:fill="FFFFFF"/>
      <w:autoSpaceDE/>
      <w:autoSpaceDN/>
      <w:spacing w:line="365" w:lineRule="exact"/>
      <w:ind w:firstLine="680"/>
      <w:jc w:val="both"/>
    </w:pPr>
    <w:rPr>
      <w:sz w:val="28"/>
      <w:szCs w:val="28"/>
    </w:rPr>
  </w:style>
  <w:style w:type="paragraph" w:customStyle="1" w:styleId="32">
    <w:name w:val="Основной текст (3)"/>
    <w:basedOn w:val="a"/>
    <w:link w:val="31"/>
    <w:rsid w:val="00FA16F0"/>
    <w:pPr>
      <w:widowControl/>
      <w:shd w:val="clear" w:color="auto" w:fill="FFFFFF"/>
      <w:autoSpaceDE/>
      <w:autoSpaceDN/>
      <w:spacing w:after="360" w:line="0" w:lineRule="atLeast"/>
      <w:ind w:firstLine="680"/>
      <w:jc w:val="center"/>
    </w:pPr>
    <w:rPr>
      <w:b/>
      <w:bCs/>
    </w:rPr>
  </w:style>
  <w:style w:type="paragraph" w:customStyle="1" w:styleId="40">
    <w:name w:val="Основной текст (4)"/>
    <w:basedOn w:val="a"/>
    <w:link w:val="4"/>
    <w:rsid w:val="00FA16F0"/>
    <w:pPr>
      <w:widowControl/>
      <w:shd w:val="clear" w:color="auto" w:fill="FFFFFF"/>
      <w:autoSpaceDE/>
      <w:autoSpaceDN/>
      <w:spacing w:after="900" w:line="278" w:lineRule="exact"/>
      <w:ind w:firstLine="680"/>
      <w:jc w:val="both"/>
    </w:pPr>
  </w:style>
  <w:style w:type="paragraph" w:customStyle="1" w:styleId="ad">
    <w:name w:val="Подпись к таблице"/>
    <w:basedOn w:val="a"/>
    <w:link w:val="ac"/>
    <w:rsid w:val="00FA16F0"/>
    <w:pPr>
      <w:widowControl/>
      <w:shd w:val="clear" w:color="auto" w:fill="FFFFFF"/>
      <w:autoSpaceDE/>
      <w:autoSpaceDN/>
      <w:spacing w:line="0" w:lineRule="atLeast"/>
      <w:ind w:firstLine="680"/>
    </w:pPr>
  </w:style>
  <w:style w:type="paragraph" w:customStyle="1" w:styleId="Default">
    <w:name w:val="Default"/>
    <w:rsid w:val="00FA16F0"/>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styleId="ae">
    <w:name w:val="Emphasis"/>
    <w:basedOn w:val="a0"/>
    <w:uiPriority w:val="20"/>
    <w:qFormat/>
    <w:rsid w:val="00FA16F0"/>
    <w:rPr>
      <w:i/>
      <w:iCs/>
    </w:rPr>
  </w:style>
  <w:style w:type="character" w:customStyle="1" w:styleId="FontStyle37">
    <w:name w:val="Font Style37"/>
    <w:uiPriority w:val="99"/>
    <w:rsid w:val="006B6053"/>
    <w:rPr>
      <w:rFonts w:ascii="Arial" w:hAnsi="Arial"/>
      <w:sz w:val="16"/>
    </w:rPr>
  </w:style>
  <w:style w:type="table" w:styleId="af">
    <w:name w:val="Table Grid"/>
    <w:basedOn w:val="a1"/>
    <w:uiPriority w:val="39"/>
    <w:rsid w:val="006B6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4ptSpacing0pt">
    <w:name w:val="Body text (2) + 14 pt;Spacing 0 pt"/>
    <w:basedOn w:val="a0"/>
    <w:rsid w:val="008E408F"/>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character" w:customStyle="1" w:styleId="Bodytext214pt">
    <w:name w:val="Body text (2) + 14 pt"/>
    <w:basedOn w:val="a0"/>
    <w:rsid w:val="008E40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213ptSpacing0pt">
    <w:name w:val="Body text (2) + 13 pt;Spacing 0 pt"/>
    <w:basedOn w:val="a0"/>
    <w:rsid w:val="008E408F"/>
    <w:rPr>
      <w:rFonts w:ascii="Times New Roman" w:eastAsia="Times New Roman" w:hAnsi="Times New Roman" w:cs="Times New Roman"/>
      <w:b w:val="0"/>
      <w:bCs w:val="0"/>
      <w:i w:val="0"/>
      <w:iCs w:val="0"/>
      <w:smallCaps w:val="0"/>
      <w:strike w:val="0"/>
      <w:color w:val="000000"/>
      <w:spacing w:val="-10"/>
      <w:w w:val="100"/>
      <w:position w:val="0"/>
      <w:sz w:val="26"/>
      <w:szCs w:val="26"/>
      <w:u w:val="none"/>
      <w:lang w:val="ru-RU" w:eastAsia="ru-RU" w:bidi="ru-RU"/>
    </w:rPr>
  </w:style>
  <w:style w:type="character" w:customStyle="1" w:styleId="Bodytext213pt">
    <w:name w:val="Body text (2) + 13 pt"/>
    <w:basedOn w:val="a0"/>
    <w:rsid w:val="008E40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mi">
    <w:name w:val="mi"/>
    <w:basedOn w:val="a0"/>
    <w:rsid w:val="00636712"/>
  </w:style>
  <w:style w:type="character" w:customStyle="1" w:styleId="mjxassistivemathml">
    <w:name w:val="mjx_assistive_mathml"/>
    <w:basedOn w:val="a0"/>
    <w:rsid w:val="00636712"/>
  </w:style>
  <w:style w:type="paragraph" w:styleId="af0">
    <w:name w:val="header"/>
    <w:basedOn w:val="a"/>
    <w:link w:val="af1"/>
    <w:uiPriority w:val="99"/>
    <w:unhideWhenUsed/>
    <w:rsid w:val="001A35B5"/>
    <w:pPr>
      <w:tabs>
        <w:tab w:val="center" w:pos="4677"/>
        <w:tab w:val="right" w:pos="9355"/>
      </w:tabs>
    </w:pPr>
  </w:style>
  <w:style w:type="character" w:customStyle="1" w:styleId="af1">
    <w:name w:val="Верхний колонтитул Знак"/>
    <w:basedOn w:val="a0"/>
    <w:link w:val="af0"/>
    <w:uiPriority w:val="99"/>
    <w:rsid w:val="001A35B5"/>
    <w:rPr>
      <w:rFonts w:ascii="Times New Roman" w:eastAsia="Times New Roman" w:hAnsi="Times New Roman" w:cs="Times New Roman"/>
    </w:rPr>
  </w:style>
  <w:style w:type="paragraph" w:styleId="af2">
    <w:name w:val="footer"/>
    <w:basedOn w:val="a"/>
    <w:link w:val="af3"/>
    <w:uiPriority w:val="99"/>
    <w:unhideWhenUsed/>
    <w:rsid w:val="001A35B5"/>
    <w:pPr>
      <w:tabs>
        <w:tab w:val="center" w:pos="4677"/>
        <w:tab w:val="right" w:pos="9355"/>
      </w:tabs>
    </w:pPr>
  </w:style>
  <w:style w:type="character" w:customStyle="1" w:styleId="af3">
    <w:name w:val="Нижний колонтитул Знак"/>
    <w:basedOn w:val="a0"/>
    <w:link w:val="af2"/>
    <w:uiPriority w:val="99"/>
    <w:rsid w:val="001A35B5"/>
    <w:rPr>
      <w:rFonts w:ascii="Times New Roman" w:eastAsia="Times New Roman" w:hAnsi="Times New Roman" w:cs="Times New Roman"/>
    </w:rPr>
  </w:style>
  <w:style w:type="paragraph" w:styleId="af4">
    <w:name w:val="Normal (Web)"/>
    <w:basedOn w:val="a"/>
    <w:uiPriority w:val="99"/>
    <w:semiHidden/>
    <w:unhideWhenUsed/>
    <w:rsid w:val="00DB7478"/>
    <w:pPr>
      <w:widowControl/>
      <w:autoSpaceDE/>
      <w:autoSpaceDN/>
      <w:spacing w:before="100" w:beforeAutospacing="1" w:after="100" w:afterAutospacing="1"/>
    </w:pPr>
    <w:rPr>
      <w:sz w:val="24"/>
      <w:szCs w:val="24"/>
    </w:rPr>
  </w:style>
  <w:style w:type="character" w:styleId="af5">
    <w:name w:val="Strong"/>
    <w:basedOn w:val="a0"/>
    <w:uiPriority w:val="22"/>
    <w:qFormat/>
    <w:rsid w:val="00DB7478"/>
    <w:rPr>
      <w:b/>
      <w:bCs/>
    </w:rPr>
  </w:style>
  <w:style w:type="character" w:customStyle="1" w:styleId="30">
    <w:name w:val="Заголовок 3 Знак"/>
    <w:basedOn w:val="a0"/>
    <w:link w:val="3"/>
    <w:uiPriority w:val="9"/>
    <w:rsid w:val="009C7889"/>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rsid w:val="00420F33"/>
    <w:rPr>
      <w:rFonts w:asciiTheme="majorHAnsi" w:eastAsiaTheme="majorEastAsia" w:hAnsiTheme="majorHAnsi" w:cstheme="majorBidi"/>
      <w:color w:val="2F5496" w:themeColor="accent1" w:themeShade="BF"/>
      <w:kern w:val="2"/>
      <w:sz w:val="26"/>
      <w:szCs w:val="26"/>
      <w14:ligatures w14:val="standardContextual"/>
    </w:rPr>
  </w:style>
  <w:style w:type="paragraph" w:styleId="af6">
    <w:name w:val="Subtitle"/>
    <w:basedOn w:val="a"/>
    <w:link w:val="af7"/>
    <w:qFormat/>
    <w:rsid w:val="00F042B6"/>
    <w:pPr>
      <w:widowControl/>
      <w:autoSpaceDE/>
      <w:autoSpaceDN/>
      <w:spacing w:after="240"/>
    </w:pPr>
    <w:rPr>
      <w:rFonts w:ascii="Arial" w:hAnsi="Arial" w:cs="Arial"/>
      <w:b/>
      <w:bCs/>
      <w:sz w:val="24"/>
      <w:szCs w:val="20"/>
      <w:lang w:eastAsia="ru-RU"/>
    </w:rPr>
  </w:style>
  <w:style w:type="character" w:customStyle="1" w:styleId="af7">
    <w:name w:val="Подзаголовок Знак"/>
    <w:basedOn w:val="a0"/>
    <w:link w:val="af6"/>
    <w:rsid w:val="00F042B6"/>
    <w:rPr>
      <w:rFonts w:ascii="Arial" w:eastAsia="Times New Roman" w:hAnsi="Arial" w:cs="Arial"/>
      <w:b/>
      <w:bCs/>
      <w:sz w:val="24"/>
      <w:szCs w:val="20"/>
      <w:lang w:eastAsia="ru-RU"/>
    </w:rPr>
  </w:style>
  <w:style w:type="table" w:styleId="23">
    <w:name w:val="Plain Table 2"/>
    <w:basedOn w:val="a1"/>
    <w:uiPriority w:val="42"/>
    <w:rsid w:val="00232A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1">
    <w:name w:val="Plain Table 1"/>
    <w:basedOn w:val="a1"/>
    <w:uiPriority w:val="41"/>
    <w:rsid w:val="00167A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8">
    <w:name w:val="Grid Table Light"/>
    <w:basedOn w:val="a1"/>
    <w:uiPriority w:val="40"/>
    <w:rsid w:val="003B7C6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atex-mathml">
    <w:name w:val="katex-mathml"/>
    <w:basedOn w:val="a0"/>
    <w:rsid w:val="00AE0545"/>
  </w:style>
  <w:style w:type="character" w:customStyle="1" w:styleId="mord">
    <w:name w:val="mord"/>
    <w:basedOn w:val="a0"/>
    <w:rsid w:val="00AE0545"/>
  </w:style>
  <w:style w:type="character" w:customStyle="1" w:styleId="vlist-s">
    <w:name w:val="vlist-s"/>
    <w:basedOn w:val="a0"/>
    <w:rsid w:val="00AE0545"/>
  </w:style>
  <w:style w:type="character" w:customStyle="1" w:styleId="mop">
    <w:name w:val="mop"/>
    <w:basedOn w:val="a0"/>
    <w:rsid w:val="00AE0545"/>
  </w:style>
  <w:style w:type="character" w:customStyle="1" w:styleId="mopen">
    <w:name w:val="mopen"/>
    <w:basedOn w:val="a0"/>
    <w:rsid w:val="00AE0545"/>
  </w:style>
  <w:style w:type="character" w:customStyle="1" w:styleId="mpunct">
    <w:name w:val="mpunct"/>
    <w:basedOn w:val="a0"/>
    <w:rsid w:val="00AE0545"/>
  </w:style>
  <w:style w:type="character" w:customStyle="1" w:styleId="mclose">
    <w:name w:val="mclose"/>
    <w:basedOn w:val="a0"/>
    <w:rsid w:val="00AE0545"/>
  </w:style>
  <w:style w:type="character" w:customStyle="1" w:styleId="mbin">
    <w:name w:val="mbin"/>
    <w:basedOn w:val="a0"/>
    <w:rsid w:val="00AE0545"/>
  </w:style>
  <w:style w:type="character" w:customStyle="1" w:styleId="mrel">
    <w:name w:val="mrel"/>
    <w:basedOn w:val="a0"/>
    <w:rsid w:val="00EF06BE"/>
  </w:style>
  <w:style w:type="character" w:styleId="af9">
    <w:name w:val="Placeholder Text"/>
    <w:basedOn w:val="a0"/>
    <w:uiPriority w:val="99"/>
    <w:semiHidden/>
    <w:rsid w:val="00856A66"/>
    <w:rPr>
      <w:color w:val="808080"/>
    </w:rPr>
  </w:style>
  <w:style w:type="paragraph" w:styleId="afa">
    <w:name w:val="TOC Heading"/>
    <w:basedOn w:val="1"/>
    <w:next w:val="a"/>
    <w:uiPriority w:val="39"/>
    <w:unhideWhenUsed/>
    <w:qFormat/>
    <w:rsid w:val="007F0DB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eastAsia="ru-RU"/>
    </w:rPr>
  </w:style>
  <w:style w:type="paragraph" w:styleId="12">
    <w:name w:val="toc 1"/>
    <w:basedOn w:val="a"/>
    <w:next w:val="a"/>
    <w:autoRedefine/>
    <w:uiPriority w:val="39"/>
    <w:unhideWhenUsed/>
    <w:rsid w:val="00E277EC"/>
    <w:pPr>
      <w:tabs>
        <w:tab w:val="left" w:pos="660"/>
        <w:tab w:val="right" w:leader="dot" w:pos="9344"/>
      </w:tabs>
      <w:spacing w:after="100"/>
      <w:jc w:val="both"/>
    </w:pPr>
    <w:rPr>
      <w:b/>
      <w:bCs/>
      <w:noProof/>
    </w:rPr>
  </w:style>
  <w:style w:type="paragraph" w:styleId="24">
    <w:name w:val="toc 2"/>
    <w:basedOn w:val="a"/>
    <w:next w:val="a"/>
    <w:autoRedefine/>
    <w:uiPriority w:val="39"/>
    <w:unhideWhenUsed/>
    <w:rsid w:val="007F0DB8"/>
    <w:pPr>
      <w:widowControl/>
      <w:autoSpaceDE/>
      <w:autoSpaceDN/>
      <w:spacing w:after="100" w:line="259" w:lineRule="auto"/>
      <w:ind w:left="220"/>
    </w:pPr>
    <w:rPr>
      <w:rFonts w:asciiTheme="minorHAnsi" w:eastAsiaTheme="minorEastAsia" w:hAnsiTheme="minorHAnsi" w:cstheme="minorBidi"/>
      <w:lang w:eastAsia="ru-RU"/>
    </w:rPr>
  </w:style>
  <w:style w:type="paragraph" w:styleId="33">
    <w:name w:val="toc 3"/>
    <w:basedOn w:val="a"/>
    <w:next w:val="a"/>
    <w:autoRedefine/>
    <w:uiPriority w:val="39"/>
    <w:unhideWhenUsed/>
    <w:rsid w:val="007F0DB8"/>
    <w:pPr>
      <w:widowControl/>
      <w:autoSpaceDE/>
      <w:autoSpaceDN/>
      <w:spacing w:after="100" w:line="259" w:lineRule="auto"/>
      <w:ind w:left="440"/>
    </w:pPr>
    <w:rPr>
      <w:rFonts w:asciiTheme="minorHAnsi" w:eastAsiaTheme="minorEastAsia" w:hAnsiTheme="minorHAnsi" w:cstheme="minorBidi"/>
      <w:lang w:eastAsia="ru-RU"/>
    </w:rPr>
  </w:style>
  <w:style w:type="paragraph" w:styleId="41">
    <w:name w:val="toc 4"/>
    <w:basedOn w:val="a"/>
    <w:next w:val="a"/>
    <w:autoRedefine/>
    <w:uiPriority w:val="39"/>
    <w:unhideWhenUsed/>
    <w:rsid w:val="007F0DB8"/>
    <w:pPr>
      <w:widowControl/>
      <w:autoSpaceDE/>
      <w:autoSpaceDN/>
      <w:spacing w:after="100" w:line="259" w:lineRule="auto"/>
      <w:ind w:left="660"/>
    </w:pPr>
    <w:rPr>
      <w:rFonts w:asciiTheme="minorHAnsi" w:eastAsiaTheme="minorEastAsia" w:hAnsiTheme="minorHAnsi" w:cstheme="minorBidi"/>
      <w:lang w:eastAsia="ru-RU"/>
    </w:rPr>
  </w:style>
  <w:style w:type="paragraph" w:styleId="5">
    <w:name w:val="toc 5"/>
    <w:basedOn w:val="a"/>
    <w:next w:val="a"/>
    <w:autoRedefine/>
    <w:uiPriority w:val="39"/>
    <w:unhideWhenUsed/>
    <w:rsid w:val="007F0DB8"/>
    <w:pPr>
      <w:widowControl/>
      <w:autoSpaceDE/>
      <w:autoSpaceDN/>
      <w:spacing w:after="100" w:line="259" w:lineRule="auto"/>
      <w:ind w:left="880"/>
    </w:pPr>
    <w:rPr>
      <w:rFonts w:asciiTheme="minorHAnsi" w:eastAsiaTheme="minorEastAsia" w:hAnsiTheme="minorHAnsi" w:cstheme="minorBidi"/>
      <w:lang w:eastAsia="ru-RU"/>
    </w:rPr>
  </w:style>
  <w:style w:type="paragraph" w:styleId="6">
    <w:name w:val="toc 6"/>
    <w:basedOn w:val="a"/>
    <w:next w:val="a"/>
    <w:autoRedefine/>
    <w:uiPriority w:val="39"/>
    <w:unhideWhenUsed/>
    <w:rsid w:val="007F0DB8"/>
    <w:pPr>
      <w:widowControl/>
      <w:autoSpaceDE/>
      <w:autoSpaceDN/>
      <w:spacing w:after="100" w:line="259" w:lineRule="auto"/>
      <w:ind w:left="1100"/>
    </w:pPr>
    <w:rPr>
      <w:rFonts w:asciiTheme="minorHAnsi" w:eastAsiaTheme="minorEastAsia" w:hAnsiTheme="minorHAnsi" w:cstheme="minorBidi"/>
      <w:lang w:eastAsia="ru-RU"/>
    </w:rPr>
  </w:style>
  <w:style w:type="paragraph" w:styleId="7">
    <w:name w:val="toc 7"/>
    <w:basedOn w:val="a"/>
    <w:next w:val="a"/>
    <w:autoRedefine/>
    <w:uiPriority w:val="39"/>
    <w:unhideWhenUsed/>
    <w:rsid w:val="007F0DB8"/>
    <w:pPr>
      <w:widowControl/>
      <w:autoSpaceDE/>
      <w:autoSpaceDN/>
      <w:spacing w:after="100" w:line="259" w:lineRule="auto"/>
      <w:ind w:left="1320"/>
    </w:pPr>
    <w:rPr>
      <w:rFonts w:asciiTheme="minorHAnsi" w:eastAsiaTheme="minorEastAsia" w:hAnsiTheme="minorHAnsi" w:cstheme="minorBidi"/>
      <w:lang w:eastAsia="ru-RU"/>
    </w:rPr>
  </w:style>
  <w:style w:type="paragraph" w:styleId="81">
    <w:name w:val="toc 8"/>
    <w:basedOn w:val="a"/>
    <w:next w:val="a"/>
    <w:autoRedefine/>
    <w:uiPriority w:val="39"/>
    <w:unhideWhenUsed/>
    <w:rsid w:val="007F0DB8"/>
    <w:pPr>
      <w:widowControl/>
      <w:autoSpaceDE/>
      <w:autoSpaceDN/>
      <w:spacing w:after="100" w:line="259" w:lineRule="auto"/>
      <w:ind w:left="1540"/>
    </w:pPr>
    <w:rPr>
      <w:rFonts w:asciiTheme="minorHAnsi" w:eastAsiaTheme="minorEastAsia" w:hAnsiTheme="minorHAnsi" w:cstheme="minorBidi"/>
      <w:lang w:eastAsia="ru-RU"/>
    </w:rPr>
  </w:style>
  <w:style w:type="paragraph" w:styleId="9">
    <w:name w:val="toc 9"/>
    <w:basedOn w:val="a"/>
    <w:next w:val="a"/>
    <w:autoRedefine/>
    <w:uiPriority w:val="39"/>
    <w:unhideWhenUsed/>
    <w:rsid w:val="007F0DB8"/>
    <w:pPr>
      <w:widowControl/>
      <w:autoSpaceDE/>
      <w:autoSpaceDN/>
      <w:spacing w:after="100" w:line="259" w:lineRule="auto"/>
      <w:ind w:left="1760"/>
    </w:pPr>
    <w:rPr>
      <w:rFonts w:asciiTheme="minorHAnsi" w:eastAsiaTheme="minorEastAsia" w:hAnsiTheme="minorHAnsi" w:cstheme="minorBidi"/>
      <w:lang w:eastAsia="ru-RU"/>
    </w:rPr>
  </w:style>
  <w:style w:type="character" w:styleId="afb">
    <w:name w:val="Unresolved Mention"/>
    <w:basedOn w:val="a0"/>
    <w:uiPriority w:val="99"/>
    <w:semiHidden/>
    <w:unhideWhenUsed/>
    <w:rsid w:val="007F0DB8"/>
    <w:rPr>
      <w:color w:val="605E5C"/>
      <w:shd w:val="clear" w:color="auto" w:fill="E1DFDD"/>
    </w:rPr>
  </w:style>
  <w:style w:type="table" w:customStyle="1" w:styleId="13">
    <w:name w:val="Сетка таблицы1"/>
    <w:basedOn w:val="a1"/>
    <w:next w:val="af"/>
    <w:uiPriority w:val="59"/>
    <w:rsid w:val="00BB1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
    <w:uiPriority w:val="59"/>
    <w:rsid w:val="007F5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next w:val="af"/>
    <w:uiPriority w:val="59"/>
    <w:rsid w:val="00915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
    <w:uiPriority w:val="59"/>
    <w:rsid w:val="00153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f"/>
    <w:uiPriority w:val="59"/>
    <w:rsid w:val="00F41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 светлая1"/>
    <w:basedOn w:val="a1"/>
    <w:next w:val="af8"/>
    <w:uiPriority w:val="40"/>
    <w:rsid w:val="00F41D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0">
    <w:name w:val="Сетка таблицы6"/>
    <w:basedOn w:val="a1"/>
    <w:next w:val="af"/>
    <w:uiPriority w:val="59"/>
    <w:rsid w:val="00220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785">
      <w:bodyDiv w:val="1"/>
      <w:marLeft w:val="0"/>
      <w:marRight w:val="0"/>
      <w:marTop w:val="0"/>
      <w:marBottom w:val="0"/>
      <w:divBdr>
        <w:top w:val="none" w:sz="0" w:space="0" w:color="auto"/>
        <w:left w:val="none" w:sz="0" w:space="0" w:color="auto"/>
        <w:bottom w:val="none" w:sz="0" w:space="0" w:color="auto"/>
        <w:right w:val="none" w:sz="0" w:space="0" w:color="auto"/>
      </w:divBdr>
    </w:div>
    <w:div w:id="62720094">
      <w:bodyDiv w:val="1"/>
      <w:marLeft w:val="0"/>
      <w:marRight w:val="0"/>
      <w:marTop w:val="0"/>
      <w:marBottom w:val="0"/>
      <w:divBdr>
        <w:top w:val="none" w:sz="0" w:space="0" w:color="auto"/>
        <w:left w:val="none" w:sz="0" w:space="0" w:color="auto"/>
        <w:bottom w:val="none" w:sz="0" w:space="0" w:color="auto"/>
        <w:right w:val="none" w:sz="0" w:space="0" w:color="auto"/>
      </w:divBdr>
    </w:div>
    <w:div w:id="96565594">
      <w:bodyDiv w:val="1"/>
      <w:marLeft w:val="0"/>
      <w:marRight w:val="0"/>
      <w:marTop w:val="0"/>
      <w:marBottom w:val="0"/>
      <w:divBdr>
        <w:top w:val="none" w:sz="0" w:space="0" w:color="auto"/>
        <w:left w:val="none" w:sz="0" w:space="0" w:color="auto"/>
        <w:bottom w:val="none" w:sz="0" w:space="0" w:color="auto"/>
        <w:right w:val="none" w:sz="0" w:space="0" w:color="auto"/>
      </w:divBdr>
    </w:div>
    <w:div w:id="128473928">
      <w:bodyDiv w:val="1"/>
      <w:marLeft w:val="0"/>
      <w:marRight w:val="0"/>
      <w:marTop w:val="0"/>
      <w:marBottom w:val="0"/>
      <w:divBdr>
        <w:top w:val="none" w:sz="0" w:space="0" w:color="auto"/>
        <w:left w:val="none" w:sz="0" w:space="0" w:color="auto"/>
        <w:bottom w:val="none" w:sz="0" w:space="0" w:color="auto"/>
        <w:right w:val="none" w:sz="0" w:space="0" w:color="auto"/>
      </w:divBdr>
    </w:div>
    <w:div w:id="130024993">
      <w:bodyDiv w:val="1"/>
      <w:marLeft w:val="0"/>
      <w:marRight w:val="0"/>
      <w:marTop w:val="0"/>
      <w:marBottom w:val="0"/>
      <w:divBdr>
        <w:top w:val="none" w:sz="0" w:space="0" w:color="auto"/>
        <w:left w:val="none" w:sz="0" w:space="0" w:color="auto"/>
        <w:bottom w:val="none" w:sz="0" w:space="0" w:color="auto"/>
        <w:right w:val="none" w:sz="0" w:space="0" w:color="auto"/>
      </w:divBdr>
    </w:div>
    <w:div w:id="252594655">
      <w:bodyDiv w:val="1"/>
      <w:marLeft w:val="0"/>
      <w:marRight w:val="0"/>
      <w:marTop w:val="0"/>
      <w:marBottom w:val="0"/>
      <w:divBdr>
        <w:top w:val="none" w:sz="0" w:space="0" w:color="auto"/>
        <w:left w:val="none" w:sz="0" w:space="0" w:color="auto"/>
        <w:bottom w:val="none" w:sz="0" w:space="0" w:color="auto"/>
        <w:right w:val="none" w:sz="0" w:space="0" w:color="auto"/>
      </w:divBdr>
    </w:div>
    <w:div w:id="274095647">
      <w:bodyDiv w:val="1"/>
      <w:marLeft w:val="0"/>
      <w:marRight w:val="0"/>
      <w:marTop w:val="0"/>
      <w:marBottom w:val="0"/>
      <w:divBdr>
        <w:top w:val="none" w:sz="0" w:space="0" w:color="auto"/>
        <w:left w:val="none" w:sz="0" w:space="0" w:color="auto"/>
        <w:bottom w:val="none" w:sz="0" w:space="0" w:color="auto"/>
        <w:right w:val="none" w:sz="0" w:space="0" w:color="auto"/>
      </w:divBdr>
    </w:div>
    <w:div w:id="275333626">
      <w:bodyDiv w:val="1"/>
      <w:marLeft w:val="0"/>
      <w:marRight w:val="0"/>
      <w:marTop w:val="0"/>
      <w:marBottom w:val="0"/>
      <w:divBdr>
        <w:top w:val="none" w:sz="0" w:space="0" w:color="auto"/>
        <w:left w:val="none" w:sz="0" w:space="0" w:color="auto"/>
        <w:bottom w:val="none" w:sz="0" w:space="0" w:color="auto"/>
        <w:right w:val="none" w:sz="0" w:space="0" w:color="auto"/>
      </w:divBdr>
    </w:div>
    <w:div w:id="281545587">
      <w:bodyDiv w:val="1"/>
      <w:marLeft w:val="0"/>
      <w:marRight w:val="0"/>
      <w:marTop w:val="0"/>
      <w:marBottom w:val="0"/>
      <w:divBdr>
        <w:top w:val="none" w:sz="0" w:space="0" w:color="auto"/>
        <w:left w:val="none" w:sz="0" w:space="0" w:color="auto"/>
        <w:bottom w:val="none" w:sz="0" w:space="0" w:color="auto"/>
        <w:right w:val="none" w:sz="0" w:space="0" w:color="auto"/>
      </w:divBdr>
    </w:div>
    <w:div w:id="290132247">
      <w:bodyDiv w:val="1"/>
      <w:marLeft w:val="0"/>
      <w:marRight w:val="0"/>
      <w:marTop w:val="0"/>
      <w:marBottom w:val="0"/>
      <w:divBdr>
        <w:top w:val="none" w:sz="0" w:space="0" w:color="auto"/>
        <w:left w:val="none" w:sz="0" w:space="0" w:color="auto"/>
        <w:bottom w:val="none" w:sz="0" w:space="0" w:color="auto"/>
        <w:right w:val="none" w:sz="0" w:space="0" w:color="auto"/>
      </w:divBdr>
    </w:div>
    <w:div w:id="300158418">
      <w:bodyDiv w:val="1"/>
      <w:marLeft w:val="0"/>
      <w:marRight w:val="0"/>
      <w:marTop w:val="0"/>
      <w:marBottom w:val="0"/>
      <w:divBdr>
        <w:top w:val="none" w:sz="0" w:space="0" w:color="auto"/>
        <w:left w:val="none" w:sz="0" w:space="0" w:color="auto"/>
        <w:bottom w:val="none" w:sz="0" w:space="0" w:color="auto"/>
        <w:right w:val="none" w:sz="0" w:space="0" w:color="auto"/>
      </w:divBdr>
    </w:div>
    <w:div w:id="342827395">
      <w:bodyDiv w:val="1"/>
      <w:marLeft w:val="0"/>
      <w:marRight w:val="0"/>
      <w:marTop w:val="0"/>
      <w:marBottom w:val="0"/>
      <w:divBdr>
        <w:top w:val="none" w:sz="0" w:space="0" w:color="auto"/>
        <w:left w:val="none" w:sz="0" w:space="0" w:color="auto"/>
        <w:bottom w:val="none" w:sz="0" w:space="0" w:color="auto"/>
        <w:right w:val="none" w:sz="0" w:space="0" w:color="auto"/>
      </w:divBdr>
    </w:div>
    <w:div w:id="343482215">
      <w:bodyDiv w:val="1"/>
      <w:marLeft w:val="0"/>
      <w:marRight w:val="0"/>
      <w:marTop w:val="0"/>
      <w:marBottom w:val="0"/>
      <w:divBdr>
        <w:top w:val="none" w:sz="0" w:space="0" w:color="auto"/>
        <w:left w:val="none" w:sz="0" w:space="0" w:color="auto"/>
        <w:bottom w:val="none" w:sz="0" w:space="0" w:color="auto"/>
        <w:right w:val="none" w:sz="0" w:space="0" w:color="auto"/>
      </w:divBdr>
    </w:div>
    <w:div w:id="355929332">
      <w:bodyDiv w:val="1"/>
      <w:marLeft w:val="0"/>
      <w:marRight w:val="0"/>
      <w:marTop w:val="0"/>
      <w:marBottom w:val="0"/>
      <w:divBdr>
        <w:top w:val="none" w:sz="0" w:space="0" w:color="auto"/>
        <w:left w:val="none" w:sz="0" w:space="0" w:color="auto"/>
        <w:bottom w:val="none" w:sz="0" w:space="0" w:color="auto"/>
        <w:right w:val="none" w:sz="0" w:space="0" w:color="auto"/>
      </w:divBdr>
    </w:div>
    <w:div w:id="401105476">
      <w:bodyDiv w:val="1"/>
      <w:marLeft w:val="0"/>
      <w:marRight w:val="0"/>
      <w:marTop w:val="0"/>
      <w:marBottom w:val="0"/>
      <w:divBdr>
        <w:top w:val="none" w:sz="0" w:space="0" w:color="auto"/>
        <w:left w:val="none" w:sz="0" w:space="0" w:color="auto"/>
        <w:bottom w:val="none" w:sz="0" w:space="0" w:color="auto"/>
        <w:right w:val="none" w:sz="0" w:space="0" w:color="auto"/>
      </w:divBdr>
    </w:div>
    <w:div w:id="445269307">
      <w:bodyDiv w:val="1"/>
      <w:marLeft w:val="0"/>
      <w:marRight w:val="0"/>
      <w:marTop w:val="0"/>
      <w:marBottom w:val="0"/>
      <w:divBdr>
        <w:top w:val="none" w:sz="0" w:space="0" w:color="auto"/>
        <w:left w:val="none" w:sz="0" w:space="0" w:color="auto"/>
        <w:bottom w:val="none" w:sz="0" w:space="0" w:color="auto"/>
        <w:right w:val="none" w:sz="0" w:space="0" w:color="auto"/>
      </w:divBdr>
    </w:div>
    <w:div w:id="493108257">
      <w:bodyDiv w:val="1"/>
      <w:marLeft w:val="0"/>
      <w:marRight w:val="0"/>
      <w:marTop w:val="0"/>
      <w:marBottom w:val="0"/>
      <w:divBdr>
        <w:top w:val="none" w:sz="0" w:space="0" w:color="auto"/>
        <w:left w:val="none" w:sz="0" w:space="0" w:color="auto"/>
        <w:bottom w:val="none" w:sz="0" w:space="0" w:color="auto"/>
        <w:right w:val="none" w:sz="0" w:space="0" w:color="auto"/>
      </w:divBdr>
    </w:div>
    <w:div w:id="498932462">
      <w:bodyDiv w:val="1"/>
      <w:marLeft w:val="0"/>
      <w:marRight w:val="0"/>
      <w:marTop w:val="0"/>
      <w:marBottom w:val="0"/>
      <w:divBdr>
        <w:top w:val="none" w:sz="0" w:space="0" w:color="auto"/>
        <w:left w:val="none" w:sz="0" w:space="0" w:color="auto"/>
        <w:bottom w:val="none" w:sz="0" w:space="0" w:color="auto"/>
        <w:right w:val="none" w:sz="0" w:space="0" w:color="auto"/>
      </w:divBdr>
    </w:div>
    <w:div w:id="518665048">
      <w:bodyDiv w:val="1"/>
      <w:marLeft w:val="0"/>
      <w:marRight w:val="0"/>
      <w:marTop w:val="0"/>
      <w:marBottom w:val="0"/>
      <w:divBdr>
        <w:top w:val="none" w:sz="0" w:space="0" w:color="auto"/>
        <w:left w:val="none" w:sz="0" w:space="0" w:color="auto"/>
        <w:bottom w:val="none" w:sz="0" w:space="0" w:color="auto"/>
        <w:right w:val="none" w:sz="0" w:space="0" w:color="auto"/>
      </w:divBdr>
    </w:div>
    <w:div w:id="554506975">
      <w:bodyDiv w:val="1"/>
      <w:marLeft w:val="0"/>
      <w:marRight w:val="0"/>
      <w:marTop w:val="0"/>
      <w:marBottom w:val="0"/>
      <w:divBdr>
        <w:top w:val="none" w:sz="0" w:space="0" w:color="auto"/>
        <w:left w:val="none" w:sz="0" w:space="0" w:color="auto"/>
        <w:bottom w:val="none" w:sz="0" w:space="0" w:color="auto"/>
        <w:right w:val="none" w:sz="0" w:space="0" w:color="auto"/>
      </w:divBdr>
    </w:div>
    <w:div w:id="577599973">
      <w:bodyDiv w:val="1"/>
      <w:marLeft w:val="0"/>
      <w:marRight w:val="0"/>
      <w:marTop w:val="0"/>
      <w:marBottom w:val="0"/>
      <w:divBdr>
        <w:top w:val="none" w:sz="0" w:space="0" w:color="auto"/>
        <w:left w:val="none" w:sz="0" w:space="0" w:color="auto"/>
        <w:bottom w:val="none" w:sz="0" w:space="0" w:color="auto"/>
        <w:right w:val="none" w:sz="0" w:space="0" w:color="auto"/>
      </w:divBdr>
    </w:div>
    <w:div w:id="641616667">
      <w:bodyDiv w:val="1"/>
      <w:marLeft w:val="0"/>
      <w:marRight w:val="0"/>
      <w:marTop w:val="0"/>
      <w:marBottom w:val="0"/>
      <w:divBdr>
        <w:top w:val="none" w:sz="0" w:space="0" w:color="auto"/>
        <w:left w:val="none" w:sz="0" w:space="0" w:color="auto"/>
        <w:bottom w:val="none" w:sz="0" w:space="0" w:color="auto"/>
        <w:right w:val="none" w:sz="0" w:space="0" w:color="auto"/>
      </w:divBdr>
    </w:div>
    <w:div w:id="668485953">
      <w:bodyDiv w:val="1"/>
      <w:marLeft w:val="0"/>
      <w:marRight w:val="0"/>
      <w:marTop w:val="0"/>
      <w:marBottom w:val="0"/>
      <w:divBdr>
        <w:top w:val="none" w:sz="0" w:space="0" w:color="auto"/>
        <w:left w:val="none" w:sz="0" w:space="0" w:color="auto"/>
        <w:bottom w:val="none" w:sz="0" w:space="0" w:color="auto"/>
        <w:right w:val="none" w:sz="0" w:space="0" w:color="auto"/>
      </w:divBdr>
    </w:div>
    <w:div w:id="721368899">
      <w:bodyDiv w:val="1"/>
      <w:marLeft w:val="0"/>
      <w:marRight w:val="0"/>
      <w:marTop w:val="0"/>
      <w:marBottom w:val="0"/>
      <w:divBdr>
        <w:top w:val="none" w:sz="0" w:space="0" w:color="auto"/>
        <w:left w:val="none" w:sz="0" w:space="0" w:color="auto"/>
        <w:bottom w:val="none" w:sz="0" w:space="0" w:color="auto"/>
        <w:right w:val="none" w:sz="0" w:space="0" w:color="auto"/>
      </w:divBdr>
    </w:div>
    <w:div w:id="724985164">
      <w:bodyDiv w:val="1"/>
      <w:marLeft w:val="0"/>
      <w:marRight w:val="0"/>
      <w:marTop w:val="0"/>
      <w:marBottom w:val="0"/>
      <w:divBdr>
        <w:top w:val="none" w:sz="0" w:space="0" w:color="auto"/>
        <w:left w:val="none" w:sz="0" w:space="0" w:color="auto"/>
        <w:bottom w:val="none" w:sz="0" w:space="0" w:color="auto"/>
        <w:right w:val="none" w:sz="0" w:space="0" w:color="auto"/>
      </w:divBdr>
    </w:div>
    <w:div w:id="730539450">
      <w:bodyDiv w:val="1"/>
      <w:marLeft w:val="0"/>
      <w:marRight w:val="0"/>
      <w:marTop w:val="0"/>
      <w:marBottom w:val="0"/>
      <w:divBdr>
        <w:top w:val="none" w:sz="0" w:space="0" w:color="auto"/>
        <w:left w:val="none" w:sz="0" w:space="0" w:color="auto"/>
        <w:bottom w:val="none" w:sz="0" w:space="0" w:color="auto"/>
        <w:right w:val="none" w:sz="0" w:space="0" w:color="auto"/>
      </w:divBdr>
    </w:div>
    <w:div w:id="789129001">
      <w:bodyDiv w:val="1"/>
      <w:marLeft w:val="0"/>
      <w:marRight w:val="0"/>
      <w:marTop w:val="0"/>
      <w:marBottom w:val="0"/>
      <w:divBdr>
        <w:top w:val="none" w:sz="0" w:space="0" w:color="auto"/>
        <w:left w:val="none" w:sz="0" w:space="0" w:color="auto"/>
        <w:bottom w:val="none" w:sz="0" w:space="0" w:color="auto"/>
        <w:right w:val="none" w:sz="0" w:space="0" w:color="auto"/>
      </w:divBdr>
    </w:div>
    <w:div w:id="789473578">
      <w:bodyDiv w:val="1"/>
      <w:marLeft w:val="0"/>
      <w:marRight w:val="0"/>
      <w:marTop w:val="0"/>
      <w:marBottom w:val="0"/>
      <w:divBdr>
        <w:top w:val="none" w:sz="0" w:space="0" w:color="auto"/>
        <w:left w:val="none" w:sz="0" w:space="0" w:color="auto"/>
        <w:bottom w:val="none" w:sz="0" w:space="0" w:color="auto"/>
        <w:right w:val="none" w:sz="0" w:space="0" w:color="auto"/>
      </w:divBdr>
    </w:div>
    <w:div w:id="860969862">
      <w:bodyDiv w:val="1"/>
      <w:marLeft w:val="0"/>
      <w:marRight w:val="0"/>
      <w:marTop w:val="0"/>
      <w:marBottom w:val="0"/>
      <w:divBdr>
        <w:top w:val="none" w:sz="0" w:space="0" w:color="auto"/>
        <w:left w:val="none" w:sz="0" w:space="0" w:color="auto"/>
        <w:bottom w:val="none" w:sz="0" w:space="0" w:color="auto"/>
        <w:right w:val="none" w:sz="0" w:space="0" w:color="auto"/>
      </w:divBdr>
    </w:div>
    <w:div w:id="886381091">
      <w:bodyDiv w:val="1"/>
      <w:marLeft w:val="0"/>
      <w:marRight w:val="0"/>
      <w:marTop w:val="0"/>
      <w:marBottom w:val="0"/>
      <w:divBdr>
        <w:top w:val="none" w:sz="0" w:space="0" w:color="auto"/>
        <w:left w:val="none" w:sz="0" w:space="0" w:color="auto"/>
        <w:bottom w:val="none" w:sz="0" w:space="0" w:color="auto"/>
        <w:right w:val="none" w:sz="0" w:space="0" w:color="auto"/>
      </w:divBdr>
    </w:div>
    <w:div w:id="939145867">
      <w:bodyDiv w:val="1"/>
      <w:marLeft w:val="0"/>
      <w:marRight w:val="0"/>
      <w:marTop w:val="0"/>
      <w:marBottom w:val="0"/>
      <w:divBdr>
        <w:top w:val="none" w:sz="0" w:space="0" w:color="auto"/>
        <w:left w:val="none" w:sz="0" w:space="0" w:color="auto"/>
        <w:bottom w:val="none" w:sz="0" w:space="0" w:color="auto"/>
        <w:right w:val="none" w:sz="0" w:space="0" w:color="auto"/>
      </w:divBdr>
    </w:div>
    <w:div w:id="969015302">
      <w:bodyDiv w:val="1"/>
      <w:marLeft w:val="0"/>
      <w:marRight w:val="0"/>
      <w:marTop w:val="0"/>
      <w:marBottom w:val="0"/>
      <w:divBdr>
        <w:top w:val="none" w:sz="0" w:space="0" w:color="auto"/>
        <w:left w:val="none" w:sz="0" w:space="0" w:color="auto"/>
        <w:bottom w:val="none" w:sz="0" w:space="0" w:color="auto"/>
        <w:right w:val="none" w:sz="0" w:space="0" w:color="auto"/>
      </w:divBdr>
    </w:div>
    <w:div w:id="1064714260">
      <w:bodyDiv w:val="1"/>
      <w:marLeft w:val="0"/>
      <w:marRight w:val="0"/>
      <w:marTop w:val="0"/>
      <w:marBottom w:val="0"/>
      <w:divBdr>
        <w:top w:val="none" w:sz="0" w:space="0" w:color="auto"/>
        <w:left w:val="none" w:sz="0" w:space="0" w:color="auto"/>
        <w:bottom w:val="none" w:sz="0" w:space="0" w:color="auto"/>
        <w:right w:val="none" w:sz="0" w:space="0" w:color="auto"/>
      </w:divBdr>
    </w:div>
    <w:div w:id="1118329136">
      <w:bodyDiv w:val="1"/>
      <w:marLeft w:val="0"/>
      <w:marRight w:val="0"/>
      <w:marTop w:val="0"/>
      <w:marBottom w:val="0"/>
      <w:divBdr>
        <w:top w:val="none" w:sz="0" w:space="0" w:color="auto"/>
        <w:left w:val="none" w:sz="0" w:space="0" w:color="auto"/>
        <w:bottom w:val="none" w:sz="0" w:space="0" w:color="auto"/>
        <w:right w:val="none" w:sz="0" w:space="0" w:color="auto"/>
      </w:divBdr>
    </w:div>
    <w:div w:id="1162233749">
      <w:bodyDiv w:val="1"/>
      <w:marLeft w:val="0"/>
      <w:marRight w:val="0"/>
      <w:marTop w:val="0"/>
      <w:marBottom w:val="0"/>
      <w:divBdr>
        <w:top w:val="none" w:sz="0" w:space="0" w:color="auto"/>
        <w:left w:val="none" w:sz="0" w:space="0" w:color="auto"/>
        <w:bottom w:val="none" w:sz="0" w:space="0" w:color="auto"/>
        <w:right w:val="none" w:sz="0" w:space="0" w:color="auto"/>
      </w:divBdr>
    </w:div>
    <w:div w:id="1193375666">
      <w:bodyDiv w:val="1"/>
      <w:marLeft w:val="0"/>
      <w:marRight w:val="0"/>
      <w:marTop w:val="0"/>
      <w:marBottom w:val="0"/>
      <w:divBdr>
        <w:top w:val="none" w:sz="0" w:space="0" w:color="auto"/>
        <w:left w:val="none" w:sz="0" w:space="0" w:color="auto"/>
        <w:bottom w:val="none" w:sz="0" w:space="0" w:color="auto"/>
        <w:right w:val="none" w:sz="0" w:space="0" w:color="auto"/>
      </w:divBdr>
    </w:div>
    <w:div w:id="1382486818">
      <w:bodyDiv w:val="1"/>
      <w:marLeft w:val="0"/>
      <w:marRight w:val="0"/>
      <w:marTop w:val="0"/>
      <w:marBottom w:val="0"/>
      <w:divBdr>
        <w:top w:val="none" w:sz="0" w:space="0" w:color="auto"/>
        <w:left w:val="none" w:sz="0" w:space="0" w:color="auto"/>
        <w:bottom w:val="none" w:sz="0" w:space="0" w:color="auto"/>
        <w:right w:val="none" w:sz="0" w:space="0" w:color="auto"/>
      </w:divBdr>
    </w:div>
    <w:div w:id="1486969243">
      <w:bodyDiv w:val="1"/>
      <w:marLeft w:val="0"/>
      <w:marRight w:val="0"/>
      <w:marTop w:val="0"/>
      <w:marBottom w:val="0"/>
      <w:divBdr>
        <w:top w:val="none" w:sz="0" w:space="0" w:color="auto"/>
        <w:left w:val="none" w:sz="0" w:space="0" w:color="auto"/>
        <w:bottom w:val="none" w:sz="0" w:space="0" w:color="auto"/>
        <w:right w:val="none" w:sz="0" w:space="0" w:color="auto"/>
      </w:divBdr>
    </w:div>
    <w:div w:id="1533808545">
      <w:bodyDiv w:val="1"/>
      <w:marLeft w:val="0"/>
      <w:marRight w:val="0"/>
      <w:marTop w:val="0"/>
      <w:marBottom w:val="0"/>
      <w:divBdr>
        <w:top w:val="none" w:sz="0" w:space="0" w:color="auto"/>
        <w:left w:val="none" w:sz="0" w:space="0" w:color="auto"/>
        <w:bottom w:val="none" w:sz="0" w:space="0" w:color="auto"/>
        <w:right w:val="none" w:sz="0" w:space="0" w:color="auto"/>
      </w:divBdr>
    </w:div>
    <w:div w:id="1535192644">
      <w:bodyDiv w:val="1"/>
      <w:marLeft w:val="0"/>
      <w:marRight w:val="0"/>
      <w:marTop w:val="0"/>
      <w:marBottom w:val="0"/>
      <w:divBdr>
        <w:top w:val="none" w:sz="0" w:space="0" w:color="auto"/>
        <w:left w:val="none" w:sz="0" w:space="0" w:color="auto"/>
        <w:bottom w:val="none" w:sz="0" w:space="0" w:color="auto"/>
        <w:right w:val="none" w:sz="0" w:space="0" w:color="auto"/>
      </w:divBdr>
    </w:div>
    <w:div w:id="1558080300">
      <w:bodyDiv w:val="1"/>
      <w:marLeft w:val="0"/>
      <w:marRight w:val="0"/>
      <w:marTop w:val="0"/>
      <w:marBottom w:val="0"/>
      <w:divBdr>
        <w:top w:val="none" w:sz="0" w:space="0" w:color="auto"/>
        <w:left w:val="none" w:sz="0" w:space="0" w:color="auto"/>
        <w:bottom w:val="none" w:sz="0" w:space="0" w:color="auto"/>
        <w:right w:val="none" w:sz="0" w:space="0" w:color="auto"/>
      </w:divBdr>
    </w:div>
    <w:div w:id="1633289513">
      <w:bodyDiv w:val="1"/>
      <w:marLeft w:val="0"/>
      <w:marRight w:val="0"/>
      <w:marTop w:val="0"/>
      <w:marBottom w:val="0"/>
      <w:divBdr>
        <w:top w:val="none" w:sz="0" w:space="0" w:color="auto"/>
        <w:left w:val="none" w:sz="0" w:space="0" w:color="auto"/>
        <w:bottom w:val="none" w:sz="0" w:space="0" w:color="auto"/>
        <w:right w:val="none" w:sz="0" w:space="0" w:color="auto"/>
      </w:divBdr>
    </w:div>
    <w:div w:id="1639332854">
      <w:bodyDiv w:val="1"/>
      <w:marLeft w:val="0"/>
      <w:marRight w:val="0"/>
      <w:marTop w:val="0"/>
      <w:marBottom w:val="0"/>
      <w:divBdr>
        <w:top w:val="none" w:sz="0" w:space="0" w:color="auto"/>
        <w:left w:val="none" w:sz="0" w:space="0" w:color="auto"/>
        <w:bottom w:val="none" w:sz="0" w:space="0" w:color="auto"/>
        <w:right w:val="none" w:sz="0" w:space="0" w:color="auto"/>
      </w:divBdr>
    </w:div>
    <w:div w:id="1659187790">
      <w:bodyDiv w:val="1"/>
      <w:marLeft w:val="0"/>
      <w:marRight w:val="0"/>
      <w:marTop w:val="0"/>
      <w:marBottom w:val="0"/>
      <w:divBdr>
        <w:top w:val="none" w:sz="0" w:space="0" w:color="auto"/>
        <w:left w:val="none" w:sz="0" w:space="0" w:color="auto"/>
        <w:bottom w:val="none" w:sz="0" w:space="0" w:color="auto"/>
        <w:right w:val="none" w:sz="0" w:space="0" w:color="auto"/>
      </w:divBdr>
    </w:div>
    <w:div w:id="1710568673">
      <w:bodyDiv w:val="1"/>
      <w:marLeft w:val="0"/>
      <w:marRight w:val="0"/>
      <w:marTop w:val="0"/>
      <w:marBottom w:val="0"/>
      <w:divBdr>
        <w:top w:val="none" w:sz="0" w:space="0" w:color="auto"/>
        <w:left w:val="none" w:sz="0" w:space="0" w:color="auto"/>
        <w:bottom w:val="none" w:sz="0" w:space="0" w:color="auto"/>
        <w:right w:val="none" w:sz="0" w:space="0" w:color="auto"/>
      </w:divBdr>
    </w:div>
    <w:div w:id="1813675812">
      <w:bodyDiv w:val="1"/>
      <w:marLeft w:val="0"/>
      <w:marRight w:val="0"/>
      <w:marTop w:val="0"/>
      <w:marBottom w:val="0"/>
      <w:divBdr>
        <w:top w:val="none" w:sz="0" w:space="0" w:color="auto"/>
        <w:left w:val="none" w:sz="0" w:space="0" w:color="auto"/>
        <w:bottom w:val="none" w:sz="0" w:space="0" w:color="auto"/>
        <w:right w:val="none" w:sz="0" w:space="0" w:color="auto"/>
      </w:divBdr>
    </w:div>
    <w:div w:id="1848789940">
      <w:bodyDiv w:val="1"/>
      <w:marLeft w:val="0"/>
      <w:marRight w:val="0"/>
      <w:marTop w:val="0"/>
      <w:marBottom w:val="0"/>
      <w:divBdr>
        <w:top w:val="none" w:sz="0" w:space="0" w:color="auto"/>
        <w:left w:val="none" w:sz="0" w:space="0" w:color="auto"/>
        <w:bottom w:val="none" w:sz="0" w:space="0" w:color="auto"/>
        <w:right w:val="none" w:sz="0" w:space="0" w:color="auto"/>
      </w:divBdr>
    </w:div>
    <w:div w:id="1862667590">
      <w:bodyDiv w:val="1"/>
      <w:marLeft w:val="0"/>
      <w:marRight w:val="0"/>
      <w:marTop w:val="0"/>
      <w:marBottom w:val="0"/>
      <w:divBdr>
        <w:top w:val="none" w:sz="0" w:space="0" w:color="auto"/>
        <w:left w:val="none" w:sz="0" w:space="0" w:color="auto"/>
        <w:bottom w:val="none" w:sz="0" w:space="0" w:color="auto"/>
        <w:right w:val="none" w:sz="0" w:space="0" w:color="auto"/>
      </w:divBdr>
    </w:div>
    <w:div w:id="1935505904">
      <w:bodyDiv w:val="1"/>
      <w:marLeft w:val="0"/>
      <w:marRight w:val="0"/>
      <w:marTop w:val="0"/>
      <w:marBottom w:val="0"/>
      <w:divBdr>
        <w:top w:val="none" w:sz="0" w:space="0" w:color="auto"/>
        <w:left w:val="none" w:sz="0" w:space="0" w:color="auto"/>
        <w:bottom w:val="none" w:sz="0" w:space="0" w:color="auto"/>
        <w:right w:val="none" w:sz="0" w:space="0" w:color="auto"/>
      </w:divBdr>
    </w:div>
    <w:div w:id="2041203989">
      <w:bodyDiv w:val="1"/>
      <w:marLeft w:val="0"/>
      <w:marRight w:val="0"/>
      <w:marTop w:val="0"/>
      <w:marBottom w:val="0"/>
      <w:divBdr>
        <w:top w:val="none" w:sz="0" w:space="0" w:color="auto"/>
        <w:left w:val="none" w:sz="0" w:space="0" w:color="auto"/>
        <w:bottom w:val="none" w:sz="0" w:space="0" w:color="auto"/>
        <w:right w:val="none" w:sz="0" w:space="0" w:color="auto"/>
      </w:divBdr>
    </w:div>
    <w:div w:id="204197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chart" Target="charts/chart2.xml"/><Relationship Id="rId47" Type="http://schemas.openxmlformats.org/officeDocument/2006/relationships/chart" Target="charts/chart3.xml"/><Relationship Id="rId63" Type="http://schemas.openxmlformats.org/officeDocument/2006/relationships/image" Target="media/image48.png"/><Relationship Id="rId68" Type="http://schemas.openxmlformats.org/officeDocument/2006/relationships/image" Target="media/image53.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5.png"/><Relationship Id="rId53" Type="http://schemas.openxmlformats.org/officeDocument/2006/relationships/image" Target="media/image41.png"/><Relationship Id="rId58" Type="http://schemas.openxmlformats.org/officeDocument/2006/relationships/image" Target="media/image43.png"/><Relationship Id="rId66"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image" Target="media/image46.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chart" Target="charts/chart4.xml"/><Relationship Id="rId64" Type="http://schemas.openxmlformats.org/officeDocument/2006/relationships/image" Target="media/image49.png"/><Relationship Id="rId69" Type="http://schemas.openxmlformats.org/officeDocument/2006/relationships/image" Target="media/image54.png"/><Relationship Id="rId8" Type="http://schemas.openxmlformats.org/officeDocument/2006/relationships/footer" Target="footer1.xml"/><Relationship Id="rId51" Type="http://schemas.microsoft.com/office/2014/relationships/chartEx" Target="charts/chartEx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6.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12.png"/><Relationship Id="rId41" Type="http://schemas.openxmlformats.org/officeDocument/2006/relationships/chart" Target="charts/chart1.xml"/><Relationship Id="rId54" Type="http://schemas.microsoft.com/office/2014/relationships/chartEx" Target="charts/chartEx2.xml"/><Relationship Id="rId62" Type="http://schemas.openxmlformats.org/officeDocument/2006/relationships/image" Target="media/image47.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38.png"/><Relationship Id="rId57" Type="http://schemas.openxmlformats.org/officeDocument/2006/relationships/image" Target="media/image40.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4.png"/><Relationship Id="rId60" Type="http://schemas.openxmlformats.org/officeDocument/2006/relationships/image" Target="media/image45.png"/><Relationship Id="rId65"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39.png"/><Relationship Id="rId55" Type="http://schemas.openxmlformats.org/officeDocument/2006/relationships/image" Target="media/image4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3.xlsx"/></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1056;&#1072;&#1073;&#1086;&#1095;&#1080;&#1081;%20&#1089;&#1090;&#1086;&#1083;\Microsoft%20Excel%20Worksheet.xlsx" TargetMode="External"/><Relationship Id="rId4" Type="http://schemas.openxmlformats.org/officeDocument/2006/relationships/themeOverride" Target="../theme/themeOverride4.xml"/></Relationships>
</file>

<file path=word/charts/_rels/chartEx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1056;&#1072;&#1073;&#1086;&#1095;&#1080;&#1081;%20&#1089;&#1090;&#1086;&#1083;\Microsoft%20Excel%20Worksheet.xlsx" TargetMode="External"/><Relationship Id="rId4"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Мужчины</c:v>
                </c:pt>
              </c:strCache>
            </c:strRef>
          </c:tx>
          <c:spPr>
            <a:solidFill>
              <a:srgbClr val="00B0F0"/>
            </a:solidFill>
            <a:ln>
              <a:noFill/>
            </a:ln>
            <a:effectLst/>
            <a:sp3d/>
          </c:spPr>
          <c:invertIfNegative val="0"/>
          <c:cat>
            <c:strRef>
              <c:f>Лист1!$A$2:$A$3</c:f>
              <c:strCache>
                <c:ptCount val="2"/>
                <c:pt idx="0">
                  <c:v>Основная группа</c:v>
                </c:pt>
                <c:pt idx="1">
                  <c:v>Контролная группа</c:v>
                </c:pt>
              </c:strCache>
            </c:strRef>
          </c:cat>
          <c:val>
            <c:numRef>
              <c:f>Лист1!$B$2:$B$3</c:f>
              <c:numCache>
                <c:formatCode>General</c:formatCode>
                <c:ptCount val="2"/>
                <c:pt idx="0">
                  <c:v>6</c:v>
                </c:pt>
                <c:pt idx="1">
                  <c:v>4</c:v>
                </c:pt>
              </c:numCache>
            </c:numRef>
          </c:val>
          <c:extLst>
            <c:ext xmlns:c16="http://schemas.microsoft.com/office/drawing/2014/chart" uri="{C3380CC4-5D6E-409C-BE32-E72D297353CC}">
              <c16:uniqueId val="{00000000-5DE3-4F06-972F-CB97BCA924B2}"/>
            </c:ext>
          </c:extLst>
        </c:ser>
        <c:ser>
          <c:idx val="1"/>
          <c:order val="1"/>
          <c:tx>
            <c:strRef>
              <c:f>Лист1!$C$1</c:f>
              <c:strCache>
                <c:ptCount val="1"/>
                <c:pt idx="0">
                  <c:v>Женщины</c:v>
                </c:pt>
              </c:strCache>
            </c:strRef>
          </c:tx>
          <c:spPr>
            <a:solidFill>
              <a:srgbClr val="FF66CC"/>
            </a:solidFill>
            <a:ln>
              <a:noFill/>
            </a:ln>
            <a:effectLst/>
            <a:sp3d/>
          </c:spPr>
          <c:invertIfNegative val="0"/>
          <c:cat>
            <c:strRef>
              <c:f>Лист1!$A$2:$A$3</c:f>
              <c:strCache>
                <c:ptCount val="2"/>
                <c:pt idx="0">
                  <c:v>Основная группа</c:v>
                </c:pt>
                <c:pt idx="1">
                  <c:v>Контролная группа</c:v>
                </c:pt>
              </c:strCache>
            </c:strRef>
          </c:cat>
          <c:val>
            <c:numRef>
              <c:f>Лист1!$C$2:$C$3</c:f>
              <c:numCache>
                <c:formatCode>General</c:formatCode>
                <c:ptCount val="2"/>
                <c:pt idx="0">
                  <c:v>24</c:v>
                </c:pt>
                <c:pt idx="1">
                  <c:v>26</c:v>
                </c:pt>
              </c:numCache>
            </c:numRef>
          </c:val>
          <c:extLst>
            <c:ext xmlns:c16="http://schemas.microsoft.com/office/drawing/2014/chart" uri="{C3380CC4-5D6E-409C-BE32-E72D297353CC}">
              <c16:uniqueId val="{00000001-5DE3-4F06-972F-CB97BCA924B2}"/>
            </c:ext>
          </c:extLst>
        </c:ser>
        <c:dLbls>
          <c:showLegendKey val="0"/>
          <c:showVal val="0"/>
          <c:showCatName val="0"/>
          <c:showSerName val="0"/>
          <c:showPercent val="0"/>
          <c:showBubbleSize val="0"/>
        </c:dLbls>
        <c:gapWidth val="150"/>
        <c:shape val="box"/>
        <c:axId val="1289919504"/>
        <c:axId val="1289909936"/>
        <c:axId val="0"/>
      </c:bar3DChart>
      <c:catAx>
        <c:axId val="128991950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KZ"/>
          </a:p>
        </c:txPr>
        <c:crossAx val="1289909936"/>
        <c:crosses val="autoZero"/>
        <c:auto val="1"/>
        <c:lblAlgn val="ctr"/>
        <c:lblOffset val="100"/>
        <c:noMultiLvlLbl val="0"/>
      </c:catAx>
      <c:valAx>
        <c:axId val="128990993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KZ"/>
          </a:p>
        </c:txPr>
        <c:crossAx val="1289919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Лист1!$B$1</c:f>
              <c:strCache>
                <c:ptCount val="1"/>
                <c:pt idx="0">
                  <c:v>Основная группа </c:v>
                </c:pt>
              </c:strCache>
            </c:strRef>
          </c:tx>
          <c:spPr>
            <a:solidFill>
              <a:srgbClr val="00B050"/>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Двусторонний </c:v>
                </c:pt>
                <c:pt idx="1">
                  <c:v>Правосторонний</c:v>
                </c:pt>
                <c:pt idx="2">
                  <c:v>Левосторонний</c:v>
                </c:pt>
              </c:strCache>
            </c:strRef>
          </c:cat>
          <c:val>
            <c:numRef>
              <c:f>Лист1!$B$2:$B$4</c:f>
              <c:numCache>
                <c:formatCode>General</c:formatCode>
                <c:ptCount val="3"/>
                <c:pt idx="0">
                  <c:v>2</c:v>
                </c:pt>
                <c:pt idx="1">
                  <c:v>15</c:v>
                </c:pt>
                <c:pt idx="2">
                  <c:v>13</c:v>
                </c:pt>
              </c:numCache>
            </c:numRef>
          </c:val>
          <c:extLst>
            <c:ext xmlns:c16="http://schemas.microsoft.com/office/drawing/2014/chart" uri="{C3380CC4-5D6E-409C-BE32-E72D297353CC}">
              <c16:uniqueId val="{00000000-834A-43C9-BB5E-69F03407E977}"/>
            </c:ext>
          </c:extLst>
        </c:ser>
        <c:ser>
          <c:idx val="1"/>
          <c:order val="1"/>
          <c:tx>
            <c:strRef>
              <c:f>Лист1!$C$1</c:f>
              <c:strCache>
                <c:ptCount val="1"/>
                <c:pt idx="0">
                  <c:v>Контрольная группа</c:v>
                </c:pt>
              </c:strCache>
            </c:strRef>
          </c:tx>
          <c:spPr>
            <a:solidFill>
              <a:srgbClr val="FF6699"/>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Двусторонний </c:v>
                </c:pt>
                <c:pt idx="1">
                  <c:v>Правосторонний</c:v>
                </c:pt>
                <c:pt idx="2">
                  <c:v>Левосторонний</c:v>
                </c:pt>
              </c:strCache>
            </c:strRef>
          </c:cat>
          <c:val>
            <c:numRef>
              <c:f>Лист1!$C$2:$C$4</c:f>
              <c:numCache>
                <c:formatCode>General</c:formatCode>
                <c:ptCount val="3"/>
                <c:pt idx="0">
                  <c:v>5</c:v>
                </c:pt>
                <c:pt idx="1">
                  <c:v>12</c:v>
                </c:pt>
                <c:pt idx="2">
                  <c:v>13</c:v>
                </c:pt>
              </c:numCache>
            </c:numRef>
          </c:val>
          <c:extLst>
            <c:ext xmlns:c16="http://schemas.microsoft.com/office/drawing/2014/chart" uri="{C3380CC4-5D6E-409C-BE32-E72D297353CC}">
              <c16:uniqueId val="{00000001-834A-43C9-BB5E-69F03407E977}"/>
            </c:ext>
          </c:extLst>
        </c:ser>
        <c:dLbls>
          <c:showLegendKey val="0"/>
          <c:showVal val="1"/>
          <c:showCatName val="0"/>
          <c:showSerName val="0"/>
          <c:showPercent val="0"/>
          <c:showBubbleSize val="0"/>
        </c:dLbls>
        <c:gapWidth val="150"/>
        <c:shape val="box"/>
        <c:axId val="969685535"/>
        <c:axId val="969686367"/>
        <c:axId val="0"/>
      </c:bar3DChart>
      <c:catAx>
        <c:axId val="969685535"/>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969686367"/>
        <c:crosses val="autoZero"/>
        <c:auto val="1"/>
        <c:lblAlgn val="ctr"/>
        <c:lblOffset val="100"/>
        <c:noMultiLvlLbl val="0"/>
      </c:catAx>
      <c:valAx>
        <c:axId val="9696863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9696855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Правый</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Лист1!$A$2:$A$3</c:f>
              <c:strCache>
                <c:ptCount val="2"/>
                <c:pt idx="0">
                  <c:v>Основная группа</c:v>
                </c:pt>
                <c:pt idx="1">
                  <c:v>Контрольная группа</c:v>
                </c:pt>
              </c:strCache>
            </c:strRef>
          </c:cat>
          <c:val>
            <c:numRef>
              <c:f>Лист1!$B$2:$B$3</c:f>
              <c:numCache>
                <c:formatCode>General</c:formatCode>
                <c:ptCount val="2"/>
                <c:pt idx="0">
                  <c:v>11</c:v>
                </c:pt>
                <c:pt idx="1">
                  <c:v>12</c:v>
                </c:pt>
              </c:numCache>
            </c:numRef>
          </c:val>
          <c:extLst>
            <c:ext xmlns:c16="http://schemas.microsoft.com/office/drawing/2014/chart" uri="{C3380CC4-5D6E-409C-BE32-E72D297353CC}">
              <c16:uniqueId val="{00000000-1C21-4890-BB85-1FC91E926118}"/>
            </c:ext>
          </c:extLst>
        </c:ser>
        <c:ser>
          <c:idx val="1"/>
          <c:order val="1"/>
          <c:tx>
            <c:strRef>
              <c:f>Лист1!$C$1</c:f>
              <c:strCache>
                <c:ptCount val="1"/>
                <c:pt idx="0">
                  <c:v>Левый</c:v>
                </c:pt>
              </c:strCache>
            </c:strRef>
          </c:tx>
          <c:spPr>
            <a:solidFill>
              <a:srgbClr val="FFFF00"/>
            </a:solidFill>
            <a:ln>
              <a:noFill/>
            </a:ln>
            <a:effectLst>
              <a:outerShdw blurRad="57150" dist="19050" dir="5400000" algn="ctr" rotWithShape="0">
                <a:srgbClr val="000000">
                  <a:alpha val="63000"/>
                </a:srgbClr>
              </a:outerShdw>
            </a:effectLst>
            <a:sp3d/>
          </c:spPr>
          <c:invertIfNegative val="0"/>
          <c:cat>
            <c:strRef>
              <c:f>Лист1!$A$2:$A$3</c:f>
              <c:strCache>
                <c:ptCount val="2"/>
                <c:pt idx="0">
                  <c:v>Основная группа</c:v>
                </c:pt>
                <c:pt idx="1">
                  <c:v>Контрольная группа</c:v>
                </c:pt>
              </c:strCache>
            </c:strRef>
          </c:cat>
          <c:val>
            <c:numRef>
              <c:f>Лист1!$C$2:$C$3</c:f>
              <c:numCache>
                <c:formatCode>General</c:formatCode>
                <c:ptCount val="2"/>
                <c:pt idx="0">
                  <c:v>19</c:v>
                </c:pt>
                <c:pt idx="1">
                  <c:v>18</c:v>
                </c:pt>
              </c:numCache>
            </c:numRef>
          </c:val>
          <c:extLst>
            <c:ext xmlns:c16="http://schemas.microsoft.com/office/drawing/2014/chart" uri="{C3380CC4-5D6E-409C-BE32-E72D297353CC}">
              <c16:uniqueId val="{00000001-1C21-4890-BB85-1FC91E926118}"/>
            </c:ext>
          </c:extLst>
        </c:ser>
        <c:dLbls>
          <c:showLegendKey val="0"/>
          <c:showVal val="0"/>
          <c:showCatName val="0"/>
          <c:showSerName val="0"/>
          <c:showPercent val="0"/>
          <c:showBubbleSize val="0"/>
        </c:dLbls>
        <c:gapWidth val="150"/>
        <c:shape val="box"/>
        <c:axId val="1302006096"/>
        <c:axId val="1302006512"/>
        <c:axId val="1506076800"/>
      </c:bar3DChart>
      <c:catAx>
        <c:axId val="13020060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302006512"/>
        <c:crosses val="autoZero"/>
        <c:auto val="1"/>
        <c:lblAlgn val="ctr"/>
        <c:lblOffset val="100"/>
        <c:noMultiLvlLbl val="0"/>
      </c:catAx>
      <c:valAx>
        <c:axId val="1302006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302006096"/>
        <c:crosses val="autoZero"/>
        <c:crossBetween val="between"/>
      </c:valAx>
      <c:serAx>
        <c:axId val="1506076800"/>
        <c:scaling>
          <c:orientation val="minMax"/>
        </c:scaling>
        <c:delete val="1"/>
        <c:axPos val="b"/>
        <c:majorTickMark val="none"/>
        <c:minorTickMark val="none"/>
        <c:tickLblPos val="nextTo"/>
        <c:crossAx val="130200651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VAS</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lineChart>
        <c:grouping val="standard"/>
        <c:varyColors val="0"/>
        <c:ser>
          <c:idx val="1"/>
          <c:order val="1"/>
          <c:tx>
            <c:strRef>
              <c:f>VAS!$C$7</c:f>
              <c:strCache>
                <c:ptCount val="1"/>
                <c:pt idx="0">
                  <c:v>Контрольная группа</c:v>
                </c:pt>
              </c:strCache>
            </c:strRef>
          </c:tx>
          <c:spPr>
            <a:ln w="28575" cap="rnd">
              <a:solidFill>
                <a:srgbClr val="FF0000"/>
              </a:solidFill>
              <a:round/>
            </a:ln>
            <a:effectLst/>
          </c:spPr>
          <c:marker>
            <c:symbol val="circle"/>
            <c:size val="5"/>
            <c:spPr>
              <a:solidFill>
                <a:schemeClr val="accent2"/>
              </a:solidFill>
              <a:ln w="9525">
                <a:solidFill>
                  <a:srgbClr val="FF0000"/>
                </a:solidFill>
              </a:ln>
              <a:effectLst/>
            </c:spPr>
          </c:marker>
          <c:dPt>
            <c:idx val="2"/>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0-3104-47D6-AD42-271762633457}"/>
              </c:ext>
            </c:extLst>
          </c:dPt>
          <c:dPt>
            <c:idx val="3"/>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1-3104-47D6-AD42-271762633457}"/>
              </c:ext>
            </c:extLst>
          </c:dPt>
          <c:dPt>
            <c:idx val="4"/>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2-3104-47D6-AD42-271762633457}"/>
              </c:ext>
            </c:extLst>
          </c:dPt>
          <c:dPt>
            <c:idx val="5"/>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3-3104-47D6-AD42-271762633457}"/>
              </c:ext>
            </c:extLst>
          </c:dPt>
          <c:cat>
            <c:strRef>
              <c:f>VAS!$A$8:$A$13</c:f>
              <c:strCache>
                <c:ptCount val="6"/>
                <c:pt idx="0">
                  <c:v>Предоперационный периоде </c:v>
                </c:pt>
                <c:pt idx="1">
                  <c:v>При выписке</c:v>
                </c:pt>
                <c:pt idx="2">
                  <c:v>Через 1,5 месяца </c:v>
                </c:pt>
                <c:pt idx="3">
                  <c:v>Через 3 месяца</c:v>
                </c:pt>
                <c:pt idx="4">
                  <c:v>Через 6 месяцев</c:v>
                </c:pt>
                <c:pt idx="5">
                  <c:v>Через 12 месяцев </c:v>
                </c:pt>
              </c:strCache>
            </c:strRef>
          </c:cat>
          <c:val>
            <c:numRef>
              <c:f>VAS!$C$8:$C$13</c:f>
              <c:numCache>
                <c:formatCode>General</c:formatCode>
                <c:ptCount val="6"/>
                <c:pt idx="0">
                  <c:v>7</c:v>
                </c:pt>
                <c:pt idx="1">
                  <c:v>5</c:v>
                </c:pt>
                <c:pt idx="2">
                  <c:v>5</c:v>
                </c:pt>
                <c:pt idx="3">
                  <c:v>4</c:v>
                </c:pt>
                <c:pt idx="4">
                  <c:v>3</c:v>
                </c:pt>
                <c:pt idx="5">
                  <c:v>3</c:v>
                </c:pt>
              </c:numCache>
            </c:numRef>
          </c:val>
          <c:smooth val="0"/>
          <c:extLst>
            <c:ext xmlns:c16="http://schemas.microsoft.com/office/drawing/2014/chart" uri="{C3380CC4-5D6E-409C-BE32-E72D297353CC}">
              <c16:uniqueId val="{00000004-3104-47D6-AD42-271762633457}"/>
            </c:ext>
          </c:extLst>
        </c:ser>
        <c:dLbls>
          <c:showLegendKey val="0"/>
          <c:showVal val="0"/>
          <c:showCatName val="0"/>
          <c:showSerName val="0"/>
          <c:showPercent val="0"/>
          <c:showBubbleSize val="0"/>
        </c:dLbls>
        <c:marker val="1"/>
        <c:smooth val="0"/>
        <c:axId val="617810992"/>
        <c:axId val="617812240"/>
      </c:lineChart>
      <c:lineChart>
        <c:grouping val="standard"/>
        <c:varyColors val="0"/>
        <c:ser>
          <c:idx val="0"/>
          <c:order val="0"/>
          <c:tx>
            <c:strRef>
              <c:f>VAS!$B$7</c:f>
              <c:strCache>
                <c:ptCount val="1"/>
                <c:pt idx="0">
                  <c:v>Основная группа</c:v>
                </c:pt>
              </c:strCache>
            </c:strRef>
          </c:tx>
          <c:spPr>
            <a:ln w="28575" cap="rnd">
              <a:solidFill>
                <a:srgbClr val="00B050"/>
              </a:solidFill>
              <a:round/>
            </a:ln>
            <a:effectLst/>
          </c:spPr>
          <c:marker>
            <c:symbol val="circle"/>
            <c:size val="5"/>
            <c:spPr>
              <a:solidFill>
                <a:srgbClr val="00B050"/>
              </a:solidFill>
              <a:ln w="9525">
                <a:solidFill>
                  <a:srgbClr val="00B050"/>
                </a:solidFill>
              </a:ln>
              <a:effectLst/>
            </c:spPr>
          </c:marker>
          <c:cat>
            <c:strRef>
              <c:f>VAS!$A$8:$A$13</c:f>
              <c:strCache>
                <c:ptCount val="6"/>
                <c:pt idx="0">
                  <c:v>Предоперационный периоде </c:v>
                </c:pt>
                <c:pt idx="1">
                  <c:v>При выписке</c:v>
                </c:pt>
                <c:pt idx="2">
                  <c:v>Через 1,5 месяца </c:v>
                </c:pt>
                <c:pt idx="3">
                  <c:v>Через 3 месяца</c:v>
                </c:pt>
                <c:pt idx="4">
                  <c:v>Через 6 месяцев</c:v>
                </c:pt>
                <c:pt idx="5">
                  <c:v>Через 12 месяцев </c:v>
                </c:pt>
              </c:strCache>
            </c:strRef>
          </c:cat>
          <c:val>
            <c:numRef>
              <c:f>VAS!$B$8:$B$13</c:f>
              <c:numCache>
                <c:formatCode>General</c:formatCode>
                <c:ptCount val="6"/>
                <c:pt idx="0">
                  <c:v>7</c:v>
                </c:pt>
                <c:pt idx="1">
                  <c:v>5</c:v>
                </c:pt>
                <c:pt idx="2">
                  <c:v>4</c:v>
                </c:pt>
                <c:pt idx="3">
                  <c:v>3</c:v>
                </c:pt>
                <c:pt idx="4">
                  <c:v>2</c:v>
                </c:pt>
                <c:pt idx="5">
                  <c:v>2</c:v>
                </c:pt>
              </c:numCache>
            </c:numRef>
          </c:val>
          <c:smooth val="0"/>
          <c:extLst>
            <c:ext xmlns:c16="http://schemas.microsoft.com/office/drawing/2014/chart" uri="{C3380CC4-5D6E-409C-BE32-E72D297353CC}">
              <c16:uniqueId val="{00000005-3104-47D6-AD42-271762633457}"/>
            </c:ext>
          </c:extLst>
        </c:ser>
        <c:dLbls>
          <c:showLegendKey val="0"/>
          <c:showVal val="0"/>
          <c:showCatName val="0"/>
          <c:showSerName val="0"/>
          <c:showPercent val="0"/>
          <c:showBubbleSize val="0"/>
        </c:dLbls>
        <c:marker val="1"/>
        <c:smooth val="0"/>
        <c:axId val="937616272"/>
        <c:axId val="937631248"/>
      </c:lineChart>
      <c:catAx>
        <c:axId val="61781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17812240"/>
        <c:crosses val="autoZero"/>
        <c:auto val="1"/>
        <c:lblAlgn val="ctr"/>
        <c:lblOffset val="100"/>
        <c:noMultiLvlLbl val="0"/>
      </c:catAx>
      <c:valAx>
        <c:axId val="617812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617810992"/>
        <c:crosses val="autoZero"/>
        <c:crossBetween val="between"/>
      </c:valAx>
      <c:valAx>
        <c:axId val="937631248"/>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937616272"/>
        <c:crosses val="max"/>
        <c:crossBetween val="between"/>
      </c:valAx>
      <c:catAx>
        <c:axId val="937616272"/>
        <c:scaling>
          <c:orientation val="minMax"/>
        </c:scaling>
        <c:delete val="1"/>
        <c:axPos val="b"/>
        <c:numFmt formatCode="General" sourceLinked="1"/>
        <c:majorTickMark val="out"/>
        <c:minorTickMark val="none"/>
        <c:tickLblPos val="nextTo"/>
        <c:crossAx val="9376312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4">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HHS!$A$2:$A$181</cx:f>
        <cx:lvl ptCount="180">
          <cx:pt idx="0">Предоперационный</cx:pt>
          <cx:pt idx="1">Предоперационный</cx:pt>
          <cx:pt idx="2">Предоперационный</cx:pt>
          <cx:pt idx="3">Предоперационный</cx:pt>
          <cx:pt idx="4">Предоперационный</cx:pt>
          <cx:pt idx="5">Предоперационный</cx:pt>
          <cx:pt idx="6">Предоперационный</cx:pt>
          <cx:pt idx="7">Предоперационный</cx:pt>
          <cx:pt idx="8">Предоперационный</cx:pt>
          <cx:pt idx="9">Предоперационный</cx:pt>
          <cx:pt idx="10">Предоперационный</cx:pt>
          <cx:pt idx="11">Предоперационный</cx:pt>
          <cx:pt idx="12">Предоперационный</cx:pt>
          <cx:pt idx="13">Предоперационный</cx:pt>
          <cx:pt idx="14">Предоперационный</cx:pt>
          <cx:pt idx="15">Предоперационный</cx:pt>
          <cx:pt idx="16">Предоперационный</cx:pt>
          <cx:pt idx="17">Предоперационный</cx:pt>
          <cx:pt idx="18">Предоперационный</cx:pt>
          <cx:pt idx="19">Предоперационный</cx:pt>
          <cx:pt idx="20">Предоперационный</cx:pt>
          <cx:pt idx="21">Предоперационный</cx:pt>
          <cx:pt idx="22">Предоперационный</cx:pt>
          <cx:pt idx="23">Предоперационный</cx:pt>
          <cx:pt idx="24">Предоперационный</cx:pt>
          <cx:pt idx="25">Предоперационный</cx:pt>
          <cx:pt idx="26">Предоперационный</cx:pt>
          <cx:pt idx="27">Предоперационный</cx:pt>
          <cx:pt idx="28">Предоперационный</cx:pt>
          <cx:pt idx="29">Предоперационный</cx:pt>
          <cx:pt idx="30">При выписке</cx:pt>
          <cx:pt idx="31">При выписке</cx:pt>
          <cx:pt idx="32">При выписке</cx:pt>
          <cx:pt idx="33">При выписке</cx:pt>
          <cx:pt idx="34">При выписке</cx:pt>
          <cx:pt idx="35">При выписке</cx:pt>
          <cx:pt idx="36">При выписке</cx:pt>
          <cx:pt idx="37">При выписке</cx:pt>
          <cx:pt idx="38">При выписке</cx:pt>
          <cx:pt idx="39">При выписке</cx:pt>
          <cx:pt idx="40">При выписке</cx:pt>
          <cx:pt idx="41">При выписке</cx:pt>
          <cx:pt idx="42">При выписке</cx:pt>
          <cx:pt idx="43">При выписке</cx:pt>
          <cx:pt idx="44">При выписке</cx:pt>
          <cx:pt idx="45">При выписке</cx:pt>
          <cx:pt idx="46">При выписке</cx:pt>
          <cx:pt idx="47">При выписке</cx:pt>
          <cx:pt idx="48">При выписке</cx:pt>
          <cx:pt idx="49">При выписке</cx:pt>
          <cx:pt idx="50">При выписке</cx:pt>
          <cx:pt idx="51">При выписке</cx:pt>
          <cx:pt idx="52">При выписке</cx:pt>
          <cx:pt idx="53">При выписке</cx:pt>
          <cx:pt idx="54">При выписке</cx:pt>
          <cx:pt idx="55">При выписке</cx:pt>
          <cx:pt idx="56">При выписке</cx:pt>
          <cx:pt idx="57">При выписке</cx:pt>
          <cx:pt idx="58">При выписке</cx:pt>
          <cx:pt idx="59">При выписке</cx:pt>
          <cx:pt idx="60">через 1,5 месяца</cx:pt>
          <cx:pt idx="61">через 1,5 месяца</cx:pt>
          <cx:pt idx="62">через 1,5 месяца</cx:pt>
          <cx:pt idx="63">через 1,5 месяца</cx:pt>
          <cx:pt idx="64">через 1,5 месяца</cx:pt>
          <cx:pt idx="65">через 1,5 месяца</cx:pt>
          <cx:pt idx="66">через 1,5 месяца</cx:pt>
          <cx:pt idx="67">через 1,5 месяца</cx:pt>
          <cx:pt idx="68">через 1,5 месяца</cx:pt>
          <cx:pt idx="69">через 1,5 месяца</cx:pt>
          <cx:pt idx="70">через 1,5 месяца</cx:pt>
          <cx:pt idx="71">через 1,5 месяца</cx:pt>
          <cx:pt idx="72">через 1,5 месяца</cx:pt>
          <cx:pt idx="73">через 1,5 месяца</cx:pt>
          <cx:pt idx="74">через 1,5 месяца</cx:pt>
          <cx:pt idx="75">через 1,5 месяца</cx:pt>
          <cx:pt idx="76">через 1,5 месяца</cx:pt>
          <cx:pt idx="77">через 1,5 месяца</cx:pt>
          <cx:pt idx="78">через 1,5 месяца</cx:pt>
          <cx:pt idx="79">через 1,5 месяца</cx:pt>
          <cx:pt idx="80">через 1,5 месяца</cx:pt>
          <cx:pt idx="81">через 1,5 месяца</cx:pt>
          <cx:pt idx="82">через 1,5 месяца</cx:pt>
          <cx:pt idx="83">через 1,5 месяца</cx:pt>
          <cx:pt idx="84">через 1,5 месяца</cx:pt>
          <cx:pt idx="85">через 1,5 месяца</cx:pt>
          <cx:pt idx="86">через 1,5 месяца</cx:pt>
          <cx:pt idx="87">через 1,5 месяца</cx:pt>
          <cx:pt idx="88">через 1,5 месяца</cx:pt>
          <cx:pt idx="89">через 1,5 месяца</cx:pt>
          <cx:pt idx="90">через 3 месяца</cx:pt>
          <cx:pt idx="91">через 3 месяца</cx:pt>
          <cx:pt idx="92">через 3 месяца</cx:pt>
          <cx:pt idx="93">через 3 месяца</cx:pt>
          <cx:pt idx="94">через 3 месяца</cx:pt>
          <cx:pt idx="95">через 3 месяца</cx:pt>
          <cx:pt idx="96">через 3 месяца</cx:pt>
          <cx:pt idx="97">через 3 месяца</cx:pt>
          <cx:pt idx="98">через 3 месяца</cx:pt>
          <cx:pt idx="99">через 3 месяца</cx:pt>
          <cx:pt idx="100">через 3 месяца</cx:pt>
          <cx:pt idx="101">через 3 месяца</cx:pt>
          <cx:pt idx="102">через 3 месяца</cx:pt>
          <cx:pt idx="103">через 3 месяца</cx:pt>
          <cx:pt idx="104">через 3 месяца</cx:pt>
          <cx:pt idx="105">через 3 месяца</cx:pt>
          <cx:pt idx="106">через 3 месяца</cx:pt>
          <cx:pt idx="107">через 3 месяца</cx:pt>
          <cx:pt idx="108">через 3 месяца</cx:pt>
          <cx:pt idx="109">через 3 месяца</cx:pt>
          <cx:pt idx="110">через 3 месяца</cx:pt>
          <cx:pt idx="111">через 3 месяца</cx:pt>
          <cx:pt idx="112">через 3 месяца</cx:pt>
          <cx:pt idx="113">через 3 месяца</cx:pt>
          <cx:pt idx="114">через 3 месяца</cx:pt>
          <cx:pt idx="115">через 3 месяца</cx:pt>
          <cx:pt idx="116">через 3 месяца</cx:pt>
          <cx:pt idx="117">через 3 месяца</cx:pt>
          <cx:pt idx="118">через 3 месяца</cx:pt>
          <cx:pt idx="119">через 3 месяца</cx:pt>
          <cx:pt idx="120">через 6 месяца</cx:pt>
          <cx:pt idx="121">через 6 месяца</cx:pt>
          <cx:pt idx="122">через 6 месяца</cx:pt>
          <cx:pt idx="123">через 6 месяца</cx:pt>
          <cx:pt idx="124">через 6 месяца</cx:pt>
          <cx:pt idx="125">через 6 месяца</cx:pt>
          <cx:pt idx="126">через 6 месяца</cx:pt>
          <cx:pt idx="127">через 6 месяца</cx:pt>
          <cx:pt idx="128">через 6 месяца</cx:pt>
          <cx:pt idx="129">через 6 месяца</cx:pt>
          <cx:pt idx="130">через 6 месяца</cx:pt>
          <cx:pt idx="131">через 6 месяца</cx:pt>
          <cx:pt idx="132">через 6 месяца</cx:pt>
          <cx:pt idx="133">через 6 месяца</cx:pt>
          <cx:pt idx="134">через 6 месяца</cx:pt>
          <cx:pt idx="135">через 6 месяца</cx:pt>
          <cx:pt idx="136">через 6 месяца</cx:pt>
          <cx:pt idx="137">через 6 месяца</cx:pt>
          <cx:pt idx="138">через 6 месяца</cx:pt>
          <cx:pt idx="139">через 6 месяца</cx:pt>
          <cx:pt idx="140">через 6 месяца</cx:pt>
          <cx:pt idx="141">через 6 месяца</cx:pt>
          <cx:pt idx="142">через 6 месяца</cx:pt>
          <cx:pt idx="143">через 6 месяца</cx:pt>
          <cx:pt idx="144">через 6 месяца</cx:pt>
          <cx:pt idx="145">через 6 месяца</cx:pt>
          <cx:pt idx="146">через 6 месяца</cx:pt>
          <cx:pt idx="147">через 6 месяца</cx:pt>
          <cx:pt idx="148">через 6 месяца</cx:pt>
          <cx:pt idx="149">через 6 месяца</cx:pt>
          <cx:pt idx="150">через 12 месяца</cx:pt>
          <cx:pt idx="151">через 12 месяца</cx:pt>
          <cx:pt idx="152">через 12 месяца</cx:pt>
          <cx:pt idx="153">через 12 месяца</cx:pt>
          <cx:pt idx="154">через 12 месяца</cx:pt>
          <cx:pt idx="155">через 12 месяца</cx:pt>
          <cx:pt idx="156">через 12 месяца</cx:pt>
          <cx:pt idx="157">через 12 месяца</cx:pt>
          <cx:pt idx="158">через 12 месяца</cx:pt>
          <cx:pt idx="159">через 12 месяца</cx:pt>
          <cx:pt idx="160">через 12 месяца</cx:pt>
          <cx:pt idx="161">через 12 месяца</cx:pt>
          <cx:pt idx="162">через 12 месяца</cx:pt>
          <cx:pt idx="163">через 12 месяца</cx:pt>
          <cx:pt idx="164">через 12 месяца</cx:pt>
          <cx:pt idx="165">через 12 месяца</cx:pt>
          <cx:pt idx="166">через 12 месяца</cx:pt>
          <cx:pt idx="167">через 12 месяца</cx:pt>
          <cx:pt idx="168">через 12 месяца</cx:pt>
          <cx:pt idx="169">через 12 месяца</cx:pt>
          <cx:pt idx="170">через 12 месяца</cx:pt>
          <cx:pt idx="171">через 12 месяца</cx:pt>
          <cx:pt idx="172">через 12 месяца</cx:pt>
          <cx:pt idx="173">через 12 месяца</cx:pt>
          <cx:pt idx="174">через 12 месяца</cx:pt>
          <cx:pt idx="175">через 12 месяца</cx:pt>
          <cx:pt idx="176">через 12 месяца</cx:pt>
          <cx:pt idx="177">через 12 месяца</cx:pt>
          <cx:pt idx="178">через 12 месяца</cx:pt>
          <cx:pt idx="179">через 12 месяца</cx:pt>
        </cx:lvl>
      </cx:strDim>
      <cx:numDim type="val">
        <cx:f>HHS!$B$2:$B$181</cx:f>
        <cx:lvl ptCount="180" formatCode="Основной">
          <cx:pt idx="0">75</cx:pt>
          <cx:pt idx="1">69</cx:pt>
          <cx:pt idx="2">76</cx:pt>
          <cx:pt idx="3">67</cx:pt>
          <cx:pt idx="4">66</cx:pt>
          <cx:pt idx="5">75</cx:pt>
          <cx:pt idx="6">65</cx:pt>
          <cx:pt idx="7">65</cx:pt>
          <cx:pt idx="8">66</cx:pt>
          <cx:pt idx="9">60</cx:pt>
          <cx:pt idx="10">70</cx:pt>
          <cx:pt idx="11">60</cx:pt>
          <cx:pt idx="12">60</cx:pt>
          <cx:pt idx="13">75</cx:pt>
          <cx:pt idx="14">60</cx:pt>
          <cx:pt idx="15">74</cx:pt>
          <cx:pt idx="16">69</cx:pt>
          <cx:pt idx="17">73</cx:pt>
          <cx:pt idx="18">65</cx:pt>
          <cx:pt idx="19">60</cx:pt>
          <cx:pt idx="20">68</cx:pt>
          <cx:pt idx="21">69</cx:pt>
          <cx:pt idx="22">60</cx:pt>
          <cx:pt idx="23">68</cx:pt>
          <cx:pt idx="24">70</cx:pt>
          <cx:pt idx="25">65</cx:pt>
          <cx:pt idx="26">70</cx:pt>
          <cx:pt idx="27">70</cx:pt>
          <cx:pt idx="28">60</cx:pt>
          <cx:pt idx="29">60</cx:pt>
          <cx:pt idx="30">80</cx:pt>
          <cx:pt idx="31">80</cx:pt>
          <cx:pt idx="32">80</cx:pt>
          <cx:pt idx="33">74</cx:pt>
          <cx:pt idx="34">75</cx:pt>
          <cx:pt idx="35">80</cx:pt>
          <cx:pt idx="36">80</cx:pt>
          <cx:pt idx="37">80</cx:pt>
          <cx:pt idx="38">80</cx:pt>
          <cx:pt idx="39">78</cx:pt>
          <cx:pt idx="40">80</cx:pt>
          <cx:pt idx="41">79</cx:pt>
          <cx:pt idx="42">80</cx:pt>
          <cx:pt idx="43">82</cx:pt>
          <cx:pt idx="44">78</cx:pt>
          <cx:pt idx="45">84</cx:pt>
          <cx:pt idx="46">79</cx:pt>
          <cx:pt idx="47">78</cx:pt>
          <cx:pt idx="48">75</cx:pt>
          <cx:pt idx="49">75</cx:pt>
          <cx:pt idx="50">78</cx:pt>
          <cx:pt idx="51">78</cx:pt>
          <cx:pt idx="52">78</cx:pt>
          <cx:pt idx="53">79</cx:pt>
          <cx:pt idx="54">77</cx:pt>
          <cx:pt idx="55">78</cx:pt>
          <cx:pt idx="56">79</cx:pt>
          <cx:pt idx="57">82</cx:pt>
          <cx:pt idx="58">78</cx:pt>
          <cx:pt idx="59">75</cx:pt>
          <cx:pt idx="60">81</cx:pt>
          <cx:pt idx="61">82</cx:pt>
          <cx:pt idx="62">82</cx:pt>
          <cx:pt idx="63">80</cx:pt>
          <cx:pt idx="64">80</cx:pt>
          <cx:pt idx="65">85</cx:pt>
          <cx:pt idx="66">82</cx:pt>
          <cx:pt idx="67">85</cx:pt>
          <cx:pt idx="68">80</cx:pt>
          <cx:pt idx="69">82</cx:pt>
          <cx:pt idx="70">85</cx:pt>
          <cx:pt idx="71">82</cx:pt>
          <cx:pt idx="72">81</cx:pt>
          <cx:pt idx="73">83</cx:pt>
          <cx:pt idx="74">85</cx:pt>
          <cx:pt idx="75">84</cx:pt>
          <cx:pt idx="76">80</cx:pt>
          <cx:pt idx="77">84</cx:pt>
          <cx:pt idx="78">80</cx:pt>
          <cx:pt idx="79">79</cx:pt>
          <cx:pt idx="80">80</cx:pt>
          <cx:pt idx="81">80</cx:pt>
          <cx:pt idx="82">82</cx:pt>
          <cx:pt idx="83">82</cx:pt>
          <cx:pt idx="84">80</cx:pt>
          <cx:pt idx="85">84</cx:pt>
          <cx:pt idx="86">80</cx:pt>
          <cx:pt idx="87">84</cx:pt>
          <cx:pt idx="88">82</cx:pt>
          <cx:pt idx="89">85</cx:pt>
          <cx:pt idx="90">82</cx:pt>
          <cx:pt idx="91">82</cx:pt>
          <cx:pt idx="92">80</cx:pt>
          <cx:pt idx="93">82</cx:pt>
          <cx:pt idx="94">80</cx:pt>
          <cx:pt idx="95">85</cx:pt>
          <cx:pt idx="96">83</cx:pt>
          <cx:pt idx="97">85</cx:pt>
          <cx:pt idx="98">88</cx:pt>
          <cx:pt idx="99">83</cx:pt>
          <cx:pt idx="100">84</cx:pt>
          <cx:pt idx="101">86</cx:pt>
          <cx:pt idx="102">83</cx:pt>
          <cx:pt idx="103">83</cx:pt>
          <cx:pt idx="104">80</cx:pt>
          <cx:pt idx="105">86</cx:pt>
          <cx:pt idx="106">85</cx:pt>
          <cx:pt idx="107">85</cx:pt>
          <cx:pt idx="108">84</cx:pt>
          <cx:pt idx="109">87</cx:pt>
          <cx:pt idx="110">82</cx:pt>
          <cx:pt idx="111">83</cx:pt>
          <cx:pt idx="112">85</cx:pt>
          <cx:pt idx="113">85</cx:pt>
          <cx:pt idx="114">82</cx:pt>
          <cx:pt idx="115">83</cx:pt>
          <cx:pt idx="116">85</cx:pt>
          <cx:pt idx="117">86</cx:pt>
          <cx:pt idx="118">90</cx:pt>
          <cx:pt idx="119">88</cx:pt>
          <cx:pt idx="120">84</cx:pt>
          <cx:pt idx="121">85</cx:pt>
          <cx:pt idx="122">88</cx:pt>
          <cx:pt idx="123">86</cx:pt>
          <cx:pt idx="124">88</cx:pt>
          <cx:pt idx="125">85</cx:pt>
          <cx:pt idx="126">84</cx:pt>
          <cx:pt idx="127">85</cx:pt>
          <cx:pt idx="128">86</cx:pt>
          <cx:pt idx="129">85</cx:pt>
          <cx:pt idx="130">87</cx:pt>
          <cx:pt idx="131">88</cx:pt>
          <cx:pt idx="132">85</cx:pt>
          <cx:pt idx="133">84</cx:pt>
          <cx:pt idx="134">85</cx:pt>
          <cx:pt idx="135">85</cx:pt>
          <cx:pt idx="136">86</cx:pt>
          <cx:pt idx="137">88</cx:pt>
          <cx:pt idx="138">87</cx:pt>
          <cx:pt idx="139">90</cx:pt>
          <cx:pt idx="140">83</cx:pt>
          <cx:pt idx="141">80</cx:pt>
          <cx:pt idx="142">86</cx:pt>
          <cx:pt idx="143">86</cx:pt>
          <cx:pt idx="144">88</cx:pt>
          <cx:pt idx="145">92</cx:pt>
          <cx:pt idx="146">87</cx:pt>
          <cx:pt idx="147">86</cx:pt>
          <cx:pt idx="148">92</cx:pt>
          <cx:pt idx="149">90</cx:pt>
          <cx:pt idx="150">90</cx:pt>
          <cx:pt idx="151">88</cx:pt>
          <cx:pt idx="152">91</cx:pt>
          <cx:pt idx="153">90</cx:pt>
          <cx:pt idx="154">88</cx:pt>
          <cx:pt idx="155">90</cx:pt>
          <cx:pt idx="156">89</cx:pt>
          <cx:pt idx="157">90</cx:pt>
          <cx:pt idx="158">90</cx:pt>
          <cx:pt idx="159">90</cx:pt>
          <cx:pt idx="160">90</cx:pt>
          <cx:pt idx="161">92</cx:pt>
          <cx:pt idx="162">92</cx:pt>
          <cx:pt idx="163">90</cx:pt>
          <cx:pt idx="164">92</cx:pt>
          <cx:pt idx="165">89</cx:pt>
          <cx:pt idx="166">90</cx:pt>
          <cx:pt idx="167">90</cx:pt>
          <cx:pt idx="168">89</cx:pt>
          <cx:pt idx="169">92</cx:pt>
          <cx:pt idx="170">90</cx:pt>
          <cx:pt idx="171">90</cx:pt>
          <cx:pt idx="172">90</cx:pt>
          <cx:pt idx="173">91</cx:pt>
          <cx:pt idx="174">90</cx:pt>
          <cx:pt idx="175">89</cx:pt>
          <cx:pt idx="176">90</cx:pt>
          <cx:pt idx="177">92</cx:pt>
          <cx:pt idx="178">90</cx:pt>
          <cx:pt idx="179">90</cx:pt>
        </cx:lvl>
      </cx:numDim>
    </cx:data>
    <cx:data id="1">
      <cx:strDim type="cat">
        <cx:f>HHS!$A$2:$A$181</cx:f>
        <cx:lvl ptCount="180">
          <cx:pt idx="0">Предоперационный</cx:pt>
          <cx:pt idx="1">Предоперационный</cx:pt>
          <cx:pt idx="2">Предоперационный</cx:pt>
          <cx:pt idx="3">Предоперационный</cx:pt>
          <cx:pt idx="4">Предоперационный</cx:pt>
          <cx:pt idx="5">Предоперационный</cx:pt>
          <cx:pt idx="6">Предоперационный</cx:pt>
          <cx:pt idx="7">Предоперационный</cx:pt>
          <cx:pt idx="8">Предоперационный</cx:pt>
          <cx:pt idx="9">Предоперационный</cx:pt>
          <cx:pt idx="10">Предоперационный</cx:pt>
          <cx:pt idx="11">Предоперационный</cx:pt>
          <cx:pt idx="12">Предоперационный</cx:pt>
          <cx:pt idx="13">Предоперационный</cx:pt>
          <cx:pt idx="14">Предоперационный</cx:pt>
          <cx:pt idx="15">Предоперационный</cx:pt>
          <cx:pt idx="16">Предоперационный</cx:pt>
          <cx:pt idx="17">Предоперационный</cx:pt>
          <cx:pt idx="18">Предоперационный</cx:pt>
          <cx:pt idx="19">Предоперационный</cx:pt>
          <cx:pt idx="20">Предоперационный</cx:pt>
          <cx:pt idx="21">Предоперационный</cx:pt>
          <cx:pt idx="22">Предоперационный</cx:pt>
          <cx:pt idx="23">Предоперационный</cx:pt>
          <cx:pt idx="24">Предоперационный</cx:pt>
          <cx:pt idx="25">Предоперационный</cx:pt>
          <cx:pt idx="26">Предоперационный</cx:pt>
          <cx:pt idx="27">Предоперационный</cx:pt>
          <cx:pt idx="28">Предоперационный</cx:pt>
          <cx:pt idx="29">Предоперационный</cx:pt>
          <cx:pt idx="30">При выписке</cx:pt>
          <cx:pt idx="31">При выписке</cx:pt>
          <cx:pt idx="32">При выписке</cx:pt>
          <cx:pt idx="33">При выписке</cx:pt>
          <cx:pt idx="34">При выписке</cx:pt>
          <cx:pt idx="35">При выписке</cx:pt>
          <cx:pt idx="36">При выписке</cx:pt>
          <cx:pt idx="37">При выписке</cx:pt>
          <cx:pt idx="38">При выписке</cx:pt>
          <cx:pt idx="39">При выписке</cx:pt>
          <cx:pt idx="40">При выписке</cx:pt>
          <cx:pt idx="41">При выписке</cx:pt>
          <cx:pt idx="42">При выписке</cx:pt>
          <cx:pt idx="43">При выписке</cx:pt>
          <cx:pt idx="44">При выписке</cx:pt>
          <cx:pt idx="45">При выписке</cx:pt>
          <cx:pt idx="46">При выписке</cx:pt>
          <cx:pt idx="47">При выписке</cx:pt>
          <cx:pt idx="48">При выписке</cx:pt>
          <cx:pt idx="49">При выписке</cx:pt>
          <cx:pt idx="50">При выписке</cx:pt>
          <cx:pt idx="51">При выписке</cx:pt>
          <cx:pt idx="52">При выписке</cx:pt>
          <cx:pt idx="53">При выписке</cx:pt>
          <cx:pt idx="54">При выписке</cx:pt>
          <cx:pt idx="55">При выписке</cx:pt>
          <cx:pt idx="56">При выписке</cx:pt>
          <cx:pt idx="57">При выписке</cx:pt>
          <cx:pt idx="58">При выписке</cx:pt>
          <cx:pt idx="59">При выписке</cx:pt>
          <cx:pt idx="60">через 1,5 месяца</cx:pt>
          <cx:pt idx="61">через 1,5 месяца</cx:pt>
          <cx:pt idx="62">через 1,5 месяца</cx:pt>
          <cx:pt idx="63">через 1,5 месяца</cx:pt>
          <cx:pt idx="64">через 1,5 месяца</cx:pt>
          <cx:pt idx="65">через 1,5 месяца</cx:pt>
          <cx:pt idx="66">через 1,5 месяца</cx:pt>
          <cx:pt idx="67">через 1,5 месяца</cx:pt>
          <cx:pt idx="68">через 1,5 месяца</cx:pt>
          <cx:pt idx="69">через 1,5 месяца</cx:pt>
          <cx:pt idx="70">через 1,5 месяца</cx:pt>
          <cx:pt idx="71">через 1,5 месяца</cx:pt>
          <cx:pt idx="72">через 1,5 месяца</cx:pt>
          <cx:pt idx="73">через 1,5 месяца</cx:pt>
          <cx:pt idx="74">через 1,5 месяца</cx:pt>
          <cx:pt idx="75">через 1,5 месяца</cx:pt>
          <cx:pt idx="76">через 1,5 месяца</cx:pt>
          <cx:pt idx="77">через 1,5 месяца</cx:pt>
          <cx:pt idx="78">через 1,5 месяца</cx:pt>
          <cx:pt idx="79">через 1,5 месяца</cx:pt>
          <cx:pt idx="80">через 1,5 месяца</cx:pt>
          <cx:pt idx="81">через 1,5 месяца</cx:pt>
          <cx:pt idx="82">через 1,5 месяца</cx:pt>
          <cx:pt idx="83">через 1,5 месяца</cx:pt>
          <cx:pt idx="84">через 1,5 месяца</cx:pt>
          <cx:pt idx="85">через 1,5 месяца</cx:pt>
          <cx:pt idx="86">через 1,5 месяца</cx:pt>
          <cx:pt idx="87">через 1,5 месяца</cx:pt>
          <cx:pt idx="88">через 1,5 месяца</cx:pt>
          <cx:pt idx="89">через 1,5 месяца</cx:pt>
          <cx:pt idx="90">через 3 месяца</cx:pt>
          <cx:pt idx="91">через 3 месяца</cx:pt>
          <cx:pt idx="92">через 3 месяца</cx:pt>
          <cx:pt idx="93">через 3 месяца</cx:pt>
          <cx:pt idx="94">через 3 месяца</cx:pt>
          <cx:pt idx="95">через 3 месяца</cx:pt>
          <cx:pt idx="96">через 3 месяца</cx:pt>
          <cx:pt idx="97">через 3 месяца</cx:pt>
          <cx:pt idx="98">через 3 месяца</cx:pt>
          <cx:pt idx="99">через 3 месяца</cx:pt>
          <cx:pt idx="100">через 3 месяца</cx:pt>
          <cx:pt idx="101">через 3 месяца</cx:pt>
          <cx:pt idx="102">через 3 месяца</cx:pt>
          <cx:pt idx="103">через 3 месяца</cx:pt>
          <cx:pt idx="104">через 3 месяца</cx:pt>
          <cx:pt idx="105">через 3 месяца</cx:pt>
          <cx:pt idx="106">через 3 месяца</cx:pt>
          <cx:pt idx="107">через 3 месяца</cx:pt>
          <cx:pt idx="108">через 3 месяца</cx:pt>
          <cx:pt idx="109">через 3 месяца</cx:pt>
          <cx:pt idx="110">через 3 месяца</cx:pt>
          <cx:pt idx="111">через 3 месяца</cx:pt>
          <cx:pt idx="112">через 3 месяца</cx:pt>
          <cx:pt idx="113">через 3 месяца</cx:pt>
          <cx:pt idx="114">через 3 месяца</cx:pt>
          <cx:pt idx="115">через 3 месяца</cx:pt>
          <cx:pt idx="116">через 3 месяца</cx:pt>
          <cx:pt idx="117">через 3 месяца</cx:pt>
          <cx:pt idx="118">через 3 месяца</cx:pt>
          <cx:pt idx="119">через 3 месяца</cx:pt>
          <cx:pt idx="120">через 6 месяца</cx:pt>
          <cx:pt idx="121">через 6 месяца</cx:pt>
          <cx:pt idx="122">через 6 месяца</cx:pt>
          <cx:pt idx="123">через 6 месяца</cx:pt>
          <cx:pt idx="124">через 6 месяца</cx:pt>
          <cx:pt idx="125">через 6 месяца</cx:pt>
          <cx:pt idx="126">через 6 месяца</cx:pt>
          <cx:pt idx="127">через 6 месяца</cx:pt>
          <cx:pt idx="128">через 6 месяца</cx:pt>
          <cx:pt idx="129">через 6 месяца</cx:pt>
          <cx:pt idx="130">через 6 месяца</cx:pt>
          <cx:pt idx="131">через 6 месяца</cx:pt>
          <cx:pt idx="132">через 6 месяца</cx:pt>
          <cx:pt idx="133">через 6 месяца</cx:pt>
          <cx:pt idx="134">через 6 месяца</cx:pt>
          <cx:pt idx="135">через 6 месяца</cx:pt>
          <cx:pt idx="136">через 6 месяца</cx:pt>
          <cx:pt idx="137">через 6 месяца</cx:pt>
          <cx:pt idx="138">через 6 месяца</cx:pt>
          <cx:pt idx="139">через 6 месяца</cx:pt>
          <cx:pt idx="140">через 6 месяца</cx:pt>
          <cx:pt idx="141">через 6 месяца</cx:pt>
          <cx:pt idx="142">через 6 месяца</cx:pt>
          <cx:pt idx="143">через 6 месяца</cx:pt>
          <cx:pt idx="144">через 6 месяца</cx:pt>
          <cx:pt idx="145">через 6 месяца</cx:pt>
          <cx:pt idx="146">через 6 месяца</cx:pt>
          <cx:pt idx="147">через 6 месяца</cx:pt>
          <cx:pt idx="148">через 6 месяца</cx:pt>
          <cx:pt idx="149">через 6 месяца</cx:pt>
          <cx:pt idx="150">через 12 месяца</cx:pt>
          <cx:pt idx="151">через 12 месяца</cx:pt>
          <cx:pt idx="152">через 12 месяца</cx:pt>
          <cx:pt idx="153">через 12 месяца</cx:pt>
          <cx:pt idx="154">через 12 месяца</cx:pt>
          <cx:pt idx="155">через 12 месяца</cx:pt>
          <cx:pt idx="156">через 12 месяца</cx:pt>
          <cx:pt idx="157">через 12 месяца</cx:pt>
          <cx:pt idx="158">через 12 месяца</cx:pt>
          <cx:pt idx="159">через 12 месяца</cx:pt>
          <cx:pt idx="160">через 12 месяца</cx:pt>
          <cx:pt idx="161">через 12 месяца</cx:pt>
          <cx:pt idx="162">через 12 месяца</cx:pt>
          <cx:pt idx="163">через 12 месяца</cx:pt>
          <cx:pt idx="164">через 12 месяца</cx:pt>
          <cx:pt idx="165">через 12 месяца</cx:pt>
          <cx:pt idx="166">через 12 месяца</cx:pt>
          <cx:pt idx="167">через 12 месяца</cx:pt>
          <cx:pt idx="168">через 12 месяца</cx:pt>
          <cx:pt idx="169">через 12 месяца</cx:pt>
          <cx:pt idx="170">через 12 месяца</cx:pt>
          <cx:pt idx="171">через 12 месяца</cx:pt>
          <cx:pt idx="172">через 12 месяца</cx:pt>
          <cx:pt idx="173">через 12 месяца</cx:pt>
          <cx:pt idx="174">через 12 месяца</cx:pt>
          <cx:pt idx="175">через 12 месяца</cx:pt>
          <cx:pt idx="176">через 12 месяца</cx:pt>
          <cx:pt idx="177">через 12 месяца</cx:pt>
          <cx:pt idx="178">через 12 месяца</cx:pt>
          <cx:pt idx="179">через 12 месяца</cx:pt>
        </cx:lvl>
      </cx:strDim>
      <cx:numDim type="val">
        <cx:f>HHS!$C$2:$C$181</cx:f>
        <cx:lvl ptCount="180" formatCode="Основной">
          <cx:pt idx="0">70</cx:pt>
          <cx:pt idx="1">70</cx:pt>
          <cx:pt idx="2">74</cx:pt>
          <cx:pt idx="3">70</cx:pt>
          <cx:pt idx="4">65</cx:pt>
          <cx:pt idx="5">67</cx:pt>
          <cx:pt idx="6">60</cx:pt>
          <cx:pt idx="7">66</cx:pt>
          <cx:pt idx="8">64</cx:pt>
          <cx:pt idx="9">63</cx:pt>
          <cx:pt idx="10">69</cx:pt>
          <cx:pt idx="11">69</cx:pt>
          <cx:pt idx="12">65</cx:pt>
          <cx:pt idx="13">70</cx:pt>
          <cx:pt idx="14">65</cx:pt>
          <cx:pt idx="15">65</cx:pt>
          <cx:pt idx="16">63</cx:pt>
          <cx:pt idx="17">75</cx:pt>
          <cx:pt idx="18">69</cx:pt>
          <cx:pt idx="19">70</cx:pt>
          <cx:pt idx="20">65</cx:pt>
          <cx:pt idx="21">70</cx:pt>
          <cx:pt idx="22">67</cx:pt>
          <cx:pt idx="23">66</cx:pt>
          <cx:pt idx="24">69</cx:pt>
          <cx:pt idx="25">68</cx:pt>
          <cx:pt idx="26">64</cx:pt>
          <cx:pt idx="27">67</cx:pt>
          <cx:pt idx="28">68</cx:pt>
          <cx:pt idx="29">65</cx:pt>
          <cx:pt idx="30">75</cx:pt>
          <cx:pt idx="31">74</cx:pt>
          <cx:pt idx="32">76</cx:pt>
          <cx:pt idx="33">77</cx:pt>
          <cx:pt idx="34">70</cx:pt>
          <cx:pt idx="35">70</cx:pt>
          <cx:pt idx="36">70</cx:pt>
          <cx:pt idx="37">76</cx:pt>
          <cx:pt idx="38">70</cx:pt>
          <cx:pt idx="39">70</cx:pt>
          <cx:pt idx="40">78</cx:pt>
          <cx:pt idx="41">75</cx:pt>
          <cx:pt idx="42">70</cx:pt>
          <cx:pt idx="43">76</cx:pt>
          <cx:pt idx="44">70</cx:pt>
          <cx:pt idx="45">69</cx:pt>
          <cx:pt idx="46">70</cx:pt>
          <cx:pt idx="47">78</cx:pt>
          <cx:pt idx="48">75</cx:pt>
          <cx:pt idx="49">76</cx:pt>
          <cx:pt idx="50">70</cx:pt>
          <cx:pt idx="51">70</cx:pt>
          <cx:pt idx="52">70</cx:pt>
          <cx:pt idx="53">76</cx:pt>
          <cx:pt idx="54">74</cx:pt>
          <cx:pt idx="55">77</cx:pt>
          <cx:pt idx="56">75</cx:pt>
          <cx:pt idx="57">70</cx:pt>
          <cx:pt idx="58">70</cx:pt>
          <cx:pt idx="59">70</cx:pt>
          <cx:pt idx="60">76</cx:pt>
          <cx:pt idx="61">76</cx:pt>
          <cx:pt idx="62">77</cx:pt>
          <cx:pt idx="63">78</cx:pt>
          <cx:pt idx="64">75</cx:pt>
          <cx:pt idx="65">75</cx:pt>
          <cx:pt idx="66">76</cx:pt>
          <cx:pt idx="67">80</cx:pt>
          <cx:pt idx="68">82</cx:pt>
          <cx:pt idx="69">79</cx:pt>
          <cx:pt idx="70">83</cx:pt>
          <cx:pt idx="71">80</cx:pt>
          <cx:pt idx="72">80</cx:pt>
          <cx:pt idx="73">80</cx:pt>
          <cx:pt idx="74">79</cx:pt>
          <cx:pt idx="75">75</cx:pt>
          <cx:pt idx="76">75</cx:pt>
          <cx:pt idx="77">80</cx:pt>
          <cx:pt idx="78">76</cx:pt>
          <cx:pt idx="79">78</cx:pt>
          <cx:pt idx="80">74</cx:pt>
          <cx:pt idx="81">72</cx:pt>
          <cx:pt idx="82">74</cx:pt>
          <cx:pt idx="83">75</cx:pt>
          <cx:pt idx="84">75</cx:pt>
          <cx:pt idx="85">79</cx:pt>
          <cx:pt idx="86">72</cx:pt>
          <cx:pt idx="87">78</cx:pt>
          <cx:pt idx="88">70</cx:pt>
          <cx:pt idx="89">80</cx:pt>
          <cx:pt idx="90">80</cx:pt>
          <cx:pt idx="91">82</cx:pt>
          <cx:pt idx="92">80</cx:pt>
          <cx:pt idx="93">85</cx:pt>
          <cx:pt idx="94">82</cx:pt>
          <cx:pt idx="95">83</cx:pt>
          <cx:pt idx="96">85</cx:pt>
          <cx:pt idx="97">85</cx:pt>
          <cx:pt idx="98">85</cx:pt>
          <cx:pt idx="99">86</cx:pt>
          <cx:pt idx="100">83</cx:pt>
          <cx:pt idx="101">81</cx:pt>
          <cx:pt idx="102">80</cx:pt>
          <cx:pt idx="103">80</cx:pt>
          <cx:pt idx="104">82</cx:pt>
          <cx:pt idx="105">80</cx:pt>
          <cx:pt idx="106">80</cx:pt>
          <cx:pt idx="107">80</cx:pt>
          <cx:pt idx="108">81</cx:pt>
          <cx:pt idx="109">82</cx:pt>
          <cx:pt idx="110">83</cx:pt>
          <cx:pt idx="111">80</cx:pt>
          <cx:pt idx="112">80</cx:pt>
          <cx:pt idx="113">80</cx:pt>
          <cx:pt idx="114">80</cx:pt>
          <cx:pt idx="115">85</cx:pt>
          <cx:pt idx="116">85</cx:pt>
          <cx:pt idx="117">81</cx:pt>
          <cx:pt idx="118">78</cx:pt>
          <cx:pt idx="119">85</cx:pt>
          <cx:pt idx="120">84</cx:pt>
          <cx:pt idx="121">84</cx:pt>
          <cx:pt idx="122">85</cx:pt>
          <cx:pt idx="123">87</cx:pt>
          <cx:pt idx="124">88</cx:pt>
          <cx:pt idx="125">85</cx:pt>
          <cx:pt idx="126">85</cx:pt>
          <cx:pt idx="127">86</cx:pt>
          <cx:pt idx="128">84</cx:pt>
          <cx:pt idx="129">90</cx:pt>
          <cx:pt idx="130">87</cx:pt>
          <cx:pt idx="131">85</cx:pt>
          <cx:pt idx="132">85</cx:pt>
          <cx:pt idx="133">85</cx:pt>
          <cx:pt idx="134">85</cx:pt>
          <cx:pt idx="135">85</cx:pt>
          <cx:pt idx="136">82</cx:pt>
          <cx:pt idx="137">82</cx:pt>
          <cx:pt idx="138">80</cx:pt>
          <cx:pt idx="139">85</cx:pt>
          <cx:pt idx="140">83</cx:pt>
          <cx:pt idx="141">85</cx:pt>
          <cx:pt idx="142">80</cx:pt>
          <cx:pt idx="143">80</cx:pt>
          <cx:pt idx="144">87</cx:pt>
          <cx:pt idx="145">80</cx:pt>
          <cx:pt idx="146">90</cx:pt>
          <cx:pt idx="147">90</cx:pt>
          <cx:pt idx="148">84</cx:pt>
          <cx:pt idx="149">80</cx:pt>
          <cx:pt idx="150">88</cx:pt>
          <cx:pt idx="151">90</cx:pt>
          <cx:pt idx="152">85</cx:pt>
          <cx:pt idx="153">85</cx:pt>
          <cx:pt idx="154">85</cx:pt>
          <cx:pt idx="155">87</cx:pt>
          <cx:pt idx="156">88</cx:pt>
          <cx:pt idx="157">88</cx:pt>
          <cx:pt idx="158">88</cx:pt>
          <cx:pt idx="159">85</cx:pt>
          <cx:pt idx="160">86</cx:pt>
          <cx:pt idx="161">87</cx:pt>
          <cx:pt idx="162">85</cx:pt>
          <cx:pt idx="163">86</cx:pt>
          <cx:pt idx="164">86</cx:pt>
          <cx:pt idx="165">86</cx:pt>
          <cx:pt idx="166">85</cx:pt>
          <cx:pt idx="167">85</cx:pt>
          <cx:pt idx="168">85</cx:pt>
          <cx:pt idx="169">85</cx:pt>
          <cx:pt idx="170">85</cx:pt>
          <cx:pt idx="171">85</cx:pt>
          <cx:pt idx="172">85</cx:pt>
          <cx:pt idx="173">85</cx:pt>
          <cx:pt idx="174">85</cx:pt>
          <cx:pt idx="175">88</cx:pt>
          <cx:pt idx="176">88</cx:pt>
          <cx:pt idx="177">88</cx:pt>
          <cx:pt idx="178">85</cx:pt>
          <cx:pt idx="179">88</cx:pt>
        </cx:lvl>
      </cx:numDim>
    </cx:data>
  </cx:chartData>
  <cx:chart>
    <cx:title pos="t" align="ctr" overlay="0">
      <cx:tx>
        <cx:rich>
          <a:bodyPr spcFirstLastPara="1" vertOverflow="ellipsis" horzOverflow="overflow" wrap="square" lIns="0" tIns="0" rIns="0" bIns="0" anchor="ctr" anchorCtr="1"/>
          <a:lstStyle/>
          <a:p>
            <a:pPr algn="ctr" rtl="0">
              <a:defRPr/>
            </a:pPr>
            <a:r>
              <a:rPr lang="en-US" sz="1800" b="1" i="0" u="none" strike="noStrike" baseline="0">
                <a:solidFill>
                  <a:sysClr val="windowText" lastClr="000000">
                    <a:lumMod val="75000"/>
                    <a:lumOff val="25000"/>
                  </a:sysClr>
                </a:solidFill>
                <a:latin typeface="Calibri" panose="020F0502020204030204"/>
              </a:rPr>
              <a:t>HHS</a:t>
            </a:r>
            <a:endParaRPr lang="ru-RU" sz="1800" b="1" i="0" u="none" strike="noStrike" baseline="0">
              <a:solidFill>
                <a:sysClr val="windowText" lastClr="000000">
                  <a:lumMod val="75000"/>
                  <a:lumOff val="25000"/>
                </a:sysClr>
              </a:solidFill>
              <a:latin typeface="Calibri" panose="020F0502020204030204"/>
            </a:endParaRPr>
          </a:p>
        </cx:rich>
      </cx:tx>
    </cx:title>
    <cx:plotArea>
      <cx:plotAreaRegion>
        <cx:series layoutId="boxWhisker" uniqueId="{6A61CAF9-1C85-43EE-9A9C-ADDA379ADC52}">
          <cx:tx>
            <cx:txData>
              <cx:f>HHS!$B$1</cx:f>
              <cx:v>основная </cx:v>
            </cx:txData>
          </cx:tx>
          <cx:spPr>
            <a:solidFill>
              <a:srgbClr val="00B0F0"/>
            </a:solidFill>
          </cx:spPr>
          <cx:dataId val="0"/>
          <cx:layoutPr>
            <cx:visibility meanLine="0" meanMarker="1" nonoutliers="1" outliers="1"/>
            <cx:statistics quartileMethod="exclusive"/>
          </cx:layoutPr>
        </cx:series>
        <cx:series layoutId="boxWhisker" uniqueId="{D1B5488A-DC82-41F2-97EE-41F06CCA573C}">
          <cx:tx>
            <cx:txData>
              <cx:f>HHS!$C$1</cx:f>
              <cx:v>контрольная</cx:v>
            </cx:txData>
          </cx:tx>
          <cx:spPr>
            <a:solidFill>
              <a:srgbClr val="FF66FF"/>
            </a:solidFill>
          </cx:spPr>
          <cx:dataId val="1"/>
          <cx:layoutPr>
            <cx:visibility meanLine="0" meanMarker="1" nonoutliers="1" outliers="1"/>
            <cx:statistics quartileMethod="exclusive"/>
          </cx:layoutPr>
        </cx:series>
      </cx:plotAreaRegion>
      <cx:axis id="0">
        <cx:catScaling gapWidth="1.5"/>
        <cx:tickLabels/>
        <cx:numFmt formatCode="Основной" sourceLinked="0"/>
      </cx:axis>
      <cx:axis id="1">
        <cx:valScaling min="0"/>
        <cx:majorGridlines/>
        <cx:tickLabels/>
      </cx:axis>
    </cx:plotArea>
    <cx:legend pos="b" align="ctr" overlay="0"/>
  </cx:chart>
  <cx:spPr>
    <a:solidFill>
      <a:schemeClr val="bg1"/>
    </a:solidFill>
    <a:ln>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2700000" scaled="1"/>
        <a:tileRect/>
      </a:gradFill>
    </a:ln>
  </cx:spPr>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OHS!$A$2:$A$181</cx:f>
        <cx:lvl ptCount="180">
          <cx:pt idx="0">Предоперационный</cx:pt>
          <cx:pt idx="1">Предоперационный</cx:pt>
          <cx:pt idx="2">Предоперационный</cx:pt>
          <cx:pt idx="3">Предоперационный</cx:pt>
          <cx:pt idx="4">Предоперационный</cx:pt>
          <cx:pt idx="5">Предоперационный</cx:pt>
          <cx:pt idx="6">Предоперационный</cx:pt>
          <cx:pt idx="7">Предоперационный</cx:pt>
          <cx:pt idx="8">Предоперационный</cx:pt>
          <cx:pt idx="9">Предоперационный</cx:pt>
          <cx:pt idx="10">Предоперационный</cx:pt>
          <cx:pt idx="11">Предоперационный</cx:pt>
          <cx:pt idx="12">Предоперационный</cx:pt>
          <cx:pt idx="13">Предоперационный</cx:pt>
          <cx:pt idx="14">Предоперационный</cx:pt>
          <cx:pt idx="15">Предоперационный</cx:pt>
          <cx:pt idx="16">Предоперационный</cx:pt>
          <cx:pt idx="17">Предоперационный</cx:pt>
          <cx:pt idx="18">Предоперационный</cx:pt>
          <cx:pt idx="19">Предоперационный</cx:pt>
          <cx:pt idx="20">Предоперационный</cx:pt>
          <cx:pt idx="21">Предоперационный</cx:pt>
          <cx:pt idx="22">Предоперационный</cx:pt>
          <cx:pt idx="23">Предоперационный</cx:pt>
          <cx:pt idx="24">Предоперационный</cx:pt>
          <cx:pt idx="25">Предоперационный</cx:pt>
          <cx:pt idx="26">Предоперационный</cx:pt>
          <cx:pt idx="27">Предоперационный</cx:pt>
          <cx:pt idx="28">Предоперационный</cx:pt>
          <cx:pt idx="29">Предоперационный</cx:pt>
          <cx:pt idx="30">При выписке</cx:pt>
          <cx:pt idx="31">При выписке</cx:pt>
          <cx:pt idx="32">При выписке</cx:pt>
          <cx:pt idx="33">При выписке</cx:pt>
          <cx:pt idx="34">При выписке</cx:pt>
          <cx:pt idx="35">При выписке</cx:pt>
          <cx:pt idx="36">При выписке</cx:pt>
          <cx:pt idx="37">При выписке</cx:pt>
          <cx:pt idx="38">При выписке</cx:pt>
          <cx:pt idx="39">При выписке</cx:pt>
          <cx:pt idx="40">При выписке</cx:pt>
          <cx:pt idx="41">При выписке</cx:pt>
          <cx:pt idx="42">При выписке</cx:pt>
          <cx:pt idx="43">При выписке</cx:pt>
          <cx:pt idx="44">При выписке</cx:pt>
          <cx:pt idx="45">При выписке</cx:pt>
          <cx:pt idx="46">При выписке</cx:pt>
          <cx:pt idx="47">При выписке</cx:pt>
          <cx:pt idx="48">При выписке</cx:pt>
          <cx:pt idx="49">При выписке</cx:pt>
          <cx:pt idx="50">При выписке</cx:pt>
          <cx:pt idx="51">При выписке</cx:pt>
          <cx:pt idx="52">При выписке</cx:pt>
          <cx:pt idx="53">При выписке</cx:pt>
          <cx:pt idx="54">При выписке</cx:pt>
          <cx:pt idx="55">При выписке</cx:pt>
          <cx:pt idx="56">При выписке</cx:pt>
          <cx:pt idx="57">При выписке</cx:pt>
          <cx:pt idx="58">При выписке</cx:pt>
          <cx:pt idx="59">При выписке</cx:pt>
          <cx:pt idx="60">через 1,5 месяца</cx:pt>
          <cx:pt idx="61">через 1,5 месяца</cx:pt>
          <cx:pt idx="62">через 1,5 месяца</cx:pt>
          <cx:pt idx="63">через 1,5 месяца</cx:pt>
          <cx:pt idx="64">через 1,5 месяца</cx:pt>
          <cx:pt idx="65">через 1,5 месяца</cx:pt>
          <cx:pt idx="66">через 1,5 месяца</cx:pt>
          <cx:pt idx="67">через 1,5 месяца</cx:pt>
          <cx:pt idx="68">через 1,5 месяца</cx:pt>
          <cx:pt idx="69">через 1,5 месяца</cx:pt>
          <cx:pt idx="70">через 1,5 месяца</cx:pt>
          <cx:pt idx="71">через 1,5 месяца</cx:pt>
          <cx:pt idx="72">через 1,5 месяца</cx:pt>
          <cx:pt idx="73">через 1,5 месяца</cx:pt>
          <cx:pt idx="74">через 1,5 месяца</cx:pt>
          <cx:pt idx="75">через 1,5 месяца</cx:pt>
          <cx:pt idx="76">через 1,5 месяца</cx:pt>
          <cx:pt idx="77">через 1,5 месяца</cx:pt>
          <cx:pt idx="78">через 1,5 месяца</cx:pt>
          <cx:pt idx="79">через 1,5 месяца</cx:pt>
          <cx:pt idx="80">через 1,5 месяца</cx:pt>
          <cx:pt idx="81">через 1,5 месяца</cx:pt>
          <cx:pt idx="82">через 1,5 месяца</cx:pt>
          <cx:pt idx="83">через 1,5 месяца</cx:pt>
          <cx:pt idx="84">через 1,5 месяца</cx:pt>
          <cx:pt idx="85">через 1,5 месяца</cx:pt>
          <cx:pt idx="86">через 1,5 месяца</cx:pt>
          <cx:pt idx="87">через 1,5 месяца</cx:pt>
          <cx:pt idx="88">через 1,5 месяца</cx:pt>
          <cx:pt idx="89">через 1,5 месяца</cx:pt>
          <cx:pt idx="90">через 3 месяца</cx:pt>
          <cx:pt idx="91">через 3 месяца</cx:pt>
          <cx:pt idx="92">через 3 месяца</cx:pt>
          <cx:pt idx="93">через 3 месяца</cx:pt>
          <cx:pt idx="94">через 3 месяца</cx:pt>
          <cx:pt idx="95">через 3 месяца</cx:pt>
          <cx:pt idx="96">через 3 месяца</cx:pt>
          <cx:pt idx="97">через 3 месяца</cx:pt>
          <cx:pt idx="98">через 3 месяца</cx:pt>
          <cx:pt idx="99">через 3 месяца</cx:pt>
          <cx:pt idx="100">через 3 месяца</cx:pt>
          <cx:pt idx="101">через 3 месяца</cx:pt>
          <cx:pt idx="102">через 3 месяца</cx:pt>
          <cx:pt idx="103">через 3 месяца</cx:pt>
          <cx:pt idx="104">через 3 месяца</cx:pt>
          <cx:pt idx="105">через 3 месяца</cx:pt>
          <cx:pt idx="106">через 3 месяца</cx:pt>
          <cx:pt idx="107">через 3 месяца</cx:pt>
          <cx:pt idx="108">через 3 месяца</cx:pt>
          <cx:pt idx="109">через 3 месяца</cx:pt>
          <cx:pt idx="110">через 3 месяца</cx:pt>
          <cx:pt idx="111">через 3 месяца</cx:pt>
          <cx:pt idx="112">через 3 месяца</cx:pt>
          <cx:pt idx="113">через 3 месяца</cx:pt>
          <cx:pt idx="114">через 3 месяца</cx:pt>
          <cx:pt idx="115">через 3 месяца</cx:pt>
          <cx:pt idx="116">через 3 месяца</cx:pt>
          <cx:pt idx="117">через 3 месяца</cx:pt>
          <cx:pt idx="118">через 3 месяца</cx:pt>
          <cx:pt idx="119">через 3 месяца</cx:pt>
          <cx:pt idx="120">через 6 месяца</cx:pt>
          <cx:pt idx="121">через 6 месяца</cx:pt>
          <cx:pt idx="122">через 6 месяца</cx:pt>
          <cx:pt idx="123">через 6 месяца</cx:pt>
          <cx:pt idx="124">через 6 месяца</cx:pt>
          <cx:pt idx="125">через 6 месяца</cx:pt>
          <cx:pt idx="126">через 6 месяца</cx:pt>
          <cx:pt idx="127">через 6 месяца</cx:pt>
          <cx:pt idx="128">через 6 месяца</cx:pt>
          <cx:pt idx="129">через 6 месяца</cx:pt>
          <cx:pt idx="130">через 6 месяца</cx:pt>
          <cx:pt idx="131">через 6 месяца</cx:pt>
          <cx:pt idx="132">через 6 месяца</cx:pt>
          <cx:pt idx="133">через 6 месяца</cx:pt>
          <cx:pt idx="134">через 6 месяца</cx:pt>
          <cx:pt idx="135">через 6 месяца</cx:pt>
          <cx:pt idx="136">через 6 месяца</cx:pt>
          <cx:pt idx="137">через 6 месяца</cx:pt>
          <cx:pt idx="138">через 6 месяца</cx:pt>
          <cx:pt idx="139">через 6 месяца</cx:pt>
          <cx:pt idx="140">через 6 месяца</cx:pt>
          <cx:pt idx="141">через 6 месяца</cx:pt>
          <cx:pt idx="142">через 6 месяца</cx:pt>
          <cx:pt idx="143">через 6 месяца</cx:pt>
          <cx:pt idx="144">через 6 месяца</cx:pt>
          <cx:pt idx="145">через 6 месяца</cx:pt>
          <cx:pt idx="146">через 6 месяца</cx:pt>
          <cx:pt idx="147">через 6 месяца</cx:pt>
          <cx:pt idx="148">через 6 месяца</cx:pt>
          <cx:pt idx="149">через 6 месяца</cx:pt>
          <cx:pt idx="150">через 12 месяца</cx:pt>
          <cx:pt idx="151">через 12 месяца</cx:pt>
          <cx:pt idx="152">через 12 месяца</cx:pt>
          <cx:pt idx="153">через 12 месяца</cx:pt>
          <cx:pt idx="154">через 12 месяца</cx:pt>
          <cx:pt idx="155">через 12 месяца</cx:pt>
          <cx:pt idx="156">через 12 месяца</cx:pt>
          <cx:pt idx="157">через 12 месяца</cx:pt>
          <cx:pt idx="158">через 12 месяца</cx:pt>
          <cx:pt idx="159">через 12 месяца</cx:pt>
          <cx:pt idx="160">через 12 месяца</cx:pt>
          <cx:pt idx="161">через 12 месяца</cx:pt>
          <cx:pt idx="162">через 12 месяца</cx:pt>
          <cx:pt idx="163">через 12 месяца</cx:pt>
          <cx:pt idx="164">через 12 месяца</cx:pt>
          <cx:pt idx="165">через 12 месяца</cx:pt>
          <cx:pt idx="166">через 12 месяца</cx:pt>
          <cx:pt idx="167">через 12 месяца</cx:pt>
          <cx:pt idx="168">через 12 месяца</cx:pt>
          <cx:pt idx="169">через 12 месяца</cx:pt>
          <cx:pt idx="170">через 12 месяца</cx:pt>
          <cx:pt idx="171">через 12 месяца</cx:pt>
          <cx:pt idx="172">через 12 месяца</cx:pt>
          <cx:pt idx="173">через 12 месяца</cx:pt>
          <cx:pt idx="174">через 12 месяца</cx:pt>
          <cx:pt idx="175">через 12 месяца</cx:pt>
          <cx:pt idx="176">через 12 месяца</cx:pt>
          <cx:pt idx="177">через 12 месяца</cx:pt>
          <cx:pt idx="178">через 12 месяца</cx:pt>
          <cx:pt idx="179">через 12 месяца</cx:pt>
        </cx:lvl>
      </cx:strDim>
      <cx:numDim type="val">
        <cx:f>OHS!$B$2:$B$181</cx:f>
        <cx:lvl ptCount="180" formatCode="Основной">
          <cx:pt idx="0">21</cx:pt>
          <cx:pt idx="1">23</cx:pt>
          <cx:pt idx="2">25</cx:pt>
          <cx:pt idx="3">29</cx:pt>
          <cx:pt idx="4">22</cx:pt>
          <cx:pt idx="5">21</cx:pt>
          <cx:pt idx="6">20</cx:pt>
          <cx:pt idx="7">23</cx:pt>
          <cx:pt idx="8">24</cx:pt>
          <cx:pt idx="9">24</cx:pt>
          <cx:pt idx="10">24</cx:pt>
          <cx:pt idx="11">20</cx:pt>
          <cx:pt idx="12">19</cx:pt>
          <cx:pt idx="13">28</cx:pt>
          <cx:pt idx="14">23</cx:pt>
          <cx:pt idx="15">20</cx:pt>
          <cx:pt idx="16">22</cx:pt>
          <cx:pt idx="17">27</cx:pt>
          <cx:pt idx="18">20</cx:pt>
          <cx:pt idx="19">19</cx:pt>
          <cx:pt idx="20">23</cx:pt>
          <cx:pt idx="21">28</cx:pt>
          <cx:pt idx="22">19</cx:pt>
          <cx:pt idx="23">27</cx:pt>
          <cx:pt idx="24">29</cx:pt>
          <cx:pt idx="25">25</cx:pt>
          <cx:pt idx="26">27</cx:pt>
          <cx:pt idx="27">22</cx:pt>
          <cx:pt idx="28">19</cx:pt>
          <cx:pt idx="29">18</cx:pt>
          <cx:pt idx="30">29</cx:pt>
          <cx:pt idx="31">30</cx:pt>
          <cx:pt idx="32">30</cx:pt>
          <cx:pt idx="33">32</cx:pt>
          <cx:pt idx="34">30</cx:pt>
          <cx:pt idx="35">30</cx:pt>
          <cx:pt idx="36">29</cx:pt>
          <cx:pt idx="37">32</cx:pt>
          <cx:pt idx="38">32</cx:pt>
          <cx:pt idx="39">30</cx:pt>
          <cx:pt idx="40">30</cx:pt>
          <cx:pt idx="41">31</cx:pt>
          <cx:pt idx="42">30</cx:pt>
          <cx:pt idx="43">30</cx:pt>
          <cx:pt idx="44">30</cx:pt>
          <cx:pt idx="45">28</cx:pt>
          <cx:pt idx="46">28</cx:pt>
          <cx:pt idx="47">27</cx:pt>
          <cx:pt idx="48">30</cx:pt>
          <cx:pt idx="49">30</cx:pt>
          <cx:pt idx="50">30</cx:pt>
          <cx:pt idx="51">30</cx:pt>
          <cx:pt idx="52">32</cx:pt>
          <cx:pt idx="53">31</cx:pt>
          <cx:pt idx="54">30</cx:pt>
          <cx:pt idx="55">29</cx:pt>
          <cx:pt idx="56">27</cx:pt>
          <cx:pt idx="57">30</cx:pt>
          <cx:pt idx="58">30</cx:pt>
          <cx:pt idx="59">28</cx:pt>
          <cx:pt idx="60">31</cx:pt>
          <cx:pt idx="61">31</cx:pt>
          <cx:pt idx="62">34</cx:pt>
          <cx:pt idx="63">34</cx:pt>
          <cx:pt idx="64">35</cx:pt>
          <cx:pt idx="65">30</cx:pt>
          <cx:pt idx="66">32</cx:pt>
          <cx:pt idx="67">35</cx:pt>
          <cx:pt idx="68">33</cx:pt>
          <cx:pt idx="69">35</cx:pt>
          <cx:pt idx="70">31</cx:pt>
          <cx:pt idx="71">34</cx:pt>
          <cx:pt idx="72">33</cx:pt>
          <cx:pt idx="73">33</cx:pt>
          <cx:pt idx="74">32</cx:pt>
          <cx:pt idx="75">34</cx:pt>
          <cx:pt idx="76">31</cx:pt>
          <cx:pt idx="77">30</cx:pt>
          <cx:pt idx="78">30</cx:pt>
          <cx:pt idx="79">33</cx:pt>
          <cx:pt idx="80">31</cx:pt>
          <cx:pt idx="81">33</cx:pt>
          <cx:pt idx="82">32</cx:pt>
          <cx:pt idx="83">35</cx:pt>
          <cx:pt idx="84">32</cx:pt>
          <cx:pt idx="85">34</cx:pt>
          <cx:pt idx="86">33</cx:pt>
          <cx:pt idx="87">32</cx:pt>
          <cx:pt idx="88">33</cx:pt>
          <cx:pt idx="89">30</cx:pt>
          <cx:pt idx="90">33</cx:pt>
          <cx:pt idx="91">32</cx:pt>
          <cx:pt idx="92">35</cx:pt>
          <cx:pt idx="93">34</cx:pt>
          <cx:pt idx="94">35</cx:pt>
          <cx:pt idx="95">32</cx:pt>
          <cx:pt idx="96">33</cx:pt>
          <cx:pt idx="97">35</cx:pt>
          <cx:pt idx="98">36</cx:pt>
          <cx:pt idx="99">35</cx:pt>
          <cx:pt idx="100">35</cx:pt>
          <cx:pt idx="101">36</cx:pt>
          <cx:pt idx="102">34</cx:pt>
          <cx:pt idx="103">36</cx:pt>
          <cx:pt idx="104">38</cx:pt>
          <cx:pt idx="105">35</cx:pt>
          <cx:pt idx="106">32</cx:pt>
          <cx:pt idx="107">35</cx:pt>
          <cx:pt idx="108">32</cx:pt>
          <cx:pt idx="109">33</cx:pt>
          <cx:pt idx="110">33</cx:pt>
          <cx:pt idx="111">34</cx:pt>
          <cx:pt idx="112">32</cx:pt>
          <cx:pt idx="113">36</cx:pt>
          <cx:pt idx="114">34</cx:pt>
          <cx:pt idx="115">37</cx:pt>
          <cx:pt idx="116">36</cx:pt>
          <cx:pt idx="117">34</cx:pt>
          <cx:pt idx="118">36</cx:pt>
          <cx:pt idx="119">37</cx:pt>
          <cx:pt idx="120">36</cx:pt>
          <cx:pt idx="121">38</cx:pt>
          <cx:pt idx="122">40</cx:pt>
          <cx:pt idx="123">40</cx:pt>
          <cx:pt idx="124">39</cx:pt>
          <cx:pt idx="125">38</cx:pt>
          <cx:pt idx="126">35</cx:pt>
          <cx:pt idx="127">36</cx:pt>
          <cx:pt idx="128">38</cx:pt>
          <cx:pt idx="129">39</cx:pt>
          <cx:pt idx="130">40</cx:pt>
          <cx:pt idx="131">40</cx:pt>
          <cx:pt idx="132">37</cx:pt>
          <cx:pt idx="133">38</cx:pt>
          <cx:pt idx="134">38</cx:pt>
          <cx:pt idx="135">39</cx:pt>
          <cx:pt idx="136">39</cx:pt>
          <cx:pt idx="137">39</cx:pt>
          <cx:pt idx="138">40</cx:pt>
          <cx:pt idx="139">40</cx:pt>
          <cx:pt idx="140">39</cx:pt>
          <cx:pt idx="141">38</cx:pt>
          <cx:pt idx="142">40</cx:pt>
          <cx:pt idx="143">41</cx:pt>
          <cx:pt idx="144">39</cx:pt>
          <cx:pt idx="145">41</cx:pt>
          <cx:pt idx="146">36</cx:pt>
          <cx:pt idx="147">39</cx:pt>
          <cx:pt idx="148">40</cx:pt>
          <cx:pt idx="149">40</cx:pt>
          <cx:pt idx="150">30</cx:pt>
          <cx:pt idx="151">30</cx:pt>
          <cx:pt idx="152">29</cx:pt>
          <cx:pt idx="153">34</cx:pt>
          <cx:pt idx="154">35</cx:pt>
          <cx:pt idx="155">34</cx:pt>
          <cx:pt idx="156">33</cx:pt>
          <cx:pt idx="157">33</cx:pt>
          <cx:pt idx="158">34</cx:pt>
          <cx:pt idx="159">37</cx:pt>
          <cx:pt idx="160">36</cx:pt>
          <cx:pt idx="161">36</cx:pt>
          <cx:pt idx="162">30</cx:pt>
          <cx:pt idx="163">30</cx:pt>
          <cx:pt idx="164">30</cx:pt>
          <cx:pt idx="165">34</cx:pt>
          <cx:pt idx="166">35</cx:pt>
          <cx:pt idx="167">32</cx:pt>
          <cx:pt idx="168">32</cx:pt>
          <cx:pt idx="169">30</cx:pt>
          <cx:pt idx="170">32</cx:pt>
          <cx:pt idx="171">33</cx:pt>
          <cx:pt idx="172">33</cx:pt>
          <cx:pt idx="173">32</cx:pt>
          <cx:pt idx="174">34</cx:pt>
          <cx:pt idx="175">30</cx:pt>
          <cx:pt idx="176">30</cx:pt>
          <cx:pt idx="177">30</cx:pt>
          <cx:pt idx="178">30</cx:pt>
          <cx:pt idx="179">30</cx:pt>
        </cx:lvl>
      </cx:numDim>
    </cx:data>
    <cx:data id="1">
      <cx:strDim type="cat">
        <cx:f>OHS!$A$2:$A$181</cx:f>
        <cx:lvl ptCount="180">
          <cx:pt idx="0">Предоперационный</cx:pt>
          <cx:pt idx="1">Предоперационный</cx:pt>
          <cx:pt idx="2">Предоперационный</cx:pt>
          <cx:pt idx="3">Предоперационный</cx:pt>
          <cx:pt idx="4">Предоперационный</cx:pt>
          <cx:pt idx="5">Предоперационный</cx:pt>
          <cx:pt idx="6">Предоперационный</cx:pt>
          <cx:pt idx="7">Предоперационный</cx:pt>
          <cx:pt idx="8">Предоперационный</cx:pt>
          <cx:pt idx="9">Предоперационный</cx:pt>
          <cx:pt idx="10">Предоперационный</cx:pt>
          <cx:pt idx="11">Предоперационный</cx:pt>
          <cx:pt idx="12">Предоперационный</cx:pt>
          <cx:pt idx="13">Предоперационный</cx:pt>
          <cx:pt idx="14">Предоперационный</cx:pt>
          <cx:pt idx="15">Предоперационный</cx:pt>
          <cx:pt idx="16">Предоперационный</cx:pt>
          <cx:pt idx="17">Предоперационный</cx:pt>
          <cx:pt idx="18">Предоперационный</cx:pt>
          <cx:pt idx="19">Предоперационный</cx:pt>
          <cx:pt idx="20">Предоперационный</cx:pt>
          <cx:pt idx="21">Предоперационный</cx:pt>
          <cx:pt idx="22">Предоперационный</cx:pt>
          <cx:pt idx="23">Предоперационный</cx:pt>
          <cx:pt idx="24">Предоперационный</cx:pt>
          <cx:pt idx="25">Предоперационный</cx:pt>
          <cx:pt idx="26">Предоперационный</cx:pt>
          <cx:pt idx="27">Предоперационный</cx:pt>
          <cx:pt idx="28">Предоперационный</cx:pt>
          <cx:pt idx="29">Предоперационный</cx:pt>
          <cx:pt idx="30">При выписке</cx:pt>
          <cx:pt idx="31">При выписке</cx:pt>
          <cx:pt idx="32">При выписке</cx:pt>
          <cx:pt idx="33">При выписке</cx:pt>
          <cx:pt idx="34">При выписке</cx:pt>
          <cx:pt idx="35">При выписке</cx:pt>
          <cx:pt idx="36">При выписке</cx:pt>
          <cx:pt idx="37">При выписке</cx:pt>
          <cx:pt idx="38">При выписке</cx:pt>
          <cx:pt idx="39">При выписке</cx:pt>
          <cx:pt idx="40">При выписке</cx:pt>
          <cx:pt idx="41">При выписке</cx:pt>
          <cx:pt idx="42">При выписке</cx:pt>
          <cx:pt idx="43">При выписке</cx:pt>
          <cx:pt idx="44">При выписке</cx:pt>
          <cx:pt idx="45">При выписке</cx:pt>
          <cx:pt idx="46">При выписке</cx:pt>
          <cx:pt idx="47">При выписке</cx:pt>
          <cx:pt idx="48">При выписке</cx:pt>
          <cx:pt idx="49">При выписке</cx:pt>
          <cx:pt idx="50">При выписке</cx:pt>
          <cx:pt idx="51">При выписке</cx:pt>
          <cx:pt idx="52">При выписке</cx:pt>
          <cx:pt idx="53">При выписке</cx:pt>
          <cx:pt idx="54">При выписке</cx:pt>
          <cx:pt idx="55">При выписке</cx:pt>
          <cx:pt idx="56">При выписке</cx:pt>
          <cx:pt idx="57">При выписке</cx:pt>
          <cx:pt idx="58">При выписке</cx:pt>
          <cx:pt idx="59">При выписке</cx:pt>
          <cx:pt idx="60">через 1,5 месяца</cx:pt>
          <cx:pt idx="61">через 1,5 месяца</cx:pt>
          <cx:pt idx="62">через 1,5 месяца</cx:pt>
          <cx:pt idx="63">через 1,5 месяца</cx:pt>
          <cx:pt idx="64">через 1,5 месяца</cx:pt>
          <cx:pt idx="65">через 1,5 месяца</cx:pt>
          <cx:pt idx="66">через 1,5 месяца</cx:pt>
          <cx:pt idx="67">через 1,5 месяца</cx:pt>
          <cx:pt idx="68">через 1,5 месяца</cx:pt>
          <cx:pt idx="69">через 1,5 месяца</cx:pt>
          <cx:pt idx="70">через 1,5 месяца</cx:pt>
          <cx:pt idx="71">через 1,5 месяца</cx:pt>
          <cx:pt idx="72">через 1,5 месяца</cx:pt>
          <cx:pt idx="73">через 1,5 месяца</cx:pt>
          <cx:pt idx="74">через 1,5 месяца</cx:pt>
          <cx:pt idx="75">через 1,5 месяца</cx:pt>
          <cx:pt idx="76">через 1,5 месяца</cx:pt>
          <cx:pt idx="77">через 1,5 месяца</cx:pt>
          <cx:pt idx="78">через 1,5 месяца</cx:pt>
          <cx:pt idx="79">через 1,5 месяца</cx:pt>
          <cx:pt idx="80">через 1,5 месяца</cx:pt>
          <cx:pt idx="81">через 1,5 месяца</cx:pt>
          <cx:pt idx="82">через 1,5 месяца</cx:pt>
          <cx:pt idx="83">через 1,5 месяца</cx:pt>
          <cx:pt idx="84">через 1,5 месяца</cx:pt>
          <cx:pt idx="85">через 1,5 месяца</cx:pt>
          <cx:pt idx="86">через 1,5 месяца</cx:pt>
          <cx:pt idx="87">через 1,5 месяца</cx:pt>
          <cx:pt idx="88">через 1,5 месяца</cx:pt>
          <cx:pt idx="89">через 1,5 месяца</cx:pt>
          <cx:pt idx="90">через 3 месяца</cx:pt>
          <cx:pt idx="91">через 3 месяца</cx:pt>
          <cx:pt idx="92">через 3 месяца</cx:pt>
          <cx:pt idx="93">через 3 месяца</cx:pt>
          <cx:pt idx="94">через 3 месяца</cx:pt>
          <cx:pt idx="95">через 3 месяца</cx:pt>
          <cx:pt idx="96">через 3 месяца</cx:pt>
          <cx:pt idx="97">через 3 месяца</cx:pt>
          <cx:pt idx="98">через 3 месяца</cx:pt>
          <cx:pt idx="99">через 3 месяца</cx:pt>
          <cx:pt idx="100">через 3 месяца</cx:pt>
          <cx:pt idx="101">через 3 месяца</cx:pt>
          <cx:pt idx="102">через 3 месяца</cx:pt>
          <cx:pt idx="103">через 3 месяца</cx:pt>
          <cx:pt idx="104">через 3 месяца</cx:pt>
          <cx:pt idx="105">через 3 месяца</cx:pt>
          <cx:pt idx="106">через 3 месяца</cx:pt>
          <cx:pt idx="107">через 3 месяца</cx:pt>
          <cx:pt idx="108">через 3 месяца</cx:pt>
          <cx:pt idx="109">через 3 месяца</cx:pt>
          <cx:pt idx="110">через 3 месяца</cx:pt>
          <cx:pt idx="111">через 3 месяца</cx:pt>
          <cx:pt idx="112">через 3 месяца</cx:pt>
          <cx:pt idx="113">через 3 месяца</cx:pt>
          <cx:pt idx="114">через 3 месяца</cx:pt>
          <cx:pt idx="115">через 3 месяца</cx:pt>
          <cx:pt idx="116">через 3 месяца</cx:pt>
          <cx:pt idx="117">через 3 месяца</cx:pt>
          <cx:pt idx="118">через 3 месяца</cx:pt>
          <cx:pt idx="119">через 3 месяца</cx:pt>
          <cx:pt idx="120">через 6 месяца</cx:pt>
          <cx:pt idx="121">через 6 месяца</cx:pt>
          <cx:pt idx="122">через 6 месяца</cx:pt>
          <cx:pt idx="123">через 6 месяца</cx:pt>
          <cx:pt idx="124">через 6 месяца</cx:pt>
          <cx:pt idx="125">через 6 месяца</cx:pt>
          <cx:pt idx="126">через 6 месяца</cx:pt>
          <cx:pt idx="127">через 6 месяца</cx:pt>
          <cx:pt idx="128">через 6 месяца</cx:pt>
          <cx:pt idx="129">через 6 месяца</cx:pt>
          <cx:pt idx="130">через 6 месяца</cx:pt>
          <cx:pt idx="131">через 6 месяца</cx:pt>
          <cx:pt idx="132">через 6 месяца</cx:pt>
          <cx:pt idx="133">через 6 месяца</cx:pt>
          <cx:pt idx="134">через 6 месяца</cx:pt>
          <cx:pt idx="135">через 6 месяца</cx:pt>
          <cx:pt idx="136">через 6 месяца</cx:pt>
          <cx:pt idx="137">через 6 месяца</cx:pt>
          <cx:pt idx="138">через 6 месяца</cx:pt>
          <cx:pt idx="139">через 6 месяца</cx:pt>
          <cx:pt idx="140">через 6 месяца</cx:pt>
          <cx:pt idx="141">через 6 месяца</cx:pt>
          <cx:pt idx="142">через 6 месяца</cx:pt>
          <cx:pt idx="143">через 6 месяца</cx:pt>
          <cx:pt idx="144">через 6 месяца</cx:pt>
          <cx:pt idx="145">через 6 месяца</cx:pt>
          <cx:pt idx="146">через 6 месяца</cx:pt>
          <cx:pt idx="147">через 6 месяца</cx:pt>
          <cx:pt idx="148">через 6 месяца</cx:pt>
          <cx:pt idx="149">через 6 месяца</cx:pt>
          <cx:pt idx="150">через 12 месяца</cx:pt>
          <cx:pt idx="151">через 12 месяца</cx:pt>
          <cx:pt idx="152">через 12 месяца</cx:pt>
          <cx:pt idx="153">через 12 месяца</cx:pt>
          <cx:pt idx="154">через 12 месяца</cx:pt>
          <cx:pt idx="155">через 12 месяца</cx:pt>
          <cx:pt idx="156">через 12 месяца</cx:pt>
          <cx:pt idx="157">через 12 месяца</cx:pt>
          <cx:pt idx="158">через 12 месяца</cx:pt>
          <cx:pt idx="159">через 12 месяца</cx:pt>
          <cx:pt idx="160">через 12 месяца</cx:pt>
          <cx:pt idx="161">через 12 месяца</cx:pt>
          <cx:pt idx="162">через 12 месяца</cx:pt>
          <cx:pt idx="163">через 12 месяца</cx:pt>
          <cx:pt idx="164">через 12 месяца</cx:pt>
          <cx:pt idx="165">через 12 месяца</cx:pt>
          <cx:pt idx="166">через 12 месяца</cx:pt>
          <cx:pt idx="167">через 12 месяца</cx:pt>
          <cx:pt idx="168">через 12 месяца</cx:pt>
          <cx:pt idx="169">через 12 месяца</cx:pt>
          <cx:pt idx="170">через 12 месяца</cx:pt>
          <cx:pt idx="171">через 12 месяца</cx:pt>
          <cx:pt idx="172">через 12 месяца</cx:pt>
          <cx:pt idx="173">через 12 месяца</cx:pt>
          <cx:pt idx="174">через 12 месяца</cx:pt>
          <cx:pt idx="175">через 12 месяца</cx:pt>
          <cx:pt idx="176">через 12 месяца</cx:pt>
          <cx:pt idx="177">через 12 месяца</cx:pt>
          <cx:pt idx="178">через 12 месяца</cx:pt>
          <cx:pt idx="179">через 12 месяца</cx:pt>
        </cx:lvl>
      </cx:strDim>
      <cx:numDim type="val">
        <cx:f>OHS!$C$2:$C$181</cx:f>
        <cx:lvl ptCount="180" formatCode="Основной">
          <cx:pt idx="0">20</cx:pt>
          <cx:pt idx="1">20</cx:pt>
          <cx:pt idx="2">26</cx:pt>
          <cx:pt idx="3">23</cx:pt>
          <cx:pt idx="4">24</cx:pt>
          <cx:pt idx="5">23</cx:pt>
          <cx:pt idx="6">21</cx:pt>
          <cx:pt idx="7">23</cx:pt>
          <cx:pt idx="8">20</cx:pt>
          <cx:pt idx="9">22</cx:pt>
          <cx:pt idx="10">23</cx:pt>
          <cx:pt idx="11">23</cx:pt>
          <cx:pt idx="12">21</cx:pt>
          <cx:pt idx="13">22</cx:pt>
          <cx:pt idx="14">28</cx:pt>
          <cx:pt idx="15">27</cx:pt>
          <cx:pt idx="16">22</cx:pt>
          <cx:pt idx="17">25</cx:pt>
          <cx:pt idx="18">26</cx:pt>
          <cx:pt idx="19">26</cx:pt>
          <cx:pt idx="20">24</cx:pt>
          <cx:pt idx="21">25</cx:pt>
          <cx:pt idx="22">21</cx:pt>
          <cx:pt idx="23">24</cx:pt>
          <cx:pt idx="24">21</cx:pt>
          <cx:pt idx="25">23</cx:pt>
          <cx:pt idx="26">25</cx:pt>
          <cx:pt idx="27">26</cx:pt>
          <cx:pt idx="28">23</cx:pt>
          <cx:pt idx="29">19</cx:pt>
          <cx:pt idx="30">24</cx:pt>
          <cx:pt idx="31">23</cx:pt>
          <cx:pt idx="32">26</cx:pt>
          <cx:pt idx="33">24</cx:pt>
          <cx:pt idx="34">25</cx:pt>
          <cx:pt idx="35">25</cx:pt>
          <cx:pt idx="36">25</cx:pt>
          <cx:pt idx="37">24</cx:pt>
          <cx:pt idx="38">25</cx:pt>
          <cx:pt idx="39">25</cx:pt>
          <cx:pt idx="40">24</cx:pt>
          <cx:pt idx="41">25</cx:pt>
          <cx:pt idx="42">25</cx:pt>
          <cx:pt idx="43">25</cx:pt>
          <cx:pt idx="44">25</cx:pt>
          <cx:pt idx="45">30</cx:pt>
          <cx:pt idx="46">29</cx:pt>
          <cx:pt idx="47">25</cx:pt>
          <cx:pt idx="48">26</cx:pt>
          <cx:pt idx="49">27</cx:pt>
          <cx:pt idx="50">28</cx:pt>
          <cx:pt idx="51">26</cx:pt>
          <cx:pt idx="52">27</cx:pt>
          <cx:pt idx="53">25</cx:pt>
          <cx:pt idx="54">29</cx:pt>
          <cx:pt idx="55">28</cx:pt>
          <cx:pt idx="56">26</cx:pt>
          <cx:pt idx="57">25</cx:pt>
          <cx:pt idx="58">26</cx:pt>
          <cx:pt idx="59">22</cx:pt>
          <cx:pt idx="60">26</cx:pt>
          <cx:pt idx="61">25</cx:pt>
          <cx:pt idx="62">25</cx:pt>
          <cx:pt idx="63">30</cx:pt>
          <cx:pt idx="64">30</cx:pt>
          <cx:pt idx="65">28</cx:pt>
          <cx:pt idx="66">30</cx:pt>
          <cx:pt idx="67">27</cx:pt>
          <cx:pt idx="68">26</cx:pt>
          <cx:pt idx="69">25</cx:pt>
          <cx:pt idx="70">30</cx:pt>
          <cx:pt idx="71">30</cx:pt>
          <cx:pt idx="72">26</cx:pt>
          <cx:pt idx="73">26</cx:pt>
          <cx:pt idx="74">26</cx:pt>
          <cx:pt idx="75">26</cx:pt>
          <cx:pt idx="76">30</cx:pt>
          <cx:pt idx="77">26</cx:pt>
          <cx:pt idx="78">30</cx:pt>
          <cx:pt idx="79">25</cx:pt>
          <cx:pt idx="80">30</cx:pt>
          <cx:pt idx="81">30</cx:pt>
          <cx:pt idx="82">30</cx:pt>
          <cx:pt idx="83">25</cx:pt>
          <cx:pt idx="84">30</cx:pt>
          <cx:pt idx="85">25</cx:pt>
          <cx:pt idx="86">30</cx:pt>
          <cx:pt idx="87">28</cx:pt>
          <cx:pt idx="88">28</cx:pt>
          <cx:pt idx="89">28</cx:pt>
          <cx:pt idx="90">26</cx:pt>
          <cx:pt idx="91">25</cx:pt>
          <cx:pt idx="92">25</cx:pt>
          <cx:pt idx="93">30</cx:pt>
          <cx:pt idx="94">30</cx:pt>
          <cx:pt idx="95">28</cx:pt>
          <cx:pt idx="96">30</cx:pt>
          <cx:pt idx="97">27</cx:pt>
          <cx:pt idx="98">26</cx:pt>
          <cx:pt idx="99">25</cx:pt>
          <cx:pt idx="100">30</cx:pt>
          <cx:pt idx="101">30</cx:pt>
          <cx:pt idx="102">26</cx:pt>
          <cx:pt idx="103">26</cx:pt>
          <cx:pt idx="104">26</cx:pt>
          <cx:pt idx="105">26</cx:pt>
          <cx:pt idx="106">30</cx:pt>
          <cx:pt idx="107">26</cx:pt>
          <cx:pt idx="108">30</cx:pt>
          <cx:pt idx="109">25</cx:pt>
          <cx:pt idx="110">30</cx:pt>
          <cx:pt idx="111">30</cx:pt>
          <cx:pt idx="112">30</cx:pt>
          <cx:pt idx="113">25</cx:pt>
          <cx:pt idx="114">30</cx:pt>
          <cx:pt idx="115">25</cx:pt>
          <cx:pt idx="116">30</cx:pt>
          <cx:pt idx="117">28</cx:pt>
          <cx:pt idx="118">28</cx:pt>
          <cx:pt idx="119">28</cx:pt>
          <cx:pt idx="120">30</cx:pt>
          <cx:pt idx="121">30</cx:pt>
          <cx:pt idx="122">29</cx:pt>
          <cx:pt idx="123">34</cx:pt>
          <cx:pt idx="124">35</cx:pt>
          <cx:pt idx="125">34</cx:pt>
          <cx:pt idx="126">33</cx:pt>
          <cx:pt idx="127">33</cx:pt>
          <cx:pt idx="128">34</cx:pt>
          <cx:pt idx="129">37</cx:pt>
          <cx:pt idx="130">36</cx:pt>
          <cx:pt idx="131">36</cx:pt>
          <cx:pt idx="132">30</cx:pt>
          <cx:pt idx="133">30</cx:pt>
          <cx:pt idx="134">30</cx:pt>
          <cx:pt idx="135">34</cx:pt>
          <cx:pt idx="136">35</cx:pt>
          <cx:pt idx="137">32</cx:pt>
          <cx:pt idx="138">32</cx:pt>
          <cx:pt idx="139">30</cx:pt>
          <cx:pt idx="140">32</cx:pt>
          <cx:pt idx="141">33</cx:pt>
          <cx:pt idx="142">33</cx:pt>
          <cx:pt idx="143">32</cx:pt>
          <cx:pt idx="144">34</cx:pt>
          <cx:pt idx="145">30</cx:pt>
          <cx:pt idx="146">30</cx:pt>
          <cx:pt idx="147">30</cx:pt>
          <cx:pt idx="148">30</cx:pt>
          <cx:pt idx="149">30</cx:pt>
          <cx:pt idx="150">30</cx:pt>
          <cx:pt idx="151">35</cx:pt>
          <cx:pt idx="152">32</cx:pt>
          <cx:pt idx="153">33</cx:pt>
          <cx:pt idx="154">34</cx:pt>
          <cx:pt idx="155">35</cx:pt>
          <cx:pt idx="156">34</cx:pt>
          <cx:pt idx="157">33</cx:pt>
          <cx:pt idx="158">32</cx:pt>
          <cx:pt idx="159">32</cx:pt>
          <cx:pt idx="160">35</cx:pt>
          <cx:pt idx="161">34</cx:pt>
          <cx:pt idx="162">32</cx:pt>
          <cx:pt idx="163">35</cx:pt>
          <cx:pt idx="164">32</cx:pt>
          <cx:pt idx="165">31</cx:pt>
          <cx:pt idx="166">32</cx:pt>
          <cx:pt idx="167">35</cx:pt>
          <cx:pt idx="168">34</cx:pt>
          <cx:pt idx="169">35</cx:pt>
          <cx:pt idx="170">34</cx:pt>
          <cx:pt idx="171">34</cx:pt>
          <cx:pt idx="172">35</cx:pt>
          <cx:pt idx="173">34</cx:pt>
          <cx:pt idx="174">35</cx:pt>
          <cx:pt idx="175">35</cx:pt>
          <cx:pt idx="176">35</cx:pt>
          <cx:pt idx="177">31</cx:pt>
          <cx:pt idx="178">30</cx:pt>
          <cx:pt idx="179">35</cx:pt>
        </cx:lvl>
      </cx:numDim>
    </cx:data>
  </cx:chartData>
  <cx:chart>
    <cx:title pos="t" align="ctr" overlay="0">
      <cx:tx>
        <cx:rich>
          <a:bodyPr spcFirstLastPara="1" vertOverflow="ellipsis" horzOverflow="overflow" wrap="square" lIns="0" tIns="0" rIns="0" bIns="0" anchor="ctr" anchorCtr="1"/>
          <a:lstStyle/>
          <a:p>
            <a:pPr algn="ctr" rtl="0">
              <a:defRPr/>
            </a:pPr>
            <a:r>
              <a:rPr lang="tr-TR" sz="1800" b="1" i="0" u="none" strike="noStrike" baseline="0">
                <a:solidFill>
                  <a:sysClr val="windowText" lastClr="000000">
                    <a:lumMod val="75000"/>
                    <a:lumOff val="25000"/>
                  </a:sysClr>
                </a:solidFill>
                <a:latin typeface="Calibri" panose="020F0502020204030204"/>
              </a:rPr>
              <a:t>OHS</a:t>
            </a:r>
            <a:endParaRPr lang="ru-RU" sz="1800" b="1" i="0" u="none" strike="noStrike" baseline="0">
              <a:solidFill>
                <a:sysClr val="windowText" lastClr="000000">
                  <a:lumMod val="75000"/>
                  <a:lumOff val="25000"/>
                </a:sysClr>
              </a:solidFill>
              <a:latin typeface="Calibri" panose="020F0502020204030204"/>
            </a:endParaRPr>
          </a:p>
        </cx:rich>
      </cx:tx>
    </cx:title>
    <cx:plotArea>
      <cx:plotAreaRegion>
        <cx:series layoutId="boxWhisker" uniqueId="{F9F3B24D-0382-474D-87B7-546875C617E5}">
          <cx:tx>
            <cx:txData>
              <cx:f>OHS!$B$1</cx:f>
              <cx:v>основная </cx:v>
            </cx:txData>
          </cx:tx>
          <cx:spPr>
            <a:solidFill>
              <a:srgbClr val="00B0F0"/>
            </a:solidFill>
          </cx:spPr>
          <cx:dataId val="0"/>
          <cx:layoutPr>
            <cx:visibility meanLine="0" meanMarker="1" nonoutliers="0" outliers="1"/>
            <cx:statistics quartileMethod="exclusive"/>
          </cx:layoutPr>
        </cx:series>
        <cx:series layoutId="boxWhisker" uniqueId="{8BD8F4FF-A7DC-428E-A80E-AB30DFD66C60}">
          <cx:tx>
            <cx:txData>
              <cx:f>OHS!$C$1</cx:f>
              <cx:v>контрольная</cx:v>
            </cx:txData>
          </cx:tx>
          <cx:spPr>
            <a:solidFill>
              <a:srgbClr val="FF66FF"/>
            </a:solidFill>
          </cx:spPr>
          <cx:dataId val="1"/>
          <cx:layoutPr>
            <cx:visibility meanLine="0" meanMarker="1" nonoutliers="1" outliers="1"/>
            <cx:statistics quartileMethod="exclusive"/>
          </cx:layoutPr>
        </cx:series>
      </cx:plotAreaRegion>
      <cx:axis id="0">
        <cx:catScaling gapWidth="0.949999988"/>
        <cx:tickLabels/>
      </cx:axis>
      <cx:axis id="1">
        <cx:valScaling min="0"/>
        <cx:majorGridlines/>
        <cx:tickLabels/>
      </cx:axis>
    </cx:plotArea>
    <cx:legend pos="b" align="ctr" overlay="0"/>
  </cx:chart>
  <cx:spPr>
    <a:solidFill>
      <a:schemeClr val="bg1"/>
    </a:solidFill>
  </cx:spPr>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408">
  <cs:axisTitle>
    <cs:lnRef idx="0"/>
    <cs:fillRef idx="0"/>
    <cs:effectRef idx="0"/>
    <cs:fontRef idx="minor">
      <a:schemeClr val="dk1">
        <a:lumMod val="75000"/>
        <a:lumOff val="25000"/>
      </a:schemeClr>
    </cs:fontRef>
    <cs:defRPr sz="9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cs:chartArea>
  <cs:dataLabel>
    <cs:lnRef idx="0"/>
    <cs:fillRef idx="0"/>
    <cs:effectRef idx="0"/>
    <cs:fontRef idx="minor">
      <a:schemeClr val="dk1"/>
    </cs:fontRef>
    <cs:defRPr sz="900"/>
  </cs:dataLabel>
  <cs:dataLabelCallout>
    <cs:lnRef idx="0"/>
    <cs:fillRef idx="0"/>
    <cs:effectRef idx="0"/>
    <cs:fontRef idx="minor">
      <a:schemeClr val="lt1"/>
    </cs:fontRef>
    <cs:spPr>
      <a:solidFill>
        <a:schemeClr val="dk1">
          <a:lumMod val="65000"/>
          <a:lumOff val="35000"/>
          <a:alpha val="7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solidFill>
      <a:ln>
        <a:solidFill>
          <a:schemeClr val="phClr"/>
        </a:solidFill>
      </a:ln>
    </cs:spPr>
  </cs:dataPoint>
  <cs:dataPoint3D>
    <cs:lnRef idx="0"/>
    <cs:fillRef idx="0">
      <cs:styleClr val="auto"/>
    </cs:fillRef>
    <cs:effectRef idx="0"/>
    <cs:fontRef idx="minor">
      <a:schemeClr val="dk1"/>
    </cs:fontRef>
    <cs:spPr>
      <a:solidFill>
        <a:schemeClr val="ph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75000"/>
            <a:lumOff val="25000"/>
          </a:schemeClr>
        </a:solidFill>
      </a:ln>
    </cs:spPr>
    <cs:defRPr sz="9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lumOff val="10000"/>
              </a:schemeClr>
            </a:gs>
            <a:gs pos="0">
              <a:schemeClr val="lt1">
                <a:lumMod val="75000"/>
                <a:alpha val="36000"/>
                <a:lumOff val="10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seriesAxis>
  <cs:seriesLine>
    <cs:lnRef idx="0"/>
    <cs:fillRef idx="0"/>
    <cs:effectRef idx="0"/>
    <cs:fontRef idx="minor">
      <a:schemeClr val="dk1"/>
    </cs:fontRef>
    <cs:spPr>
      <a:ln w="9525" cap="flat">
        <a:solidFill>
          <a:schemeClr val="bg1">
            <a:lumMod val="50000"/>
          </a:schemeClr>
        </a:solidFill>
        <a:round/>
      </a:ln>
    </cs:spPr>
  </cs:seriesLine>
  <cs:title>
    <cs:lnRef idx="0"/>
    <cs:fillRef idx="0"/>
    <cs:effectRef idx="0"/>
    <cs:fontRef idx="minor">
      <a:schemeClr val="dk1">
        <a:lumMod val="75000"/>
        <a:lumOff val="25000"/>
      </a:schemeClr>
    </cs:fontRef>
    <cs:defRPr sz="1800" b="1"/>
  </cs:title>
  <cs:trendline>
    <cs:lnRef idx="0"/>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defRPr sz="9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408">
  <cs:axisTitle>
    <cs:lnRef idx="0"/>
    <cs:fillRef idx="0"/>
    <cs:effectRef idx="0"/>
    <cs:fontRef idx="minor">
      <a:schemeClr val="dk1">
        <a:lumMod val="75000"/>
        <a:lumOff val="25000"/>
      </a:schemeClr>
    </cs:fontRef>
    <cs:defRPr sz="9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cs:chartArea>
  <cs:dataLabel>
    <cs:lnRef idx="0"/>
    <cs:fillRef idx="0"/>
    <cs:effectRef idx="0"/>
    <cs:fontRef idx="minor">
      <a:schemeClr val="dk1"/>
    </cs:fontRef>
    <cs:defRPr sz="900"/>
  </cs:dataLabel>
  <cs:dataLabelCallout>
    <cs:lnRef idx="0"/>
    <cs:fillRef idx="0"/>
    <cs:effectRef idx="0"/>
    <cs:fontRef idx="minor">
      <a:schemeClr val="lt1"/>
    </cs:fontRef>
    <cs:spPr>
      <a:solidFill>
        <a:schemeClr val="dk1">
          <a:lumMod val="65000"/>
          <a:lumOff val="35000"/>
          <a:alpha val="7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solidFill>
      <a:ln>
        <a:solidFill>
          <a:schemeClr val="phClr"/>
        </a:solidFill>
      </a:ln>
    </cs:spPr>
  </cs:dataPoint>
  <cs:dataPoint3D>
    <cs:lnRef idx="0"/>
    <cs:fillRef idx="0">
      <cs:styleClr val="auto"/>
    </cs:fillRef>
    <cs:effectRef idx="0"/>
    <cs:fontRef idx="minor">
      <a:schemeClr val="dk1"/>
    </cs:fontRef>
    <cs:spPr>
      <a:solidFill>
        <a:schemeClr val="ph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75000"/>
            <a:lumOff val="25000"/>
          </a:schemeClr>
        </a:solidFill>
      </a:ln>
    </cs:spPr>
    <cs:defRPr sz="9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lumOff val="10000"/>
              </a:schemeClr>
            </a:gs>
            <a:gs pos="0">
              <a:schemeClr val="lt1">
                <a:lumMod val="75000"/>
                <a:alpha val="36000"/>
                <a:lumOff val="10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cs:seriesAxis>
  <cs:seriesLine>
    <cs:lnRef idx="0"/>
    <cs:fillRef idx="0"/>
    <cs:effectRef idx="0"/>
    <cs:fontRef idx="minor">
      <a:schemeClr val="dk1"/>
    </cs:fontRef>
    <cs:spPr>
      <a:ln w="9525" cap="flat">
        <a:solidFill>
          <a:schemeClr val="bg1">
            <a:lumMod val="50000"/>
          </a:schemeClr>
        </a:solidFill>
        <a:round/>
      </a:ln>
    </cs:spPr>
  </cs:seriesLine>
  <cs:title>
    <cs:lnRef idx="0"/>
    <cs:fillRef idx="0"/>
    <cs:effectRef idx="0"/>
    <cs:fontRef idx="minor">
      <a:schemeClr val="dk1">
        <a:lumMod val="75000"/>
        <a:lumOff val="25000"/>
      </a:schemeClr>
    </cs:fontRef>
    <cs:defRPr sz="1800" b="1"/>
  </cs:title>
  <cs:trendline>
    <cs:lnRef idx="0"/>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75000"/>
        <a:lumOff val="25000"/>
      </a:schemeClr>
    </cs:fontRef>
    <cs:defRPr sz="9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defRPr sz="9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5887F-515C-4EC2-9EE5-ABCC83DF4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129</Pages>
  <Words>112618</Words>
  <Characters>641928</Characters>
  <Application>Microsoft Office Word</Application>
  <DocSecurity>0</DocSecurity>
  <Lines>5349</Lines>
  <Paragraphs>1506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Durdana Oktyabrova</dc:creator>
  <cp:keywords/>
  <dc:description/>
  <cp:lastModifiedBy>Durdana Oktyabrova</cp:lastModifiedBy>
  <cp:revision>5</cp:revision>
  <cp:lastPrinted>2025-12-25T09:23:00Z</cp:lastPrinted>
  <dcterms:created xsi:type="dcterms:W3CDTF">2025-12-25T08:34:00Z</dcterms:created>
  <dcterms:modified xsi:type="dcterms:W3CDTF">2025-12-25T09:24:00Z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a33b3052-fafb-343c-8dc3-c0dcd12d676c</vt:lpwstr>
  </property>
  <property fmtid="{D5CDD505-2E9C-101B-9397-08002B2CF9AE}" pid="4" name="Mendeley Citation Style_1">
    <vt:lpwstr>http://www.zotero.org/styles/bmc-musculoskeletal-disorders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http://www.zotero.org/styles/bmc-musculoskeletal-disorders</vt:lpwstr>
  </property>
  <property fmtid="{D5CDD505-2E9C-101B-9397-08002B2CF9AE}" pid="8" name="Mendeley Recent Style Name 1_1">
    <vt:lpwstr>BMC Musculoskeletal Disorders</vt:lpwstr>
  </property>
  <property fmtid="{D5CDD505-2E9C-101B-9397-08002B2CF9AE}" pid="9" name="Mendeley Recent Style Id 2_1">
    <vt:lpwstr>http://www.zotero.org/styles/biomed-central</vt:lpwstr>
  </property>
  <property fmtid="{D5CDD505-2E9C-101B-9397-08002B2CF9AE}" pid="10" name="Mendeley Recent Style Name 2_1">
    <vt:lpwstr>BioMed Central</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4th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http://www.zotero.org/styles/gost-r-7-0-5-2008-numeric-alphabetical</vt:lpwstr>
  </property>
  <property fmtid="{D5CDD505-2E9C-101B-9397-08002B2CF9AE}" pid="22" name="Mendeley Recent Style Name 8_1">
    <vt:lpwstr>Russian GOST R 7.0.5-2008 (numeric, sorted alphabetically, Ру́сский)</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